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eastAsia="华文新魏" w:cs="Times New Roman"/>
          <w:b/>
          <w:color w:val="000000"/>
          <w:sz w:val="48"/>
          <w:szCs w:val="48"/>
        </w:rPr>
      </w:pPr>
      <w:r>
        <w:rPr>
          <w:rFonts w:hint="default" w:ascii="Times New Roman" w:hAnsi="Times New Roman" w:eastAsia="华文新魏" w:cs="Times New Roman"/>
          <w:b/>
          <w:color w:val="000000"/>
          <w:sz w:val="48"/>
          <w:szCs w:val="48"/>
          <w:lang w:eastAsia="zh-CN"/>
        </w:rPr>
        <w:t>汽车底盘部件生产项目</w:t>
      </w:r>
    </w:p>
    <w:p>
      <w:pPr>
        <w:jc w:val="center"/>
        <w:rPr>
          <w:rFonts w:hint="default" w:ascii="Times New Roman" w:hAnsi="Times New Roman" w:cs="Times New Roman" w:eastAsiaTheme="minorEastAsia"/>
          <w:b/>
          <w:bCs/>
          <w:sz w:val="48"/>
          <w:szCs w:val="56"/>
          <w:lang w:val="en-US" w:eastAsia="zh-CN"/>
        </w:rPr>
      </w:pPr>
      <w:r>
        <w:rPr>
          <w:rFonts w:hint="default" w:ascii="Times New Roman" w:hAnsi="Times New Roman" w:eastAsia="华文新魏" w:cs="Times New Roman"/>
          <w:b/>
          <w:color w:val="000000"/>
          <w:sz w:val="48"/>
          <w:szCs w:val="48"/>
          <w:lang w:eastAsia="zh-CN"/>
        </w:rPr>
        <w:t>竣工环境保护阶段性验收监测报告表</w:t>
      </w: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华文新魏" w:eastAsia="华文新魏"/>
          <w:color w:val="000000"/>
          <w:sz w:val="28"/>
          <w:szCs w:val="28"/>
          <w:lang w:eastAsia="zh-CN"/>
        </w:rPr>
        <w:t>安徽望锦汽车部件有限公司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b w:val="0"/>
          <w:bCs w:val="0"/>
          <w:color w:val="000000"/>
          <w:kern w:val="0"/>
          <w:sz w:val="28"/>
          <w:szCs w:val="28"/>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w:t>
      </w:r>
      <w:r>
        <w:rPr>
          <w:rFonts w:hint="default" w:ascii="Times New Roman" w:hAnsi="Times New Roman" w:eastAsia="华文新魏" w:cs="Times New Roman"/>
          <w:b w:val="0"/>
          <w:bCs w:val="0"/>
          <w:color w:val="000000"/>
          <w:kern w:val="0"/>
          <w:sz w:val="28"/>
          <w:szCs w:val="28"/>
          <w:lang w:val="en-US" w:eastAsia="zh-CN"/>
        </w:rPr>
        <w:t>市浚成环境检测</w:t>
      </w:r>
      <w:r>
        <w:rPr>
          <w:rFonts w:hint="default" w:ascii="Times New Roman" w:hAnsi="Times New Roman" w:eastAsia="华文新魏" w:cs="Times New Roman"/>
          <w:b w:val="0"/>
          <w:bCs w:val="0"/>
          <w:color w:val="000000"/>
          <w:kern w:val="0"/>
          <w:sz w:val="28"/>
          <w:szCs w:val="28"/>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eastAsia="zh-CN"/>
        </w:rPr>
        <w:t>三</w:t>
      </w:r>
      <w:r>
        <w:rPr>
          <w:rFonts w:hint="default" w:ascii="Times New Roman" w:hAnsi="Times New Roman" w:eastAsia="华文新魏" w:cs="Times New Roman"/>
          <w:b w:val="0"/>
          <w:bCs w:val="0"/>
          <w:color w:val="000000"/>
          <w:kern w:val="0"/>
          <w:sz w:val="28"/>
          <w:szCs w:val="28"/>
        </w:rPr>
        <w:t>年</w:t>
      </w:r>
      <w:r>
        <w:rPr>
          <w:rFonts w:hint="eastAsia" w:ascii="Times New Roman" w:hAnsi="Times New Roman" w:eastAsia="华文新魏" w:cs="Times New Roman"/>
          <w:b w:val="0"/>
          <w:bCs w:val="0"/>
          <w:color w:val="000000"/>
          <w:kern w:val="0"/>
          <w:sz w:val="28"/>
          <w:szCs w:val="28"/>
          <w:lang w:eastAsia="zh-CN"/>
        </w:rPr>
        <w:t>七</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jc w:val="right"/>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eastAsia="仿宋_GB2312"/>
          <w:sz w:val="28"/>
          <w:szCs w:val="28"/>
          <w:lang w:eastAsia="zh-CN"/>
        </w:rPr>
        <w:t>夏迎松</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ascii="Times New Roman" w:hAnsi="Times New Roman" w:eastAsia="仿宋_GB2312" w:cs="Times New Roman"/>
          <w:sz w:val="28"/>
          <w:szCs w:val="28"/>
          <w:lang w:eastAsia="zh-CN"/>
        </w:rPr>
        <w:t>李霞</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bCs/>
          <w:color w:val="000000"/>
          <w:sz w:val="2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bCs/>
          <w:color w:val="000000"/>
          <w:sz w:val="28"/>
          <w:lang w:val="en-US" w:eastAsia="zh-CN"/>
        </w:rPr>
      </w:pPr>
      <w:r>
        <w:rPr>
          <w:rFonts w:hint="eastAsia" w:ascii="Times New Roman" w:hAnsi="Times New Roman" w:eastAsia="仿宋_GB2312" w:cs="Times New Roman"/>
          <w:b/>
          <w:bCs/>
          <w:color w:val="000000"/>
          <w:sz w:val="28"/>
          <w:lang w:val="en-US" w:eastAsia="zh-CN"/>
        </w:rPr>
        <w:t>项目负责人：</w:t>
      </w:r>
      <w:r>
        <w:rPr>
          <w:rFonts w:hint="eastAsia" w:ascii="Times New Roman" w:hAnsi="Times New Roman" w:eastAsia="仿宋_GB2312" w:cs="Times New Roman"/>
          <w:b w:val="0"/>
          <w:bCs w:val="0"/>
          <w:color w:val="000000"/>
          <w:sz w:val="28"/>
          <w:lang w:val="en-US" w:eastAsia="zh-CN"/>
        </w:rPr>
        <w:t>徐碧晖</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bCs/>
          <w:color w:val="000000"/>
          <w:sz w:val="2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eastAsia" w:ascii="Times New Roman" w:hAnsi="Times New Roman" w:eastAsia="仿宋_GB2312" w:cs="Times New Roman"/>
          <w:b/>
          <w:bCs/>
          <w:color w:val="000000"/>
          <w:sz w:val="28"/>
          <w:lang w:val="en-US" w:eastAsia="zh-CN"/>
        </w:rPr>
        <w:t>填表人：</w:t>
      </w:r>
      <w:r>
        <w:rPr>
          <w:rFonts w:hint="eastAsia" w:ascii="Times New Roman" w:hAnsi="Times New Roman" w:eastAsia="仿宋_GB2312" w:cs="Times New Roman"/>
          <w:b w:val="0"/>
          <w:bCs w:val="0"/>
          <w:color w:val="000000"/>
          <w:sz w:val="28"/>
          <w:lang w:val="en-US" w:eastAsia="zh-CN"/>
        </w:rPr>
        <w:t xml:space="preserve">兰天俣 </w:t>
      </w:r>
      <w:r>
        <w:rPr>
          <w:rFonts w:hint="default" w:ascii="Times New Roman" w:hAnsi="Times New Roman" w:eastAsia="仿宋_GB2312" w:cs="Times New Roman"/>
          <w:b/>
          <w:bCs/>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1643"/>
        <w:gridCol w:w="1959"/>
        <w:gridCol w:w="1078"/>
        <w:gridCol w:w="886"/>
        <w:gridCol w:w="12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汽车底盘部件生产项目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安徽望锦汽车部件有限公司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新建</w:t>
            </w:r>
            <w:r>
              <w:rPr>
                <w:rFonts w:hint="eastAsia" w:ascii="Times New Roman" w:hAnsi="Times New Roman" w:eastAsia="宋体" w:cs="Times New Roman"/>
                <w:color w:val="000000"/>
                <w:sz w:val="24"/>
                <w:szCs w:val="24"/>
                <w:lang w:val="en-US" w:eastAsia="zh-CN"/>
              </w:rPr>
              <w:t>（重新报批）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val="en-US" w:eastAsia="zh-CN"/>
              </w:rPr>
            </w:pPr>
            <w:r>
              <w:rPr>
                <w:rFonts w:hint="eastAsia" w:ascii="Times New Roman" w:hAnsi="Times New Roman" w:eastAsia="宋体" w:cs="Times New Roman"/>
                <w:color w:val="auto"/>
                <w:kern w:val="0"/>
                <w:sz w:val="24"/>
                <w:lang w:eastAsia="zh-CN"/>
              </w:rPr>
              <w:t>安徽省宁国</w:t>
            </w:r>
            <w:r>
              <w:rPr>
                <w:rFonts w:hint="default" w:ascii="Times New Roman" w:hAnsi="Times New Roman" w:eastAsia="宋体" w:cs="Times New Roman"/>
                <w:color w:val="auto"/>
                <w:kern w:val="0"/>
                <w:sz w:val="24"/>
                <w:lang w:eastAsia="zh-CN"/>
              </w:rPr>
              <w:t>市宁国中德智造产业园中鼎集团NVH园区4#厂房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4012"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auto"/>
                <w:sz w:val="24"/>
              </w:rPr>
              <w:t>汽车零部件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4012"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sz w:val="24"/>
                <w:szCs w:val="24"/>
                <w:lang w:eastAsia="zh-CN"/>
              </w:rPr>
              <w:t>年产</w:t>
            </w:r>
            <w:r>
              <w:rPr>
                <w:rFonts w:hint="eastAsia" w:ascii="Times New Roman" w:hAnsi="Times New Roman" w:cs="Times New Roman"/>
                <w:sz w:val="24"/>
                <w:szCs w:val="24"/>
                <w:lang w:val="en-US" w:eastAsia="zh-CN"/>
              </w:rPr>
              <w:t>2413</w:t>
            </w:r>
            <w:r>
              <w:rPr>
                <w:rFonts w:hint="default" w:ascii="Times New Roman" w:hAnsi="Times New Roman" w:cs="Times New Roman"/>
                <w:sz w:val="24"/>
                <w:szCs w:val="24"/>
                <w:lang w:eastAsia="zh-CN"/>
              </w:rPr>
              <w:t>万件</w:t>
            </w:r>
            <w:r>
              <w:rPr>
                <w:rFonts w:hint="default" w:ascii="Times New Roman" w:hAnsi="Times New Roman" w:cs="Times New Roman"/>
                <w:color w:val="auto"/>
                <w:sz w:val="24"/>
              </w:rPr>
              <w:t>汽车零部件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4012"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sz w:val="24"/>
                <w:szCs w:val="24"/>
                <w:lang w:eastAsia="zh-CN"/>
              </w:rPr>
              <w:t>年产</w:t>
            </w:r>
            <w:r>
              <w:rPr>
                <w:rFonts w:hint="eastAsia" w:ascii="Times New Roman" w:hAnsi="Times New Roman" w:cs="Times New Roman"/>
                <w:sz w:val="24"/>
                <w:szCs w:val="24"/>
                <w:lang w:val="en-US" w:eastAsia="zh-CN"/>
              </w:rPr>
              <w:t>15</w:t>
            </w:r>
            <w:r>
              <w:rPr>
                <w:rFonts w:hint="default" w:ascii="Times New Roman" w:hAnsi="Times New Roman" w:cs="Times New Roman"/>
                <w:sz w:val="24"/>
                <w:szCs w:val="24"/>
                <w:lang w:eastAsia="zh-CN"/>
              </w:rPr>
              <w:t>00万件</w:t>
            </w:r>
            <w:r>
              <w:rPr>
                <w:rFonts w:hint="default" w:ascii="Times New Roman" w:hAnsi="Times New Roman" w:cs="Times New Roman"/>
                <w:color w:val="auto"/>
                <w:sz w:val="24"/>
              </w:rPr>
              <w:t>汽车零部件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23</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6</w:t>
            </w:r>
            <w:r>
              <w:rPr>
                <w:rFonts w:hint="default" w:ascii="Times New Roman" w:hAnsi="Times New Roman" w:cs="Times New Roman" w:eastAsiaTheme="minorEastAsia"/>
                <w:sz w:val="24"/>
                <w:szCs w:val="24"/>
                <w:lang w:val="en-US" w:eastAsia="zh-CN"/>
              </w:rPr>
              <w:t>月</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89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23</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6</w:t>
            </w:r>
            <w:r>
              <w:rPr>
                <w:rFonts w:hint="default" w:ascii="Times New Roman" w:hAnsi="Times New Roman" w:cs="Times New Roman" w:eastAsiaTheme="minorEastAsia"/>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23</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7</w:t>
            </w:r>
            <w:r>
              <w:rPr>
                <w:rFonts w:hint="default" w:ascii="Times New Roman" w:hAnsi="Times New Roman" w:cs="Times New Roman" w:eastAsiaTheme="minorEastAsia"/>
                <w:sz w:val="24"/>
                <w:szCs w:val="24"/>
                <w:lang w:val="en-US" w:eastAsia="zh-CN"/>
              </w:rPr>
              <w:t>月</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189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202</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1-2</w:t>
            </w:r>
            <w:r>
              <w:rPr>
                <w:rFonts w:hint="default" w:ascii="Times New Roman" w:hAnsi="Times New Roman" w:cs="Times New Roman"/>
                <w:sz w:val="24"/>
                <w:szCs w:val="24"/>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189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lang w:val="en-US" w:eastAsia="zh-CN"/>
              </w:rPr>
              <w:t>宣城科宁环境科技</w:t>
            </w:r>
            <w:r>
              <w:rPr>
                <w:rFonts w:hint="default" w:ascii="Times New Roman" w:hAnsi="Times New Roman" w:eastAsia="宋体" w:cs="Times New Roman"/>
                <w:color w:val="auto"/>
                <w:sz w:val="24"/>
                <w:lang w:val="en-US" w:eastAsia="zh-CN"/>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安徽望锦汽车部件有限公司</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189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安徽望锦汽车部件有限公司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40704.3万元</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127万元</w:t>
            </w:r>
          </w:p>
        </w:tc>
        <w:tc>
          <w:tcPr>
            <w:tcW w:w="5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0.31</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20000万元</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135万元</w:t>
            </w:r>
          </w:p>
        </w:tc>
        <w:tc>
          <w:tcPr>
            <w:tcW w:w="5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0.675</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1、《中华人民共和国环境保护法》，2014年4月24日修订，2015.1.1施行；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2、《中华人民共和国噪声污染防治法》，2021年12月24日修订，2022年6月5日施行；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3、《中华人民共和国水污染防治法》，2008年6月1日施行，2017年6月27日再次修订，2018</w:t>
            </w:r>
            <w:r>
              <w:rPr>
                <w:rFonts w:hint="eastAsia"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1月1日实施；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4、《中华人民共和国大气污染防治法》，2018年10月26日修订并施行；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2020年4月29 修订，2020年9月1日施行；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6、《建设项目环境保护管理条例》中华人民共和国国务院令第682号，2017.10.1试行；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7、《关于发布&lt;建设项目竣工环境保护验收暂行办法&gt;的公告》中华人民共和国环境保护部，国环规环评[2017]4号，2017年11月20日发布并实施；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8、关于发布《建设项目竣工环境保护验收技术指南 污染影响类》的公告，中华人民共和国生态环境部，公告2018第9号，2018年5月16日印发；</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cs="Times New Roman"/>
                <w:sz w:val="24"/>
                <w:szCs w:val="24"/>
                <w:lang w:eastAsia="zh-CN"/>
              </w:rPr>
              <w:t>安徽望锦汽车部件有限公司汽车底盘部件生产项目</w:t>
            </w:r>
            <w:r>
              <w:rPr>
                <w:rFonts w:hint="default" w:ascii="Times New Roman" w:hAnsi="Times New Roman" w:eastAsia="宋体" w:cs="Times New Roman"/>
                <w:color w:val="auto"/>
                <w:sz w:val="24"/>
                <w:szCs w:val="24"/>
                <w:highlight w:val="none"/>
                <w:lang w:val="en-US" w:eastAsia="zh-CN"/>
              </w:rPr>
              <w:t>委托进行竣工环境保护</w:t>
            </w:r>
            <w:r>
              <w:rPr>
                <w:rFonts w:hint="eastAsia" w:ascii="Times New Roman" w:hAnsi="Times New Roman" w:eastAsia="宋体" w:cs="Times New Roman"/>
                <w:color w:val="auto"/>
                <w:sz w:val="24"/>
                <w:szCs w:val="24"/>
                <w:highlight w:val="none"/>
                <w:lang w:val="en-US" w:eastAsia="zh-CN"/>
              </w:rPr>
              <w:t>阶段性</w:t>
            </w:r>
            <w:r>
              <w:rPr>
                <w:rFonts w:hint="default" w:ascii="Times New Roman" w:hAnsi="Times New Roman" w:eastAsia="宋体" w:cs="Times New Roman"/>
                <w:color w:val="auto"/>
                <w:sz w:val="24"/>
                <w:szCs w:val="24"/>
                <w:highlight w:val="none"/>
                <w:lang w:val="en-US" w:eastAsia="zh-CN"/>
              </w:rPr>
              <w:t>验收的委托书；</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lang w:val="en-US" w:eastAsia="zh-CN"/>
              </w:rPr>
              <w:t>宣城科宁环境科技</w:t>
            </w:r>
            <w:r>
              <w:rPr>
                <w:rFonts w:hint="default" w:ascii="Times New Roman" w:hAnsi="Times New Roman" w:eastAsia="宋体" w:cs="Times New Roman"/>
                <w:color w:val="auto"/>
                <w:sz w:val="24"/>
                <w:lang w:val="en-US" w:eastAsia="zh-CN"/>
              </w:rPr>
              <w:t>有限公司</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z w:val="24"/>
                <w:szCs w:val="24"/>
                <w:lang w:eastAsia="zh-CN"/>
              </w:rPr>
              <w:t>安徽望锦汽车部件有限公司汽车底盘部件生产项目</w:t>
            </w:r>
            <w:r>
              <w:rPr>
                <w:rFonts w:hint="default" w:ascii="Times New Roman" w:hAnsi="Times New Roman" w:eastAsia="宋体" w:cs="Times New Roman"/>
                <w:color w:val="auto"/>
                <w:sz w:val="24"/>
                <w:szCs w:val="24"/>
                <w:highlight w:val="none"/>
                <w:lang w:val="en-US" w:eastAsia="zh-CN"/>
              </w:rPr>
              <w:t>环境影响报告表》（20</w:t>
            </w:r>
            <w:r>
              <w:rPr>
                <w:rFonts w:hint="eastAsia" w:ascii="Times New Roman" w:hAnsi="Times New Roman" w:eastAsia="宋体" w:cs="Times New Roman"/>
                <w:color w:val="auto"/>
                <w:sz w:val="24"/>
                <w:szCs w:val="24"/>
                <w:highlight w:val="none"/>
                <w:lang w:val="en-US" w:eastAsia="zh-CN"/>
              </w:rPr>
              <w:t>23年6月</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lang w:val="en-US" w:eastAsia="zh-CN"/>
              </w:rPr>
              <w:t>11、宣城市宁国市生态环境分局《</w:t>
            </w:r>
            <w:r>
              <w:rPr>
                <w:rFonts w:hint="eastAsia" w:ascii="Times New Roman" w:hAnsi="Times New Roman" w:eastAsia="宋体" w:cs="Times New Roman"/>
                <w:color w:val="auto"/>
                <w:sz w:val="24"/>
                <w:szCs w:val="24"/>
                <w:highlight w:val="none"/>
                <w:lang w:val="en-US" w:eastAsia="zh-CN"/>
              </w:rPr>
              <w:t>关于</w:t>
            </w:r>
            <w:r>
              <w:rPr>
                <w:rFonts w:hint="default" w:ascii="Times New Roman" w:hAnsi="Times New Roman" w:cs="Times New Roman"/>
                <w:sz w:val="24"/>
                <w:szCs w:val="24"/>
                <w:lang w:eastAsia="zh-CN"/>
              </w:rPr>
              <w:t>安徽望锦汽车部件有限公司汽车底盘部件生产项目</w:t>
            </w:r>
            <w:r>
              <w:rPr>
                <w:rFonts w:hint="eastAsia" w:ascii="Times New Roman" w:hAnsi="Times New Roman" w:cs="Times New Roman"/>
                <w:sz w:val="24"/>
                <w:szCs w:val="24"/>
                <w:lang w:eastAsia="zh-CN"/>
              </w:rPr>
              <w:t>（重新报批）</w:t>
            </w:r>
            <w:r>
              <w:rPr>
                <w:rFonts w:hint="default" w:ascii="Times New Roman" w:hAnsi="Times New Roman" w:eastAsia="宋体" w:cs="Times New Roman"/>
                <w:color w:val="auto"/>
                <w:sz w:val="24"/>
                <w:szCs w:val="24"/>
                <w:highlight w:val="none"/>
                <w:lang w:val="en-US" w:eastAsia="zh-CN"/>
              </w:rPr>
              <w:t>环境影响报告表的复函》（宁环审批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23]36</w:t>
            </w:r>
            <w:r>
              <w:rPr>
                <w:rFonts w:hint="default" w:ascii="Times New Roman" w:hAnsi="Times New Roman" w:eastAsia="宋体" w:cs="Times New Roman"/>
                <w:color w:val="auto"/>
                <w:sz w:val="24"/>
                <w:szCs w:val="24"/>
                <w:highlight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4012" w:type="pct"/>
            <w:gridSpan w:val="5"/>
            <w:noWrap w:val="0"/>
            <w:vAlign w:val="center"/>
          </w:tcPr>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1、废气排放标准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bCs/>
                <w:sz w:val="24"/>
                <w:szCs w:val="24"/>
                <w:lang w:val="en-US"/>
              </w:rPr>
            </w:pPr>
            <w:r>
              <w:rPr>
                <w:rFonts w:hint="eastAsia" w:ascii="Times New Roman" w:hAnsi="Times New Roman" w:cs="Times New Roman"/>
                <w:sz w:val="24"/>
                <w:szCs w:val="24"/>
                <w:lang w:eastAsia="zh-CN"/>
              </w:rPr>
              <w:t>本</w:t>
            </w:r>
            <w:r>
              <w:rPr>
                <w:rFonts w:hint="default" w:ascii="Times New Roman" w:hAnsi="Times New Roman" w:cs="Times New Roman" w:eastAsiaTheme="minorEastAsia"/>
                <w:sz w:val="24"/>
                <w:szCs w:val="24"/>
              </w:rPr>
              <w:t>项目锻造线加热炉及热处理炉天然气燃烧废气排放执行《工业炉窑大气污染综合治理方案》（环大气[2019]56号）中限值要求</w:t>
            </w:r>
            <w:r>
              <w:rPr>
                <w:rFonts w:hint="eastAsia" w:ascii="Times New Roman" w:hAnsi="Times New Roman" w:cs="Times New Roman"/>
                <w:sz w:val="24"/>
                <w:szCs w:val="24"/>
                <w:lang w:val="en-US" w:eastAsia="zh-CN"/>
              </w:rPr>
              <w:t>，锻坯加热、电阻炉废气中油雾排放参照上海市《大气污染物综合排放标准》（DB31/933-2015）中限值，抛丸、抛光、焊接废气颗粒物排放执行《大气污染物综合排放标准》（GB16297-1996）中表 2 排放限值，</w:t>
            </w:r>
            <w:r>
              <w:rPr>
                <w:rFonts w:hint="default" w:ascii="Times New Roman" w:hAnsi="Times New Roman" w:cs="Times New Roman" w:eastAsiaTheme="minorEastAsia"/>
                <w:sz w:val="24"/>
                <w:szCs w:val="24"/>
              </w:rPr>
              <w:t>具体标准限值见下表</w:t>
            </w:r>
            <w:r>
              <w:rPr>
                <w:rFonts w:hint="default"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1</w:t>
            </w:r>
            <w:r>
              <w:rPr>
                <w:rFonts w:hint="default" w:ascii="Times New Roman" w:hAnsi="Times New Roman" w:cs="Times New Roman" w:eastAsiaTheme="minorEastAsia"/>
                <w:b/>
                <w:bCs/>
                <w:sz w:val="21"/>
                <w:szCs w:val="21"/>
              </w:rPr>
              <w:t>-</w:t>
            </w:r>
            <w:r>
              <w:rPr>
                <w:rFonts w:hint="default" w:ascii="Times New Roman" w:hAnsi="Times New Roman" w:cs="Times New Roman" w:eastAsiaTheme="minorEastAsia"/>
                <w:b/>
                <w:bCs/>
                <w:sz w:val="21"/>
                <w:szCs w:val="21"/>
                <w:lang w:val="en-US" w:eastAsia="zh-CN"/>
              </w:rPr>
              <w:t>1</w:t>
            </w:r>
            <w:r>
              <w:rPr>
                <w:rFonts w:hint="eastAsia" w:ascii="Times New Roman" w:hAnsi="Times New Roman" w:cs="Times New Roman"/>
                <w:b/>
                <w:bCs/>
                <w:sz w:val="21"/>
                <w:szCs w:val="21"/>
                <w:lang w:val="en-US" w:eastAsia="zh-CN"/>
              </w:rPr>
              <w:t xml:space="preserve"> </w:t>
            </w:r>
            <w:r>
              <w:rPr>
                <w:rFonts w:hint="eastAsia"/>
                <w:b/>
                <w:color w:val="auto"/>
                <w:sz w:val="21"/>
                <w:szCs w:val="21"/>
              </w:rPr>
              <w:t>天然气燃烧废气</w:t>
            </w:r>
            <w:r>
              <w:rPr>
                <w:b/>
                <w:color w:val="auto"/>
                <w:sz w:val="21"/>
                <w:szCs w:val="21"/>
              </w:rPr>
              <w:t>污染物排放限值</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160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pct"/>
                  <w:tcBorders>
                    <w:top w:val="single" w:color="auto" w:sz="12" w:space="0"/>
                    <w:left w:val="single" w:color="auto" w:sz="4" w:space="0"/>
                    <w:bottom w:val="single" w:color="auto" w:sz="4" w:space="0"/>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污染物名称</w:t>
                  </w:r>
                </w:p>
              </w:tc>
              <w:tc>
                <w:tcPr>
                  <w:tcW w:w="1212" w:type="pct"/>
                  <w:tcBorders>
                    <w:top w:val="single" w:color="auto" w:sz="12" w:space="0"/>
                    <w:bottom w:val="single" w:color="auto" w:sz="4" w:space="0"/>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最高允许排放浓度mg/m</w:t>
                  </w:r>
                  <w:r>
                    <w:rPr>
                      <w:rFonts w:hint="default" w:ascii="Times New Roman" w:hAnsi="Times New Roman" w:cs="Times New Roman"/>
                      <w:b w:val="0"/>
                      <w:bCs w:val="0"/>
                      <w:color w:val="auto"/>
                      <w:sz w:val="21"/>
                      <w:szCs w:val="21"/>
                      <w:vertAlign w:val="superscript"/>
                    </w:rPr>
                    <w:t>3</w:t>
                  </w:r>
                </w:p>
              </w:tc>
              <w:tc>
                <w:tcPr>
                  <w:tcW w:w="2574" w:type="pct"/>
                  <w:tcBorders>
                    <w:top w:val="single" w:color="auto" w:sz="12" w:space="0"/>
                    <w:bottom w:val="single" w:color="auto" w:sz="4" w:space="0"/>
                    <w:right w:val="single" w:color="auto" w:sz="12" w:space="0"/>
                  </w:tcBorders>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pct"/>
                  <w:tcBorders>
                    <w:top w:val="single" w:color="auto" w:sz="4" w:space="0"/>
                    <w:left w:val="single" w:color="auto" w:sz="4" w:space="0"/>
                    <w:bottom w:val="single" w:color="auto" w:sz="4" w:space="0"/>
                  </w:tcBorders>
                  <w:noWrap w:val="0"/>
                  <w:vAlign w:val="center"/>
                </w:tcPr>
                <w:p>
                  <w:pPr>
                    <w:pStyle w:val="29"/>
                    <w:ind w:firstLine="0" w:firstLineChars="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颗粒物</w:t>
                  </w:r>
                </w:p>
              </w:tc>
              <w:tc>
                <w:tcPr>
                  <w:tcW w:w="1212" w:type="pct"/>
                  <w:tcBorders>
                    <w:top w:val="single" w:color="auto" w:sz="4" w:space="0"/>
                    <w:bottom w:val="single" w:color="auto" w:sz="4" w:space="0"/>
                  </w:tcBorders>
                  <w:noWrap w:val="0"/>
                  <w:vAlign w:val="center"/>
                </w:tcPr>
                <w:p>
                  <w:pPr>
                    <w:pStyle w:val="28"/>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30</w:t>
                  </w:r>
                </w:p>
              </w:tc>
              <w:tc>
                <w:tcPr>
                  <w:tcW w:w="2574" w:type="pct"/>
                  <w:vMerge w:val="restart"/>
                  <w:tcBorders>
                    <w:top w:val="single" w:color="auto" w:sz="4" w:space="0"/>
                    <w:right w:val="single" w:color="auto" w:sz="12" w:space="0"/>
                  </w:tcBorders>
                  <w:noWrap w:val="0"/>
                  <w:vAlign w:val="center"/>
                </w:tcPr>
                <w:p>
                  <w:pPr>
                    <w:pStyle w:val="3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《工业炉窑大气污染综合治理方案》（环大气[2019]56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pct"/>
                  <w:tcBorders>
                    <w:top w:val="single" w:color="auto" w:sz="4" w:space="0"/>
                    <w:left w:val="single" w:color="auto" w:sz="4" w:space="0"/>
                    <w:bottom w:val="single" w:color="auto" w:sz="4" w:space="0"/>
                  </w:tcBorders>
                  <w:noWrap w:val="0"/>
                  <w:vAlign w:val="center"/>
                </w:tcPr>
                <w:p>
                  <w:pPr>
                    <w:pStyle w:val="29"/>
                    <w:ind w:firstLine="0" w:firstLineChars="0"/>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二氧化硫</w:t>
                  </w:r>
                </w:p>
              </w:tc>
              <w:tc>
                <w:tcPr>
                  <w:tcW w:w="1212" w:type="pct"/>
                  <w:tcBorders>
                    <w:top w:val="single" w:color="auto" w:sz="4" w:space="0"/>
                    <w:bottom w:val="single" w:color="auto" w:sz="4" w:space="0"/>
                  </w:tcBorders>
                  <w:noWrap w:val="0"/>
                  <w:vAlign w:val="center"/>
                </w:tcPr>
                <w:p>
                  <w:pPr>
                    <w:pStyle w:val="28"/>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200</w:t>
                  </w:r>
                </w:p>
              </w:tc>
              <w:tc>
                <w:tcPr>
                  <w:tcW w:w="2574" w:type="pct"/>
                  <w:vMerge w:val="continue"/>
                  <w:tcBorders>
                    <w:right w:val="single" w:color="auto" w:sz="12" w:space="0"/>
                  </w:tcBorders>
                  <w:noWrap w:val="0"/>
                  <w:vAlign w:val="center"/>
                </w:tcPr>
                <w:p>
                  <w:pPr>
                    <w:pStyle w:val="30"/>
                    <w:rPr>
                      <w:rFonts w:hint="eastAsia"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pct"/>
                  <w:tcBorders>
                    <w:top w:val="single" w:color="auto" w:sz="4" w:space="0"/>
                    <w:left w:val="single" w:color="auto" w:sz="4" w:space="0"/>
                    <w:bottom w:val="single" w:color="auto" w:sz="12" w:space="0"/>
                  </w:tcBorders>
                  <w:noWrap w:val="0"/>
                  <w:vAlign w:val="center"/>
                </w:tcPr>
                <w:p>
                  <w:pPr>
                    <w:pStyle w:val="29"/>
                    <w:ind w:firstLine="0" w:firstLineChars="0"/>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氮氧化物</w:t>
                  </w:r>
                </w:p>
              </w:tc>
              <w:tc>
                <w:tcPr>
                  <w:tcW w:w="1212" w:type="pct"/>
                  <w:tcBorders>
                    <w:top w:val="single" w:color="auto" w:sz="4" w:space="0"/>
                    <w:bottom w:val="single" w:color="auto" w:sz="12" w:space="0"/>
                  </w:tcBorders>
                  <w:noWrap w:val="0"/>
                  <w:vAlign w:val="center"/>
                </w:tcPr>
                <w:p>
                  <w:pPr>
                    <w:pStyle w:val="28"/>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300</w:t>
                  </w:r>
                </w:p>
              </w:tc>
              <w:tc>
                <w:tcPr>
                  <w:tcW w:w="2574" w:type="pct"/>
                  <w:vMerge w:val="continue"/>
                  <w:tcBorders>
                    <w:bottom w:val="single" w:color="auto" w:sz="12" w:space="0"/>
                    <w:right w:val="single" w:color="auto" w:sz="12" w:space="0"/>
                  </w:tcBorders>
                  <w:noWrap w:val="0"/>
                  <w:vAlign w:val="center"/>
                </w:tcPr>
                <w:p>
                  <w:pPr>
                    <w:pStyle w:val="30"/>
                    <w:rPr>
                      <w:rFonts w:hint="eastAsia" w:ascii="Times New Roman" w:hAnsi="Times New Roman" w:cs="Times New Roman"/>
                      <w:color w:val="auto"/>
                      <w:sz w:val="21"/>
                      <w:szCs w:val="21"/>
                      <w:lang w:val="en-US" w:eastAsia="zh-CN"/>
                    </w:rPr>
                  </w:pPr>
                </w:p>
              </w:tc>
            </w:tr>
          </w:tbl>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1</w:t>
            </w:r>
            <w:r>
              <w:rPr>
                <w:rFonts w:hint="default" w:ascii="Times New Roman" w:hAnsi="Times New Roman" w:cs="Times New Roman" w:eastAsiaTheme="minorEastAsia"/>
                <w:b/>
                <w:bCs/>
                <w:sz w:val="21"/>
                <w:szCs w:val="21"/>
              </w:rPr>
              <w:t>-</w:t>
            </w:r>
            <w:r>
              <w:rPr>
                <w:rFonts w:hint="eastAsia" w:ascii="Times New Roman" w:hAnsi="Times New Roman" w:cs="Times New Roman"/>
                <w:b/>
                <w:bCs/>
                <w:sz w:val="21"/>
                <w:szCs w:val="21"/>
                <w:lang w:val="en-US" w:eastAsia="zh-CN"/>
              </w:rPr>
              <w:t xml:space="preserve">2 </w:t>
            </w:r>
            <w:r>
              <w:rPr>
                <w:rFonts w:hint="eastAsia"/>
                <w:b/>
                <w:color w:val="auto"/>
                <w:sz w:val="21"/>
                <w:szCs w:val="21"/>
                <w:lang w:eastAsia="zh-CN"/>
              </w:rPr>
              <w:t>锻坯加热、电阻炉</w:t>
            </w:r>
            <w:r>
              <w:rPr>
                <w:rFonts w:hint="eastAsia"/>
                <w:b/>
                <w:color w:val="auto"/>
                <w:sz w:val="21"/>
                <w:szCs w:val="21"/>
              </w:rPr>
              <w:t>废气</w:t>
            </w:r>
            <w:r>
              <w:rPr>
                <w:b/>
                <w:color w:val="auto"/>
                <w:sz w:val="21"/>
                <w:szCs w:val="21"/>
              </w:rPr>
              <w:t>污染物排放限值</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160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3" w:type="pct"/>
                  <w:tcBorders>
                    <w:top w:val="single" w:color="auto" w:sz="12" w:space="0"/>
                    <w:left w:val="single" w:color="auto" w:sz="4" w:space="0"/>
                    <w:bottom w:val="single" w:color="auto" w:sz="4" w:space="0"/>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污染物名称</w:t>
                  </w:r>
                </w:p>
              </w:tc>
              <w:tc>
                <w:tcPr>
                  <w:tcW w:w="1212" w:type="pct"/>
                  <w:tcBorders>
                    <w:top w:val="single" w:color="auto" w:sz="12" w:space="0"/>
                    <w:bottom w:val="single" w:color="auto" w:sz="4" w:space="0"/>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最高允许排放浓度mg/m</w:t>
                  </w:r>
                  <w:r>
                    <w:rPr>
                      <w:rFonts w:hint="default" w:ascii="Times New Roman" w:hAnsi="Times New Roman" w:cs="Times New Roman"/>
                      <w:b w:val="0"/>
                      <w:bCs w:val="0"/>
                      <w:color w:val="auto"/>
                      <w:sz w:val="21"/>
                      <w:szCs w:val="21"/>
                      <w:vertAlign w:val="superscript"/>
                    </w:rPr>
                    <w:t>3</w:t>
                  </w:r>
                </w:p>
              </w:tc>
              <w:tc>
                <w:tcPr>
                  <w:tcW w:w="2574" w:type="pct"/>
                  <w:tcBorders>
                    <w:top w:val="single" w:color="auto" w:sz="12" w:space="0"/>
                    <w:bottom w:val="single" w:color="auto" w:sz="4" w:space="0"/>
                    <w:right w:val="single" w:color="auto" w:sz="12" w:space="0"/>
                  </w:tcBorders>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3" w:type="pct"/>
                  <w:tcBorders>
                    <w:top w:val="single" w:color="auto" w:sz="4" w:space="0"/>
                    <w:left w:val="single" w:color="auto" w:sz="4" w:space="0"/>
                    <w:bottom w:val="single" w:color="auto" w:sz="12" w:space="0"/>
                  </w:tcBorders>
                  <w:noWrap w:val="0"/>
                  <w:vAlign w:val="center"/>
                </w:tcPr>
                <w:p>
                  <w:pPr>
                    <w:pStyle w:val="29"/>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油雾</w:t>
                  </w:r>
                </w:p>
              </w:tc>
              <w:tc>
                <w:tcPr>
                  <w:tcW w:w="1212" w:type="pct"/>
                  <w:tcBorders>
                    <w:top w:val="single" w:color="auto" w:sz="4" w:space="0"/>
                    <w:bottom w:val="single" w:color="auto" w:sz="12" w:space="0"/>
                  </w:tcBorders>
                  <w:noWrap w:val="0"/>
                  <w:vAlign w:val="center"/>
                </w:tcPr>
                <w:p>
                  <w:pPr>
                    <w:pStyle w:val="28"/>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w:t>
                  </w:r>
                </w:p>
              </w:tc>
              <w:tc>
                <w:tcPr>
                  <w:tcW w:w="2574" w:type="pct"/>
                  <w:tcBorders>
                    <w:top w:val="single" w:color="auto" w:sz="4" w:space="0"/>
                    <w:bottom w:val="single" w:color="auto" w:sz="12" w:space="0"/>
                    <w:right w:val="single" w:color="auto" w:sz="12" w:space="0"/>
                  </w:tcBorders>
                  <w:noWrap w:val="0"/>
                  <w:vAlign w:val="center"/>
                </w:tcPr>
                <w:p>
                  <w:pPr>
                    <w:pStyle w:val="3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上海市《大气污染物综合排放标准》</w:t>
                  </w:r>
                </w:p>
                <w:p>
                  <w:pPr>
                    <w:pStyle w:val="3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（DB31/933-2015）</w:t>
                  </w:r>
                </w:p>
              </w:tc>
            </w:tr>
          </w:tbl>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1</w:t>
            </w:r>
            <w:r>
              <w:rPr>
                <w:rFonts w:hint="default" w:ascii="Times New Roman" w:hAnsi="Times New Roman" w:cs="Times New Roman" w:eastAsiaTheme="minorEastAsia"/>
                <w:b/>
                <w:bCs/>
                <w:sz w:val="21"/>
                <w:szCs w:val="21"/>
              </w:rPr>
              <w:t>-</w:t>
            </w:r>
            <w:r>
              <w:rPr>
                <w:rFonts w:hint="eastAsia" w:ascii="Times New Roman" w:hAnsi="Times New Roman" w:cs="Times New Roman"/>
                <w:b/>
                <w:bCs/>
                <w:sz w:val="21"/>
                <w:szCs w:val="21"/>
                <w:lang w:val="en-US" w:eastAsia="zh-CN"/>
              </w:rPr>
              <w:t xml:space="preserve">3 </w:t>
            </w:r>
            <w:r>
              <w:rPr>
                <w:rFonts w:hint="eastAsia"/>
                <w:b/>
                <w:color w:val="auto"/>
                <w:sz w:val="21"/>
                <w:szCs w:val="21"/>
              </w:rPr>
              <w:t>抛丸、焊接废气</w:t>
            </w:r>
            <w:r>
              <w:rPr>
                <w:b/>
                <w:color w:val="auto"/>
                <w:sz w:val="21"/>
                <w:szCs w:val="21"/>
              </w:rPr>
              <w:t>污染物排放限值</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536"/>
              <w:gridCol w:w="1759"/>
              <w:gridCol w:w="22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污染物名称</w:t>
                  </w:r>
                </w:p>
              </w:tc>
              <w:tc>
                <w:tcPr>
                  <w:tcW w:w="1165" w:type="pct"/>
                  <w:tcBorders>
                    <w:tl2br w:val="nil"/>
                    <w:tr2bl w:val="nil"/>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最高允许排放浓度mg/m</w:t>
                  </w:r>
                  <w:r>
                    <w:rPr>
                      <w:rFonts w:hint="default" w:ascii="Times New Roman" w:hAnsi="Times New Roman" w:cs="Times New Roman"/>
                      <w:b w:val="0"/>
                      <w:bCs w:val="0"/>
                      <w:color w:val="auto"/>
                      <w:sz w:val="21"/>
                      <w:szCs w:val="21"/>
                      <w:vertAlign w:val="superscript"/>
                    </w:rPr>
                    <w:t>3</w:t>
                  </w:r>
                </w:p>
              </w:tc>
              <w:tc>
                <w:tcPr>
                  <w:tcW w:w="1334" w:type="pct"/>
                  <w:tcBorders>
                    <w:tl2br w:val="nil"/>
                    <w:tr2bl w:val="nil"/>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无组织排放监控浓度限值mg/m</w:t>
                  </w:r>
                  <w:r>
                    <w:rPr>
                      <w:rFonts w:hint="default" w:ascii="Times New Roman" w:hAnsi="Times New Roman" w:cs="Times New Roman"/>
                      <w:b w:val="0"/>
                      <w:bCs w:val="0"/>
                      <w:color w:val="auto"/>
                      <w:sz w:val="21"/>
                      <w:szCs w:val="21"/>
                      <w:vertAlign w:val="superscript"/>
                    </w:rPr>
                    <w:t>3</w:t>
                  </w:r>
                </w:p>
              </w:tc>
              <w:tc>
                <w:tcPr>
                  <w:tcW w:w="1699" w:type="pct"/>
                  <w:tcBorders>
                    <w:tl2br w:val="nil"/>
                    <w:tr2bl w:val="nil"/>
                  </w:tcBorders>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pStyle w:val="29"/>
                    <w:ind w:firstLine="0" w:firstLineChars="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颗粒物</w:t>
                  </w:r>
                </w:p>
              </w:tc>
              <w:tc>
                <w:tcPr>
                  <w:tcW w:w="1165" w:type="pct"/>
                  <w:tcBorders>
                    <w:tl2br w:val="nil"/>
                    <w:tr2bl w:val="nil"/>
                  </w:tcBorders>
                  <w:noWrap w:val="0"/>
                  <w:vAlign w:val="center"/>
                </w:tcPr>
                <w:p>
                  <w:pPr>
                    <w:pStyle w:val="28"/>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120</w:t>
                  </w:r>
                </w:p>
              </w:tc>
              <w:tc>
                <w:tcPr>
                  <w:tcW w:w="1334" w:type="pct"/>
                  <w:tcBorders>
                    <w:tl2br w:val="nil"/>
                    <w:tr2bl w:val="nil"/>
                  </w:tcBorders>
                  <w:noWrap w:val="0"/>
                  <w:vAlign w:val="center"/>
                </w:tcPr>
                <w:p>
                  <w:pPr>
                    <w:pStyle w:val="28"/>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w:t>
                  </w:r>
                </w:p>
              </w:tc>
              <w:tc>
                <w:tcPr>
                  <w:tcW w:w="1699" w:type="pct"/>
                  <w:tcBorders>
                    <w:tl2br w:val="nil"/>
                    <w:tr2bl w:val="nil"/>
                  </w:tcBorders>
                  <w:noWrap w:val="0"/>
                  <w:vAlign w:val="center"/>
                </w:tcPr>
                <w:p>
                  <w:pPr>
                    <w:pStyle w:val="3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《大气污染物综合排放标准》</w:t>
                  </w:r>
                </w:p>
                <w:p>
                  <w:pPr>
                    <w:pStyle w:val="3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（GB16297-1996）</w:t>
                  </w: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、废</w:t>
            </w:r>
            <w:r>
              <w:rPr>
                <w:rFonts w:hint="default" w:ascii="Times New Roman" w:hAnsi="Times New Roman" w:eastAsia="宋体" w:cs="Times New Roman"/>
                <w:b/>
                <w:bCs/>
                <w:color w:val="000000"/>
                <w:sz w:val="24"/>
                <w:szCs w:val="24"/>
                <w:lang w:val="en-US" w:eastAsia="zh-CN"/>
              </w:rPr>
              <w:t>水</w:t>
            </w:r>
            <w:r>
              <w:rPr>
                <w:rFonts w:hint="default" w:ascii="Times New Roman" w:hAnsi="Times New Roman" w:eastAsia="宋体" w:cs="Times New Roman"/>
                <w:b/>
                <w:bCs/>
                <w:color w:val="000000"/>
                <w:sz w:val="24"/>
                <w:szCs w:val="24"/>
              </w:rPr>
              <w:t>排放标准</w:t>
            </w:r>
          </w:p>
          <w:p>
            <w:pPr>
              <w:adjustRightInd w:val="0"/>
              <w:snapToGrid w:val="0"/>
              <w:spacing w:line="360" w:lineRule="auto"/>
              <w:ind w:firstLine="480"/>
              <w:rPr>
                <w:rFonts w:hint="default"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lang w:eastAsia="zh-CN"/>
              </w:rPr>
              <w:t>项目位于中鼎NVH厂区内，依托中鼎减震厂区综合污水处理站及排放口。中鼎减震厂区综合污水处理站污水排放口执行《橡胶制品工业污染物排放标准》（GB27632-2011）表2中新建企业水污染物间接排放限值，同时满足中德智造小镇污水处理厂接管标准。</w:t>
            </w:r>
            <w:r>
              <w:rPr>
                <w:rFonts w:hint="default" w:ascii="Times New Roman" w:hAnsi="Times New Roman" w:eastAsia="宋体" w:cs="Times New Roman"/>
                <w:bCs/>
                <w:color w:val="auto"/>
                <w:sz w:val="24"/>
                <w:szCs w:val="24"/>
              </w:rPr>
              <w:t>具体标准限值见下表：</w:t>
            </w:r>
          </w:p>
          <w:p>
            <w:pPr>
              <w:pStyle w:val="5"/>
              <w:spacing w:line="360" w:lineRule="auto"/>
              <w:ind w:firstLine="0" w:firstLineChars="0"/>
              <w:jc w:val="center"/>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1-2 </w:t>
            </w:r>
            <w:r>
              <w:rPr>
                <w:rFonts w:hint="default" w:ascii="Times New Roman" w:hAnsi="Times New Roman" w:cs="Times New Roman"/>
                <w:b/>
                <w:bCs/>
                <w:color w:val="auto"/>
                <w:sz w:val="21"/>
                <w:szCs w:val="21"/>
              </w:rPr>
              <w:t>水污染物排放标准一览表</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单位：mg/</w:t>
            </w:r>
            <w:r>
              <w:rPr>
                <w:rFonts w:hint="eastAsia" w:ascii="Times New Roman" w:hAnsi="Times New Roman" w:cs="Times New Roman"/>
                <w:b/>
                <w:bCs/>
                <w:color w:val="auto"/>
                <w:sz w:val="21"/>
                <w:szCs w:val="21"/>
                <w:lang w:val="en-US" w:eastAsia="zh-CN"/>
              </w:rPr>
              <w:t>L</w:t>
            </w:r>
          </w:p>
          <w:tbl>
            <w:tblPr>
              <w:tblStyle w:val="12"/>
              <w:tblW w:w="504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540"/>
              <w:gridCol w:w="767"/>
              <w:gridCol w:w="729"/>
              <w:gridCol w:w="531"/>
              <w:gridCol w:w="426"/>
              <w:gridCol w:w="426"/>
              <w:gridCol w:w="426"/>
              <w:gridCol w:w="426"/>
              <w:gridCol w:w="4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4" w:type="pct"/>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snapToGrid w:val="0"/>
                    <w:spacing w:line="240" w:lineRule="auto"/>
                    <w:rPr>
                      <w:rFonts w:hint="default" w:ascii="Times New Roman" w:hAnsi="Times New Roman" w:cs="Times New Roman"/>
                      <w:color w:val="auto"/>
                      <w:sz w:val="21"/>
                      <w:szCs w:val="21"/>
                      <w:lang w:val="en-US" w:eastAsia="zh-CN"/>
                    </w:rPr>
                  </w:pPr>
                </w:p>
                <w:p>
                  <w:pPr>
                    <w:snapToGrid w:val="0"/>
                    <w:spacing w:line="240" w:lineRule="auto"/>
                    <mc:AlternateContent>
                      <mc:Choice Requires="wpsCustomData">
                        <wpsCustomData:diagonalParaType/>
                      </mc:Choice>
                    </mc:AlternateContent>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标准</w:t>
                  </w:r>
                  <w:r>
                    <w:rPr>
                      <w:rFonts w:hint="default" w:ascii="Times New Roman" w:hAnsi="Times New Roman" w:cs="Times New Roman"/>
                      <w:color w:val="auto"/>
                      <w:sz w:val="21"/>
                      <w:szCs w:val="21"/>
                      <w:lang w:val="en-US" w:eastAsia="zh-CN"/>
                    </w:rPr>
                    <w:t xml:space="preserve"> </w:t>
                  </w:r>
                </w:p>
                <w:p>
                  <w:pPr>
                    <w:spacing w:line="360" w:lineRule="exact"/>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项目</w:t>
                  </w:r>
                </w:p>
              </w:tc>
              <w:tc>
                <w:tcPr>
                  <w:tcW w:w="406"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Cs w:val="21"/>
                      <w:lang w:val="en-US" w:eastAsia="zh-CN"/>
                    </w:rPr>
                    <w:t>pH</w:t>
                  </w:r>
                </w:p>
              </w:tc>
              <w:tc>
                <w:tcPr>
                  <w:tcW w:w="577"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COD</w:t>
                  </w:r>
                  <w:r>
                    <w:rPr>
                      <w:rFonts w:hint="default" w:ascii="Times New Roman" w:hAnsi="Times New Roman" w:cs="Times New Roman"/>
                      <w:color w:val="auto"/>
                      <w:szCs w:val="21"/>
                      <w:vertAlign w:val="subscript"/>
                    </w:rPr>
                    <w:t>cr</w:t>
                  </w:r>
                </w:p>
              </w:tc>
              <w:tc>
                <w:tcPr>
                  <w:tcW w:w="548"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399"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SS</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Cs w:val="21"/>
                      <w:highlight w:val="none"/>
                    </w:rPr>
                    <w:t>氨氮</w:t>
                  </w:r>
                </w:p>
              </w:tc>
              <w:tc>
                <w:tcPr>
                  <w:tcW w:w="320" w:type="pct"/>
                  <w:tcBorders>
                    <w:tl2br w:val="nil"/>
                    <w:tr2bl w:val="nil"/>
                  </w:tcBorders>
                  <w:noWrap w:val="0"/>
                  <w:vAlign w:val="center"/>
                </w:tcPr>
                <w:p>
                  <w:pPr>
                    <w:widowControl/>
                    <w:jc w:val="center"/>
                    <w:textAlignment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eastAsia="zh-CN"/>
                    </w:rPr>
                    <w:t>石油类</w:t>
                  </w:r>
                </w:p>
              </w:tc>
              <w:tc>
                <w:tcPr>
                  <w:tcW w:w="320"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总氮</w:t>
                  </w:r>
                </w:p>
              </w:tc>
              <w:tc>
                <w:tcPr>
                  <w:tcW w:w="320" w:type="pct"/>
                  <w:tcBorders>
                    <w:tl2br w:val="nil"/>
                    <w:tr2bl w:val="nil"/>
                  </w:tcBorders>
                  <w:noWrap w:val="0"/>
                  <w:vAlign w:val="center"/>
                </w:tcPr>
                <w:p>
                  <w:pPr>
                    <w:widowControl/>
                    <w:jc w:val="center"/>
                    <w:textAlignment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总铝</w:t>
                  </w:r>
                </w:p>
              </w:tc>
              <w:tc>
                <w:tcPr>
                  <w:tcW w:w="320" w:type="pct"/>
                  <w:tcBorders>
                    <w:tl2br w:val="nil"/>
                    <w:tr2bl w:val="nil"/>
                  </w:tcBorders>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LAS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4"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《橡胶制品工业污染物排放标准》（GB27632-2011）</w:t>
                  </w:r>
                </w:p>
              </w:tc>
              <w:tc>
                <w:tcPr>
                  <w:tcW w:w="406" w:type="pct"/>
                  <w:tcBorders>
                    <w:tl2br w:val="nil"/>
                    <w:tr2bl w:val="nil"/>
                  </w:tcBorders>
                  <w:noWrap w:val="0"/>
                  <w:vAlign w:val="center"/>
                </w:tcPr>
                <w:p>
                  <w:pPr>
                    <w:widowControl/>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w:t>
                  </w:r>
                </w:p>
              </w:tc>
              <w:tc>
                <w:tcPr>
                  <w:tcW w:w="577"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lang w:val="en-US" w:eastAsia="zh-CN"/>
                    </w:rPr>
                    <w:t>00</w:t>
                  </w:r>
                </w:p>
              </w:tc>
              <w:tc>
                <w:tcPr>
                  <w:tcW w:w="548"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Cs w:val="21"/>
                      <w:lang w:val="en-US" w:eastAsia="zh-CN"/>
                    </w:rPr>
                    <w:t>80</w:t>
                  </w:r>
                </w:p>
              </w:tc>
              <w:tc>
                <w:tcPr>
                  <w:tcW w:w="399"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Cs w:val="21"/>
                      <w:lang w:val="en-US" w:eastAsia="zh-CN"/>
                    </w:rPr>
                    <w:t>150</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4"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中德智造小镇污水处理厂</w:t>
                  </w:r>
                </w:p>
              </w:tc>
              <w:tc>
                <w:tcPr>
                  <w:tcW w:w="406"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color w:val="auto"/>
                      <w:szCs w:val="21"/>
                      <w:lang w:val="en-US" w:eastAsia="zh-CN"/>
                    </w:rPr>
                    <w:t>6~9</w:t>
                  </w:r>
                </w:p>
              </w:tc>
              <w:tc>
                <w:tcPr>
                  <w:tcW w:w="577"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500</w:t>
                  </w:r>
                </w:p>
              </w:tc>
              <w:tc>
                <w:tcPr>
                  <w:tcW w:w="548"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200</w:t>
                  </w:r>
                </w:p>
              </w:tc>
              <w:tc>
                <w:tcPr>
                  <w:tcW w:w="399"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350</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c>
                <w:tcPr>
                  <w:tcW w:w="32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噪声</w:t>
            </w:r>
            <w:r>
              <w:rPr>
                <w:rFonts w:hint="default" w:ascii="Times New Roman" w:hAnsi="Times New Roman" w:eastAsia="宋体" w:cs="Times New Roman"/>
                <w:b/>
                <w:bCs/>
                <w:color w:val="000000"/>
                <w:sz w:val="24"/>
                <w:szCs w:val="24"/>
              </w:rPr>
              <w:t>排放标准</w:t>
            </w:r>
          </w:p>
          <w:p>
            <w:pPr>
              <w:pStyle w:val="3"/>
              <w:pageBreakBefore w:val="0"/>
              <w:widowControl w:val="0"/>
              <w:kinsoku/>
              <w:wordWrap/>
              <w:overflowPunct/>
              <w:topLinePunct w:val="0"/>
              <w:autoSpaceDE/>
              <w:autoSpaceDN/>
              <w:bidi w:val="0"/>
              <w:adjustRightInd w:val="0"/>
              <w:snapToGrid w:val="0"/>
              <w:spacing w:before="0" w:after="0" w:afterLines="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color w:val="auto"/>
                <w:sz w:val="24"/>
                <w:lang w:eastAsia="zh-CN"/>
              </w:rPr>
              <w:t>本项目运营期</w:t>
            </w:r>
            <w:r>
              <w:rPr>
                <w:color w:val="auto"/>
                <w:sz w:val="24"/>
              </w:rPr>
              <w:t>厂界噪声执行《工业企业厂界环境噪声排放标准》（GB12348-2008）</w:t>
            </w:r>
            <w:r>
              <w:rPr>
                <w:rFonts w:hint="default" w:ascii="Times New Roman" w:hAnsi="Times New Roman" w:cs="Times New Roman"/>
                <w:color w:val="auto"/>
                <w:sz w:val="24"/>
                <w:lang w:eastAsia="zh-CN"/>
              </w:rPr>
              <w:t>表</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中3类标准</w:t>
            </w:r>
            <w:r>
              <w:rPr>
                <w:rFonts w:hint="default" w:ascii="Times New Roman" w:hAnsi="Times New Roman" w:cs="Times New Roman"/>
                <w:sz w:val="24"/>
                <w:szCs w:val="24"/>
                <w:lang w:val="en-US" w:eastAsia="zh-CN"/>
              </w:rPr>
              <w:t>：</w:t>
            </w:r>
          </w:p>
          <w:p>
            <w:pPr>
              <w:pageBreakBefore w:val="0"/>
              <w:widowControl w:val="0"/>
              <w:numPr>
                <w:ilvl w:val="0"/>
                <w:numId w:val="0"/>
              </w:numPr>
              <w:kinsoku/>
              <w:wordWrap/>
              <w:overflowPunct/>
              <w:topLinePunct w:val="0"/>
              <w:autoSpaceDE/>
              <w:autoSpaceDN/>
              <w:bidi w:val="0"/>
              <w:adjustRightInd w:val="0"/>
              <w:snapToGrid w:val="0"/>
              <w:spacing w:line="360" w:lineRule="auto"/>
              <w:ind w:right="0"/>
              <w:jc w:val="center"/>
              <w:textAlignment w:val="auto"/>
              <w:outlineLvl w:val="9"/>
              <w:rPr>
                <w:rStyle w:val="18"/>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val="en-US" w:eastAsia="zh-CN"/>
              </w:rPr>
              <w:t xml:space="preserve"> 噪声排放标准</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25"/>
              <w:gridCol w:w="1803"/>
              <w:gridCol w:w="1643"/>
              <w:gridCol w:w="16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restart"/>
                  <w:tcBorders>
                    <w:left w:val="single" w:color="auto" w:sz="0"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位置</w:t>
                  </w:r>
                </w:p>
              </w:tc>
              <w:tc>
                <w:tcPr>
                  <w:tcW w:w="1362" w:type="pct"/>
                  <w:vMerge w:val="restart"/>
                  <w:tcBorders>
                    <w:left w:val="single" w:color="auto" w:sz="4"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采用标准</w:t>
                  </w:r>
                </w:p>
              </w:tc>
              <w:tc>
                <w:tcPr>
                  <w:tcW w:w="2484" w:type="pct"/>
                  <w:gridSpan w:val="2"/>
                  <w:tcBorders>
                    <w:left w:val="single" w:color="auto" w:sz="4" w:space="0"/>
                    <w:bottom w:val="single" w:color="auto" w:sz="4" w:space="0"/>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36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241" w:type="pct"/>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242" w:type="pct"/>
                  <w:tcBorders>
                    <w:top w:val="single" w:color="auto" w:sz="4" w:space="0"/>
                    <w:left w:val="single" w:color="auto" w:sz="4" w:space="0"/>
                    <w:bottom w:val="single" w:color="auto" w:sz="4" w:space="0"/>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tcBorders>
                    <w:top w:val="single" w:color="auto" w:sz="4" w:space="0"/>
                    <w:left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厂界四周</w:t>
                  </w:r>
                </w:p>
              </w:tc>
              <w:tc>
                <w:tcPr>
                  <w:tcW w:w="1362" w:type="pct"/>
                  <w:tcBorders>
                    <w:top w:val="single" w:color="auto" w:sz="4" w:space="0"/>
                    <w:left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类</w:t>
                  </w:r>
                </w:p>
              </w:tc>
              <w:tc>
                <w:tcPr>
                  <w:tcW w:w="1241" w:type="pct"/>
                  <w:tcBorders>
                    <w:top w:val="single" w:color="auto" w:sz="4" w:space="0"/>
                    <w:left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r>
                    <w:rPr>
                      <w:rFonts w:hint="default" w:ascii="Times New Roman" w:hAnsi="Times New Roman" w:cs="Times New Roman"/>
                      <w:sz w:val="21"/>
                      <w:szCs w:val="21"/>
                      <w:lang w:val="en-US" w:eastAsia="zh-CN"/>
                    </w:rPr>
                    <w:t>5</w:t>
                  </w:r>
                </w:p>
              </w:tc>
              <w:tc>
                <w:tcPr>
                  <w:tcW w:w="1242" w:type="pct"/>
                  <w:tcBorders>
                    <w:top w:val="single" w:color="auto" w:sz="4" w:space="0"/>
                    <w:left w:val="single" w:color="auto" w:sz="4" w:space="0"/>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r>
                    <w:rPr>
                      <w:rFonts w:hint="default" w:ascii="Times New Roman" w:hAnsi="Times New Roman" w:cs="Times New Roman"/>
                      <w:sz w:val="21"/>
                      <w:szCs w:val="21"/>
                      <w:lang w:val="en-US" w:eastAsia="zh-CN"/>
                    </w:rPr>
                    <w:t>5</w:t>
                  </w:r>
                </w:p>
              </w:tc>
            </w:tr>
          </w:tbl>
          <w:p>
            <w:pPr>
              <w:pStyle w:val="3"/>
              <w:pageBreakBefore w:val="0"/>
              <w:widowControl w:val="0"/>
              <w:kinsoku/>
              <w:wordWrap/>
              <w:overflowPunct/>
              <w:topLinePunct w:val="0"/>
              <w:autoSpaceDE/>
              <w:autoSpaceDN/>
              <w:bidi w:val="0"/>
              <w:adjustRightInd w:val="0"/>
              <w:snapToGrid w:val="0"/>
              <w:spacing w:before="0" w:after="0" w:afterLines="0" w:line="360" w:lineRule="auto"/>
              <w:jc w:val="both"/>
              <w:textAlignment w:val="auto"/>
              <w:rPr>
                <w:rFonts w:hint="default" w:ascii="Times New Roman" w:hAnsi="Times New Roman" w:eastAsia="宋体" w:cs="Times New Roman"/>
                <w:b/>
                <w:bCs w:val="0"/>
                <w:sz w:val="24"/>
                <w:szCs w:val="24"/>
              </w:rPr>
            </w:pPr>
            <w:bookmarkStart w:id="0" w:name="_Toc22086"/>
            <w:r>
              <w:rPr>
                <w:rFonts w:hint="eastAsia" w:cs="Times New Roman"/>
                <w:b/>
                <w:bCs w:val="0"/>
                <w:sz w:val="24"/>
                <w:szCs w:val="24"/>
                <w:lang w:val="en-US" w:eastAsia="zh-CN"/>
              </w:rPr>
              <w:t>4</w:t>
            </w:r>
            <w:r>
              <w:rPr>
                <w:rFonts w:hint="default" w:ascii="Times New Roman" w:hAnsi="Times New Roman" w:eastAsia="宋体" w:cs="Times New Roman"/>
                <w:b/>
                <w:bCs w:val="0"/>
                <w:sz w:val="24"/>
                <w:szCs w:val="24"/>
                <w:lang w:val="en-US" w:eastAsia="zh-CN"/>
              </w:rPr>
              <w:t>、</w:t>
            </w:r>
            <w:r>
              <w:rPr>
                <w:rFonts w:hint="default" w:ascii="Times New Roman" w:hAnsi="Times New Roman" w:eastAsia="宋体" w:cs="Times New Roman"/>
                <w:b/>
                <w:bCs w:val="0"/>
                <w:sz w:val="24"/>
                <w:szCs w:val="24"/>
              </w:rPr>
              <w:t>固体废弃物排放执行标准</w:t>
            </w:r>
            <w:bookmarkEnd w:id="0"/>
          </w:p>
          <w:p>
            <w:pPr>
              <w:adjustRightInd w:val="0"/>
              <w:snapToGrid w:val="0"/>
              <w:spacing w:line="360" w:lineRule="auto"/>
              <w:ind w:firstLine="480"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w:t>一般工业固体废物处置执行《一般工业固体废物贮存与填埋污染控制标准》（GB18599-2020）要求，危险废物执行《危险废物贮存污染控制标准》（GB 18597-2023）中要求。</w:t>
            </w:r>
          </w:p>
          <w:p>
            <w:pPr>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总量控制建议值</w:t>
            </w:r>
          </w:p>
          <w:p>
            <w:pPr>
              <w:pageBreakBefore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总量控制标准</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color w:val="auto"/>
                <w:sz w:val="21"/>
                <w:szCs w:val="21"/>
              </w:rPr>
              <w:t>单位: t/a</w:t>
            </w:r>
          </w:p>
          <w:tbl>
            <w:tblPr>
              <w:tblStyle w:val="12"/>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35"/>
              <w:gridCol w:w="2229"/>
              <w:gridCol w:w="22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left w:val="single" w:color="auto" w:sz="0"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83"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1703" w:type="pct"/>
                  <w:tcBorders>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颗粒物</w:t>
                  </w:r>
                </w:p>
              </w:tc>
              <w:tc>
                <w:tcPr>
                  <w:tcW w:w="170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SO</w:t>
                  </w:r>
                  <w:r>
                    <w:rPr>
                      <w:rFonts w:hint="eastAsia" w:ascii="Times New Roman" w:hAnsi="Times New Roman" w:eastAsia="宋体" w:cs="Times New Roman"/>
                      <w:color w:val="auto"/>
                      <w:sz w:val="21"/>
                      <w:szCs w:val="21"/>
                      <w:vertAlign w:val="subscript"/>
                      <w:lang w:val="en-US" w:eastAsia="zh-CN"/>
                    </w:rPr>
                    <w:t>2</w:t>
                  </w:r>
                </w:p>
              </w:tc>
              <w:tc>
                <w:tcPr>
                  <w:tcW w:w="170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683"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NO</w:t>
                  </w:r>
                  <w:r>
                    <w:rPr>
                      <w:rFonts w:hint="eastAsia" w:ascii="Times New Roman" w:hAnsi="Times New Roman" w:eastAsia="宋体" w:cs="Times New Roman"/>
                      <w:color w:val="auto"/>
                      <w:sz w:val="21"/>
                      <w:szCs w:val="21"/>
                      <w:vertAlign w:val="subscript"/>
                      <w:lang w:val="en-US" w:eastAsia="zh-CN"/>
                    </w:rPr>
                    <w:t>x</w:t>
                  </w:r>
                </w:p>
              </w:tc>
              <w:tc>
                <w:tcPr>
                  <w:tcW w:w="1703" w:type="pct"/>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1.391</w:t>
                  </w:r>
                </w:p>
              </w:tc>
            </w:tr>
          </w:tbl>
          <w:p>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sz w:val="24"/>
                <w:szCs w:val="24"/>
                <w:lang w:eastAsia="zh-CN"/>
              </w:rPr>
            </w:pPr>
          </w:p>
        </w:tc>
      </w:tr>
    </w:tbl>
    <w:p>
      <w:pPr>
        <w:spacing w:after="0" w:afterLines="0" w:line="360" w:lineRule="auto"/>
        <w:rPr>
          <w:rFonts w:hint="eastAsia" w:eastAsia="仿宋_GB2312"/>
          <w:lang w:eastAsia="zh-CN"/>
        </w:rPr>
      </w:pPr>
      <w:r>
        <w:rPr>
          <w:rFonts w:hint="default" w:ascii="Times New Roman" w:hAnsi="Times New Roman" w:eastAsia="仿宋_GB2312" w:cs="Times New Roman"/>
          <w:color w:val="000000"/>
          <w:sz w:val="21"/>
          <w:szCs w:val="21"/>
        </w:rPr>
        <w:br w:type="page"/>
      </w:r>
    </w:p>
    <w:tbl>
      <w:tblPr>
        <w:tblStyle w:val="12"/>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22"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一、项目简介：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安徽望锦汽车部件有限公司成立于2021年5月，2021年6月18日建设单位在宁国经济技术开发区管委会备案了“汽车底盘部件生产项目”，该项目主要建设内容为租赁中鼎集团 NVH园区（中鼎减震）2#厂房局部面积约10000 平方米，购置双头连接杆半自动线、连接杆球销机加自动线、IBJ机加自动线、PBJ自动装配线、前悬控制臂自动装配线等设备。项目建成后年产汽车零部件1055万件。2021年6月建设单位委托编制了《安徽望锦汽车部件有限公司汽车底盘部件生产项目环境影响报告表》，2021年7月26日宣城市宁国市生态环境分局以宁环审批[2021]75号文对该报告表进行了审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由于近年我国新能源汽车的发展，使汽车零部件生产企业快速发展，使得汽车底盘部件生产项目设计生产规模及产品方案不能满足现有市场发展。故建设单位在建设过程中对产品方案、生产规模、生产工艺、设备设施等进行了调整。调整后建设内容为租赁宁国中德产业园中鼎集团NVH园区4#钢结构厂房（原内部编号为2#厂房），建筑面积约18240平方米；在已购置球面数控车床、机加工作站一体化自动化、OBJ自动线、各类组装生产线基础上，新购置各类锻造线、定制生产线、数控加工中心、连接杆装配线、检测设备、公辅设备等。调整后，生产规模为年产汽车零部件2413万件。2023年6月12日，宁国经济技术开发区管委会在项目原备案文件基础上进行了变更备案，项目名称及项目代码未发生变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基于以上调整，项目生产规模增加约129%，新增锻造线等设备设施，生产工艺发生变化，导致废气、废水等污染物排放量增加。对照《污染影响类建设项目重大变动清单（试行）》（环办环评函〔2020〕688 号），本项目调整内容属于重大变动。根据《中华人民共和国环境影响评价法》第二十四条“建设项目的环境影响评价文件经批准后，建设项目的性质、规模、地点、采用的生产工艺或者防治污染、防止生态破坏的措施发生重大变动的，建设单位应当重新报批建设项目的环境影响评价文件”。为此，建设单位对该项目环评文件重新报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kern w:val="0"/>
                <w:sz w:val="24"/>
                <w:szCs w:val="24"/>
                <w:lang w:val="en-US" w:eastAsia="zh-CN" w:bidi="ar"/>
              </w:rPr>
            </w:pPr>
            <w:r>
              <w:rPr>
                <w:rFonts w:hint="default" w:ascii="Times New Roman" w:hAnsi="Times New Roman" w:eastAsia="宋体" w:cs="Times New Roman"/>
                <w:color w:val="auto"/>
                <w:sz w:val="24"/>
                <w:lang w:val="en-US" w:eastAsia="zh-CN"/>
              </w:rPr>
              <w:t>202</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月</w:t>
            </w:r>
            <w:r>
              <w:rPr>
                <w:rFonts w:hint="default" w:ascii="Times New Roman" w:hAnsi="Times New Roman" w:eastAsia="宋体" w:cs="Times New Roman"/>
                <w:sz w:val="24"/>
                <w:szCs w:val="24"/>
                <w:lang w:val="en-US" w:eastAsia="zh-CN"/>
              </w:rPr>
              <w:t>安徽望锦汽车部件有限公司</w:t>
            </w:r>
            <w:r>
              <w:rPr>
                <w:rFonts w:hint="default" w:ascii="Times New Roman" w:hAnsi="Times New Roman" w:eastAsia="宋体" w:cs="Times New Roman"/>
                <w:color w:val="auto"/>
                <w:sz w:val="24"/>
                <w:lang w:val="en-US" w:eastAsia="zh-CN"/>
              </w:rPr>
              <w:t>委托</w:t>
            </w:r>
            <w:r>
              <w:rPr>
                <w:rFonts w:hint="eastAsia" w:ascii="Times New Roman" w:hAnsi="Times New Roman" w:eastAsia="宋体" w:cs="Times New Roman"/>
                <w:color w:val="auto"/>
                <w:sz w:val="24"/>
                <w:lang w:val="en-US" w:eastAsia="zh-CN"/>
              </w:rPr>
              <w:t>宣城科宁环境科技</w:t>
            </w:r>
            <w:r>
              <w:rPr>
                <w:rFonts w:hint="default" w:ascii="Times New Roman" w:hAnsi="Times New Roman" w:eastAsia="宋体" w:cs="Times New Roman"/>
                <w:color w:val="auto"/>
                <w:sz w:val="24"/>
                <w:lang w:val="en-US" w:eastAsia="zh-CN"/>
              </w:rPr>
              <w:t>有限公司编制了《安徽望锦汽车部件有限公司汽车底盘部件生产项目环境影响报告表》，项目于20</w:t>
            </w:r>
            <w:r>
              <w:rPr>
                <w:rFonts w:hint="eastAsia" w:ascii="Times New Roman" w:hAnsi="Times New Roman" w:eastAsia="宋体" w:cs="Times New Roman"/>
                <w:color w:val="auto"/>
                <w:sz w:val="24"/>
                <w:lang w:val="en-US" w:eastAsia="zh-CN"/>
              </w:rPr>
              <w:t>23</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月29日经宣城市宁国市生态环境分局审批（文号：宁环审批[20</w:t>
            </w:r>
            <w:r>
              <w:rPr>
                <w:rFonts w:hint="eastAsia" w:ascii="Times New Roman" w:hAnsi="Times New Roman" w:eastAsia="宋体" w:cs="Times New Roman"/>
                <w:color w:val="auto"/>
                <w:sz w:val="24"/>
                <w:lang w:val="en-US" w:eastAsia="zh-CN"/>
              </w:rPr>
              <w:t>23</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36</w:t>
            </w:r>
            <w:r>
              <w:rPr>
                <w:rFonts w:hint="default" w:ascii="Times New Roman" w:hAnsi="Times New Roman" w:eastAsia="宋体" w:cs="Times New Roman"/>
                <w:color w:val="auto"/>
                <w:sz w:val="24"/>
                <w:lang w:val="en-US" w:eastAsia="zh-CN"/>
              </w:rPr>
              <w:t>号），本项目于202</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月开始建设，20</w:t>
            </w:r>
            <w:r>
              <w:rPr>
                <w:rFonts w:hint="eastAsia" w:ascii="Times New Roman" w:hAnsi="Times New Roman" w:eastAsia="宋体" w:cs="Times New Roman"/>
                <w:color w:val="auto"/>
                <w:sz w:val="24"/>
                <w:lang w:val="en-US" w:eastAsia="zh-CN"/>
              </w:rPr>
              <w:t>23</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val="en-US" w:eastAsia="zh-CN"/>
              </w:rPr>
              <w:t>月</w:t>
            </w:r>
            <w:r>
              <w:rPr>
                <w:rFonts w:hint="eastAsia" w:ascii="Times New Roman" w:hAnsi="Times New Roman" w:eastAsia="宋体" w:cs="Times New Roman"/>
                <w:color w:val="auto"/>
                <w:sz w:val="24"/>
                <w:lang w:val="en-US" w:eastAsia="zh-CN"/>
              </w:rPr>
              <w:t>阶段性建成</w:t>
            </w:r>
            <w:r>
              <w:rPr>
                <w:rFonts w:hint="default" w:ascii="Times New Roman" w:hAnsi="Times New Roman" w:eastAsia="宋体" w:cs="Times New Roman"/>
                <w:color w:val="auto"/>
                <w:sz w:val="24"/>
                <w:lang w:val="en-US" w:eastAsia="zh-CN"/>
              </w:rPr>
              <w:t>投入</w:t>
            </w:r>
            <w:r>
              <w:rPr>
                <w:rFonts w:hint="eastAsia" w:ascii="Times New Roman" w:hAnsi="Times New Roman" w:eastAsia="宋体" w:cs="Times New Roman"/>
                <w:color w:val="auto"/>
                <w:sz w:val="24"/>
                <w:lang w:val="en-US" w:eastAsia="zh-CN"/>
              </w:rPr>
              <w:t>试</w:t>
            </w:r>
            <w:r>
              <w:rPr>
                <w:rFonts w:hint="default" w:ascii="Times New Roman" w:hAnsi="Times New Roman" w:eastAsia="宋体" w:cs="Times New Roman"/>
                <w:color w:val="auto"/>
                <w:sz w:val="24"/>
                <w:lang w:val="en-US" w:eastAsia="zh-CN"/>
              </w:rPr>
              <w:t>生产。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依据建设项目竣工环境保护验收暂行办法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的规定，编制阶段性验收监测报告。202</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月安徽望锦汽车部件有限公司成立了验收小组，并委托宁国市浚成环境检测有限公司组织安徽望锦汽车部件有限公司汽车底盘部件生产项目竣工环保</w:t>
            </w:r>
            <w:r>
              <w:rPr>
                <w:rFonts w:hint="eastAsia" w:ascii="Times New Roman" w:hAnsi="Times New Roman" w:eastAsia="宋体" w:cs="Times New Roman"/>
                <w:color w:val="000000"/>
                <w:kern w:val="0"/>
                <w:sz w:val="24"/>
                <w:szCs w:val="24"/>
                <w:lang w:val="en-US" w:eastAsia="zh-CN" w:bidi="ar"/>
              </w:rPr>
              <w:t>阶段性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验收。202</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年</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日，宁国市浚成环境检测有限公司对该项目开展现场检测工作，同时调查并核实项目环境保护工作落实情况，并编制完成《安徽望锦汽车部件有限公司汽车底盘部件生产项目竣工环境保护</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阶段性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验收监测报告表》。</w:t>
            </w:r>
            <w:r>
              <w:rPr>
                <w:rFonts w:hint="default" w:ascii="Times New Roman" w:hAnsi="Times New Roman" w:eastAsia="宋体" w:cs="Times New Roman"/>
                <w:color w:val="000000" w:themeColor="text1"/>
                <w:sz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lang w:val="en-US" w:eastAsia="zh-CN"/>
                <w14:textFill>
                  <w14:solidFill>
                    <w14:schemeClr w14:val="tx1"/>
                  </w14:solidFill>
                </w14:textFill>
              </w:rPr>
              <w:t>26</w:t>
            </w:r>
            <w:r>
              <w:rPr>
                <w:rFonts w:hint="default" w:ascii="Times New Roman" w:hAnsi="Times New Roman" w:eastAsia="宋体" w:cs="Times New Roman"/>
                <w:color w:val="000000" w:themeColor="text1"/>
                <w:sz w:val="24"/>
                <w:lang w:val="en-US" w:eastAsia="zh-CN"/>
                <w14:textFill>
                  <w14:solidFill>
                    <w14:schemeClr w14:val="tx1"/>
                  </w14:solidFill>
                </w14:textFill>
              </w:rPr>
              <w:t>日企业组织召开了竣工环保</w:t>
            </w:r>
            <w:r>
              <w:rPr>
                <w:rFonts w:hint="eastAsia" w:ascii="Times New Roman" w:hAnsi="Times New Roman" w:eastAsia="宋体" w:cs="Times New Roman"/>
                <w:color w:val="000000" w:themeColor="text1"/>
                <w:sz w:val="24"/>
                <w:lang w:val="en-US" w:eastAsia="zh-CN"/>
                <w14:textFill>
                  <w14:solidFill>
                    <w14:schemeClr w14:val="tx1"/>
                  </w14:solidFill>
                </w14:textFill>
              </w:rPr>
              <w:t>阶段性</w:t>
            </w:r>
            <w:r>
              <w:rPr>
                <w:rFonts w:hint="default" w:ascii="Times New Roman" w:hAnsi="Times New Roman" w:eastAsia="宋体" w:cs="Times New Roman"/>
                <w:color w:val="000000" w:themeColor="text1"/>
                <w:sz w:val="24"/>
                <w:lang w:val="en-US" w:eastAsia="zh-CN"/>
                <w14:textFill>
                  <w14:solidFill>
                    <w14:schemeClr w14:val="tx1"/>
                  </w14:solidFill>
                </w14:textFill>
              </w:rPr>
              <w:t>验收</w:t>
            </w:r>
            <w:r>
              <w:rPr>
                <w:rFonts w:hint="eastAsia" w:ascii="Times New Roman" w:hAnsi="Times New Roman" w:eastAsia="宋体" w:cs="Times New Roman"/>
                <w:color w:val="000000" w:themeColor="text1"/>
                <w:sz w:val="24"/>
                <w:lang w:val="en-US" w:eastAsia="zh-CN"/>
                <w14:textFill>
                  <w14:solidFill>
                    <w14:schemeClr w14:val="tx1"/>
                  </w14:solidFill>
                </w14:textFill>
              </w:rPr>
              <w:t>会</w:t>
            </w:r>
            <w:r>
              <w:rPr>
                <w:rFonts w:hint="default" w:ascii="Times New Roman" w:hAnsi="Times New Roman" w:eastAsia="宋体" w:cs="Times New Roman"/>
                <w:color w:val="000000" w:themeColor="text1"/>
                <w:sz w:val="24"/>
                <w:lang w:val="en-US" w:eastAsia="zh-CN"/>
                <w14:textFill>
                  <w14:solidFill>
                    <w14:schemeClr w14:val="tx1"/>
                  </w14:solidFill>
                </w14:textFill>
              </w:rPr>
              <w:t>，会后专家组提出部分整改意见，</w:t>
            </w:r>
            <w:r>
              <w:rPr>
                <w:rFonts w:hint="eastAsia" w:ascii="Times New Roman" w:hAnsi="Times New Roman" w:eastAsia="宋体" w:cs="Times New Roman"/>
                <w:color w:val="000000" w:themeColor="text1"/>
                <w:sz w:val="24"/>
                <w:lang w:val="en-US" w:eastAsia="zh-CN"/>
                <w14:textFill>
                  <w14:solidFill>
                    <w14:schemeClr w14:val="tx1"/>
                  </w14:solidFill>
                </w14:textFill>
              </w:rPr>
              <w:t>企业完成整改</w:t>
            </w:r>
            <w:r>
              <w:rPr>
                <w:rFonts w:hint="default" w:ascii="Times New Roman" w:hAnsi="Times New Roman" w:eastAsia="宋体" w:cs="Times New Roman"/>
                <w:color w:val="000000" w:themeColor="text1"/>
                <w:sz w:val="24"/>
                <w:lang w:val="en-US" w:eastAsia="zh-CN"/>
                <w14:textFill>
                  <w14:solidFill>
                    <w14:schemeClr w14:val="tx1"/>
                  </w14:solidFill>
                </w14:textFill>
              </w:rPr>
              <w:t>并于20</w:t>
            </w:r>
            <w:r>
              <w:rPr>
                <w:rFonts w:hint="eastAsia" w:ascii="Times New Roman" w:hAnsi="Times New Roman" w:eastAsia="宋体" w:cs="Times New Roman"/>
                <w:color w:val="000000" w:themeColor="text1"/>
                <w:sz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9</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lang w:val="en-US" w:eastAsia="zh-CN"/>
                <w14:textFill>
                  <w14:solidFill>
                    <w14:schemeClr w14:val="tx1"/>
                  </w14:solidFill>
                </w14:textFill>
              </w:rPr>
              <w:t>日形成验收意见</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 xml:space="preserve">工程建设内容：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rPr>
              <w:t>项目主要建设内容为</w:t>
            </w:r>
            <w:r>
              <w:rPr>
                <w:rFonts w:hint="eastAsia" w:ascii="Times New Roman" w:hAnsi="Times New Roman" w:eastAsia="宋体" w:cs="Times New Roman"/>
                <w:color w:val="000000"/>
                <w:kern w:val="0"/>
                <w:sz w:val="24"/>
                <w:szCs w:val="24"/>
                <w:lang w:val="en-US" w:eastAsia="zh-CN" w:bidi="ar"/>
              </w:rPr>
              <w:t>年产2413万件汽车零部件</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目前</w:t>
            </w:r>
            <w:r>
              <w:rPr>
                <w:rFonts w:hint="default" w:ascii="Times New Roman" w:hAnsi="Times New Roman" w:eastAsia="宋体" w:cs="Times New Roman"/>
                <w:sz w:val="24"/>
                <w:szCs w:val="24"/>
                <w:lang w:eastAsia="zh-CN"/>
              </w:rPr>
              <w:t>已</w:t>
            </w:r>
            <w:r>
              <w:rPr>
                <w:rFonts w:hint="eastAsia" w:ascii="Times New Roman" w:hAnsi="Times New Roman" w:eastAsia="宋体" w:cs="Times New Roman"/>
                <w:sz w:val="24"/>
                <w:szCs w:val="24"/>
                <w:lang w:eastAsia="zh-CN"/>
              </w:rPr>
              <w:t>阶段性</w:t>
            </w:r>
            <w:r>
              <w:rPr>
                <w:rFonts w:hint="default" w:ascii="Times New Roman" w:hAnsi="Times New Roman" w:eastAsia="宋体" w:cs="Times New Roman"/>
                <w:sz w:val="24"/>
                <w:szCs w:val="24"/>
              </w:rPr>
              <w:t>建设完成</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color w:val="000000"/>
                <w:kern w:val="0"/>
                <w:sz w:val="24"/>
                <w:szCs w:val="24"/>
                <w:lang w:val="en-US" w:eastAsia="zh-CN" w:bidi="ar"/>
              </w:rPr>
              <w:t>验收范围为安徽望锦汽车部件有限公司已阶段性建成的汽车底盘部件生产项目（即已建成3条锻造线、1台固溶时效炉等生产设施及配套环保设施，具备年产1500万件汽车零部件的生产能力）。另有</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条锻造线、1台固溶时效炉、半封闭式打磨柜等部分生产设施未建设，不在本次验收范围内。本项目碱洗脱脂废水经车间自建污水处理设施中和沉淀预处理后，排入中鼎减震厂区综合污水处理站处理，废水处理设施有所提升。锻造线锻坯加热产生的油雾经喷淋塔+二级工业油烟净化器+活性炭吸附装置处理后，通过15m高排</w:t>
            </w:r>
            <w:r>
              <w:rPr>
                <w:rFonts w:hint="eastAsia" w:ascii="Times New Roman" w:hAnsi="Times New Roman" w:eastAsia="宋体" w:cs="Times New Roman"/>
                <w:color w:val="000000"/>
                <w:kern w:val="0"/>
                <w:sz w:val="24"/>
                <w:szCs w:val="24"/>
                <w:lang w:val="en-US" w:eastAsia="zh-CN" w:bidi="ar"/>
              </w:rPr>
              <w:t>气筒排放；电阻炉和焊接废气经工业油烟净化器+二级活性炭吸附装置处理后，通过15m高排气筒排放；抛光废气经布袋除尘器处理后，通过15m高排气筒排放，废气处理设施有所提升。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项目建设内容见</w:t>
            </w:r>
            <w:r>
              <w:rPr>
                <w:rFonts w:hint="default" w:ascii="Times New Roman" w:hAnsi="Times New Roman" w:eastAsia="宋体" w:cs="Times New Roman"/>
                <w:sz w:val="24"/>
                <w:szCs w:val="24"/>
                <w:lang w:eastAsia="zh-CN"/>
              </w:rPr>
              <w:t>下表</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2-1 项目建设内容</w:t>
            </w:r>
          </w:p>
          <w:tbl>
            <w:tblPr>
              <w:tblStyle w:val="1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097"/>
              <w:gridCol w:w="3044"/>
              <w:gridCol w:w="2700"/>
              <w:gridCol w:w="8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单项工程名称</w:t>
                  </w:r>
                </w:p>
              </w:tc>
              <w:tc>
                <w:tcPr>
                  <w:tcW w:w="183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163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49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663"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szCs w:val="21"/>
                      <w:lang w:val="en-US" w:eastAsia="zh-CN"/>
                    </w:rPr>
                    <w:t>4#厂房</w:t>
                  </w:r>
                </w:p>
              </w:tc>
              <w:tc>
                <w:tcPr>
                  <w:tcW w:w="1839" w:type="pct"/>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kern w:val="0"/>
                      <w:szCs w:val="21"/>
                      <w:lang w:eastAsia="zh-CN" w:bidi="ar"/>
                    </w:rPr>
                    <w:t>租用中鼎NVH园区4#钢结构厂房面积约18240m</w:t>
                  </w:r>
                  <w:r>
                    <w:rPr>
                      <w:rFonts w:hint="default" w:ascii="Times New Roman" w:hAnsi="Times New Roman" w:cs="Times New Roman"/>
                      <w:kern w:val="0"/>
                      <w:szCs w:val="21"/>
                      <w:vertAlign w:val="superscript"/>
                      <w:lang w:eastAsia="zh-CN" w:bidi="ar"/>
                    </w:rPr>
                    <w:t>2</w:t>
                  </w:r>
                  <w:r>
                    <w:rPr>
                      <w:rFonts w:hint="default" w:ascii="Times New Roman" w:hAnsi="Times New Roman" w:cs="Times New Roman"/>
                      <w:kern w:val="0"/>
                      <w:szCs w:val="21"/>
                      <w:lang w:eastAsia="zh-CN" w:bidi="ar"/>
                    </w:rPr>
                    <w:t>，内设下料、锻造、热处理、清洗及检测、打磨、抛丸、机加工、装配等功能区。购置下料机、锻造线、清洗线、荧光渗透检测线、热处理线、抛丸机、加工中心、车床、装配线、检验等设备设施。项目建成后，年产汽车零部件2413万件</w:t>
                  </w:r>
                  <w:r>
                    <w:rPr>
                      <w:rFonts w:hint="eastAsia" w:ascii="Times New Roman" w:hAnsi="Times New Roman" w:cs="Times New Roman"/>
                      <w:kern w:val="0"/>
                      <w:szCs w:val="21"/>
                      <w:lang w:eastAsia="zh-CN" w:bidi="ar"/>
                    </w:rPr>
                    <w:t>。</w:t>
                  </w:r>
                </w:p>
              </w:tc>
              <w:tc>
                <w:tcPr>
                  <w:tcW w:w="1631" w:type="pct"/>
                  <w:tcBorders>
                    <w:tl2br w:val="nil"/>
                    <w:tr2bl w:val="nil"/>
                  </w:tcBorders>
                  <w:noWrap w:val="0"/>
                  <w:vAlign w:val="center"/>
                </w:tcPr>
                <w:p>
                  <w:pPr>
                    <w:pStyle w:val="21"/>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kern w:val="0"/>
                      <w:szCs w:val="21"/>
                      <w:lang w:eastAsia="zh-CN" w:bidi="ar"/>
                    </w:rPr>
                    <w:t>租用中鼎NVH园区4#钢结构厂房面积18240m</w:t>
                  </w:r>
                  <w:r>
                    <w:rPr>
                      <w:rFonts w:hint="default" w:ascii="Times New Roman" w:hAnsi="Times New Roman" w:cs="Times New Roman"/>
                      <w:kern w:val="0"/>
                      <w:szCs w:val="21"/>
                      <w:vertAlign w:val="superscript"/>
                      <w:lang w:eastAsia="zh-CN" w:bidi="ar"/>
                    </w:rPr>
                    <w:t>2</w:t>
                  </w:r>
                  <w:r>
                    <w:rPr>
                      <w:rFonts w:hint="default" w:ascii="Times New Roman" w:hAnsi="Times New Roman" w:cs="Times New Roman"/>
                      <w:kern w:val="0"/>
                      <w:szCs w:val="21"/>
                      <w:lang w:eastAsia="zh-CN" w:bidi="ar"/>
                    </w:rPr>
                    <w:t>，内设下料、锻造、热处理、清洗及检测、抛丸、机加工、装配等功能区。购置下料机、锻造线、清洗线、荧光渗透检测线、热处理线、抛丸机、加工中心、车床、装配线、检验等设备设施。项目建成后，</w:t>
                  </w:r>
                  <w:r>
                    <w:rPr>
                      <w:rFonts w:hint="default" w:ascii="Times New Roman" w:hAnsi="Times New Roman" w:cs="Times New Roman"/>
                      <w:color w:val="000000" w:themeColor="text1"/>
                      <w:kern w:val="0"/>
                      <w:szCs w:val="21"/>
                      <w:lang w:eastAsia="zh-CN" w:bidi="ar"/>
                      <w14:textFill>
                        <w14:solidFill>
                          <w14:schemeClr w14:val="tx1"/>
                        </w14:solidFill>
                      </w14:textFill>
                    </w:rPr>
                    <w:t>年产汽车零部件</w:t>
                  </w:r>
                  <w:r>
                    <w:rPr>
                      <w:rFonts w:hint="eastAsia" w:ascii="Times New Roman" w:hAnsi="Times New Roman" w:cs="Times New Roman"/>
                      <w:color w:val="000000" w:themeColor="text1"/>
                      <w:kern w:val="0"/>
                      <w:szCs w:val="21"/>
                      <w:lang w:val="en-US" w:eastAsia="zh-CN" w:bidi="ar"/>
                      <w14:textFill>
                        <w14:solidFill>
                          <w14:schemeClr w14:val="tx1"/>
                        </w14:solidFill>
                      </w14:textFill>
                    </w:rPr>
                    <w:t>1500</w:t>
                  </w:r>
                  <w:r>
                    <w:rPr>
                      <w:rFonts w:hint="default" w:ascii="Times New Roman" w:hAnsi="Times New Roman" w:cs="Times New Roman"/>
                      <w:color w:val="000000" w:themeColor="text1"/>
                      <w:kern w:val="0"/>
                      <w:szCs w:val="21"/>
                      <w:lang w:eastAsia="zh-CN" w:bidi="ar"/>
                      <w14:textFill>
                        <w14:solidFill>
                          <w14:schemeClr w14:val="tx1"/>
                        </w14:solidFill>
                      </w14:textFill>
                    </w:rPr>
                    <w:t>万件</w:t>
                  </w:r>
                  <w:r>
                    <w:rPr>
                      <w:rFonts w:hint="eastAsia" w:ascii="Times New Roman" w:hAnsi="Times New Roman" w:cs="Times New Roman"/>
                      <w:color w:val="000000" w:themeColor="text1"/>
                      <w:kern w:val="0"/>
                      <w:szCs w:val="21"/>
                      <w:lang w:eastAsia="zh-CN" w:bidi="ar"/>
                      <w14:textFill>
                        <w14:solidFill>
                          <w14:schemeClr w14:val="tx1"/>
                        </w14:solidFill>
                      </w14:textFill>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部分生产设施未建设，不在本次验收范围内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储运工程</w:t>
                  </w:r>
                </w:p>
              </w:tc>
              <w:tc>
                <w:tcPr>
                  <w:tcW w:w="663" w:type="pct"/>
                  <w:tcBorders>
                    <w:tl2br w:val="nil"/>
                    <w:tr2bl w:val="nil"/>
                  </w:tcBorders>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szCs w:val="21"/>
                      <w:lang w:eastAsia="zh-CN"/>
                    </w:rPr>
                    <w:t>原料库</w:t>
                  </w:r>
                </w:p>
              </w:tc>
              <w:tc>
                <w:tcPr>
                  <w:tcW w:w="1839" w:type="pct"/>
                  <w:tcBorders>
                    <w:tl2br w:val="nil"/>
                    <w:tr2bl w:val="nil"/>
                  </w:tcBorders>
                  <w:noWrap w:val="0"/>
                  <w:vAlign w:val="center"/>
                </w:tcPr>
                <w:p>
                  <w:pPr>
                    <w:widowControl/>
                    <w:jc w:val="center"/>
                    <w:rPr>
                      <w:rFonts w:hint="default" w:ascii="Times New Roman" w:hAnsi="Times New Roman" w:cs="Times New Roman"/>
                      <w:color w:val="auto"/>
                      <w:lang w:eastAsia="zh-CN"/>
                    </w:rPr>
                  </w:pPr>
                  <w:r>
                    <w:rPr>
                      <w:rFonts w:hint="default" w:ascii="Times New Roman" w:hAnsi="Times New Roman" w:cs="Times New Roman"/>
                      <w:szCs w:val="21"/>
                    </w:rPr>
                    <w:t>4#厂房东侧中部设铝棒原料暂存区，厂房北部设装配用橡胶件、衬套、塑料件等原料暂存区，合计面积约1000m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1631" w:type="pct"/>
                  <w:tcBorders>
                    <w:tl2br w:val="nil"/>
                    <w:tr2bl w:val="nil"/>
                  </w:tcBorders>
                  <w:noWrap w:val="0"/>
                  <w:vAlign w:val="center"/>
                </w:tcPr>
                <w:p>
                  <w:pPr>
                    <w:widowControl/>
                    <w:jc w:val="center"/>
                    <w:rPr>
                      <w:rFonts w:hint="eastAsia" w:ascii="Times New Roman" w:hAnsi="Times New Roman" w:cs="Times New Roman" w:eastAsiaTheme="minorEastAsia"/>
                      <w:color w:val="auto"/>
                      <w:lang w:eastAsia="zh-CN"/>
                    </w:rPr>
                  </w:pPr>
                  <w:r>
                    <w:rPr>
                      <w:rFonts w:hint="default" w:ascii="Times New Roman" w:hAnsi="Times New Roman" w:cs="Times New Roman"/>
                      <w:szCs w:val="21"/>
                    </w:rPr>
                    <w:t>4#厂房东侧中部</w:t>
                  </w:r>
                  <w:r>
                    <w:rPr>
                      <w:rFonts w:hint="eastAsia" w:ascii="Times New Roman" w:hAnsi="Times New Roman" w:cs="Times New Roman"/>
                      <w:szCs w:val="21"/>
                      <w:lang w:eastAsia="zh-CN"/>
                    </w:rPr>
                    <w:t>已建设</w:t>
                  </w:r>
                  <w:r>
                    <w:rPr>
                      <w:rFonts w:hint="default" w:ascii="Times New Roman" w:hAnsi="Times New Roman" w:cs="Times New Roman"/>
                      <w:szCs w:val="21"/>
                    </w:rPr>
                    <w:t>铝棒原料暂存区，厂房北部设装配用橡胶件、衬套、塑料件等原料暂存区，面积约 1000m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ind w:left="-73" w:leftChars="-35" w:right="-63" w:rightChars="-30"/>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rPr>
                    <w:t>化学品库</w:t>
                  </w:r>
                </w:p>
              </w:tc>
              <w:tc>
                <w:tcPr>
                  <w:tcW w:w="1839" w:type="pct"/>
                  <w:tcBorders>
                    <w:tl2br w:val="nil"/>
                    <w:tr2bl w:val="nil"/>
                  </w:tcBorders>
                  <w:noWrap w:val="0"/>
                  <w:vAlign w:val="center"/>
                </w:tcPr>
                <w:p>
                  <w:pPr>
                    <w:jc w:val="center"/>
                    <w:rPr>
                      <w:rFonts w:hint="default" w:ascii="Times New Roman" w:hAnsi="Times New Roman" w:cs="Times New Roman"/>
                      <w:color w:val="auto"/>
                      <w:szCs w:val="36"/>
                      <w:lang w:val="en-US" w:eastAsia="zh-CN"/>
                    </w:rPr>
                  </w:pPr>
                  <w:r>
                    <w:rPr>
                      <w:rFonts w:hint="default" w:ascii="Times New Roman" w:hAnsi="Times New Roman" w:cs="Times New Roman"/>
                      <w:szCs w:val="21"/>
                    </w:rPr>
                    <w:t>4#厂房外东侧辅房内设化学品库，用于脱脂剂、氢氧化钠、切削液等暂存，面积约50m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1631" w:type="pct"/>
                  <w:tcBorders>
                    <w:tl2br w:val="nil"/>
                    <w:tr2bl w:val="nil"/>
                  </w:tcBorders>
                  <w:noWrap w:val="0"/>
                  <w:vAlign w:val="center"/>
                </w:tcPr>
                <w:p>
                  <w:pPr>
                    <w:jc w:val="center"/>
                    <w:rPr>
                      <w:rFonts w:hint="default" w:ascii="Times New Roman" w:hAnsi="Times New Roman" w:cs="Times New Roman"/>
                      <w:color w:val="auto"/>
                      <w:szCs w:val="36"/>
                      <w:lang w:val="en-US" w:eastAsia="zh-CN"/>
                    </w:rPr>
                  </w:pPr>
                  <w:r>
                    <w:rPr>
                      <w:rFonts w:hint="default" w:ascii="Times New Roman" w:hAnsi="Times New Roman" w:cs="Times New Roman"/>
                      <w:szCs w:val="21"/>
                    </w:rPr>
                    <w:t>4#厂房外东侧辅房内</w:t>
                  </w:r>
                  <w:r>
                    <w:rPr>
                      <w:rFonts w:hint="eastAsia" w:ascii="Times New Roman" w:hAnsi="Times New Roman" w:cs="Times New Roman"/>
                      <w:szCs w:val="21"/>
                      <w:lang w:eastAsia="zh-CN"/>
                    </w:rPr>
                    <w:t>已建设</w:t>
                  </w:r>
                  <w:r>
                    <w:rPr>
                      <w:rFonts w:hint="default" w:ascii="Times New Roman" w:hAnsi="Times New Roman" w:cs="Times New Roman"/>
                      <w:szCs w:val="21"/>
                    </w:rPr>
                    <w:t>化学品库，用于脱脂剂、氢氧化钠、切削液等暂存，面积约50m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ind w:left="-73" w:leftChars="-35" w:right="-63" w:rightChars="-3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中转区</w:t>
                  </w:r>
                </w:p>
              </w:tc>
              <w:tc>
                <w:tcPr>
                  <w:tcW w:w="1839" w:type="pct"/>
                  <w:tcBorders>
                    <w:tl2br w:val="nil"/>
                    <w:tr2bl w:val="nil"/>
                  </w:tcBorders>
                  <w:noWrap w:val="0"/>
                  <w:vAlign w:val="center"/>
                </w:tcPr>
                <w:p>
                  <w:pPr>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4#厂房中部设锻造毛坯件中转区，面积约200m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1631"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4#厂房中部</w:t>
                  </w:r>
                  <w:r>
                    <w:rPr>
                      <w:rFonts w:hint="eastAsia" w:ascii="Times New Roman" w:hAnsi="Times New Roman" w:cs="Times New Roman"/>
                      <w:szCs w:val="21"/>
                      <w:lang w:eastAsia="zh-CN"/>
                    </w:rPr>
                    <w:t>已建设</w:t>
                  </w:r>
                  <w:r>
                    <w:rPr>
                      <w:rFonts w:hint="default" w:ascii="Times New Roman" w:hAnsi="Times New Roman" w:cs="Times New Roman"/>
                      <w:szCs w:val="21"/>
                    </w:rPr>
                    <w:t>锻造毛坯件中转区，面积约200m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ind w:left="-73" w:leftChars="-35" w:right="-63" w:rightChars="-3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模具区</w:t>
                  </w:r>
                </w:p>
              </w:tc>
              <w:tc>
                <w:tcPr>
                  <w:tcW w:w="1839"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4#厂房中部设锻造模具存放区，面积约350m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1631"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4#厂房中部</w:t>
                  </w:r>
                  <w:r>
                    <w:rPr>
                      <w:rFonts w:hint="eastAsia" w:ascii="Times New Roman" w:hAnsi="Times New Roman" w:cs="Times New Roman"/>
                      <w:szCs w:val="21"/>
                      <w:lang w:eastAsia="zh-CN"/>
                    </w:rPr>
                    <w:t>已建设</w:t>
                  </w:r>
                  <w:r>
                    <w:rPr>
                      <w:rFonts w:hint="default" w:ascii="Times New Roman" w:hAnsi="Times New Roman" w:cs="Times New Roman"/>
                      <w:szCs w:val="21"/>
                    </w:rPr>
                    <w:t>锻造模具存放区，面积约350m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ind w:left="-73" w:leftChars="-35" w:right="-63" w:rightChars="-3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成品区</w:t>
                  </w:r>
                </w:p>
              </w:tc>
              <w:tc>
                <w:tcPr>
                  <w:tcW w:w="1839"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4#厂房北部设多层储料架，用于成品暂存，面积约500m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1631" w:type="pct"/>
                  <w:tcBorders>
                    <w:tl2br w:val="nil"/>
                    <w:tr2bl w:val="nil"/>
                  </w:tcBorders>
                  <w:noWrap w:val="0"/>
                  <w:vAlign w:val="center"/>
                </w:tcPr>
                <w:p>
                  <w:pPr>
                    <w:adjustRightInd w:val="0"/>
                    <w:snapToGrid w:val="0"/>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4#厂房北部</w:t>
                  </w:r>
                  <w:r>
                    <w:rPr>
                      <w:rFonts w:hint="eastAsia" w:ascii="Times New Roman" w:hAnsi="Times New Roman" w:cs="Times New Roman"/>
                      <w:szCs w:val="21"/>
                      <w:lang w:eastAsia="zh-CN"/>
                    </w:rPr>
                    <w:t>已建设</w:t>
                  </w:r>
                  <w:r>
                    <w:rPr>
                      <w:rFonts w:hint="default" w:ascii="Times New Roman" w:hAnsi="Times New Roman" w:cs="Times New Roman"/>
                      <w:szCs w:val="21"/>
                    </w:rPr>
                    <w:t>多层储料架，用于成品暂存，面积约500m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公用工程</w:t>
                  </w:r>
                </w:p>
              </w:tc>
              <w:tc>
                <w:tcPr>
                  <w:tcW w:w="663"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供水</w:t>
                  </w:r>
                </w:p>
              </w:tc>
              <w:tc>
                <w:tcPr>
                  <w:tcW w:w="1839"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依托中鼎 NVH 园区供水管网，主要有清洗线用水、固溶时效用水、车间保洁用水、职工生活用水等，用水量约 102.328m</w:t>
                  </w:r>
                  <w:r>
                    <w:rPr>
                      <w:rFonts w:hint="default" w:ascii="Times New Roman" w:hAnsi="Times New Roman" w:cs="Times New Roman"/>
                      <w:szCs w:val="21"/>
                      <w:vertAlign w:val="superscript"/>
                    </w:rPr>
                    <w:t>3</w:t>
                  </w:r>
                  <w:r>
                    <w:rPr>
                      <w:rFonts w:hint="default" w:ascii="Times New Roman" w:hAnsi="Times New Roman" w:cs="Times New Roman"/>
                      <w:szCs w:val="21"/>
                    </w:rPr>
                    <w:t>/d。</w:t>
                  </w:r>
                </w:p>
              </w:tc>
              <w:tc>
                <w:tcPr>
                  <w:tcW w:w="1631"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依托中鼎 NVH 园区供水管网，主要有清洗线用水、固溶时效用水、车间保洁用水、职工生活用水等，用水量</w:t>
                  </w:r>
                  <w:r>
                    <w:rPr>
                      <w:rFonts w:hint="eastAsia" w:ascii="Times New Roman" w:hAnsi="Times New Roman" w:cs="Times New Roman"/>
                      <w:color w:val="000000" w:themeColor="text1"/>
                      <w:szCs w:val="21"/>
                      <w:lang w:eastAsia="zh-CN"/>
                      <w14:textFill>
                        <w14:solidFill>
                          <w14:schemeClr w14:val="tx1"/>
                        </w14:solidFill>
                      </w14:textFill>
                    </w:rPr>
                    <w:t>为</w:t>
                  </w:r>
                  <w:r>
                    <w:rPr>
                      <w:rFonts w:hint="eastAsia" w:ascii="Times New Roman" w:hAnsi="Times New Roman" w:cs="Times New Roman"/>
                      <w:color w:val="000000" w:themeColor="text1"/>
                      <w:szCs w:val="21"/>
                      <w:lang w:val="en-US" w:eastAsia="zh-CN"/>
                      <w14:textFill>
                        <w14:solidFill>
                          <w14:schemeClr w14:val="tx1"/>
                        </w14:solidFill>
                      </w14:textFill>
                    </w:rPr>
                    <w:t>23550</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a</w:t>
                  </w:r>
                  <w:r>
                    <w:rPr>
                      <w:rFonts w:hint="default" w:ascii="Times New Roman" w:hAnsi="Times New Roman" w:cs="Times New Roman"/>
                      <w:color w:val="000000" w:themeColor="text1"/>
                      <w:szCs w:val="21"/>
                      <w14:textFill>
                        <w14:solidFill>
                          <w14:schemeClr w14:val="tx1"/>
                        </w14:solidFill>
                      </w14:textFill>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szCs w:val="21"/>
                    </w:rPr>
                    <w:t>供电</w:t>
                  </w:r>
                </w:p>
              </w:tc>
              <w:tc>
                <w:tcPr>
                  <w:tcW w:w="1839"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依托中鼎NVH园区供电线路及变配电设施，4#厂房内设变配电房 1 座，面积约250m</w:t>
                  </w:r>
                  <w:r>
                    <w:rPr>
                      <w:rFonts w:hint="default" w:ascii="Times New Roman" w:hAnsi="Times New Roman" w:cs="Times New Roman"/>
                      <w:szCs w:val="21"/>
                      <w:vertAlign w:val="superscript"/>
                    </w:rPr>
                    <w:t>2</w:t>
                  </w:r>
                  <w:r>
                    <w:rPr>
                      <w:rFonts w:hint="default" w:ascii="Times New Roman" w:hAnsi="Times New Roman" w:cs="Times New Roman"/>
                      <w:szCs w:val="21"/>
                    </w:rPr>
                    <w:t>。年用电量1848万kwh。</w:t>
                  </w:r>
                </w:p>
              </w:tc>
              <w:tc>
                <w:tcPr>
                  <w:tcW w:w="1631"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依托中鼎NVH园区供电线路及变配电设施，4#厂房内设变配电房1座，面积250m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。年用电量1</w:t>
                  </w:r>
                  <w:r>
                    <w:rPr>
                      <w:rFonts w:hint="eastAsia" w:ascii="Times New Roman" w:hAnsi="Times New Roman" w:cs="Times New Roman"/>
                      <w:color w:val="000000" w:themeColor="text1"/>
                      <w:szCs w:val="21"/>
                      <w:lang w:val="en-US" w:eastAsia="zh-CN"/>
                      <w14:textFill>
                        <w14:solidFill>
                          <w14:schemeClr w14:val="tx1"/>
                        </w14:solidFill>
                      </w14:textFill>
                    </w:rPr>
                    <w:t>500</w:t>
                  </w:r>
                  <w:r>
                    <w:rPr>
                      <w:rFonts w:hint="default" w:ascii="Times New Roman" w:hAnsi="Times New Roman" w:cs="Times New Roman"/>
                      <w:color w:val="000000" w:themeColor="text1"/>
                      <w:szCs w:val="21"/>
                      <w14:textFill>
                        <w14:solidFill>
                          <w14:schemeClr w14:val="tx1"/>
                        </w14:solidFill>
                      </w14:textFill>
                    </w:rPr>
                    <w:t>万kwh。</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排水</w:t>
                  </w:r>
                </w:p>
              </w:tc>
              <w:tc>
                <w:tcPr>
                  <w:tcW w:w="1839" w:type="pct"/>
                  <w:tcBorders>
                    <w:tl2br w:val="nil"/>
                    <w:tr2bl w:val="nil"/>
                  </w:tcBorders>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依托中鼎NVH 园区现有雨污分流管网，雨水经雨水管网收集后排入东津河；生产及生活污水依托中鼎减震污水处理站预处理后，排入中德智造小镇污水处理厂处理，达标尾水排入东津河。</w:t>
                  </w:r>
                </w:p>
              </w:tc>
              <w:tc>
                <w:tcPr>
                  <w:tcW w:w="1631" w:type="pct"/>
                  <w:tcBorders>
                    <w:tl2br w:val="nil"/>
                    <w:tr2bl w:val="nil"/>
                  </w:tcBorders>
                  <w:noWrap w:val="0"/>
                  <w:vAlign w:val="center"/>
                </w:tcPr>
                <w:p>
                  <w:pPr>
                    <w:jc w:val="center"/>
                    <w:rPr>
                      <w:rFonts w:hint="eastAsia" w:ascii="Times New Roman" w:hAnsi="Times New Roman" w:eastAsia="宋体" w:cs="Times New Roman"/>
                      <w:color w:val="auto"/>
                      <w:szCs w:val="21"/>
                      <w:lang w:eastAsia="zh-CN"/>
                    </w:rPr>
                  </w:pPr>
                  <w:r>
                    <w:rPr>
                      <w:rFonts w:hint="default" w:ascii="Times New Roman" w:hAnsi="Times New Roman" w:cs="Times New Roman"/>
                      <w:szCs w:val="21"/>
                    </w:rPr>
                    <w:t>依托中鼎NVH园区现有雨污分流管网，雨水经雨水管网收集后排入东津河；清洗线生产废水（脱脂废水、碱洗废水、超声波清洗废水、水洗废水）经车间自建污水处理设施预处理后，与超声波清洗废水一并进入中鼎减震厂区综合污水处理站处理，排入中德智造小镇污水处理厂处理；保洁废水、生活污水经化粪池收集进入中鼎减震厂区综合污水处理站处理后，排入中德智造小镇污水处理厂处理，达标尾水排入东津河。</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供热</w:t>
                  </w:r>
                </w:p>
              </w:tc>
              <w:tc>
                <w:tcPr>
                  <w:tcW w:w="1839" w:type="pct"/>
                  <w:tcBorders>
                    <w:tl2br w:val="nil"/>
                    <w:tr2bl w:val="nil"/>
                  </w:tcBorders>
                  <w:noWrap w:val="0"/>
                  <w:vAlign w:val="center"/>
                </w:tcPr>
                <w:p>
                  <w:pPr>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箱式时效炉、时效炉、回火炉等热处理设备采用电加热；锻造线加热炉、固溶时效线均采用天然气为燃料，依托中鼎 NVH 园区天然气管网，天然气用量148.8万m</w:t>
                  </w:r>
                  <w:r>
                    <w:rPr>
                      <w:rFonts w:hint="default" w:ascii="Times New Roman" w:hAnsi="Times New Roman" w:cs="Times New Roman"/>
                      <w:szCs w:val="21"/>
                      <w:vertAlign w:val="superscript"/>
                    </w:rPr>
                    <w:t>3</w:t>
                  </w:r>
                  <w:r>
                    <w:rPr>
                      <w:rFonts w:hint="default" w:ascii="Times New Roman" w:hAnsi="Times New Roman" w:cs="Times New Roman"/>
                      <w:szCs w:val="21"/>
                    </w:rPr>
                    <w:t>/a。</w:t>
                  </w:r>
                </w:p>
              </w:tc>
              <w:tc>
                <w:tcPr>
                  <w:tcW w:w="1631" w:type="pct"/>
                  <w:tcBorders>
                    <w:tl2br w:val="nil"/>
                    <w:tr2bl w:val="nil"/>
                  </w:tcBorders>
                  <w:noWrap w:val="0"/>
                  <w:vAlign w:val="center"/>
                </w:tcPr>
                <w:p>
                  <w:pPr>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箱式时效炉、时效炉、回火炉等热处理设备采用电加热；锻造线加热炉、固溶时效线均采用天然气为燃料，依托中鼎NVH园区天然气管网，天然气用量</w:t>
                  </w:r>
                  <w:r>
                    <w:rPr>
                      <w:rFonts w:hint="eastAsia" w:ascii="Times New Roman" w:hAnsi="Times New Roman" w:cs="Times New Roman"/>
                      <w:szCs w:val="21"/>
                      <w:lang w:val="en-US" w:eastAsia="zh-CN"/>
                    </w:rPr>
                    <w:t>57.6</w:t>
                  </w:r>
                  <w:r>
                    <w:rPr>
                      <w:rFonts w:hint="default" w:ascii="Times New Roman" w:hAnsi="Times New Roman" w:cs="Times New Roman"/>
                      <w:szCs w:val="21"/>
                    </w:rPr>
                    <w:t>万m</w:t>
                  </w:r>
                  <w:r>
                    <w:rPr>
                      <w:rFonts w:hint="default" w:ascii="Times New Roman" w:hAnsi="Times New Roman" w:cs="Times New Roman"/>
                      <w:szCs w:val="21"/>
                      <w:vertAlign w:val="superscript"/>
                    </w:rPr>
                    <w:t>3</w:t>
                  </w:r>
                  <w:r>
                    <w:rPr>
                      <w:rFonts w:hint="default" w:ascii="Times New Roman" w:hAnsi="Times New Roman" w:cs="Times New Roman"/>
                      <w:szCs w:val="21"/>
                    </w:rPr>
                    <w:t>/a。</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辅助工程</w:t>
                  </w:r>
                </w:p>
              </w:tc>
              <w:tc>
                <w:tcPr>
                  <w:tcW w:w="663" w:type="pct"/>
                  <w:tcBorders>
                    <w:tl2br w:val="nil"/>
                    <w:tr2bl w:val="nil"/>
                  </w:tcBorders>
                  <w:noWrap w:val="0"/>
                  <w:vAlign w:val="center"/>
                </w:tcPr>
                <w:p>
                  <w:pPr>
                    <w:jc w:val="center"/>
                    <w:rPr>
                      <w:rFonts w:hint="eastAsia" w:ascii="Times New Roman" w:hAnsi="Times New Roman" w:cs="Times New Roman" w:eastAsiaTheme="minorEastAsia"/>
                      <w:sz w:val="21"/>
                      <w:szCs w:val="21"/>
                      <w:lang w:eastAsia="zh-CN"/>
                    </w:rPr>
                  </w:pPr>
                  <w:r>
                    <w:rPr>
                      <w:rFonts w:hint="default" w:ascii="Times New Roman" w:hAnsi="Times New Roman" w:cs="Times New Roman"/>
                      <w:szCs w:val="21"/>
                    </w:rPr>
                    <w:t>办公</w:t>
                  </w:r>
                  <w:r>
                    <w:rPr>
                      <w:rFonts w:hint="eastAsia" w:ascii="Times New Roman" w:hAnsi="Times New Roman" w:cs="Times New Roman"/>
                      <w:szCs w:val="21"/>
                      <w:lang w:eastAsia="zh-CN"/>
                    </w:rPr>
                    <w:t>室</w:t>
                  </w:r>
                </w:p>
              </w:tc>
              <w:tc>
                <w:tcPr>
                  <w:tcW w:w="1839"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4#厂房西北部为局部 2 层设计，用于行政管理人员办公，建筑面积约1000m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1631" w:type="pct"/>
                  <w:tcBorders>
                    <w:tl2br w:val="nil"/>
                    <w:tr2bl w:val="nil"/>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Cs w:val="21"/>
                    </w:rPr>
                    <w:t>4#厂房西北部为局部 2 层设计，用于行政管理人员办公，建筑面积约1000m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szCs w:val="21"/>
                      <w:lang w:eastAsia="zh-CN"/>
                    </w:rPr>
                    <w:t>食堂</w:t>
                  </w:r>
                </w:p>
              </w:tc>
              <w:tc>
                <w:tcPr>
                  <w:tcW w:w="1839" w:type="pct"/>
                  <w:tcBorders>
                    <w:tl2br w:val="nil"/>
                    <w:tr2bl w:val="nil"/>
                  </w:tcBorders>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szCs w:val="21"/>
                      <w:lang w:eastAsia="zh-CN"/>
                    </w:rPr>
                    <w:t>依托中鼎NVH园区内 1 座职工食堂。</w:t>
                  </w:r>
                </w:p>
              </w:tc>
              <w:tc>
                <w:tcPr>
                  <w:tcW w:w="1631" w:type="pct"/>
                  <w:tcBorders>
                    <w:tl2br w:val="nil"/>
                    <w:tr2bl w:val="nil"/>
                  </w:tcBorders>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szCs w:val="21"/>
                      <w:lang w:eastAsia="zh-CN"/>
                    </w:rPr>
                    <w:t>依托中鼎NVH园区内 1 座职工食堂。</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663"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废气处理</w:t>
                  </w:r>
                </w:p>
              </w:tc>
              <w:tc>
                <w:tcPr>
                  <w:tcW w:w="1839"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rPr>
                    <w:t>4 条锻造线锻坯加热炉均采用低氮燃烧器，天然气燃烧废气合并1 根 15m 高排气筒排放（DA001）。</w:t>
                  </w:r>
                </w:p>
              </w:tc>
              <w:tc>
                <w:tcPr>
                  <w:tcW w:w="1631" w:type="pct"/>
                  <w:tcBorders>
                    <w:tl2br w:val="nil"/>
                    <w:tr2bl w:val="nil"/>
                  </w:tcBorders>
                  <w:noWrap w:val="0"/>
                  <w:vAlign w:val="center"/>
                </w:tcPr>
                <w:p>
                  <w:pPr>
                    <w:pStyle w:val="21"/>
                    <w:snapToGrid w:val="0"/>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已建设3</w:t>
                  </w:r>
                  <w:r>
                    <w:rPr>
                      <w:rFonts w:hint="default" w:ascii="Times New Roman" w:hAnsi="Times New Roman" w:cs="Times New Roman"/>
                    </w:rPr>
                    <w:t>条锻造线锻坯加热炉均采用超高速烧嘴低氮燃烧，天然气燃烧废气</w:t>
                  </w:r>
                  <w:r>
                    <w:rPr>
                      <w:rFonts w:hint="eastAsia" w:ascii="Times New Roman" w:hAnsi="Times New Roman" w:cs="Times New Roman"/>
                      <w:lang w:eastAsia="zh-CN"/>
                    </w:rPr>
                    <w:t>通过气动混旋喷淋塔处理后经</w:t>
                  </w:r>
                  <w:r>
                    <w:rPr>
                      <w:rFonts w:hint="default" w:ascii="Times New Roman" w:hAnsi="Times New Roman" w:cs="Times New Roman"/>
                    </w:rPr>
                    <w:t>1根15m 高排气筒排放（DA001）。</w:t>
                  </w:r>
                </w:p>
              </w:tc>
              <w:tc>
                <w:tcPr>
                  <w:tcW w:w="49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新增废气处理设备，排气筒较环评中重新进行编号；部分生产线及设备未建设，不在此次验收范围内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74" w:type="pct"/>
                  <w:vMerge w:val="continue"/>
                  <w:tcBorders>
                    <w:tl2br w:val="nil"/>
                    <w:tr2bl w:val="nil"/>
                  </w:tcBorders>
                  <w:noWrap w:val="0"/>
                  <w:vAlign w:val="center"/>
                </w:tcPr>
                <w:p>
                  <w:pPr>
                    <w:pStyle w:val="21"/>
                    <w:snapToGrid w:val="0"/>
                    <w:spacing w:line="240" w:lineRule="auto"/>
                    <w:ind w:firstLine="0" w:firstLineChars="0"/>
                    <w:jc w:val="center"/>
                  </w:pPr>
                </w:p>
              </w:tc>
              <w:tc>
                <w:tcPr>
                  <w:tcW w:w="663" w:type="pct"/>
                  <w:vMerge w:val="continue"/>
                  <w:tcBorders>
                    <w:tl2br w:val="nil"/>
                    <w:tr2bl w:val="nil"/>
                  </w:tcBorders>
                  <w:noWrap w:val="0"/>
                  <w:vAlign w:val="center"/>
                </w:tcPr>
                <w:p>
                  <w:pPr>
                    <w:pStyle w:val="21"/>
                    <w:snapToGrid w:val="0"/>
                    <w:spacing w:line="240" w:lineRule="auto"/>
                    <w:ind w:firstLine="0" w:firstLineChars="0"/>
                    <w:jc w:val="center"/>
                  </w:pPr>
                </w:p>
              </w:tc>
              <w:tc>
                <w:tcPr>
                  <w:tcW w:w="1839" w:type="pct"/>
                  <w:tcBorders>
                    <w:tl2br w:val="nil"/>
                    <w:tr2bl w:val="nil"/>
                  </w:tcBorders>
                  <w:noWrap w:val="0"/>
                  <w:vAlign w:val="center"/>
                </w:tcPr>
                <w:p>
                  <w:pPr>
                    <w:pStyle w:val="21"/>
                    <w:snapToGrid w:val="0"/>
                    <w:spacing w:line="240" w:lineRule="auto"/>
                    <w:ind w:firstLine="0" w:firstLineChars="0"/>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w:t>
                  </w:r>
                </w:p>
              </w:tc>
              <w:tc>
                <w:tcPr>
                  <w:tcW w:w="1631"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cs="Times New Roman"/>
                    </w:rPr>
                  </w:pPr>
                  <w:r>
                    <w:rPr>
                      <w:rFonts w:hint="default" w:ascii="Times New Roman" w:hAnsi="Times New Roman" w:cs="Times New Roman"/>
                    </w:rPr>
                    <w:t>锻造线锻坯加热</w:t>
                  </w:r>
                  <w:r>
                    <w:rPr>
                      <w:rFonts w:hint="eastAsia" w:ascii="Times New Roman" w:hAnsi="Times New Roman" w:cs="Times New Roman"/>
                      <w:lang w:eastAsia="zh-CN"/>
                    </w:rPr>
                    <w:t>废气经喷淋塔</w:t>
                  </w:r>
                  <w:r>
                    <w:rPr>
                      <w:rFonts w:hint="eastAsia" w:ascii="Times New Roman" w:hAnsi="Times New Roman" w:cs="Times New Roman"/>
                      <w:lang w:val="en-US" w:eastAsia="zh-CN"/>
                    </w:rPr>
                    <w:t>+</w:t>
                  </w:r>
                  <w:r>
                    <w:rPr>
                      <w:rFonts w:hint="eastAsia" w:ascii="Times New Roman" w:hAnsi="Times New Roman" w:cs="Times New Roman"/>
                      <w:lang w:eastAsia="zh-CN"/>
                    </w:rPr>
                    <w:t>二级工业油烟净化器</w:t>
                  </w:r>
                  <w:r>
                    <w:rPr>
                      <w:rFonts w:hint="eastAsia" w:ascii="Times New Roman" w:hAnsi="Times New Roman" w:cs="Times New Roman"/>
                      <w:lang w:val="en-US" w:eastAsia="zh-CN"/>
                    </w:rPr>
                    <w:t>+活性炭吸附装置处理后，</w:t>
                  </w:r>
                  <w:r>
                    <w:rPr>
                      <w:rFonts w:hint="eastAsia" w:ascii="Times New Roman" w:hAnsi="Times New Roman" w:cs="Times New Roman"/>
                      <w:lang w:eastAsia="zh-CN"/>
                    </w:rPr>
                    <w:t>经</w:t>
                  </w:r>
                  <w:r>
                    <w:rPr>
                      <w:rFonts w:hint="eastAsia" w:ascii="Times New Roman" w:hAnsi="Times New Roman" w:cs="Times New Roman"/>
                      <w:lang w:val="en-US" w:eastAsia="zh-CN"/>
                    </w:rPr>
                    <w:t>2</w:t>
                  </w:r>
                  <w:r>
                    <w:rPr>
                      <w:rFonts w:hint="default" w:ascii="Times New Roman" w:hAnsi="Times New Roman" w:cs="Times New Roman"/>
                    </w:rPr>
                    <w:t>根15m高排气筒排放（DA00</w:t>
                  </w:r>
                  <w:r>
                    <w:rPr>
                      <w:rFonts w:hint="eastAsia" w:ascii="Times New Roman" w:hAnsi="Times New Roman" w:cs="Times New Roman"/>
                      <w:lang w:val="en-US" w:eastAsia="zh-CN"/>
                    </w:rPr>
                    <w:t>2、DA003</w:t>
                  </w:r>
                  <w:r>
                    <w:rPr>
                      <w:rFonts w:hint="default" w:ascii="Times New Roman" w:hAnsi="Times New Roman" w:cs="Times New Roman"/>
                    </w:rPr>
                    <w:t>）</w:t>
                  </w:r>
                  <w:r>
                    <w:rPr>
                      <w:rFonts w:hint="eastAsia" w:ascii="Times New Roman" w:hAnsi="Times New Roman" w:cs="Times New Roman"/>
                      <w:lang w:eastAsia="zh-CN"/>
                    </w:rPr>
                    <w:t>。</w:t>
                  </w:r>
                </w:p>
              </w:tc>
              <w:tc>
                <w:tcPr>
                  <w:tcW w:w="491" w:type="pct"/>
                  <w:vMerge w:val="continue"/>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cs="Times New Roman"/>
                      <w:lang w:eastAsia="zh-CN"/>
                    </w:rPr>
                  </w:pPr>
                  <w:r>
                    <w:rPr>
                      <w:rFonts w:hint="default" w:ascii="Times New Roman" w:hAnsi="Times New Roman" w:cs="Times New Roman"/>
                    </w:rPr>
                    <w:t>2条固溶时效炉均采用低氮燃烧器，天然气燃烧废气合并1根15m高排气筒排放（DA002）。</w:t>
                  </w:r>
                </w:p>
              </w:tc>
              <w:tc>
                <w:tcPr>
                  <w:tcW w:w="1631"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eastAsia" w:ascii="Times New Roman" w:hAnsi="Times New Roman" w:cs="Times New Roman"/>
                      <w:lang w:val="en-US" w:eastAsia="zh-CN"/>
                    </w:rPr>
                    <w:t>已建设1</w:t>
                  </w:r>
                  <w:r>
                    <w:rPr>
                      <w:rFonts w:hint="default" w:ascii="Times New Roman" w:hAnsi="Times New Roman" w:cs="Times New Roman"/>
                    </w:rPr>
                    <w:t>条固溶时效炉采用超高速烧嘴低氮燃烧，天然气燃烧废气</w:t>
                  </w:r>
                  <w:r>
                    <w:rPr>
                      <w:rFonts w:hint="eastAsia" w:ascii="Times New Roman" w:hAnsi="Times New Roman" w:cs="Times New Roman"/>
                      <w:lang w:eastAsia="zh-CN"/>
                    </w:rPr>
                    <w:t>与锻造线</w:t>
                  </w:r>
                  <w:r>
                    <w:rPr>
                      <w:rFonts w:hint="default" w:ascii="Times New Roman" w:hAnsi="Times New Roman" w:cs="Times New Roman"/>
                    </w:rPr>
                    <w:t>天然气燃烧废气合并</w:t>
                  </w:r>
                  <w:r>
                    <w:rPr>
                      <w:rFonts w:hint="eastAsia" w:ascii="Times New Roman" w:hAnsi="Times New Roman" w:cs="Times New Roman"/>
                      <w:lang w:eastAsia="zh-CN"/>
                    </w:rPr>
                    <w:t>通过气动混旋喷淋塔处理后经</w:t>
                  </w:r>
                  <w:r>
                    <w:rPr>
                      <w:rFonts w:hint="default" w:ascii="Times New Roman" w:hAnsi="Times New Roman" w:cs="Times New Roman"/>
                    </w:rPr>
                    <w:t>1根15m 高排气筒排放（DA001）。</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cs="Times New Roman"/>
                      <w:lang w:eastAsia="zh-CN"/>
                    </w:rPr>
                  </w:pPr>
                  <w:r>
                    <w:rPr>
                      <w:rFonts w:hint="default" w:ascii="Times New Roman" w:hAnsi="Times New Roman" w:cs="Times New Roman"/>
                      <w:lang w:eastAsia="zh-CN"/>
                    </w:rPr>
                    <w:t>采用半封闭式打磨柜，打磨粉尘收集后经 1 套“袋式除尘器”处理后，通过 1 根 15m 高排气筒排放（DA003）。除尘效率 99%，处理规模为8500m</w:t>
                  </w:r>
                  <w:r>
                    <w:rPr>
                      <w:rFonts w:hint="default" w:ascii="Times New Roman" w:hAnsi="Times New Roman" w:cs="Times New Roman"/>
                      <w:vertAlign w:val="superscript"/>
                      <w:lang w:eastAsia="zh-CN"/>
                    </w:rPr>
                    <w:t>3</w:t>
                  </w:r>
                  <w:r>
                    <w:rPr>
                      <w:rFonts w:hint="default" w:ascii="Times New Roman" w:hAnsi="Times New Roman" w:cs="Times New Roman"/>
                      <w:lang w:eastAsia="zh-CN"/>
                    </w:rPr>
                    <w:t>/h。</w:t>
                  </w:r>
                </w:p>
              </w:tc>
              <w:tc>
                <w:tcPr>
                  <w:tcW w:w="1631"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eastAsia" w:ascii="Times New Roman" w:hAnsi="Times New Roman" w:cs="Times New Roman"/>
                      <w:lang w:eastAsia="zh-CN"/>
                    </w:rPr>
                    <w:t>未建设</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1"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cs="Times New Roman"/>
                      <w:lang w:eastAsia="zh-CN"/>
                    </w:rPr>
                    <w:t>2 台抛丸机为全封闭式，自带 2 套“袋式除尘器”，除尘后合并1 根 15m 高排气筒排放（DA004）。除尘效率 99%，单台处理规模为 5000m</w:t>
                  </w:r>
                  <w:r>
                    <w:rPr>
                      <w:rFonts w:hint="eastAsia" w:ascii="Times New Roman" w:hAnsi="Times New Roman" w:cs="Times New Roman"/>
                      <w:vertAlign w:val="superscript"/>
                      <w:lang w:eastAsia="zh-CN"/>
                    </w:rPr>
                    <w:t>3</w:t>
                  </w:r>
                  <w:r>
                    <w:rPr>
                      <w:rFonts w:hint="eastAsia" w:ascii="Times New Roman" w:hAnsi="Times New Roman" w:cs="Times New Roman"/>
                      <w:lang w:eastAsia="zh-CN"/>
                    </w:rPr>
                    <w:t>/h。</w:t>
                  </w:r>
                </w:p>
              </w:tc>
              <w:tc>
                <w:tcPr>
                  <w:tcW w:w="1631"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lang w:eastAsia="zh-CN"/>
                    </w:rPr>
                    <w:t>2台抛丸机为全封闭式，自带 2 套“袋式除尘器”，除尘后合并1根15m高排气筒排放（DA00</w:t>
                  </w:r>
                  <w:r>
                    <w:rPr>
                      <w:rFonts w:hint="eastAsia" w:ascii="Times New Roman" w:hAnsi="Times New Roman" w:cs="Times New Roman"/>
                      <w:lang w:val="en-US" w:eastAsia="zh-CN"/>
                    </w:rPr>
                    <w:t>4</w:t>
                  </w:r>
                  <w:r>
                    <w:rPr>
                      <w:rFonts w:hint="eastAsia" w:ascii="Times New Roman" w:hAnsi="Times New Roman" w:cs="Times New Roman"/>
                      <w:lang w:eastAsia="zh-CN"/>
                    </w:rPr>
                    <w:t>）。</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1631" w:type="pct"/>
                  <w:tcBorders>
                    <w:tl2br w:val="nil"/>
                    <w:tr2bl w:val="nil"/>
                  </w:tcBorders>
                  <w:noWrap w:val="0"/>
                  <w:vAlign w:val="center"/>
                </w:tcPr>
                <w:p>
                  <w:pPr>
                    <w:pStyle w:val="21"/>
                    <w:snapToGrid w:val="0"/>
                    <w:spacing w:line="240" w:lineRule="auto"/>
                    <w:ind w:firstLine="0" w:firstLineChars="0"/>
                    <w:jc w:val="center"/>
                    <w:rPr>
                      <w:rFonts w:hint="eastAsia" w:ascii="Times New Roman" w:hAnsi="Times New Roman" w:cs="Times New Roman"/>
                      <w:lang w:eastAsia="zh-CN"/>
                    </w:rPr>
                  </w:pPr>
                  <w:r>
                    <w:rPr>
                      <w:rFonts w:hint="eastAsia" w:ascii="Times New Roman" w:hAnsi="Times New Roman" w:cs="Times New Roman"/>
                      <w:lang w:val="en-US" w:eastAsia="zh-CN"/>
                    </w:rPr>
                    <w:t>电阻炉产生的废气经工业油烟净化器+二级活性炭吸附装置处理后，</w:t>
                  </w:r>
                  <w:r>
                    <w:rPr>
                      <w:rFonts w:hint="eastAsia" w:ascii="Times New Roman" w:hAnsi="Times New Roman" w:cs="Times New Roman"/>
                      <w:lang w:eastAsia="zh-CN"/>
                    </w:rPr>
                    <w:t>通过 1 根 15m高排气筒排放（DA00</w:t>
                  </w:r>
                  <w:r>
                    <w:rPr>
                      <w:rFonts w:hint="eastAsia" w:ascii="Times New Roman" w:hAnsi="Times New Roman" w:cs="Times New Roman"/>
                      <w:lang w:val="en-US" w:eastAsia="zh-CN"/>
                    </w:rPr>
                    <w:t>5</w:t>
                  </w:r>
                  <w:r>
                    <w:rPr>
                      <w:rFonts w:hint="eastAsia" w:ascii="Times New Roman" w:hAnsi="Times New Roman" w:cs="Times New Roman"/>
                      <w:lang w:eastAsia="zh-CN"/>
                    </w:rPr>
                    <w:t>）。</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eastAsia" w:ascii="Times New Roman" w:hAnsi="Times New Roman" w:cs="Times New Roman"/>
                      <w:lang w:eastAsia="zh-CN"/>
                    </w:rPr>
                  </w:pPr>
                  <w:r>
                    <w:rPr>
                      <w:rFonts w:hint="eastAsia" w:ascii="Times New Roman" w:hAnsi="Times New Roman" w:cs="Times New Roman"/>
                      <w:lang w:eastAsia="zh-CN"/>
                    </w:rPr>
                    <w:t>4 台焊接设备配套“焊接烟尘净化器”处理后，通过 1 根 15m高排气筒排放（DA005）。处理规模为 1500m</w:t>
                  </w:r>
                  <w:r>
                    <w:rPr>
                      <w:rFonts w:hint="eastAsia" w:ascii="Times New Roman" w:hAnsi="Times New Roman" w:cs="Times New Roman"/>
                      <w:vertAlign w:val="superscript"/>
                      <w:lang w:eastAsia="zh-CN"/>
                    </w:rPr>
                    <w:t>3</w:t>
                  </w:r>
                  <w:r>
                    <w:rPr>
                      <w:rFonts w:hint="eastAsia" w:ascii="Times New Roman" w:hAnsi="Times New Roman" w:cs="Times New Roman"/>
                      <w:lang w:eastAsia="zh-CN"/>
                    </w:rPr>
                    <w:t>/h。</w:t>
                  </w:r>
                </w:p>
              </w:tc>
              <w:tc>
                <w:tcPr>
                  <w:tcW w:w="1631"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lang w:val="en-US" w:eastAsia="zh-CN"/>
                    </w:rPr>
                    <w:t>2</w:t>
                  </w:r>
                  <w:r>
                    <w:rPr>
                      <w:rFonts w:hint="eastAsia" w:ascii="Times New Roman" w:hAnsi="Times New Roman" w:cs="Times New Roman"/>
                      <w:lang w:eastAsia="zh-CN"/>
                    </w:rPr>
                    <w:t>台焊接设备焊接废气与</w:t>
                  </w:r>
                  <w:r>
                    <w:rPr>
                      <w:rFonts w:hint="eastAsia" w:ascii="Times New Roman" w:hAnsi="Times New Roman" w:cs="Times New Roman"/>
                      <w:lang w:val="en-US" w:eastAsia="zh-CN"/>
                    </w:rPr>
                    <w:t>电阻炉产生的废气合并</w:t>
                  </w:r>
                  <w:r>
                    <w:rPr>
                      <w:rFonts w:hint="eastAsia" w:ascii="Times New Roman" w:hAnsi="Times New Roman" w:cs="Times New Roman"/>
                      <w:lang w:eastAsia="zh-CN"/>
                    </w:rPr>
                    <w:t>通过</w:t>
                  </w:r>
                  <w:r>
                    <w:rPr>
                      <w:rFonts w:hint="eastAsia" w:ascii="Times New Roman" w:hAnsi="Times New Roman" w:cs="Times New Roman"/>
                      <w:lang w:val="en-US" w:eastAsia="zh-CN"/>
                    </w:rPr>
                    <w:t>工业油烟净化器+二级活性炭吸附装置处理后，经</w:t>
                  </w:r>
                  <w:r>
                    <w:rPr>
                      <w:rFonts w:hint="eastAsia" w:ascii="Times New Roman" w:hAnsi="Times New Roman" w:cs="Times New Roman"/>
                      <w:lang w:eastAsia="zh-CN"/>
                    </w:rPr>
                    <w:t xml:space="preserve"> 1 根 15m高排气筒排放（DA00</w:t>
                  </w:r>
                  <w:r>
                    <w:rPr>
                      <w:rFonts w:hint="eastAsia" w:ascii="Times New Roman" w:hAnsi="Times New Roman" w:cs="Times New Roman"/>
                      <w:lang w:val="en-US" w:eastAsia="zh-CN"/>
                    </w:rPr>
                    <w:t>5</w:t>
                  </w:r>
                  <w:r>
                    <w:rPr>
                      <w:rFonts w:hint="eastAsia" w:ascii="Times New Roman" w:hAnsi="Times New Roman" w:cs="Times New Roman"/>
                      <w:lang w:eastAsia="zh-CN"/>
                    </w:rPr>
                    <w:t>）。</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1631"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eastAsia="zh-CN"/>
                    </w:rPr>
                    <w:t>抛光机产生的废气经布袋除尘器处理后，通过1根15m高排气筒排放（DA00</w:t>
                  </w:r>
                  <w:r>
                    <w:rPr>
                      <w:rFonts w:hint="eastAsia" w:ascii="Times New Roman" w:hAnsi="Times New Roman" w:cs="Times New Roman"/>
                      <w:lang w:val="en-US" w:eastAsia="zh-CN"/>
                    </w:rPr>
                    <w:t>6</w:t>
                  </w:r>
                  <w:r>
                    <w:rPr>
                      <w:rFonts w:hint="eastAsia" w:ascii="Times New Roman" w:hAnsi="Times New Roman" w:cs="Times New Roman"/>
                      <w:lang w:eastAsia="zh-CN"/>
                    </w:rPr>
                    <w:t>）。</w:t>
                  </w:r>
                </w:p>
              </w:tc>
              <w:tc>
                <w:tcPr>
                  <w:tcW w:w="4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废水处理</w:t>
                  </w:r>
                </w:p>
              </w:tc>
              <w:tc>
                <w:tcPr>
                  <w:tcW w:w="1839"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eastAsia="zh-CN"/>
                    </w:rPr>
                    <w:t>生产及生活污水依托中鼎NVH 园区内1座规模为1920m</w:t>
                  </w:r>
                  <w:r>
                    <w:rPr>
                      <w:rFonts w:hint="default" w:ascii="Times New Roman" w:hAnsi="Times New Roman" w:cs="Times New Roman"/>
                      <w:szCs w:val="21"/>
                      <w:vertAlign w:val="superscript"/>
                      <w:lang w:eastAsia="zh-CN"/>
                    </w:rPr>
                    <w:t>3</w:t>
                  </w:r>
                  <w:r>
                    <w:rPr>
                      <w:rFonts w:hint="default" w:ascii="Times New Roman" w:hAnsi="Times New Roman" w:cs="Times New Roman"/>
                      <w:szCs w:val="21"/>
                      <w:lang w:eastAsia="zh-CN"/>
                    </w:rPr>
                    <w:t>/d 污水处理站，采用“隔油+混凝沉淀+气浮+A/O+后混凝”工艺，预处理后排入中德智造小镇污水处理厂处理。废水排放量 87.11m</w:t>
                  </w:r>
                  <w:r>
                    <w:rPr>
                      <w:rFonts w:hint="default" w:ascii="Times New Roman" w:hAnsi="Times New Roman" w:cs="Times New Roman"/>
                      <w:szCs w:val="21"/>
                      <w:vertAlign w:val="superscript"/>
                      <w:lang w:eastAsia="zh-CN"/>
                    </w:rPr>
                    <w:t>3</w:t>
                  </w:r>
                  <w:r>
                    <w:rPr>
                      <w:rFonts w:hint="default" w:ascii="Times New Roman" w:hAnsi="Times New Roman" w:cs="Times New Roman"/>
                      <w:szCs w:val="21"/>
                      <w:lang w:eastAsia="zh-CN"/>
                    </w:rPr>
                    <w:t>/d。</w:t>
                  </w:r>
                </w:p>
              </w:tc>
              <w:tc>
                <w:tcPr>
                  <w:tcW w:w="1631"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eastAsia="zh-CN"/>
                    </w:rPr>
                    <w:t>清洗线生产废水（脱脂废水、碱洗废水、超声波清洗废水、水洗废水）经车间自建污水处理设施预处理后，与超声波清洗废水一并进入中鼎减震厂区综合污水处理站处理，排入中德智造小镇污水处理厂处理；保洁废水、生活污水经化粪池收集进入中鼎减震厂区综合污水处理站处理后，排入中德智造小镇污水处理厂处理达标后排入东津河</w:t>
                  </w:r>
                  <w:r>
                    <w:rPr>
                      <w:rFonts w:hint="default" w:ascii="Times New Roman" w:hAnsi="Times New Roman" w:eastAsia="宋体" w:cs="Times New Roman"/>
                      <w:color w:val="auto"/>
                      <w:szCs w:val="21"/>
                      <w:lang w:eastAsia="zh-CN"/>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噪声处理</w:t>
                  </w:r>
                </w:p>
              </w:tc>
              <w:tc>
                <w:tcPr>
                  <w:tcW w:w="183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szCs w:val="21"/>
                    </w:rPr>
                    <w:t>选用低噪声设备，采取减振、厂房隔声等措施。</w:t>
                  </w:r>
                </w:p>
              </w:tc>
              <w:tc>
                <w:tcPr>
                  <w:tcW w:w="163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选用低噪声设备，优化车间内设备</w:t>
                  </w:r>
                  <w:r>
                    <w:rPr>
                      <w:rFonts w:hint="default" w:ascii="Times New Roman" w:hAnsi="Times New Roman" w:cs="Times New Roman"/>
                      <w:sz w:val="21"/>
                      <w:szCs w:val="21"/>
                      <w:lang w:eastAsia="zh-CN"/>
                    </w:rPr>
                    <w:t>布局</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采取隔</w:t>
                  </w:r>
                  <w:r>
                    <w:rPr>
                      <w:rFonts w:hint="default" w:ascii="Times New Roman" w:hAnsi="Times New Roman" w:eastAsia="宋体" w:cs="Times New Roman"/>
                      <w:sz w:val="21"/>
                      <w:szCs w:val="21"/>
                      <w:lang w:eastAsia="zh-CN"/>
                    </w:rPr>
                    <w:t>声</w:t>
                  </w:r>
                  <w:r>
                    <w:rPr>
                      <w:rFonts w:hint="default" w:ascii="Times New Roman" w:hAnsi="Times New Roman" w:eastAsia="宋体" w:cs="Times New Roman"/>
                      <w:sz w:val="21"/>
                      <w:szCs w:val="21"/>
                    </w:rPr>
                    <w:t>减震</w:t>
                  </w:r>
                  <w:r>
                    <w:rPr>
                      <w:rFonts w:hint="default" w:ascii="Times New Roman" w:hAnsi="Times New Roman" w:eastAsia="宋体" w:cs="Times New Roman"/>
                      <w:sz w:val="21"/>
                      <w:szCs w:val="21"/>
                      <w:lang w:eastAsia="zh-CN"/>
                    </w:rPr>
                    <w:t>等降噪</w:t>
                  </w:r>
                  <w:r>
                    <w:rPr>
                      <w:rFonts w:hint="default" w:ascii="Times New Roman" w:hAnsi="Times New Roman" w:eastAsia="宋体" w:cs="Times New Roman"/>
                      <w:sz w:val="21"/>
                      <w:szCs w:val="21"/>
                    </w:rPr>
                    <w:t>措施</w:t>
                  </w:r>
                  <w:r>
                    <w:rPr>
                      <w:rFonts w:hint="default" w:ascii="Times New Roman" w:hAnsi="Times New Roman" w:cs="Times New Roman"/>
                      <w:sz w:val="21"/>
                      <w:szCs w:val="21"/>
                      <w:lang w:eastAsia="zh-CN"/>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固废处理</w:t>
                  </w:r>
                </w:p>
              </w:tc>
              <w:tc>
                <w:tcPr>
                  <w:tcW w:w="183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0"/>
                      <w:szCs w:val="21"/>
                    </w:rPr>
                    <w:t>项目产生的金属边角料、不合格品、废钢丸、收集粉尘等依托中鼎减震一般固废库，面积约400m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，项目使用面积约 100m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。应分区存放，设标识牌，暂存后定期外售再利用。</w:t>
                  </w:r>
                </w:p>
              </w:tc>
              <w:tc>
                <w:tcPr>
                  <w:tcW w:w="163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0"/>
                      <w:szCs w:val="21"/>
                    </w:rPr>
                    <w:t>项目产生的金属边角料、不合格品、废钢丸、收集粉尘等依托中鼎减震一般固废库，面积约400m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，项目使用面积约100m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。分区存放，设标识牌，暂存后定期外售再利用。</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项目产生的废切削液、脱脂槽渣、碱洗槽渣、废润滑油、废化学品桶等危废依托中鼎NVH 园区 1 座面积约200m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危废库暂存，项目使用面积约30m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。禁止与减震危废混放，应分区存放，设置分区标识牌，并单独委托有资质的危废单位处置。</w:t>
                  </w:r>
                </w:p>
              </w:tc>
              <w:tc>
                <w:tcPr>
                  <w:tcW w:w="2700" w:type="dxa"/>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kern w:val="0"/>
                      <w:szCs w:val="21"/>
                    </w:rPr>
                    <w:t>项目产生的废切削液、脱脂槽渣、碱洗槽渣、废润滑油</w:t>
                  </w:r>
                  <w:r>
                    <w:rPr>
                      <w:rFonts w:hint="eastAsia" w:ascii="Times New Roman" w:hAnsi="Times New Roman" w:cs="Times New Roman"/>
                      <w:color w:val="auto"/>
                      <w:kern w:val="0"/>
                      <w:szCs w:val="21"/>
                      <w:lang w:eastAsia="zh-CN"/>
                    </w:rPr>
                    <w:t>、废乳化液、废活性炭、浓缩污泥</w:t>
                  </w:r>
                  <w:r>
                    <w:rPr>
                      <w:rFonts w:hint="default" w:ascii="Times New Roman" w:hAnsi="Times New Roman" w:cs="Times New Roman"/>
                      <w:color w:val="auto"/>
                      <w:kern w:val="0"/>
                      <w:szCs w:val="21"/>
                    </w:rPr>
                    <w:t>等危废</w:t>
                  </w:r>
                  <w:r>
                    <w:rPr>
                      <w:rFonts w:hint="eastAsia" w:ascii="Times New Roman" w:hAnsi="Times New Roman" w:cs="Times New Roman"/>
                      <w:color w:val="auto"/>
                      <w:kern w:val="0"/>
                      <w:szCs w:val="21"/>
                      <w:lang w:eastAsia="zh-CN"/>
                    </w:rPr>
                    <w:t>，新建</w:t>
                  </w:r>
                  <w:r>
                    <w:rPr>
                      <w:rFonts w:hint="default" w:ascii="Times New Roman" w:hAnsi="Times New Roman" w:cs="Times New Roman"/>
                      <w:color w:val="auto"/>
                      <w:kern w:val="0"/>
                      <w:szCs w:val="21"/>
                    </w:rPr>
                    <w:t>1座面积约</w:t>
                  </w:r>
                  <w:r>
                    <w:rPr>
                      <w:rFonts w:hint="eastAsia"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危废库暂存</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分区存放，设置分区标识牌，并单独委托有资质的危废单位处置。</w:t>
                  </w:r>
                </w:p>
              </w:tc>
              <w:tc>
                <w:tcPr>
                  <w:tcW w:w="8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vertAlign w:val="baseline"/>
                      <w:lang w:eastAsia="zh-CN"/>
                    </w:rPr>
                    <w:t>危废暂存于自建危废库中，</w:t>
                  </w:r>
                  <w:r>
                    <w:rPr>
                      <w:rFonts w:hint="eastAsia" w:ascii="Times New Roman" w:hAnsi="Times New Roman" w:eastAsia="宋体" w:cs="Times New Roman"/>
                      <w:sz w:val="21"/>
                      <w:szCs w:val="21"/>
                      <w:vertAlign w:val="baseline"/>
                      <w:lang w:val="en-US" w:eastAsia="zh-CN"/>
                    </w:rPr>
                    <w:t>不依托中鼎NVH园区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依托现有生活垃圾收集系统，由环卫部门统一清运处置。</w:t>
                  </w:r>
                </w:p>
              </w:tc>
              <w:tc>
                <w:tcPr>
                  <w:tcW w:w="163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kern w:val="0"/>
                      <w:szCs w:val="21"/>
                    </w:rPr>
                    <w:t>生活垃圾由环卫部门统一清运。</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w:t>
                  </w:r>
                </w:p>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防范措施</w:t>
                  </w:r>
                </w:p>
              </w:tc>
              <w:tc>
                <w:tcPr>
                  <w:tcW w:w="183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危废库、污水处理站均依托中鼎NVH园区内设施及现有重点防渗措施；项目化学品库、清洗线等采取重点防渗措施。</w:t>
                  </w:r>
                </w:p>
              </w:tc>
              <w:tc>
                <w:tcPr>
                  <w:tcW w:w="163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kern w:val="0"/>
                      <w:szCs w:val="21"/>
                    </w:rPr>
                    <w:t>项目</w:t>
                  </w:r>
                  <w:r>
                    <w:rPr>
                      <w:rFonts w:hint="eastAsia" w:ascii="Times New Roman" w:hAnsi="Times New Roman" w:cs="Times New Roman"/>
                      <w:color w:val="auto"/>
                      <w:kern w:val="0"/>
                      <w:szCs w:val="21"/>
                      <w:lang w:eastAsia="zh-CN"/>
                    </w:rPr>
                    <w:t>危废库、污水处理设施、</w:t>
                  </w:r>
                  <w:r>
                    <w:rPr>
                      <w:rFonts w:hint="default" w:ascii="Times New Roman" w:hAnsi="Times New Roman" w:cs="Times New Roman"/>
                      <w:color w:val="auto"/>
                      <w:kern w:val="0"/>
                      <w:szCs w:val="21"/>
                    </w:rPr>
                    <w:t>化学品库、清洗线等采取重点防渗措施。</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环境风险防范</w:t>
                  </w:r>
                </w:p>
              </w:tc>
              <w:tc>
                <w:tcPr>
                  <w:tcW w:w="183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依托中鼎NVH园区1座容积为 300m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的事故应急池，以及雨水排放口截断、应急切换等装置；厂房内新增消防设施，环境管理制度等。</w:t>
                  </w:r>
                </w:p>
              </w:tc>
              <w:tc>
                <w:tcPr>
                  <w:tcW w:w="1631"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kern w:val="0"/>
                      <w:szCs w:val="21"/>
                    </w:rPr>
                    <w:t>依托中鼎NVH园区1座容积为300m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的事故应急池，以及雨水排放口截断、应急切换等装置；厂房内新增消防设施，环境管理制度等</w:t>
                  </w:r>
                  <w:r>
                    <w:rPr>
                      <w:rFonts w:hint="default" w:ascii="Times New Roman" w:hAnsi="Times New Roman" w:eastAsia="宋体" w:cs="Times New Roman"/>
                      <w:bCs/>
                      <w:color w:val="auto"/>
                      <w:sz w:val="21"/>
                      <w:szCs w:val="21"/>
                      <w:lang w:eastAsia="zh-CN"/>
                    </w:rPr>
                    <w:t>。</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bl>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项目变动情况：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1"/>
              <w:gridCol w:w="2137"/>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项目</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 w:val="21"/>
                      <w:szCs w:val="21"/>
                      <w:vertAlign w:val="baseline"/>
                      <w:lang w:eastAsia="zh-CN"/>
                    </w:rPr>
                    <w:t>环评情况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实际建设情况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建设项目开发、使用功能发生变化。</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w:t>
                  </w:r>
                  <w:r>
                    <w:rPr>
                      <w:rFonts w:hint="eastAsia" w:ascii="Times New Roman" w:hAnsi="Times New Roman" w:cs="Times New Roman"/>
                      <w:kern w:val="0"/>
                      <w:sz w:val="21"/>
                      <w:szCs w:val="21"/>
                      <w:lang w:eastAsia="zh-CN"/>
                    </w:rPr>
                    <w:t>宁国中德产业园中鼎集团</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cs="Times New Roman"/>
                      <w:kern w:val="0"/>
                      <w:sz w:val="21"/>
                      <w:szCs w:val="21"/>
                      <w:lang w:eastAsia="zh-CN"/>
                    </w:rPr>
                    <w:t>NVH园区</w:t>
                  </w:r>
                  <w:r>
                    <w:rPr>
                      <w:rFonts w:hint="default"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项目</w:t>
                  </w:r>
                  <w:r>
                    <w:rPr>
                      <w:rFonts w:hint="eastAsia" w:ascii="Times New Roman" w:hAnsi="Times New Roman" w:cs="Times New Roman"/>
                      <w:kern w:val="0"/>
                      <w:sz w:val="21"/>
                      <w:szCs w:val="21"/>
                      <w:lang w:eastAsia="zh-CN"/>
                    </w:rPr>
                    <w:t>位</w:t>
                  </w:r>
                  <w:r>
                    <w:rPr>
                      <w:rFonts w:hint="default" w:ascii="Times New Roman" w:hAnsi="Times New Roman" w:cs="Times New Roman"/>
                      <w:kern w:val="0"/>
                      <w:sz w:val="21"/>
                      <w:szCs w:val="21"/>
                      <w:lang w:eastAsia="zh-CN"/>
                    </w:rPr>
                    <w:t>于</w:t>
                  </w:r>
                  <w:r>
                    <w:rPr>
                      <w:rFonts w:hint="default" w:ascii="Times New Roman" w:hAnsi="Times New Roman" w:cs="Times New Roman" w:eastAsiaTheme="minorEastAsia"/>
                      <w:kern w:val="0"/>
                      <w:sz w:val="21"/>
                      <w:szCs w:val="21"/>
                    </w:rPr>
                    <w:t>安徽省宣城市宁国市</w:t>
                  </w:r>
                  <w:r>
                    <w:rPr>
                      <w:rFonts w:hint="eastAsia" w:ascii="Times New Roman" w:hAnsi="Times New Roman" w:cs="Times New Roman"/>
                      <w:kern w:val="0"/>
                      <w:sz w:val="21"/>
                      <w:szCs w:val="21"/>
                      <w:lang w:eastAsia="zh-CN"/>
                    </w:rPr>
                    <w:t>宁国中德产业园中鼎集团</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cs="Times New Roman"/>
                      <w:kern w:val="0"/>
                      <w:sz w:val="21"/>
                      <w:szCs w:val="21"/>
                      <w:lang w:eastAsia="zh-CN"/>
                    </w:rPr>
                    <w:t>NVH园区</w:t>
                  </w:r>
                  <w:r>
                    <w:rPr>
                      <w:rFonts w:hint="default"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w:t>
                  </w:r>
                  <w:r>
                    <w:rPr>
                      <w:rFonts w:hint="default" w:ascii="Times New Roman" w:hAnsi="Times New Roman" w:eastAsia="宋体" w:cs="Times New Roman"/>
                      <w:sz w:val="21"/>
                      <w:szCs w:val="21"/>
                      <w:vertAlign w:val="baseline"/>
                      <w:lang w:val="en-US" w:eastAsia="zh-CN"/>
                    </w:rPr>
                    <w:t>30%及以上。</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建设内容年产汽车零部件2413万件</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目前实际建设内容年产汽车零部件</w:t>
                  </w:r>
                  <w:r>
                    <w:rPr>
                      <w:rFonts w:hint="eastAsia" w:ascii="Times New Roman" w:hAnsi="Times New Roman" w:eastAsia="宋体" w:cs="Times New Roman"/>
                      <w:spacing w:val="-10"/>
                      <w:sz w:val="21"/>
                      <w:szCs w:val="21"/>
                      <w:lang w:val="en-US" w:eastAsia="zh-CN"/>
                    </w:rPr>
                    <w:t>1500</w:t>
                  </w:r>
                  <w:r>
                    <w:rPr>
                      <w:rFonts w:hint="default" w:ascii="Times New Roman" w:hAnsi="Times New Roman" w:eastAsia="宋体" w:cs="Times New Roman"/>
                      <w:spacing w:val="-10"/>
                      <w:sz w:val="21"/>
                      <w:szCs w:val="21"/>
                    </w:rPr>
                    <w:t>万件</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阶段性验收，不属于重大变动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生产、处置或储存能力增大，导致废水第一类污染物排放量增加。</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位于达标区的建设项目生产、处置或储存能力增大，导致污染物排放量增加10%及以上</w:t>
                  </w:r>
                  <w:r>
                    <w:rPr>
                      <w:rFonts w:hint="default" w:ascii="Times New Roman" w:hAnsi="Times New Roman" w:eastAsia="宋体" w:cs="Times New Roman"/>
                      <w:sz w:val="21"/>
                      <w:szCs w:val="21"/>
                      <w:vertAlign w:val="baseline"/>
                      <w:lang w:eastAsia="zh-CN"/>
                    </w:rPr>
                    <w:t>。</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建设内容年产汽车零部件2413万件</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目前实际建设内容年产汽车零部件</w:t>
                  </w:r>
                  <w:r>
                    <w:rPr>
                      <w:rFonts w:hint="eastAsia" w:ascii="Times New Roman" w:hAnsi="Times New Roman" w:eastAsia="宋体" w:cs="Times New Roman"/>
                      <w:spacing w:val="-10"/>
                      <w:sz w:val="21"/>
                      <w:szCs w:val="21"/>
                      <w:lang w:val="en-US" w:eastAsia="zh-CN"/>
                    </w:rPr>
                    <w:t>1500</w:t>
                  </w:r>
                  <w:r>
                    <w:rPr>
                      <w:rFonts w:hint="default" w:ascii="Times New Roman" w:hAnsi="Times New Roman" w:eastAsia="宋体" w:cs="Times New Roman"/>
                      <w:spacing w:val="-10"/>
                      <w:sz w:val="21"/>
                      <w:szCs w:val="21"/>
                    </w:rPr>
                    <w:t>万件</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阶段性验收，不属于重大变动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在原厂址附近调整（包括总平面布置变化）导致环境防护距离范围变化且新增敏感点。</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w:t>
                  </w:r>
                  <w:r>
                    <w:rPr>
                      <w:rFonts w:hint="eastAsia" w:ascii="Times New Roman" w:hAnsi="Times New Roman" w:cs="Times New Roman"/>
                      <w:kern w:val="0"/>
                      <w:sz w:val="21"/>
                      <w:szCs w:val="21"/>
                      <w:lang w:eastAsia="zh-CN"/>
                    </w:rPr>
                    <w:t>宁国中德产业园中鼎集团</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cs="Times New Roman"/>
                      <w:kern w:val="0"/>
                      <w:sz w:val="21"/>
                      <w:szCs w:val="21"/>
                      <w:lang w:eastAsia="zh-CN"/>
                    </w:rPr>
                    <w:t>NVH园区</w:t>
                  </w:r>
                  <w:r>
                    <w:rPr>
                      <w:rFonts w:hint="default"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项目</w:t>
                  </w:r>
                  <w:r>
                    <w:rPr>
                      <w:rFonts w:hint="eastAsia" w:ascii="Times New Roman" w:hAnsi="Times New Roman" w:cs="Times New Roman"/>
                      <w:kern w:val="0"/>
                      <w:sz w:val="21"/>
                      <w:szCs w:val="21"/>
                      <w:lang w:eastAsia="zh-CN"/>
                    </w:rPr>
                    <w:t>位</w:t>
                  </w:r>
                  <w:r>
                    <w:rPr>
                      <w:rFonts w:hint="default" w:ascii="Times New Roman" w:hAnsi="Times New Roman" w:cs="Times New Roman"/>
                      <w:kern w:val="0"/>
                      <w:sz w:val="21"/>
                      <w:szCs w:val="21"/>
                      <w:lang w:eastAsia="zh-CN"/>
                    </w:rPr>
                    <w:t>于</w:t>
                  </w:r>
                  <w:r>
                    <w:rPr>
                      <w:rFonts w:hint="default" w:ascii="Times New Roman" w:hAnsi="Times New Roman" w:cs="Times New Roman" w:eastAsiaTheme="minorEastAsia"/>
                      <w:kern w:val="0"/>
                      <w:sz w:val="21"/>
                      <w:szCs w:val="21"/>
                    </w:rPr>
                    <w:t>安徽省宣城市宁国市</w:t>
                  </w:r>
                  <w:r>
                    <w:rPr>
                      <w:rFonts w:hint="eastAsia" w:ascii="Times New Roman" w:hAnsi="Times New Roman" w:cs="Times New Roman"/>
                      <w:kern w:val="0"/>
                      <w:sz w:val="21"/>
                      <w:szCs w:val="21"/>
                      <w:lang w:eastAsia="zh-CN"/>
                    </w:rPr>
                    <w:t>宁国中德产业园中鼎集团</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cs="Times New Roman"/>
                      <w:kern w:val="0"/>
                      <w:sz w:val="21"/>
                      <w:szCs w:val="21"/>
                      <w:lang w:eastAsia="zh-CN"/>
                    </w:rPr>
                    <w:t>NVH园区</w:t>
                  </w:r>
                  <w:r>
                    <w:rPr>
                      <w:rFonts w:hint="default"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w:t>
                  </w:r>
                  <w:r>
                    <w:rPr>
                      <w:rFonts w:hint="default" w:ascii="Times New Roman" w:hAnsi="Times New Roman" w:eastAsia="宋体" w:cs="Times New Roman"/>
                      <w:sz w:val="21"/>
                      <w:szCs w:val="21"/>
                      <w:vertAlign w:val="baseline"/>
                      <w:lang w:eastAsia="zh-CN"/>
                    </w:rPr>
                    <w:t>。</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rPr>
                    <w:t>4 条锻造线锻坯加热炉均采用低氮燃烧器，天然气燃烧废气合并1 根 15m 高排气筒排放（DA001）。2条固溶时效炉均采用低氮燃烧器，天然气燃烧废气合并1根15m高排气筒排放（DA002）。</w:t>
                  </w:r>
                  <w:r>
                    <w:rPr>
                      <w:rFonts w:hint="default" w:ascii="Times New Roman" w:hAnsi="Times New Roman" w:cs="Times New Roman"/>
                      <w:lang w:eastAsia="zh-CN"/>
                    </w:rPr>
                    <w:t>采用半封闭式打磨柜，打磨粉尘收集后经 1 套“袋式除尘器”处理后，通过 1 根 15m 高排气筒排放（DA003）。除尘效率 99%，处理规模为8500m</w:t>
                  </w:r>
                  <w:r>
                    <w:rPr>
                      <w:rFonts w:hint="default" w:ascii="Times New Roman" w:hAnsi="Times New Roman" w:cs="Times New Roman"/>
                      <w:vertAlign w:val="superscript"/>
                      <w:lang w:eastAsia="zh-CN"/>
                    </w:rPr>
                    <w:t>3</w:t>
                  </w:r>
                  <w:r>
                    <w:rPr>
                      <w:rFonts w:hint="default" w:ascii="Times New Roman" w:hAnsi="Times New Roman" w:cs="Times New Roman"/>
                      <w:lang w:eastAsia="zh-CN"/>
                    </w:rPr>
                    <w:t>/h。</w:t>
                  </w:r>
                  <w:r>
                    <w:rPr>
                      <w:rFonts w:hint="eastAsia" w:ascii="Times New Roman" w:hAnsi="Times New Roman" w:cs="Times New Roman"/>
                      <w:lang w:eastAsia="zh-CN"/>
                    </w:rPr>
                    <w:t>2 台抛丸机为全封闭式，自带 2 套“袋式除尘器”，除尘后合并1 根 15m 高排气筒排放（DA004）。除尘效率 99%，单台处理规模为5000m</w:t>
                  </w:r>
                  <w:r>
                    <w:rPr>
                      <w:rFonts w:hint="eastAsia" w:ascii="Times New Roman" w:hAnsi="Times New Roman" w:cs="Times New Roman"/>
                      <w:vertAlign w:val="superscript"/>
                      <w:lang w:eastAsia="zh-CN"/>
                    </w:rPr>
                    <w:t>3</w:t>
                  </w:r>
                  <w:r>
                    <w:rPr>
                      <w:rFonts w:hint="eastAsia" w:ascii="Times New Roman" w:hAnsi="Times New Roman" w:cs="Times New Roman"/>
                      <w:lang w:eastAsia="zh-CN"/>
                    </w:rPr>
                    <w:t>/h。4 台焊接设备配套“焊接烟尘净化器”处理后，通过 1 根 15m高排气筒排放（DA005）。</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3条锻造线锻坯加热炉均采用超高速烧嘴低氮燃烧，天然气燃烧废气通过气动混旋喷淋塔处理后经1根15m 高排气筒排放（DA001）。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锻造线锻坯加热废气经喷淋塔+二级工业油烟净化器+活性炭吸附装置处理后，经2根15m 高排气筒排放（DA002、DA003）。</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1条固溶时效炉采用超高速烧嘴低氮燃烧，天然气燃烧废气与锻造线天然气燃烧废气合并通过气动混旋喷淋塔处理后经1根15m 高排气筒排放（DA001）。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2台抛丸机为全封闭式，自带2套“袋式除尘器”，除尘后合并1根15m高排气筒排放（DA004）。</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电阻炉和焊接废气经工业油烟净化器+二级活性炭吸附装置处理后，通过1根 15m高排气筒排放（DA005）。</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vertAlign w:val="baseline"/>
                      <w:lang w:eastAsia="zh-CN"/>
                    </w:rPr>
                  </w:pPr>
                  <w:r>
                    <w:rPr>
                      <w:rFonts w:hint="eastAsia" w:ascii="Times New Roman" w:hAnsi="Times New Roman" w:cs="Times New Roman"/>
                      <w:lang w:val="en-US" w:eastAsia="zh-CN"/>
                    </w:rPr>
                    <w:t>抛光废气经布袋除尘器处理后，通过1根15m高排气筒排放（DA006）。</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本项目</w:t>
                  </w:r>
                  <w:r>
                    <w:rPr>
                      <w:rFonts w:hint="eastAsia" w:ascii="Times New Roman" w:hAnsi="Times New Roman" w:eastAsia="宋体" w:cs="Times New Roman"/>
                      <w:sz w:val="21"/>
                      <w:szCs w:val="21"/>
                      <w:vertAlign w:val="baseline"/>
                      <w:lang w:eastAsia="zh-CN"/>
                    </w:rPr>
                    <w:t>打磨工序</w:t>
                  </w:r>
                  <w:r>
                    <w:rPr>
                      <w:rFonts w:hint="default" w:ascii="Times New Roman" w:hAnsi="Times New Roman" w:cs="Times New Roman"/>
                      <w:szCs w:val="21"/>
                      <w:lang w:eastAsia="zh-CN"/>
                    </w:rPr>
                    <w:t>未建设，</w:t>
                  </w:r>
                  <w:r>
                    <w:rPr>
                      <w:rFonts w:hint="eastAsia" w:ascii="Times New Roman" w:hAnsi="Times New Roman" w:cs="Times New Roman"/>
                      <w:szCs w:val="21"/>
                      <w:lang w:eastAsia="zh-CN"/>
                    </w:rPr>
                    <w:t>不在此次验收范围内；</w:t>
                  </w:r>
                  <w:r>
                    <w:rPr>
                      <w:rFonts w:hint="eastAsia" w:ascii="Times New Roman" w:hAnsi="Times New Roman" w:cs="Times New Roman"/>
                      <w:lang w:val="en-US" w:eastAsia="zh-CN"/>
                    </w:rPr>
                    <w:t>项目建设过程中废气处理设施提升，</w:t>
                  </w:r>
                  <w:r>
                    <w:rPr>
                      <w:rFonts w:hint="default" w:ascii="Times New Roman" w:hAnsi="Times New Roman" w:cs="Times New Roman"/>
                    </w:rPr>
                    <w:t>锻造线锻坯加热</w:t>
                  </w:r>
                  <w:r>
                    <w:rPr>
                      <w:rFonts w:hint="eastAsia" w:ascii="Times New Roman" w:hAnsi="Times New Roman" w:cs="Times New Roman"/>
                      <w:lang w:val="en-US" w:eastAsia="zh-CN"/>
                    </w:rPr>
                    <w:t>产生的油雾经喷淋塔+</w:t>
                  </w:r>
                  <w:r>
                    <w:rPr>
                      <w:rFonts w:hint="eastAsia" w:ascii="Times New Roman" w:hAnsi="Times New Roman" w:cs="Times New Roman"/>
                      <w:lang w:eastAsia="zh-CN"/>
                    </w:rPr>
                    <w:t>二级工业油烟净化器</w:t>
                  </w:r>
                  <w:r>
                    <w:rPr>
                      <w:rFonts w:hint="eastAsia" w:ascii="Times New Roman" w:hAnsi="Times New Roman" w:cs="Times New Roman"/>
                      <w:lang w:val="en-US" w:eastAsia="zh-CN"/>
                    </w:rPr>
                    <w:t>+活性炭吸附装置处理后达标排放，电阻炉产生的油雾经工业油烟净化器+二级活性炭吸附装置处理后达标排放，</w:t>
                  </w: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物料运输、装卸、贮存方式变化，导致大气污染物无组织排放量增加10%及以上</w:t>
                  </w:r>
                  <w:r>
                    <w:rPr>
                      <w:rFonts w:hint="default" w:ascii="Times New Roman" w:hAnsi="Times New Roman" w:eastAsia="宋体" w:cs="Times New Roman"/>
                      <w:sz w:val="21"/>
                      <w:szCs w:val="21"/>
                      <w:vertAlign w:val="baseline"/>
                      <w:lang w:eastAsia="zh-CN"/>
                    </w:rPr>
                    <w:t>。</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2137" w:type="dxa"/>
                  <w:vAlign w:val="center"/>
                </w:tcPr>
                <w:p>
                  <w:pPr>
                    <w:pStyle w:val="21"/>
                    <w:snapToGrid w:val="0"/>
                    <w:spacing w:line="240" w:lineRule="auto"/>
                    <w:ind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cs="Times New Roman"/>
                      <w:szCs w:val="21"/>
                      <w:lang w:eastAsia="zh-CN"/>
                    </w:rPr>
                    <w:t>生产及生活污水依托中鼎NVH 园区内1座规模为1920m</w:t>
                  </w:r>
                  <w:r>
                    <w:rPr>
                      <w:rFonts w:hint="default" w:ascii="Times New Roman" w:hAnsi="Times New Roman" w:cs="Times New Roman"/>
                      <w:szCs w:val="21"/>
                      <w:vertAlign w:val="superscript"/>
                      <w:lang w:eastAsia="zh-CN"/>
                    </w:rPr>
                    <w:t>3</w:t>
                  </w:r>
                  <w:r>
                    <w:rPr>
                      <w:rFonts w:hint="default" w:ascii="Times New Roman" w:hAnsi="Times New Roman" w:cs="Times New Roman"/>
                      <w:szCs w:val="21"/>
                      <w:lang w:eastAsia="zh-CN"/>
                    </w:rPr>
                    <w:t>/d 污水处理站，采用“隔油+混凝沉淀+气浮+A/O+后混凝”工艺，预处理后排入中德智造小镇污水处理厂处理。废水排放量 87.11m</w:t>
                  </w:r>
                  <w:r>
                    <w:rPr>
                      <w:rFonts w:hint="default" w:ascii="Times New Roman" w:hAnsi="Times New Roman" w:cs="Times New Roman"/>
                      <w:szCs w:val="21"/>
                      <w:vertAlign w:val="superscript"/>
                      <w:lang w:eastAsia="zh-CN"/>
                    </w:rPr>
                    <w:t>3</w:t>
                  </w:r>
                  <w:r>
                    <w:rPr>
                      <w:rFonts w:hint="default" w:ascii="Times New Roman" w:hAnsi="Times New Roman" w:cs="Times New Roman"/>
                      <w:szCs w:val="21"/>
                      <w:lang w:eastAsia="zh-CN"/>
                    </w:rPr>
                    <w:t>/d。</w:t>
                  </w:r>
                </w:p>
              </w:tc>
              <w:tc>
                <w:tcPr>
                  <w:tcW w:w="2074" w:type="dxa"/>
                  <w:vAlign w:val="center"/>
                </w:tcPr>
                <w:p>
                  <w:pPr>
                    <w:pStyle w:val="21"/>
                    <w:snapToGrid w:val="0"/>
                    <w:spacing w:line="240" w:lineRule="auto"/>
                    <w:ind w:firstLine="0" w:firstLineChars="0"/>
                    <w:jc w:val="center"/>
                    <w:rPr>
                      <w:rFonts w:hint="default" w:ascii="Times New Roman" w:hAnsi="Times New Roman" w:cs="Times New Roman" w:eastAsiaTheme="minorEastAsia"/>
                      <w:sz w:val="21"/>
                      <w:szCs w:val="21"/>
                      <w:vertAlign w:val="baseline"/>
                      <w:lang w:eastAsia="zh-CN"/>
                    </w:rPr>
                  </w:pPr>
                  <w:r>
                    <w:rPr>
                      <w:rFonts w:hint="eastAsia" w:ascii="Times New Roman" w:hAnsi="Times New Roman" w:cs="Times New Roman"/>
                      <w:szCs w:val="21"/>
                      <w:lang w:eastAsia="zh-CN"/>
                    </w:rPr>
                    <w:t>本项目清洗线生产废水（脱脂废水、碱洗废水、超声波清洗废水、水洗废水）经车间自建污水处理设施预处理后，与超声波清洗废水一并进入中鼎减震厂区综合污水处理站处理，排入中德智造小镇污水处理厂处理；保洁废水、生活污水经化粪池收集进入中鼎减震厂区综合污水处理站处理后，排入中德智造小镇污水处理厂，处理达标后排入东津河。</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清洗线生产废水（脱脂废水、碱洗废水、超声波清洗废水、水洗废水）生产废水经车间污水处理设施中和沉淀预处理后，排入中鼎减震污水处理站，不属于重大变动。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新增废水直接排放口；废水由间接排放改为直接排放；废水直接排放口位置变化，导致不利环境影响加重。</w:t>
                  </w:r>
                </w:p>
              </w:tc>
              <w:tc>
                <w:tcPr>
                  <w:tcW w:w="2137" w:type="dxa"/>
                  <w:vAlign w:val="center"/>
                </w:tcPr>
                <w:p>
                  <w:pPr>
                    <w:pStyle w:val="21"/>
                    <w:snapToGrid w:val="0"/>
                    <w:spacing w:line="240" w:lineRule="auto"/>
                    <w:ind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cs="Times New Roman"/>
                      <w:szCs w:val="21"/>
                      <w:lang w:eastAsia="zh-CN"/>
                    </w:rPr>
                    <w:t>生产及生活污水依托中鼎NVH 园区内1座规模为1920m</w:t>
                  </w:r>
                  <w:r>
                    <w:rPr>
                      <w:rFonts w:hint="default" w:ascii="Times New Roman" w:hAnsi="Times New Roman" w:cs="Times New Roman"/>
                      <w:szCs w:val="21"/>
                      <w:vertAlign w:val="superscript"/>
                      <w:lang w:eastAsia="zh-CN"/>
                    </w:rPr>
                    <w:t>3</w:t>
                  </w:r>
                  <w:r>
                    <w:rPr>
                      <w:rFonts w:hint="default" w:ascii="Times New Roman" w:hAnsi="Times New Roman" w:cs="Times New Roman"/>
                      <w:szCs w:val="21"/>
                      <w:lang w:eastAsia="zh-CN"/>
                    </w:rPr>
                    <w:t>/d 污水处理站，采用“隔油+混凝沉淀+气浮+A/O+后混凝”工艺，预处理后排入中德智造小镇污水处理厂处理。废水排放量 87.11m</w:t>
                  </w:r>
                  <w:r>
                    <w:rPr>
                      <w:rFonts w:hint="default" w:ascii="Times New Roman" w:hAnsi="Times New Roman" w:cs="Times New Roman"/>
                      <w:szCs w:val="21"/>
                      <w:vertAlign w:val="superscript"/>
                      <w:lang w:eastAsia="zh-CN"/>
                    </w:rPr>
                    <w:t>3</w:t>
                  </w:r>
                  <w:r>
                    <w:rPr>
                      <w:rFonts w:hint="default" w:ascii="Times New Roman" w:hAnsi="Times New Roman" w:cs="Times New Roman"/>
                      <w:szCs w:val="21"/>
                      <w:lang w:eastAsia="zh-CN"/>
                    </w:rPr>
                    <w:t>/d。</w:t>
                  </w:r>
                </w:p>
              </w:tc>
              <w:tc>
                <w:tcPr>
                  <w:tcW w:w="2074" w:type="dxa"/>
                  <w:vAlign w:val="center"/>
                </w:tcPr>
                <w:p>
                  <w:pPr>
                    <w:pStyle w:val="21"/>
                    <w:snapToGrid w:val="0"/>
                    <w:spacing w:line="240" w:lineRule="auto"/>
                    <w:ind w:firstLine="0" w:firstLineChars="0"/>
                    <w:jc w:val="center"/>
                    <w:rPr>
                      <w:rFonts w:hint="default" w:ascii="Times New Roman" w:hAnsi="Times New Roman" w:eastAsia="宋体" w:cs="Times New Roman"/>
                      <w:sz w:val="21"/>
                      <w:szCs w:val="21"/>
                      <w:vertAlign w:val="baseline"/>
                      <w:lang w:eastAsia="zh-CN"/>
                    </w:rPr>
                  </w:pPr>
                  <w:r>
                    <w:rPr>
                      <w:rFonts w:hint="eastAsia" w:ascii="Times New Roman" w:hAnsi="Times New Roman" w:cs="Times New Roman"/>
                      <w:szCs w:val="21"/>
                      <w:lang w:eastAsia="zh-CN"/>
                    </w:rPr>
                    <w:t>本项目清洗线生产废水（脱脂废水、碱洗废水、超声波清洗废水、水洗废水）经车间自建污水处理设施预处理后，与超声波清洗废水一并进入中鼎减震厂区综合污水处理站处理，排入中德智造小镇污水处理厂处理；保洁废水、生活污水经化粪池收集进入中鼎减震厂区综合污水处理站处理后，排入中德智造小镇污水处理厂，处理达标后排入东津河。</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清洗线生产废水（脱脂废水、碱洗废水、超声波清洗废水、水洗废水）生产废水经车间污水处理设施中和沉淀预处理后，排入中鼎减震污水处理站，不属于重大变动。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sz w:val="21"/>
                      <w:szCs w:val="21"/>
                      <w:vertAlign w:val="baseline"/>
                      <w:lang w:eastAsia="zh-CN"/>
                    </w:rPr>
                    <w:t>。</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rPr>
                    <w:t>4 条锻造线锻坯加热炉均采用低氮燃烧器，天然气燃烧废气合并1 根 15m 高排气筒排放（DA001）。2条固溶时效炉均采用低氮燃烧器，天然气燃烧废气合并1根15m高排气筒排放（DA002）。</w:t>
                  </w:r>
                  <w:r>
                    <w:rPr>
                      <w:rFonts w:hint="default" w:ascii="Times New Roman" w:hAnsi="Times New Roman" w:cs="Times New Roman"/>
                      <w:lang w:eastAsia="zh-CN"/>
                    </w:rPr>
                    <w:t>采用半封闭式打磨柜，打磨粉尘收集后经 1 套“袋式除尘器”处理后，通过 1 根 15m 高排气筒排放（DA003）。除尘效率 99%，处理规模为8500m</w:t>
                  </w:r>
                  <w:r>
                    <w:rPr>
                      <w:rFonts w:hint="default" w:ascii="Times New Roman" w:hAnsi="Times New Roman" w:cs="Times New Roman"/>
                      <w:vertAlign w:val="superscript"/>
                      <w:lang w:eastAsia="zh-CN"/>
                    </w:rPr>
                    <w:t>3</w:t>
                  </w:r>
                  <w:r>
                    <w:rPr>
                      <w:rFonts w:hint="default" w:ascii="Times New Roman" w:hAnsi="Times New Roman" w:cs="Times New Roman"/>
                      <w:lang w:eastAsia="zh-CN"/>
                    </w:rPr>
                    <w:t>/h。</w:t>
                  </w:r>
                  <w:r>
                    <w:rPr>
                      <w:rFonts w:hint="eastAsia" w:ascii="Times New Roman" w:hAnsi="Times New Roman" w:cs="Times New Roman"/>
                      <w:lang w:eastAsia="zh-CN"/>
                    </w:rPr>
                    <w:t>2 台抛丸机为全封闭式，自带 2 套“袋式除尘器”，除尘后合并1 根 15m 高排气筒排放（DA004）。除尘效率 99%，单台处理规模为5000m</w:t>
                  </w:r>
                  <w:r>
                    <w:rPr>
                      <w:rFonts w:hint="eastAsia" w:ascii="Times New Roman" w:hAnsi="Times New Roman" w:cs="Times New Roman"/>
                      <w:vertAlign w:val="superscript"/>
                      <w:lang w:eastAsia="zh-CN"/>
                    </w:rPr>
                    <w:t>3</w:t>
                  </w:r>
                  <w:r>
                    <w:rPr>
                      <w:rFonts w:hint="eastAsia" w:ascii="Times New Roman" w:hAnsi="Times New Roman" w:cs="Times New Roman"/>
                      <w:lang w:eastAsia="zh-CN"/>
                    </w:rPr>
                    <w:t>/h。4 台焊接设备配套“焊接烟尘净化器”处理后，通过 1 根 15m高排气筒排放（DA005）。</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3条锻造线锻坯加热炉均采用超高速烧嘴低氮燃烧，天然气燃烧废气通过气动混旋喷淋塔处理后经1根15m 高排气筒排放（DA001）。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锻造线锻坯加热废气经喷淋塔+二级工业油烟净化器+活性炭吸附装置处理后，经2根15m 高排气筒排放（DA002、DA003）。</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1条固溶时效炉采用超高速烧嘴低氮燃烧，天然气燃烧废气与锻造线天然气燃烧废气合并通过气动混旋喷淋塔处理后经1根15m 高排气筒排放（DA001）。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2台抛丸机为全封闭式，自带2套“袋式除尘器”，除尘后合并1根15m高排气筒排放（DA004）。</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电阻炉和焊接废气经工业油烟净化器+二级活性炭吸附装置处理后，通过1根 15m高排气筒排放（DA005）。</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vertAlign w:val="baseline"/>
                      <w:lang w:eastAsia="zh-CN"/>
                    </w:rPr>
                  </w:pPr>
                  <w:r>
                    <w:rPr>
                      <w:rFonts w:hint="eastAsia" w:ascii="Times New Roman" w:hAnsi="Times New Roman" w:cs="Times New Roman"/>
                      <w:lang w:val="en-US" w:eastAsia="zh-CN"/>
                    </w:rPr>
                    <w:t>抛光废气经布袋除尘器处理后，通过1根15m高排气筒排放（DA006）。</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本项目打磨工序未建设，不在此次验收范围内；项目建设过程中废气处理设施提升，锻造线锻坯加热产生的油雾经喷淋塔+二级工业油烟净化器+活性炭吸附装置处理后达标排放，电阻炉和焊接废气经工业油烟净化器+二级活性炭吸附装置处理后达标排放，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噪声、土壤或地下水污染防治措施变化，导致不利环境影响加重。</w:t>
                  </w:r>
                </w:p>
              </w:tc>
              <w:tc>
                <w:tcPr>
                  <w:tcW w:w="2137"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Cs w:val="21"/>
                    </w:rPr>
                    <w:t>选用低噪声设备，采取减振、厂房隔声等措施。</w:t>
                  </w:r>
                  <w:r>
                    <w:rPr>
                      <w:rFonts w:hint="default" w:ascii="Times New Roman" w:hAnsi="Times New Roman" w:cs="Times New Roman"/>
                      <w:color w:val="auto"/>
                      <w:kern w:val="0"/>
                      <w:szCs w:val="21"/>
                    </w:rPr>
                    <w:t>危废库、污水处理站均依托中鼎NVH园区内设施及现有重点防渗措施；项目化学品库、清洗线等采取重点防渗措施。</w:t>
                  </w:r>
                </w:p>
              </w:tc>
              <w:tc>
                <w:tcPr>
                  <w:tcW w:w="2074"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lang w:eastAsia="zh-CN"/>
                    </w:rPr>
                    <w:t>选用低噪声设备，优化车间内设备</w:t>
                  </w:r>
                  <w:r>
                    <w:rPr>
                      <w:rFonts w:hint="default" w:ascii="Times New Roman" w:hAnsi="Times New Roman" w:cs="Times New Roman"/>
                      <w:sz w:val="21"/>
                      <w:szCs w:val="21"/>
                      <w:lang w:eastAsia="zh-CN"/>
                    </w:rPr>
                    <w:t>布局</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采取隔</w:t>
                  </w:r>
                  <w:r>
                    <w:rPr>
                      <w:rFonts w:hint="default" w:ascii="Times New Roman" w:hAnsi="Times New Roman" w:eastAsia="宋体" w:cs="Times New Roman"/>
                      <w:sz w:val="21"/>
                      <w:szCs w:val="21"/>
                      <w:lang w:eastAsia="zh-CN"/>
                    </w:rPr>
                    <w:t>声</w:t>
                  </w:r>
                  <w:r>
                    <w:rPr>
                      <w:rFonts w:hint="default" w:ascii="Times New Roman" w:hAnsi="Times New Roman" w:eastAsia="宋体" w:cs="Times New Roman"/>
                      <w:sz w:val="21"/>
                      <w:szCs w:val="21"/>
                    </w:rPr>
                    <w:t>减震</w:t>
                  </w:r>
                  <w:r>
                    <w:rPr>
                      <w:rFonts w:hint="default" w:ascii="Times New Roman" w:hAnsi="Times New Roman" w:eastAsia="宋体" w:cs="Times New Roman"/>
                      <w:sz w:val="21"/>
                      <w:szCs w:val="21"/>
                      <w:lang w:eastAsia="zh-CN"/>
                    </w:rPr>
                    <w:t>等降噪</w:t>
                  </w:r>
                  <w:r>
                    <w:rPr>
                      <w:rFonts w:hint="default" w:ascii="Times New Roman" w:hAnsi="Times New Roman" w:eastAsia="宋体" w:cs="Times New Roman"/>
                      <w:sz w:val="21"/>
                      <w:szCs w:val="21"/>
                    </w:rPr>
                    <w:t>措施</w:t>
                  </w:r>
                  <w:r>
                    <w:rPr>
                      <w:rFonts w:hint="default" w:ascii="Times New Roman" w:hAnsi="Times New Roman" w:cs="Times New Roman"/>
                      <w:sz w:val="21"/>
                      <w:szCs w:val="21"/>
                      <w:lang w:eastAsia="zh-CN"/>
                    </w:rPr>
                    <w:t>。</w:t>
                  </w:r>
                  <w:r>
                    <w:rPr>
                      <w:rFonts w:hint="default" w:ascii="Times New Roman" w:hAnsi="Times New Roman" w:cs="Times New Roman"/>
                      <w:color w:val="auto"/>
                      <w:kern w:val="0"/>
                      <w:szCs w:val="21"/>
                    </w:rPr>
                    <w:t>项目化学品库、清洗线</w:t>
                  </w:r>
                  <w:r>
                    <w:rPr>
                      <w:rFonts w:hint="eastAsia" w:ascii="Times New Roman" w:hAnsi="Times New Roman" w:cs="Times New Roman"/>
                      <w:color w:val="auto"/>
                      <w:kern w:val="0"/>
                      <w:szCs w:val="21"/>
                      <w:lang w:eastAsia="zh-CN"/>
                    </w:rPr>
                    <w:t>、危废库、污水处理设施</w:t>
                  </w:r>
                  <w:r>
                    <w:rPr>
                      <w:rFonts w:hint="default" w:ascii="Times New Roman" w:hAnsi="Times New Roman" w:cs="Times New Roman"/>
                      <w:color w:val="auto"/>
                      <w:kern w:val="0"/>
                      <w:szCs w:val="21"/>
                    </w:rPr>
                    <w:t>等采取重点防渗措施。</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6"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固体废物利用处置方式由委托外单位利用处置改为自行利用处置的（自行利用处置设施单独开展环境影响评价的除外）；固体废物自行处置方式变化，导致不利环境影响加重。</w:t>
                  </w:r>
                </w:p>
              </w:tc>
              <w:tc>
                <w:tcPr>
                  <w:tcW w:w="2137"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cs="Times New Roman"/>
                      <w:color w:val="auto"/>
                      <w:kern w:val="0"/>
                      <w:szCs w:val="21"/>
                    </w:rPr>
                    <w:t>项目产生的废切削液、脱脂槽渣、碱洗槽渣、废润滑油、废化学品桶等危废依托中鼎NVH园区 1 座面积约200m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危废库暂存，项目使用面积约30m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。禁止与减震危废混放，应分区存放，设置分区标识牌，并单独委托有资质的危废单位处置。</w:t>
                  </w:r>
                </w:p>
              </w:tc>
              <w:tc>
                <w:tcPr>
                  <w:tcW w:w="2074"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vertAlign w:val="baseline"/>
                      <w:lang w:eastAsia="zh-CN"/>
                    </w:rPr>
                  </w:pPr>
                  <w:r>
                    <w:rPr>
                      <w:rFonts w:hint="default" w:ascii="Times New Roman" w:hAnsi="Times New Roman" w:cs="Times New Roman"/>
                      <w:color w:val="auto"/>
                      <w:kern w:val="0"/>
                      <w:szCs w:val="21"/>
                    </w:rPr>
                    <w:t>项目产生的废切削液、脱脂槽渣、碱洗槽渣、废润滑油、废乳化液、废活性炭、浓缩污泥等危废，新建1座面积约30m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危废库暂存，分区存放，设置分区标识牌，并单独委托有资质的危废单位处置。</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eastAsia="zh-CN"/>
                    </w:rPr>
                    <w:t>危废暂存于自建危废库中，面积为</w:t>
                  </w:r>
                  <w:r>
                    <w:rPr>
                      <w:rFonts w:hint="eastAsia" w:ascii="Times New Roman" w:hAnsi="Times New Roman" w:eastAsia="宋体" w:cs="Times New Roman"/>
                      <w:sz w:val="21"/>
                      <w:szCs w:val="21"/>
                      <w:vertAlign w:val="baseline"/>
                      <w:lang w:val="en-US" w:eastAsia="zh-CN"/>
                    </w:rPr>
                    <w:t>30m</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vertAlign w:val="baseline"/>
                      <w:lang w:val="en-US" w:eastAsia="zh-CN"/>
                    </w:rPr>
                    <w:t>，不依托中鼎NVH园区，不属于重大变动。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事故废水暂存能力或拦截设施变化，导致环境风险防范能力弱化或降低。</w:t>
                  </w:r>
                </w:p>
              </w:tc>
              <w:tc>
                <w:tcPr>
                  <w:tcW w:w="2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color w:val="auto"/>
                      <w:kern w:val="0"/>
                      <w:szCs w:val="21"/>
                    </w:rPr>
                    <w:t>依托中鼎NVH园区1座容积为300m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的事故应急池，以及雨水排放口截断、应急切换等装置</w:t>
                  </w:r>
                  <w:r>
                    <w:rPr>
                      <w:rFonts w:hint="eastAsia" w:ascii="Times New Roman" w:hAnsi="Times New Roman" w:cs="Times New Roman"/>
                      <w:color w:val="auto"/>
                      <w:kern w:val="0"/>
                      <w:szCs w:val="21"/>
                      <w:lang w:eastAsia="zh-CN"/>
                    </w:rPr>
                    <w:t>。</w:t>
                  </w:r>
                </w:p>
              </w:tc>
              <w:tc>
                <w:tcPr>
                  <w:tcW w:w="20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vertAlign w:val="baseline"/>
                      <w:lang w:eastAsia="zh-CN"/>
                    </w:rPr>
                  </w:pPr>
                  <w:r>
                    <w:rPr>
                      <w:rFonts w:hint="default" w:ascii="Times New Roman" w:hAnsi="Times New Roman" w:cs="Times New Roman"/>
                      <w:color w:val="auto"/>
                      <w:kern w:val="0"/>
                      <w:szCs w:val="21"/>
                    </w:rPr>
                    <w:t>依托中鼎NVH园区1座容积为300m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的事故应急池，以及雨水排放口截断、应急切换等装置</w:t>
                  </w:r>
                  <w:r>
                    <w:rPr>
                      <w:rFonts w:hint="eastAsia" w:ascii="Times New Roman" w:hAnsi="Times New Roman" w:cs="Times New Roman"/>
                      <w:color w:val="auto"/>
                      <w:kern w:val="0"/>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bl>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eastAsia" w:ascii="Times New Roman" w:hAnsi="Times New Roman" w:cs="Times New Roman"/>
                <w:sz w:val="24"/>
                <w:szCs w:val="24"/>
                <w:lang w:val="en-US" w:eastAsia="zh-CN"/>
              </w:rPr>
              <w:t>对照</w:t>
            </w:r>
            <w:r>
              <w:rPr>
                <w:rFonts w:hint="default" w:ascii="Times New Roman" w:hAnsi="Times New Roman" w:cs="Times New Roman"/>
                <w:sz w:val="24"/>
                <w:szCs w:val="24"/>
                <w:lang w:val="en-US" w:eastAsia="zh-CN"/>
              </w:rPr>
              <w:t>《污染影响类建设项目重大变动清单(试行)》(环办环评函[2020]688 号文)</w:t>
            </w:r>
            <w:r>
              <w:rPr>
                <w:rFonts w:hint="eastAsia" w:ascii="Times New Roman" w:hAnsi="Times New Roman" w:cs="Times New Roman"/>
                <w:sz w:val="24"/>
                <w:szCs w:val="24"/>
                <w:lang w:val="en-US" w:eastAsia="zh-CN"/>
              </w:rPr>
              <w:t>，本项目无重大变动。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4"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四、原辅材料消耗及水平衡：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1、原辅材料消耗情况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表4-1 项目原辅材料及燃料</w:t>
            </w:r>
          </w:p>
          <w:tbl>
            <w:tblPr>
              <w:tblStyle w:val="1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33"/>
              <w:gridCol w:w="1881"/>
              <w:gridCol w:w="1658"/>
              <w:gridCol w:w="1658"/>
              <w:gridCol w:w="16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12" w:space="0"/>
                    <w:left w:val="single" w:color="auto" w:sz="0"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134" w:type="pct"/>
                  <w:tcBorders>
                    <w:top w:val="single" w:color="auto" w:sz="12"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环评数量</w:t>
                  </w:r>
                </w:p>
              </w:tc>
              <w:tc>
                <w:tcPr>
                  <w:tcW w:w="1001" w:type="pct"/>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铝棒</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pacing w:val="-2"/>
                      <w:sz w:val="21"/>
                      <w:szCs w:val="21"/>
                      <w:lang w:val="en-US" w:eastAsia="zh-CN"/>
                    </w:rPr>
                    <w:t>19700</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11025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半成品毛坯件</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万件</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pacing w:val="-2"/>
                      <w:sz w:val="21"/>
                      <w:szCs w:val="21"/>
                      <w:lang w:val="en-US" w:eastAsia="zh-CN"/>
                    </w:rPr>
                    <w:t>1108</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38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衬套</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万件</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316</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eastAsia="zh-CN"/>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橡胶件</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万件</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2"/>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1250</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塑料件</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2"/>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242</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簧圈</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万件</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2"/>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1305</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防尘罩</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万件</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2"/>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2216</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其他配件</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万件</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2413</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r>
                    <w:rPr>
                      <w:rFonts w:hint="default" w:ascii="Times New Roman" w:hAnsi="Times New Roman" w:eastAsia="宋体" w:cs="Times New Roman"/>
                      <w:sz w:val="21"/>
                      <w:szCs w:val="21"/>
                      <w:lang w:val="en-US" w:eastAsia="zh-CN"/>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焊材</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润滑油脂</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13.5</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脱脂剂</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51.3</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氢氧化钠</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102.6</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洗洁精（清洗剂）</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6.528</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钢丸</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水基切削液</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荧光渗透剂</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润滑油</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天然气</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万</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148.8</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水</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30698.4</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23550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4"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ascii="Times New Roman" w:hAnsi="Times New Roman" w:eastAsia="宋体" w:cs="Times New Roman"/>
                      <w:sz w:val="21"/>
                      <w:szCs w:val="21"/>
                      <w:lang w:val="en-US" w:eastAsia="zh-CN"/>
                    </w:rPr>
                  </w:pPr>
                </w:p>
              </w:tc>
              <w:tc>
                <w:tcPr>
                  <w:tcW w:w="1134"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电</w:t>
                  </w:r>
                </w:p>
              </w:tc>
              <w:tc>
                <w:tcPr>
                  <w:tcW w:w="99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rPr>
                    <w:t>万</w:t>
                  </w:r>
                  <w:r>
                    <w:rPr>
                      <w:rFonts w:hint="default" w:ascii="Times New Roman" w:hAnsi="Times New Roman" w:eastAsia="宋体" w:cs="Times New Roman"/>
                      <w:color w:val="auto"/>
                      <w:kern w:val="0"/>
                      <w:sz w:val="21"/>
                      <w:szCs w:val="21"/>
                      <w:lang w:val="en-US" w:eastAsia="zh-CN"/>
                    </w:rPr>
                    <w:t>kwh</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a</w:t>
                  </w:r>
                </w:p>
              </w:tc>
              <w:tc>
                <w:tcPr>
                  <w:tcW w:w="999" w:type="pct"/>
                  <w:tcBorders>
                    <w:top w:val="single" w:color="auto" w:sz="4" w:space="0"/>
                    <w:left w:val="single" w:color="auto" w:sz="4" w:space="0"/>
                    <w:bottom w:val="single" w:color="auto" w:sz="12" w:space="0"/>
                    <w:right w:val="single" w:color="auto" w:sz="4" w:space="0"/>
                  </w:tcBorders>
                  <w:noWrap w:val="0"/>
                  <w:vAlign w:val="center"/>
                </w:tcPr>
                <w:p>
                  <w:pPr>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1848</w:t>
                  </w:r>
                </w:p>
              </w:tc>
              <w:tc>
                <w:tcPr>
                  <w:tcW w:w="1001" w:type="pct"/>
                  <w:tcBorders>
                    <w:top w:val="single" w:color="auto" w:sz="4" w:space="0"/>
                    <w:left w:val="single" w:color="auto" w:sz="4" w:space="0"/>
                    <w:bottom w:val="single" w:color="auto" w:sz="12"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1500</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2、主要生产设备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表4-2 项目主要生产设备一览表</w:t>
            </w:r>
          </w:p>
          <w:tbl>
            <w:tblPr>
              <w:tblStyle w:val="1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22"/>
              <w:gridCol w:w="1881"/>
              <w:gridCol w:w="2503"/>
              <w:gridCol w:w="1651"/>
              <w:gridCol w:w="16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序号</w:t>
                  </w:r>
                </w:p>
              </w:tc>
              <w:tc>
                <w:tcPr>
                  <w:tcW w:w="188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设备名称</w:t>
                  </w:r>
                </w:p>
              </w:tc>
              <w:tc>
                <w:tcPr>
                  <w:tcW w:w="250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型号</w:t>
                  </w:r>
                </w:p>
              </w:tc>
              <w:tc>
                <w:tcPr>
                  <w:tcW w:w="165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环评</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c>
                <w:tcPr>
                  <w:tcW w:w="1619"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高速圆角下料机</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CL-150NC</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6</w:t>
                  </w:r>
                </w:p>
              </w:tc>
              <w:tc>
                <w:tcPr>
                  <w:tcW w:w="1619"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带锯床</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GY5130-1</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2500T 自动锻造线</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lang w:val="en-US" w:eastAsia="zh-CN"/>
                    </w:rPr>
                    <w:t>2500T，低氮燃烧</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3150T 自动锻造线</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3150T，低氮燃烧</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4000T 自动锻造线</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lang w:val="en-US" w:eastAsia="zh-CN"/>
                    </w:rPr>
                    <w:t>4000T，低氮燃烧</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箱式固溶时效线</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lang w:val="en-US" w:eastAsia="zh-CN"/>
                    </w:rPr>
                    <w:t>JH972，低氮燃烧</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箱式时效炉</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lang w:val="en-US" w:eastAsia="zh-CN"/>
                    </w:rPr>
                    <w:t>定制，电加热</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4</w:t>
                  </w:r>
                </w:p>
              </w:tc>
              <w:tc>
                <w:tcPr>
                  <w:tcW w:w="1619"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时效炉</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lang w:val="en-US" w:eastAsia="zh-CN"/>
                    </w:rPr>
                    <w:t>定制，电加热</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4</w:t>
                  </w:r>
                </w:p>
              </w:tc>
              <w:tc>
                <w:tcPr>
                  <w:tcW w:w="1619"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回火炉</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lang w:val="en-US" w:eastAsia="zh-CN"/>
                    </w:rPr>
                    <w:t>RX-60，电加热</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高频感应淬火设备</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rPr>
                    <w:t>HKVP50T，水</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热处理实验炉</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rPr>
                    <w:t>NA500/65/B500，电加热</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打磨工作站</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定制</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5</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两磨头圆盘抛光机</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rPr>
                    <w:t>PD-D60T2</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网带通过式抛丸机</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sz w:val="21"/>
                      <w:szCs w:val="21"/>
                      <w:lang w:val="en-US" w:eastAsia="zh-CN"/>
                    </w:rPr>
                    <w:t>WD1100-8</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球面数控车床</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QT8150/H</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5</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滚牙机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NTR-10T</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sz w:val="21"/>
                      <w:szCs w:val="21"/>
                      <w:lang w:val="en-US" w:eastAsia="zh-CN"/>
                    </w:rPr>
                    <w:t>3</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球销倒角钻孔机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QXZ-3</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3</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机加工作站一体自动化</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M08J-II</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6</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OBJ自动线</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定制</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数控油压滚丝机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NTR-10T</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3</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拉杆球头车床</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OT8150-GH</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sz w:val="21"/>
                      <w:szCs w:val="21"/>
                      <w:lang w:val="en-US" w:eastAsia="zh-CN"/>
                    </w:rPr>
                    <w:t>4</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立式加工中心</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VL4</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加工中心</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定制</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sz w:val="21"/>
                      <w:szCs w:val="21"/>
                      <w:lang w:val="en-US" w:eastAsia="zh-CN"/>
                    </w:rPr>
                    <w:t>50</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CNC刀塔车床</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M08J-ii</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摇篮式五轴</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FHR025CL+HD4-EX-EO</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摇臂钻床</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Z3050x16</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台钻</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Z4116B</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数控加工中心</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CV-1200A</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大车床</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L-5A/2000</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数控机床</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OX4Q/OX5Q/OX2/OXG/</w:t>
                  </w:r>
                </w:p>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OX1H/IX1Q/IX1H/OT1Q/</w:t>
                  </w:r>
                </w:p>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OT1H/EK</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lang w:val="en-US" w:eastAsia="zh-CN"/>
                    </w:rPr>
                    <w:t>5</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超声波清洗机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JH-6000T</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自动清洗线</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不锈钢材质</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脱脂槽</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3200*1200*1000</w:t>
                  </w:r>
                  <w:r>
                    <w:rPr>
                      <w:rFonts w:hint="eastAsia" w:ascii="Times New Roman" w:hAnsi="Times New Roman" w:eastAsia="宋体" w:cs="Times New Roman"/>
                      <w:color w:val="000000"/>
                      <w:kern w:val="0"/>
                      <w:sz w:val="21"/>
                      <w:szCs w:val="21"/>
                      <w:lang w:val="en-US" w:eastAsia="zh-CN" w:bidi="ar"/>
                    </w:rPr>
                    <w:t>mm</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水洗槽</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3200*1200*1000</w:t>
                  </w:r>
                  <w:r>
                    <w:rPr>
                      <w:rFonts w:hint="eastAsia" w:ascii="Times New Roman" w:hAnsi="Times New Roman" w:eastAsia="宋体" w:cs="Times New Roman"/>
                      <w:color w:val="000000"/>
                      <w:kern w:val="0"/>
                      <w:sz w:val="21"/>
                      <w:szCs w:val="21"/>
                      <w:lang w:val="en-US" w:eastAsia="zh-CN" w:bidi="ar"/>
                    </w:rPr>
                    <w:t>mm</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碱洗槽</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3200*1200*1000</w:t>
                  </w:r>
                  <w:r>
                    <w:rPr>
                      <w:rFonts w:hint="eastAsia" w:ascii="Times New Roman" w:hAnsi="Times New Roman" w:eastAsia="宋体" w:cs="Times New Roman"/>
                      <w:color w:val="000000"/>
                      <w:kern w:val="0"/>
                      <w:sz w:val="21"/>
                      <w:szCs w:val="21"/>
                      <w:lang w:val="en-US" w:eastAsia="zh-CN" w:bidi="ar"/>
                    </w:rPr>
                    <w:t>mm</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超声波清洗槽</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3200*1200*1000</w:t>
                  </w:r>
                  <w:r>
                    <w:rPr>
                      <w:rFonts w:hint="eastAsia" w:ascii="Times New Roman" w:hAnsi="Times New Roman" w:eastAsia="宋体" w:cs="Times New Roman"/>
                      <w:color w:val="000000"/>
                      <w:kern w:val="0"/>
                      <w:sz w:val="21"/>
                      <w:szCs w:val="21"/>
                      <w:lang w:val="en-US" w:eastAsia="zh-CN" w:bidi="ar"/>
                    </w:rPr>
                    <w:t>mm</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荧光液槽</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3200*1200*1000</w:t>
                  </w:r>
                  <w:r>
                    <w:rPr>
                      <w:rFonts w:hint="eastAsia" w:ascii="Times New Roman" w:hAnsi="Times New Roman" w:eastAsia="宋体" w:cs="Times New Roman"/>
                      <w:color w:val="000000"/>
                      <w:kern w:val="0"/>
                      <w:sz w:val="21"/>
                      <w:szCs w:val="21"/>
                      <w:lang w:val="en-US" w:eastAsia="zh-CN" w:bidi="ar"/>
                    </w:rPr>
                    <w:t>mm</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热水洗槽</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3200*1200*1000</w:t>
                  </w:r>
                  <w:r>
                    <w:rPr>
                      <w:rFonts w:hint="eastAsia" w:ascii="Times New Roman" w:hAnsi="Times New Roman" w:eastAsia="宋体" w:cs="Times New Roman"/>
                      <w:color w:val="000000"/>
                      <w:kern w:val="0"/>
                      <w:sz w:val="21"/>
                      <w:szCs w:val="21"/>
                      <w:lang w:val="en-US" w:eastAsia="zh-CN" w:bidi="ar"/>
                    </w:rPr>
                    <w:t>mm</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自动吹水槽</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3200*1200*1000</w:t>
                  </w:r>
                  <w:r>
                    <w:rPr>
                      <w:rFonts w:hint="eastAsia" w:ascii="Times New Roman" w:hAnsi="Times New Roman" w:eastAsia="宋体" w:cs="Times New Roman"/>
                      <w:color w:val="000000"/>
                      <w:kern w:val="0"/>
                      <w:sz w:val="21"/>
                      <w:szCs w:val="21"/>
                      <w:lang w:val="en-US" w:eastAsia="zh-CN" w:bidi="ar"/>
                    </w:rPr>
                    <w:t>mm</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人工吹水槽</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L1.5×W0.8×H1.5m</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烘干槽（电加热）</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L1.5×W1.8×H1.5m</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摆臂组装生产线</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WJFA221</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摆臂组装生产线工装</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定制</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IBJ组装生产线</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WJAF235</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OBJ柔性组装生产线</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WJAF241</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十字球销套装配线</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WJAF248</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连接杆自动生产线</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WJAF246</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理想 W01 组装生产线</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WJFA253</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E11（X01）组装生产线</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RIG-A179</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EK 组装生产线</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RIG-A173</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EK 手动组装生产线</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RIG-A180</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立式装配机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25T</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EK 产线</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定制</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装配 OBJ</w:t>
                  </w:r>
                </w:p>
              </w:tc>
              <w:tc>
                <w:tcPr>
                  <w:tcW w:w="2503" w:type="dxa"/>
                  <w:tcBorders>
                    <w:tl2br w:val="nil"/>
                    <w:tr2bl w:val="nil"/>
                  </w:tcBorders>
                  <w:noWrap w:val="0"/>
                  <w:vAlign w:val="center"/>
                </w:tcPr>
                <w:p>
                  <w:pPr>
                    <w:keepNext w:val="0"/>
                    <w:keepLines w:val="0"/>
                    <w:widowControl/>
                    <w:suppressLineNumbers w:val="0"/>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定制</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装配 IBJ 自动</w:t>
                  </w:r>
                </w:p>
              </w:tc>
              <w:tc>
                <w:tcPr>
                  <w:tcW w:w="2503" w:type="dxa"/>
                  <w:tcBorders>
                    <w:tl2br w:val="nil"/>
                    <w:tr2bl w:val="nil"/>
                  </w:tcBorders>
                  <w:noWrap w:val="0"/>
                  <w:vAlign w:val="center"/>
                </w:tcPr>
                <w:p>
                  <w:pPr>
                    <w:keepNext w:val="0"/>
                    <w:keepLines w:val="0"/>
                    <w:widowControl/>
                    <w:suppressLineNumbers w:val="0"/>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定制</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连接杆装配线</w:t>
                  </w:r>
                </w:p>
              </w:tc>
              <w:tc>
                <w:tcPr>
                  <w:tcW w:w="2503" w:type="dxa"/>
                  <w:tcBorders>
                    <w:tl2br w:val="nil"/>
                    <w:tr2bl w:val="nil"/>
                  </w:tcBorders>
                  <w:noWrap w:val="0"/>
                  <w:vAlign w:val="center"/>
                </w:tcPr>
                <w:p>
                  <w:pPr>
                    <w:keepNext w:val="0"/>
                    <w:keepLines w:val="0"/>
                    <w:widowControl/>
                    <w:suppressLineNumbers w:val="0"/>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定制</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立式压装</w:t>
                  </w:r>
                </w:p>
              </w:tc>
              <w:tc>
                <w:tcPr>
                  <w:tcW w:w="2503" w:type="dxa"/>
                  <w:tcBorders>
                    <w:tl2br w:val="nil"/>
                    <w:tr2bl w:val="nil"/>
                  </w:tcBorders>
                  <w:noWrap w:val="0"/>
                  <w:vAlign w:val="center"/>
                </w:tcPr>
                <w:p>
                  <w:pPr>
                    <w:keepNext w:val="0"/>
                    <w:keepLines w:val="0"/>
                    <w:widowControl/>
                    <w:suppressLineNumbers w:val="0"/>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定制</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定制型烘箱</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84Y-8B，提高装配紧密度</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中频逆变直流电焊机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MD-170</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电阻焊机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定制</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200KN 微机控制电子万能试验机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ETM205D</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三坐标测量机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CONTURA9/12/8</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图像尺寸测量仪</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IM-8020</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轮廓、粗糙度、影像测量仪</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荧光磁粉探伤机</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连接杆虚焊检测机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WJFA245</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显微镜</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英度检测设备</w:t>
                  </w:r>
                </w:p>
              </w:tc>
              <w:tc>
                <w:tcPr>
                  <w:tcW w:w="2503"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试验机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WJFA</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光谱仪</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ARL1160</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扭矩传感器</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SD-11 0.00N.m</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对刀仪</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MP21</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伺服压力试验机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300KN</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里氏硬度计</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HLN200</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金相显微镜</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Axio Vert.A1</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金相试样磨抛机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YMP-2</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里氏硬度块</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785 HLD</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切削液配比机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定制</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高速打包机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HC-HS</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气动打标机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SD-500T/YGBJ</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MES系统</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定制</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变频空压机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YXJN90A-IIA</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空压机</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17m³</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平衡重式叉车</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CPD25/35，电动</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电动牵引叉车</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CQD50（5.0T）</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站驾前移叉车(小半径)</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2T</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619"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22" w:type="dxa"/>
                  <w:tcBorders>
                    <w:tl2br w:val="nil"/>
                    <w:tr2bl w:val="nil"/>
                  </w:tcBorders>
                  <w:noWrap w:val="0"/>
                  <w:vAlign w:val="center"/>
                </w:tcPr>
                <w:p>
                  <w:pPr>
                    <w:numPr>
                      <w:ilvl w:val="0"/>
                      <w:numId w:val="3"/>
                    </w:numPr>
                    <w:spacing w:line="320" w:lineRule="exact"/>
                    <w:ind w:left="425" w:leftChars="0" w:hanging="425" w:firstLineChars="0"/>
                    <w:jc w:val="center"/>
                    <w:rPr>
                      <w:rFonts w:hint="default" w:ascii="Times New Roman" w:hAnsi="Times New Roman" w:eastAsia="宋体" w:cs="Times New Roman"/>
                      <w:sz w:val="21"/>
                      <w:szCs w:val="21"/>
                      <w:lang w:val="en-US" w:eastAsia="zh-CN"/>
                    </w:rPr>
                  </w:pPr>
                </w:p>
              </w:tc>
              <w:tc>
                <w:tcPr>
                  <w:tcW w:w="18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工业电阻炉</w:t>
                  </w:r>
                </w:p>
              </w:tc>
              <w:tc>
                <w:tcPr>
                  <w:tcW w:w="250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BX3</w:t>
                  </w:r>
                </w:p>
              </w:tc>
              <w:tc>
                <w:tcPr>
                  <w:tcW w:w="1651" w:type="dxa"/>
                  <w:tcBorders>
                    <w:tl2br w:val="nil"/>
                    <w:tr2bl w:val="nil"/>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161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3、产品方案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表4-3 项目产品方案一览表</w:t>
            </w:r>
          </w:p>
          <w:tbl>
            <w:tblPr>
              <w:tblStyle w:val="12"/>
              <w:tblW w:w="8306"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883"/>
              <w:gridCol w:w="2594"/>
              <w:gridCol w:w="2295"/>
              <w:gridCol w:w="253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883" w:type="dxa"/>
                  <w:tcBorders>
                    <w:left w:val="single" w:color="auto" w:sz="0"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序号</w:t>
                  </w:r>
                </w:p>
              </w:tc>
              <w:tc>
                <w:tcPr>
                  <w:tcW w:w="2594" w:type="dxa"/>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产品名称</w:t>
                  </w:r>
                </w:p>
              </w:tc>
              <w:tc>
                <w:tcPr>
                  <w:tcW w:w="2295" w:type="dxa"/>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环评产量</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kern w:val="2"/>
                      <w:sz w:val="21"/>
                      <w:szCs w:val="21"/>
                      <w:lang w:val="en-US" w:eastAsia="zh-CN" w:bidi="ar-SA"/>
                    </w:rPr>
                    <w:t>万件</w:t>
                  </w:r>
                  <w:r>
                    <w:rPr>
                      <w:rFonts w:hint="default" w:ascii="Times New Roman" w:hAnsi="Times New Roman" w:eastAsia="宋体" w:cs="Times New Roman"/>
                      <w:bCs/>
                      <w:color w:val="auto"/>
                      <w:kern w:val="0"/>
                      <w:sz w:val="21"/>
                      <w:szCs w:val="21"/>
                      <w:lang w:val="en-US" w:eastAsia="zh-CN"/>
                    </w:rPr>
                    <w:t>/年</w:t>
                  </w:r>
                  <w:r>
                    <w:rPr>
                      <w:rFonts w:hint="eastAsia" w:ascii="Times New Roman" w:hAnsi="Times New Roman" w:eastAsia="宋体" w:cs="Times New Roman"/>
                      <w:bCs/>
                      <w:color w:val="auto"/>
                      <w:szCs w:val="21"/>
                      <w:lang w:eastAsia="zh-CN"/>
                    </w:rPr>
                    <w:t>）</w:t>
                  </w:r>
                </w:p>
              </w:tc>
              <w:tc>
                <w:tcPr>
                  <w:tcW w:w="2534" w:type="dxa"/>
                  <w:tcBorders>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lang w:eastAsia="zh-CN"/>
                    </w:rPr>
                    <w:t>实际</w:t>
                  </w:r>
                  <w:r>
                    <w:rPr>
                      <w:rFonts w:hint="default" w:ascii="Times New Roman" w:hAnsi="Times New Roman" w:eastAsia="宋体" w:cs="Times New Roman"/>
                      <w:bCs/>
                      <w:color w:val="auto"/>
                      <w:szCs w:val="21"/>
                    </w:rPr>
                    <w:t>产量</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kern w:val="2"/>
                      <w:sz w:val="21"/>
                      <w:szCs w:val="21"/>
                      <w:lang w:val="en-US" w:eastAsia="zh-CN" w:bidi="ar-SA"/>
                    </w:rPr>
                    <w:t>万件</w:t>
                  </w:r>
                  <w:r>
                    <w:rPr>
                      <w:rFonts w:hint="default" w:ascii="Times New Roman" w:hAnsi="Times New Roman" w:eastAsia="宋体" w:cs="Times New Roman"/>
                      <w:bCs/>
                      <w:color w:val="auto"/>
                      <w:kern w:val="0"/>
                      <w:sz w:val="21"/>
                      <w:szCs w:val="21"/>
                      <w:lang w:val="en-US" w:eastAsia="zh-CN"/>
                    </w:rPr>
                    <w:t>/年</w:t>
                  </w:r>
                  <w:r>
                    <w:rPr>
                      <w:rFonts w:hint="eastAsia" w:ascii="Times New Roman" w:hAnsi="Times New Roman" w:eastAsia="宋体" w:cs="Times New Roman"/>
                      <w:bCs/>
                      <w:color w:val="auto"/>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szCs w:val="21"/>
                    </w:rPr>
                    <w:t>1</w:t>
                  </w:r>
                </w:p>
              </w:tc>
              <w:tc>
                <w:tcPr>
                  <w:tcW w:w="25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szCs w:val="21"/>
                      <w:lang w:eastAsia="zh-CN"/>
                    </w:rPr>
                    <w:t>控制臂</w:t>
                  </w:r>
                </w:p>
              </w:tc>
              <w:tc>
                <w:tcPr>
                  <w:tcW w:w="2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870</w:t>
                  </w:r>
                </w:p>
              </w:tc>
              <w:tc>
                <w:tcPr>
                  <w:tcW w:w="2534"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eastAsiaTheme="minorEastAsia"/>
                      <w:kern w:val="2"/>
                      <w:sz w:val="21"/>
                      <w:szCs w:val="24"/>
                      <w:lang w:val="en-US" w:eastAsia="zh-CN" w:bidi="ar-SA"/>
                    </w:rPr>
                  </w:pPr>
                  <w:r>
                    <w:rPr>
                      <w:rFonts w:hint="eastAsia" w:ascii="Times New Roman" w:hAnsi="Times New Roman" w:cs="Times New Roman"/>
                      <w:kern w:val="2"/>
                      <w:sz w:val="21"/>
                      <w:szCs w:val="24"/>
                      <w:lang w:val="en-US" w:eastAsia="zh-CN" w:bidi="ar-SA"/>
                    </w:rPr>
                    <w:t>600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w:t>
                  </w:r>
                </w:p>
              </w:tc>
              <w:tc>
                <w:tcPr>
                  <w:tcW w:w="25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szCs w:val="21"/>
                      <w:lang w:eastAsia="zh-CN"/>
                    </w:rPr>
                    <w:t>铝制控制臂类</w:t>
                  </w:r>
                </w:p>
              </w:tc>
              <w:tc>
                <w:tcPr>
                  <w:tcW w:w="2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kern w:val="2"/>
                      <w:sz w:val="21"/>
                      <w:szCs w:val="21"/>
                      <w:lang w:val="en-US" w:eastAsia="zh-CN" w:bidi="ar-SA"/>
                    </w:rPr>
                    <w:t>275</w:t>
                  </w:r>
                </w:p>
              </w:tc>
              <w:tc>
                <w:tcPr>
                  <w:tcW w:w="2534"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200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w:t>
                  </w:r>
                </w:p>
              </w:tc>
              <w:tc>
                <w:tcPr>
                  <w:tcW w:w="25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eastAsia="zh-CN"/>
                    </w:rPr>
                  </w:pPr>
                  <w:r>
                    <w:rPr>
                      <w:rFonts w:hint="default" w:ascii="Times New Roman" w:hAnsi="Times New Roman" w:cs="Times New Roman"/>
                      <w:szCs w:val="21"/>
                      <w:lang w:eastAsia="zh-CN"/>
                    </w:rPr>
                    <w:t>前束控制臂类</w:t>
                  </w:r>
                </w:p>
              </w:tc>
              <w:tc>
                <w:tcPr>
                  <w:tcW w:w="2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160</w:t>
                  </w:r>
                </w:p>
              </w:tc>
              <w:tc>
                <w:tcPr>
                  <w:tcW w:w="2534"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w:t>
                  </w:r>
                </w:p>
              </w:tc>
              <w:tc>
                <w:tcPr>
                  <w:tcW w:w="25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eastAsia="zh-CN"/>
                    </w:rPr>
                  </w:pPr>
                  <w:r>
                    <w:rPr>
                      <w:rFonts w:hint="default" w:ascii="Times New Roman" w:hAnsi="Times New Roman" w:cs="Times New Roman"/>
                      <w:szCs w:val="21"/>
                      <w:lang w:eastAsia="zh-CN"/>
                    </w:rPr>
                    <w:t>转向节</w:t>
                  </w:r>
                </w:p>
              </w:tc>
              <w:tc>
                <w:tcPr>
                  <w:tcW w:w="2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210</w:t>
                  </w:r>
                </w:p>
              </w:tc>
              <w:tc>
                <w:tcPr>
                  <w:tcW w:w="2534"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w:t>
                  </w:r>
                </w:p>
              </w:tc>
              <w:tc>
                <w:tcPr>
                  <w:tcW w:w="25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eastAsia="zh-CN"/>
                    </w:rPr>
                  </w:pPr>
                  <w:r>
                    <w:rPr>
                      <w:rFonts w:hint="default" w:ascii="Times New Roman" w:hAnsi="Times New Roman" w:cs="Times New Roman"/>
                      <w:szCs w:val="21"/>
                      <w:lang w:eastAsia="zh-CN"/>
                    </w:rPr>
                    <w:t>内、外拉杆</w:t>
                  </w:r>
                </w:p>
              </w:tc>
              <w:tc>
                <w:tcPr>
                  <w:tcW w:w="2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660</w:t>
                  </w:r>
                </w:p>
              </w:tc>
              <w:tc>
                <w:tcPr>
                  <w:tcW w:w="2534"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400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w:t>
                  </w:r>
                </w:p>
              </w:tc>
              <w:tc>
                <w:tcPr>
                  <w:tcW w:w="25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eastAsia="zh-CN"/>
                    </w:rPr>
                  </w:pPr>
                  <w:r>
                    <w:rPr>
                      <w:rFonts w:hint="default" w:ascii="Times New Roman" w:hAnsi="Times New Roman" w:cs="Times New Roman"/>
                      <w:szCs w:val="21"/>
                      <w:lang w:eastAsia="zh-CN"/>
                    </w:rPr>
                    <w:t>主销类</w:t>
                  </w:r>
                </w:p>
              </w:tc>
              <w:tc>
                <w:tcPr>
                  <w:tcW w:w="2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75</w:t>
                  </w:r>
                </w:p>
              </w:tc>
              <w:tc>
                <w:tcPr>
                  <w:tcW w:w="2534"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7</w:t>
                  </w:r>
                </w:p>
              </w:tc>
              <w:tc>
                <w:tcPr>
                  <w:tcW w:w="25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eastAsia="zh-CN"/>
                    </w:rPr>
                  </w:pPr>
                  <w:r>
                    <w:rPr>
                      <w:rFonts w:hint="default" w:ascii="Times New Roman" w:hAnsi="Times New Roman" w:cs="Times New Roman"/>
                      <w:szCs w:val="21"/>
                      <w:lang w:eastAsia="zh-CN"/>
                    </w:rPr>
                    <w:t>稳定连接杆</w:t>
                  </w:r>
                </w:p>
              </w:tc>
              <w:tc>
                <w:tcPr>
                  <w:tcW w:w="22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163</w:t>
                  </w:r>
                </w:p>
              </w:tc>
              <w:tc>
                <w:tcPr>
                  <w:tcW w:w="2534"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3477" w:type="dxa"/>
                  <w:gridSpan w:val="2"/>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eastAsia="zh-CN"/>
                    </w:rPr>
                  </w:pPr>
                  <w:r>
                    <w:rPr>
                      <w:rFonts w:hint="eastAsia" w:ascii="Times New Roman" w:hAnsi="Times New Roman" w:cs="Times New Roman"/>
                      <w:szCs w:val="21"/>
                      <w:lang w:eastAsia="zh-CN"/>
                    </w:rPr>
                    <w:t>合计</w:t>
                  </w:r>
                </w:p>
              </w:tc>
              <w:tc>
                <w:tcPr>
                  <w:tcW w:w="2295"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2413</w:t>
                  </w:r>
                </w:p>
              </w:tc>
              <w:tc>
                <w:tcPr>
                  <w:tcW w:w="2534" w:type="dxa"/>
                  <w:tcBorders>
                    <w:top w:val="single" w:color="000000" w:sz="4" w:space="0"/>
                    <w:left w:val="single" w:color="000000" w:sz="4" w:space="0"/>
                    <w:bottom w:val="single" w:color="000000" w:sz="12"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1500</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4、水平衡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szCs w:val="24"/>
                <w:lang w:eastAsia="zh-CN"/>
              </w:rPr>
            </w:pPr>
            <w:r>
              <w:rPr>
                <w:rFonts w:hint="default" w:ascii="Times New Roman" w:hAnsi="Times New Roman" w:cs="Times New Roman"/>
                <w:color w:val="auto"/>
                <w:sz w:val="24"/>
              </w:rPr>
              <w:t>本项目用水工序主要有清洗线用水、超声波清洗用水、固溶时效用水、切削液配比用水、车间保洁用水、生活用水。清洗线废水经车间自建污水处理设施预处理后，与生活污水一并依托中鼎减震厂区综合污水处理站处理，满足《橡胶制品工业污染物排放标准》(GB27632-2011)间接排放限值和中德小镇污水处理厂接管标准，通过污水管网排入中德小镇污水处理厂处理达标后，排入东津河</w:t>
            </w:r>
            <w:r>
              <w:rPr>
                <w:rFonts w:hint="default" w:ascii="Times New Roman" w:hAnsi="Times New Roman" w:cs="Times New Roman"/>
                <w:b w:val="0"/>
                <w:bCs w:val="0"/>
                <w:color w:val="auto"/>
                <w:sz w:val="24"/>
                <w:szCs w:val="24"/>
                <w:lang w:eastAsia="zh-CN"/>
              </w:rPr>
              <w:t>。</w:t>
            </w:r>
          </w:p>
          <w:p>
            <w:pPr>
              <w:pStyle w:val="2"/>
              <w:rPr>
                <w:rFonts w:hint="default"/>
                <w:lang w:eastAsia="zh-CN"/>
              </w:rPr>
            </w:pPr>
            <w:r>
              <w:rPr>
                <w:rFonts w:hint="default"/>
                <w:lang w:eastAsia="zh-CN"/>
              </w:rPr>
              <w:drawing>
                <wp:inline distT="0" distB="0" distL="114300" distR="114300">
                  <wp:extent cx="5271135" cy="4726305"/>
                  <wp:effectExtent l="0" t="0" r="5715" b="17145"/>
                  <wp:docPr id="14" name="图片 14" descr="E:\望锦\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望锦\图片1.png图片1"/>
                          <pic:cNvPicPr>
                            <a:picLocks noChangeAspect="1"/>
                          </pic:cNvPicPr>
                        </pic:nvPicPr>
                        <pic:blipFill>
                          <a:blip r:embed="rId6"/>
                          <a:srcRect t="6" b="6"/>
                          <a:stretch>
                            <a:fillRect/>
                          </a:stretch>
                        </pic:blipFill>
                        <pic:spPr>
                          <a:xfrm>
                            <a:off x="0" y="0"/>
                            <a:ext cx="5271135" cy="4726305"/>
                          </a:xfrm>
                          <a:prstGeom prst="rect">
                            <a:avLst/>
                          </a:prstGeom>
                        </pic:spPr>
                      </pic:pic>
                    </a:graphicData>
                  </a:graphic>
                </wp:inline>
              </w:drawing>
            </w:r>
          </w:p>
          <w:p>
            <w:pPr>
              <w:adjustRightInd w:val="0"/>
              <w:snapToGrid w:val="0"/>
              <w:spacing w:line="360" w:lineRule="auto"/>
              <w:jc w:val="center"/>
              <w:rPr>
                <w:rFonts w:hint="default" w:ascii="Times New Roman" w:hAnsi="Times New Roman" w:eastAsia="宋体" w:cs="Times New Roman"/>
                <w:b/>
                <w:bCs w:val="0"/>
                <w:sz w:val="21"/>
                <w:szCs w:val="21"/>
                <w:lang w:val="en-US" w:eastAsia="zh-CN"/>
              </w:rPr>
            </w:pPr>
            <w:r>
              <w:rPr>
                <w:rFonts w:hint="default"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4</w:t>
            </w:r>
            <w:r>
              <w:rPr>
                <w:rFonts w:hint="default" w:ascii="Times New Roman" w:hAnsi="Times New Roman" w:cs="Times New Roman"/>
                <w:b/>
                <w:bCs w:val="0"/>
                <w:sz w:val="21"/>
                <w:szCs w:val="21"/>
                <w:lang w:val="en-US" w:eastAsia="zh-CN"/>
              </w:rPr>
              <w:t xml:space="preserve">-1 </w:t>
            </w:r>
            <w:r>
              <w:rPr>
                <w:rFonts w:hint="eastAsia" w:ascii="Times New Roman" w:hAnsi="Times New Roman" w:cs="Times New Roman"/>
                <w:b/>
                <w:bCs w:val="0"/>
                <w:sz w:val="21"/>
                <w:szCs w:val="21"/>
                <w:lang w:val="en-US" w:eastAsia="zh-CN"/>
              </w:rPr>
              <w:t>项目水平衡</w:t>
            </w:r>
            <w:r>
              <w:rPr>
                <w:rFonts w:hint="default"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 xml:space="preserve"> 单位：m</w:t>
            </w:r>
            <w:r>
              <w:rPr>
                <w:rFonts w:hint="eastAsia" w:ascii="Times New Roman" w:hAnsi="Times New Roman" w:cs="Times New Roman"/>
                <w:b/>
                <w:bCs w:val="0"/>
                <w:sz w:val="21"/>
                <w:szCs w:val="21"/>
                <w:vertAlign w:val="superscript"/>
                <w:lang w:val="en-US" w:eastAsia="zh-CN"/>
              </w:rPr>
              <w:t>3</w:t>
            </w:r>
            <w:r>
              <w:rPr>
                <w:rFonts w:hint="eastAsia" w:ascii="Times New Roman" w:hAnsi="Times New Roman" w:cs="Times New Roman"/>
                <w:b/>
                <w:bCs w:val="0"/>
                <w:sz w:val="21"/>
                <w:szCs w:val="21"/>
                <w:lang w:val="en-US" w:eastAsia="zh-CN"/>
              </w:rPr>
              <w:t>/d</w:t>
            </w:r>
          </w:p>
          <w:p>
            <w:pPr>
              <w:adjustRightInd w:val="0"/>
              <w:snapToGrid w:val="0"/>
              <w:spacing w:line="360" w:lineRule="auto"/>
              <w:jc w:val="center"/>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9"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五、主要工艺流程及产污环节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产品包括控制臂、铝制控制臂类、前束控制臂类、转向节、内拉杆、外拉杆、主销类、稳定连接杆类等产品。主要分为两大类产品，一为自产锻造件经机加工、装配等生产工艺；二为外购毛坯件经机加工、装配等生产工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cs="Times New Roman"/>
                <w:color w:val="auto"/>
                <w:sz w:val="24"/>
                <w:szCs w:val="24"/>
                <w:lang w:val="en-US" w:eastAsia="zh-CN"/>
              </w:rPr>
              <w:t>（1）控制臂、铝制控制臂类、前束控制臂类、转向节类产品生产工艺流程</w:t>
            </w:r>
            <w:r>
              <w:rPr>
                <w:rFonts w:hint="default" w:ascii="Times New Roman" w:hAnsi="Times New Roman" w:eastAsia="宋体" w:cs="Times New Roman"/>
                <w:sz w:val="24"/>
                <w:szCs w:val="24"/>
              </w:rPr>
              <w:t>如图所示：</w:t>
            </w:r>
          </w:p>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4791075" cy="6409690"/>
                  <wp:effectExtent l="0" t="0" r="9525" b="10160"/>
                  <wp:docPr id="8" name="图片 8" descr="E:\望锦\图片11.pn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望锦\图片11.png图片11"/>
                          <pic:cNvPicPr>
                            <a:picLocks noChangeAspect="1"/>
                          </pic:cNvPicPr>
                        </pic:nvPicPr>
                        <pic:blipFill>
                          <a:blip r:embed="rId7"/>
                          <a:srcRect t="13" b="13"/>
                          <a:stretch>
                            <a:fillRect/>
                          </a:stretch>
                        </pic:blipFill>
                        <pic:spPr>
                          <a:xfrm>
                            <a:off x="0" y="0"/>
                            <a:ext cx="4791075" cy="6409690"/>
                          </a:xfrm>
                          <a:prstGeom prst="rect">
                            <a:avLst/>
                          </a:prstGeom>
                        </pic:spPr>
                      </pic:pic>
                    </a:graphicData>
                  </a:graphic>
                </wp:inline>
              </w:drawing>
            </w:r>
          </w:p>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5</w:t>
            </w:r>
            <w:r>
              <w:rPr>
                <w:rFonts w:hint="default" w:ascii="Times New Roman" w:hAnsi="Times New Roman" w:cs="Times New Roman"/>
                <w:b/>
                <w:bCs w:val="0"/>
                <w:sz w:val="21"/>
                <w:szCs w:val="21"/>
                <w:lang w:val="en-US" w:eastAsia="zh-CN"/>
              </w:rPr>
              <w:t>-1 控制臂类、转向节类生产工艺流程</w:t>
            </w:r>
            <w:r>
              <w:rPr>
                <w:rFonts w:hint="default" w:ascii="Times New Roman" w:hAnsi="Times New Roman" w:eastAsia="宋体" w:cs="Times New Roman"/>
                <w:b/>
                <w:bCs w:val="0"/>
                <w:sz w:val="21"/>
                <w:szCs w:val="21"/>
                <w:lang w:eastAsia="zh-CN"/>
              </w:rPr>
              <w:t>生产工艺流程</w:t>
            </w:r>
            <w:r>
              <w:rPr>
                <w:rFonts w:hint="default" w:ascii="Times New Roman" w:hAnsi="Times New Roman" w:cs="Times New Roman"/>
                <w:b/>
                <w:bCs w:val="0"/>
                <w:sz w:val="21"/>
                <w:szCs w:val="21"/>
                <w:lang w:eastAsia="zh-CN"/>
              </w:rPr>
              <w:t>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工艺流程简述：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①下料</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外购铝棒长度约6m，需根据项目产品预设定尺寸要求使用下料机裁切成小段待用。本项目下料机、带锯床刀具采取全封闭式罩壳，故下料工序不考虑粉尘废气。下料工序主要产生金属边角料（S1-1）及机械噪声（N）。</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②加热</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下料后的锻坯放入自动锻造线连续通过式加热炉，使用天然气为燃料，将圆柱型铝棒加热至红热状态，加热温度约 450-480℃。通过机械手自动取出放置锻造设备。锻造线锻坯加热炉采用低氮燃烧器，天然气燃烧废气（G1-1）通过 1 根 15m 高排气筒排放。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③辊锻</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锻造线自动机械手将加热后红热状态的锻坯放置锻造线辊锻设备，通过模具的来回辊压逐步定型，项目锻造线分为初锻和终端，最终得到产品要求的形状和尺寸。锻造工序将产生机械噪声（N）。</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④切边</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辊锻结束，通过机械手自动输送至锻造线切边设备，对锻造件边角进行切除，以得到符合要求的产品尺寸，将产生金属边角料（S1-2）及机械噪声（N）。</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⑤热处理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本项目产品热处理分为固溶和时效处理，设有燃气加热固溶时效炉、电加热箱式时效炉等，均不使用保护气体。将产品放置热处理炉内，通过天然气燃烧机加热至 500℃左右，保温 2h 以上，在放入 60-80℃度水中冷却，从而强化产品内金属组织，并固定保存至室温，水采用电加热升温。时效则通过电加热热处理炉将产品加热至 180℃左右，保温5-24h，然后自然冷却至室温，以提高产品韧性、可塑性和抗应力、抗腐蚀能力。燃气加热固溶时效炉采用低氮燃烧器，天然气燃烧废气（G1-2）通过 1 根 15m 高排气筒排放。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⑥清洗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见下文。</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⑦</w:t>
            </w:r>
            <w:r>
              <w:rPr>
                <w:rFonts w:hint="default" w:ascii="Times New Roman" w:hAnsi="Times New Roman" w:cs="Times New Roman"/>
                <w:color w:val="auto"/>
                <w:sz w:val="24"/>
                <w:szCs w:val="24"/>
                <w:lang w:eastAsia="zh-CN"/>
              </w:rPr>
              <w:t>抛丸</w:t>
            </w:r>
            <w:r>
              <w:rPr>
                <w:rFonts w:hint="eastAsia" w:ascii="Times New Roman" w:hAnsi="Times New Roman" w:cs="Times New Roman"/>
                <w:color w:val="auto"/>
                <w:sz w:val="24"/>
                <w:szCs w:val="24"/>
                <w:lang w:eastAsia="zh-CN"/>
              </w:rPr>
              <w:t>及抛光</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生产过程中因锻造件表面有氧化皮、凹凸不平等，需通过抛丸机进行</w:t>
            </w:r>
            <w:r>
              <w:rPr>
                <w:rFonts w:hint="eastAsia" w:ascii="Times New Roman" w:hAnsi="Times New Roman" w:cs="Times New Roman"/>
                <w:color w:val="auto"/>
                <w:sz w:val="24"/>
                <w:szCs w:val="24"/>
                <w:lang w:eastAsia="zh-CN"/>
              </w:rPr>
              <w:t>抛丸，</w:t>
            </w:r>
            <w:r>
              <w:rPr>
                <w:rFonts w:hint="default" w:ascii="Times New Roman" w:hAnsi="Times New Roman" w:cs="Times New Roman"/>
                <w:color w:val="auto"/>
                <w:sz w:val="24"/>
                <w:szCs w:val="24"/>
                <w:lang w:eastAsia="zh-CN"/>
              </w:rPr>
              <w:t>两磨头圆盘抛光机</w:t>
            </w:r>
            <w:r>
              <w:rPr>
                <w:rFonts w:hint="eastAsia" w:ascii="Times New Roman" w:hAnsi="Times New Roman" w:cs="Times New Roman"/>
                <w:color w:val="auto"/>
                <w:sz w:val="24"/>
                <w:szCs w:val="24"/>
                <w:lang w:eastAsia="zh-CN"/>
              </w:rPr>
              <w:t>进行抛光，</w:t>
            </w:r>
            <w:r>
              <w:rPr>
                <w:rFonts w:hint="default" w:ascii="Times New Roman" w:hAnsi="Times New Roman" w:cs="Times New Roman"/>
                <w:color w:val="auto"/>
                <w:sz w:val="24"/>
                <w:szCs w:val="24"/>
                <w:lang w:eastAsia="zh-CN"/>
              </w:rPr>
              <w:t>项目2台抛丸机自带“袋式除尘器”，抛丸粉尘废气经处理后，最终通过 1 根 15m 高排气筒排放。</w:t>
            </w:r>
            <w:r>
              <w:rPr>
                <w:rFonts w:hint="eastAsia" w:ascii="Times New Roman" w:hAnsi="Times New Roman" w:cs="Times New Roman"/>
                <w:color w:val="auto"/>
                <w:sz w:val="24"/>
                <w:szCs w:val="24"/>
                <w:lang w:eastAsia="zh-CN"/>
              </w:rPr>
              <w:t>项目有</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台抛光机，抛光废气经布袋除尘器处理后，通过1根15m高排气筒排放。</w:t>
            </w:r>
            <w:r>
              <w:rPr>
                <w:rFonts w:hint="default" w:ascii="Times New Roman" w:hAnsi="Times New Roman" w:cs="Times New Roman"/>
                <w:color w:val="auto"/>
                <w:sz w:val="24"/>
                <w:szCs w:val="24"/>
                <w:lang w:eastAsia="zh-CN"/>
              </w:rPr>
              <w:t>抛丸</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抛光过程中还将产生机械噪声（N）。</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⑧</w:t>
            </w:r>
            <w:r>
              <w:rPr>
                <w:rFonts w:hint="default" w:ascii="Times New Roman" w:hAnsi="Times New Roman" w:cs="Times New Roman"/>
                <w:color w:val="auto"/>
                <w:sz w:val="24"/>
                <w:szCs w:val="24"/>
                <w:lang w:eastAsia="zh-CN"/>
              </w:rPr>
              <w:t>机加工</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锻造毛坯件进入机加工工序，通过加工中心、数控车床、钻床等设备进行车、铣、钻、滚丝等机加工作业。本项目机加工设备使用切削液对刀具进行冷却和润滑，外购的切削液与水按 1:4 配比后使用，切削液循环使用，大约 2 个月更换一次。机加工工序将产生金属边角料（S1-3）、废切削液（S1-4）及机械噪声（N）。</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⑨</w:t>
            </w:r>
            <w:r>
              <w:rPr>
                <w:rFonts w:hint="default" w:ascii="Times New Roman" w:hAnsi="Times New Roman" w:cs="Times New Roman"/>
                <w:color w:val="auto"/>
                <w:sz w:val="24"/>
                <w:szCs w:val="24"/>
                <w:lang w:eastAsia="zh-CN"/>
              </w:rPr>
              <w:t>装配及检测入库</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机加工完成的控制臂类及主销类等金属件，与外购的橡胶件、簧圈等其他配件进入装配工序，通过自动装配线完成总装，然后进入检测工序，最后经包装入库</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内拉杆、外拉杆、主销类、稳定连接杆类产品生产工艺流程</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drawing>
                <wp:inline distT="0" distB="0" distL="114300" distR="114300">
                  <wp:extent cx="4981575" cy="5742940"/>
                  <wp:effectExtent l="0" t="0" r="9525" b="10160"/>
                  <wp:docPr id="23" name="图片 23" descr="dd20077b98f76a89846a2999146f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d20077b98f76a89846a2999146f1c4"/>
                          <pic:cNvPicPr>
                            <a:picLocks noChangeAspect="1"/>
                          </pic:cNvPicPr>
                        </pic:nvPicPr>
                        <pic:blipFill>
                          <a:blip r:embed="rId8"/>
                          <a:stretch>
                            <a:fillRect/>
                          </a:stretch>
                        </pic:blipFill>
                        <pic:spPr>
                          <a:xfrm>
                            <a:off x="0" y="0"/>
                            <a:ext cx="4981575" cy="57429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b/>
                <w:bCs w:val="0"/>
                <w:sz w:val="21"/>
                <w:szCs w:val="21"/>
                <w:lang w:eastAsia="zh-CN"/>
              </w:rPr>
            </w:pPr>
            <w:r>
              <w:rPr>
                <w:rFonts w:hint="default"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5</w:t>
            </w:r>
            <w:r>
              <w:rPr>
                <w:rFonts w:hint="default" w:ascii="Times New Roman" w:hAnsi="Times New Roman" w:cs="Times New Roman"/>
                <w:b/>
                <w:bCs w:val="0"/>
                <w:sz w:val="21"/>
                <w:szCs w:val="21"/>
                <w:lang w:val="en-US" w:eastAsia="zh-CN"/>
              </w:rPr>
              <w:t>-</w:t>
            </w:r>
            <w:r>
              <w:rPr>
                <w:rFonts w:hint="eastAsia" w:ascii="Times New Roman" w:hAnsi="Times New Roman" w:cs="Times New Roman"/>
                <w:b/>
                <w:bCs w:val="0"/>
                <w:sz w:val="21"/>
                <w:szCs w:val="21"/>
                <w:lang w:val="en-US" w:eastAsia="zh-CN"/>
              </w:rPr>
              <w:t>2</w:t>
            </w:r>
            <w:r>
              <w:rPr>
                <w:rFonts w:hint="default" w:ascii="Times New Roman" w:hAnsi="Times New Roman" w:cs="Times New Roman"/>
                <w:b/>
                <w:bCs w:val="0"/>
                <w:sz w:val="21"/>
                <w:szCs w:val="21"/>
                <w:lang w:val="en-US" w:eastAsia="zh-CN"/>
              </w:rPr>
              <w:t xml:space="preserve"> 控制臂类、转向节类生产工艺流程</w:t>
            </w:r>
            <w:r>
              <w:rPr>
                <w:rFonts w:hint="default" w:ascii="Times New Roman" w:hAnsi="Times New Roman" w:eastAsia="宋体" w:cs="Times New Roman"/>
                <w:b/>
                <w:bCs w:val="0"/>
                <w:sz w:val="21"/>
                <w:szCs w:val="21"/>
                <w:lang w:eastAsia="zh-CN"/>
              </w:rPr>
              <w:t>生产工艺流程</w:t>
            </w:r>
            <w:r>
              <w:rPr>
                <w:rFonts w:hint="default" w:ascii="Times New Roman" w:hAnsi="Times New Roman" w:cs="Times New Roman"/>
                <w:b/>
                <w:bCs w:val="0"/>
                <w:sz w:val="21"/>
                <w:szCs w:val="21"/>
                <w:lang w:eastAsia="zh-CN"/>
              </w:rPr>
              <w:t>图</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工艺流程简述：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①车压球头、车内外型、滚压螺纹等机加工</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内拉杆、外拉杆、主销类、稳定连接杆类产品均由外购的半成品毛坯件机加工、装配而成。外来毛坯件经硬度、材质、金相、尺寸等检验后，采用数控机床、球销倒角钻孔机、车床等机加工设备进行车内外型、车压球头等机加工作业，保证其球头直径、圆度、粗糙度等满足要求。滚丝机进行液压螺纹、全检螺纹，最后对其进行检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外来毛坯件经检验后，采用数控机床进程车内型、外型；磁化检测后进行委外表面处理，对成型材料采用外协进厂检验；利用加工中心进行钻孔攻丝，是利用金属塑性变形原理而加工内螺纹的一种新型螺纹刀具，多用于数控加工中心钻盲孔用，加工速度较快，精度高，排屑较好、对中性好。挤丝并清理内丝金属屑后进入下一工序。机加工将产生机加工金属边角料（S2-1、S2-3、S2-6）、废切削液（S2-2、S2-4），以及检验产生的不合格品（S2-5）和机械加工设备噪声（N）。</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②超声波清洗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机加工后的工件需进行超声波清洗，以除去表面污垢便于装配。一道为添加洗洁精进行超声波清洗，二道为超声波水洗，不添加清洗剂。超声波清洗槽水循环使用，清洗槽每个月更换4次，年更换约48次；超声波水洗槽采取连续进排水，进排水量约0.2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/h单槽。清洗过程中产生超声波清洗废水（W2-1），排入中鼎NVH污水处理站处理。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③装配、检测、包装</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总装工序中，对自加工的金属件及其他外购件进行集件后，对其进行上料、球座注油、压装、铆接、口部注油、装防尘罩、装簧圈等，装配完成后放入大烘箱内，电加热至80℃，然后自然冷却，目的是提高各组件装配后紧密度和一致性。装配后进行力矩检测，取件、装保护套后包装入库。装配过程中将产生焊接烟尘（G2-1）及机械噪声（N）。焊接</w:t>
            </w:r>
            <w:r>
              <w:rPr>
                <w:rFonts w:hint="eastAsia" w:ascii="Times New Roman" w:hAnsi="Times New Roman" w:cs="Times New Roman"/>
                <w:color w:val="auto"/>
                <w:sz w:val="24"/>
                <w:szCs w:val="24"/>
                <w:lang w:eastAsia="zh-CN"/>
              </w:rPr>
              <w:t>设备产生的</w:t>
            </w:r>
            <w:r>
              <w:rPr>
                <w:rFonts w:hint="default" w:ascii="Times New Roman" w:hAnsi="Times New Roman" w:cs="Times New Roman"/>
                <w:color w:val="auto"/>
                <w:sz w:val="24"/>
                <w:szCs w:val="24"/>
                <w:lang w:eastAsia="zh-CN"/>
              </w:rPr>
              <w:t>废气经工业油烟净化器+二级活性炭吸附装置处理后，通过1根 15m高排气筒排放。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注：本项目表面处理包括如电泳、喷塑、磷皂化、磷化、镀锌、锌镍合金等，均外协处理。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（3）清洗线工艺流程及产污节点如下图：</w:t>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drawing>
                <wp:inline distT="0" distB="0" distL="114300" distR="114300">
                  <wp:extent cx="4324350" cy="7117715"/>
                  <wp:effectExtent l="0" t="0" r="0" b="6985"/>
                  <wp:docPr id="12" name="图片 12" descr="b133c4f39cf408a65868611ba40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133c4f39cf408a65868611ba407900"/>
                          <pic:cNvPicPr>
                            <a:picLocks noChangeAspect="1"/>
                          </pic:cNvPicPr>
                        </pic:nvPicPr>
                        <pic:blipFill>
                          <a:blip r:embed="rId9"/>
                          <a:srcRect t="409"/>
                          <a:stretch>
                            <a:fillRect/>
                          </a:stretch>
                        </pic:blipFill>
                        <pic:spPr>
                          <a:xfrm>
                            <a:off x="0" y="0"/>
                            <a:ext cx="4324350" cy="71177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color w:val="auto"/>
                <w:sz w:val="24"/>
                <w:szCs w:val="24"/>
                <w:lang w:eastAsia="zh-CN"/>
              </w:rPr>
            </w:pPr>
            <w:r>
              <w:rPr>
                <w:rFonts w:hint="default"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5</w:t>
            </w:r>
            <w:r>
              <w:rPr>
                <w:rFonts w:hint="default" w:ascii="Times New Roman" w:hAnsi="Times New Roman" w:cs="Times New Roman"/>
                <w:b/>
                <w:bCs w:val="0"/>
                <w:sz w:val="21"/>
                <w:szCs w:val="21"/>
                <w:lang w:val="en-US" w:eastAsia="zh-CN"/>
              </w:rPr>
              <w:t>-</w:t>
            </w:r>
            <w:r>
              <w:rPr>
                <w:rFonts w:hint="eastAsia" w:ascii="Times New Roman" w:hAnsi="Times New Roman" w:cs="Times New Roman"/>
                <w:b/>
                <w:bCs w:val="0"/>
                <w:sz w:val="21"/>
                <w:szCs w:val="21"/>
                <w:lang w:val="en-US" w:eastAsia="zh-CN"/>
              </w:rPr>
              <w:t>3</w:t>
            </w:r>
            <w:r>
              <w:rPr>
                <w:rFonts w:hint="default" w:ascii="Times New Roman" w:hAnsi="Times New Roman" w:cs="Times New Roman"/>
                <w:b/>
                <w:bCs w:val="0"/>
                <w:sz w:val="21"/>
                <w:szCs w:val="21"/>
                <w:lang w:val="en-US" w:eastAsia="zh-CN"/>
              </w:rPr>
              <w:t xml:space="preserve"> 控制臂类、转向节类生产工艺流程</w:t>
            </w:r>
            <w:r>
              <w:rPr>
                <w:rFonts w:hint="default" w:ascii="Times New Roman" w:hAnsi="Times New Roman" w:eastAsia="宋体" w:cs="Times New Roman"/>
                <w:b/>
                <w:bCs w:val="0"/>
                <w:sz w:val="21"/>
                <w:szCs w:val="21"/>
                <w:lang w:eastAsia="zh-CN"/>
              </w:rPr>
              <w:t>生产工艺流程</w:t>
            </w:r>
            <w:r>
              <w:rPr>
                <w:rFonts w:hint="default" w:ascii="Times New Roman" w:hAnsi="Times New Roman" w:cs="Times New Roman"/>
                <w:b/>
                <w:bCs w:val="0"/>
                <w:sz w:val="21"/>
                <w:szCs w:val="21"/>
                <w:lang w:eastAsia="zh-CN"/>
              </w:rPr>
              <w:t>图</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工艺流程简述：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项目清洗线主要用于锻造件清洗。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①上料</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人工将锻造件放入清洗线物料框内，通过龙门轨道自动进入清洗各工序。</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②脱脂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因锻造件生产过程中表面会有少量的油污、氧化层等杂质，需使用脱脂剂除油清洗。本项目清洗线共2个脱脂槽，尺寸为3200×1200×1000mm。槽液采用外购的脱脂剂与水按照 1:1 配比后使用，脱脂时间 120 秒，脱脂温度为 50~70℃，采用电加热。脱脂槽液循环使用，每天补充损耗量约占槽液量的 5%，同时根据效果，脱脂槽约 1 个月更换一次槽液，年更换约 12 次，更换产生脱脂槽液废水（W3-1），主要污染物为 pH、COD、SS、石油类、Al、LAS，</w:t>
            </w:r>
            <w:r>
              <w:rPr>
                <w:rFonts w:hint="eastAsia" w:ascii="Times New Roman" w:hAnsi="Times New Roman" w:cs="Times New Roman"/>
                <w:color w:val="auto"/>
                <w:sz w:val="24"/>
                <w:szCs w:val="24"/>
                <w:lang w:eastAsia="zh-CN"/>
              </w:rPr>
              <w:t>经</w:t>
            </w:r>
            <w:r>
              <w:rPr>
                <w:rFonts w:hint="default" w:ascii="Times New Roman" w:hAnsi="Times New Roman" w:cs="Times New Roman"/>
                <w:color w:val="auto"/>
                <w:sz w:val="24"/>
                <w:szCs w:val="24"/>
                <w:lang w:eastAsia="zh-CN"/>
              </w:rPr>
              <w:t>车间自建污水处理设施预处理后，进入中鼎减震厂区综合污水处理站处理；更换槽液时还将产生脱脂槽渣（S3-1），按危废处置。</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本项目外购的脱脂剂为混合物，主要成分为柠檬酸 20-30%、硫酸 10-15%、缓蚀剂 3-6%、表面活性剂 5-15%、余下为水，其沸点为 230℃，使用时与水1:1 稀释后硫酸浓度较低，故脱脂过程中无硫酸雾产生。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③水洗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脱脂后设置2个水洗槽，采用逆流节水措施，单个尺寸为3200×1200×1000mm。水洗槽</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为连续进新鲜水，排水则用于水洗槽1进水，水洗槽2进水量约 0.5m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/h；水洗时间为 60 秒常温，清洗线每天工作约 16h，清洗过程中约有 5%的水被工件带走造成损耗，水洗槽排放清洗废水（W3-2），主要污染物为 pH、COD、SS、石油类、Al、LAS，经车间自建污水处理设施预处理后，进入中鼎减震厂区综合污水处理站处理。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④碱洗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清洗线设置 2 个碱洗槽，单个尺寸为3200×1200×1000mm。碱洗槽液采用外购的片状氢氧化钠与水配比成25%碱液使用，碱洗时间120秒，碱洗为常温。1#和2#碱洗槽液循环使用，1#碱洗槽每天需要补充损耗量，约占槽液量的5%；同时根据碱洗效果，碱洗槽需定期清洗更换碱液，碱洗槽约1个月更换一次，年更换约12次，将产生碱液废水（W3-3），主要污染物为 pH、COD、SS、Al，</w:t>
            </w:r>
            <w:r>
              <w:rPr>
                <w:rFonts w:hint="eastAsia" w:ascii="Times New Roman" w:hAnsi="Times New Roman" w:cs="Times New Roman"/>
                <w:color w:val="auto"/>
                <w:sz w:val="24"/>
                <w:szCs w:val="24"/>
                <w:lang w:eastAsia="zh-CN"/>
              </w:rPr>
              <w:t>经</w:t>
            </w:r>
            <w:r>
              <w:rPr>
                <w:rFonts w:hint="default" w:ascii="Times New Roman" w:hAnsi="Times New Roman" w:cs="Times New Roman"/>
                <w:color w:val="auto"/>
                <w:sz w:val="24"/>
                <w:szCs w:val="24"/>
                <w:lang w:eastAsia="zh-CN"/>
              </w:rPr>
              <w:t>车间自建污水处理设施预处理后，进入中鼎减震厂区综合污水处理站处理；更换槽液时还将产生碱洗槽渣（S3-2），按危废相关要求处置。</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⑤水洗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碱洗后设置3个水洗槽，采用逆流节水措施，单个尺寸为3200×1200×1000mm。水洗槽</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为连续进新鲜水，排水则用于水洗槽2进水，水洗槽</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排水则用于水洗槽 1 进水，水洗槽3进水量约0.6m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/h；水洗时间为60秒常温，清洗线每天工作约16h，清洗过程中约有5%的水被工件带走造成损耗，水洗槽 1 排放清洗废水（W3-4），主要污染物为pH、COD、SS、Al，</w:t>
            </w:r>
            <w:r>
              <w:rPr>
                <w:rFonts w:hint="eastAsia" w:ascii="Times New Roman" w:hAnsi="Times New Roman" w:cs="Times New Roman"/>
                <w:color w:val="auto"/>
                <w:sz w:val="24"/>
                <w:szCs w:val="24"/>
                <w:lang w:eastAsia="zh-CN"/>
              </w:rPr>
              <w:t>经</w:t>
            </w:r>
            <w:r>
              <w:rPr>
                <w:rFonts w:hint="default" w:ascii="Times New Roman" w:hAnsi="Times New Roman" w:cs="Times New Roman"/>
                <w:color w:val="auto"/>
                <w:sz w:val="24"/>
                <w:szCs w:val="24"/>
                <w:lang w:eastAsia="zh-CN"/>
              </w:rPr>
              <w:t>车间自建污水处理设施预处理后，进入中鼎减震厂区综合污水处理站处理。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⑥超声波清洗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清洗线设置1个超声波清洗槽，尺寸为3200×1200×1000mm，有效容积为1.9m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（按总容积 85%计）。超声波清洗槽使用洗洁精与水配比后清洗，超声波清洗槽水循环使用，每天补充损耗量约占槽液量的 5%；同时根据清洗效果约 15 天更换一次槽液，年更换约24次，产生超声波清洗废水（W3-5），主要污染物为COD、SS、LAS，</w:t>
            </w:r>
            <w:r>
              <w:rPr>
                <w:rFonts w:hint="eastAsia" w:ascii="Times New Roman" w:hAnsi="Times New Roman" w:cs="Times New Roman"/>
                <w:color w:val="auto"/>
                <w:sz w:val="24"/>
                <w:szCs w:val="24"/>
                <w:lang w:eastAsia="zh-CN"/>
              </w:rPr>
              <w:t>经</w:t>
            </w:r>
            <w:r>
              <w:rPr>
                <w:rFonts w:hint="default" w:ascii="Times New Roman" w:hAnsi="Times New Roman" w:cs="Times New Roman"/>
                <w:color w:val="auto"/>
                <w:sz w:val="24"/>
                <w:szCs w:val="24"/>
                <w:lang w:eastAsia="zh-CN"/>
              </w:rPr>
              <w:t>车间自建污水处理设施预处理后，进入中鼎减震厂区综合污水处理站处理。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⑦水洗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超声波清洗槽后设置2个水洗槽，单个尺寸为3200×1200×1000mm</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采用逆流节水措施。水洗槽 2 为连续进新鲜水，排水则用于水洗槽 1 进水，水洗槽 2 进水量约0.5m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/h；水洗时间为 60 秒常温，清洗线每天工作约 16h，清洗过程中约有 5%的水被工件带走造成损耗，水洗槽 1 排放清洗废水（W3-6），主要污染物为 COD、SS、LAS，</w:t>
            </w:r>
            <w:r>
              <w:rPr>
                <w:rFonts w:hint="eastAsia" w:ascii="Times New Roman" w:hAnsi="Times New Roman" w:cs="Times New Roman"/>
                <w:color w:val="auto"/>
                <w:sz w:val="24"/>
                <w:szCs w:val="24"/>
                <w:lang w:eastAsia="zh-CN"/>
              </w:rPr>
              <w:t>经</w:t>
            </w:r>
            <w:r>
              <w:rPr>
                <w:rFonts w:hint="default" w:ascii="Times New Roman" w:hAnsi="Times New Roman" w:cs="Times New Roman"/>
                <w:color w:val="auto"/>
                <w:sz w:val="24"/>
                <w:szCs w:val="24"/>
                <w:lang w:eastAsia="zh-CN"/>
              </w:rPr>
              <w:t>车间自建污水处理设施预处理后，进入中鼎减震厂区综合污水处理站处理。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⑧浸泡荧光液</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清洗线设有 1 个荧光液浸泡槽，主要为荧光检测线配套。清洗烘干后的锻造件放入荧光渗透剂浸泡槽，浸泡约 10 分钟，荧光液充分渗入零件表面的缺陷。然后用小流水冲洗零件表面，自然吹干和沥干后进入检测线，通过紫外灯照射检验产品表面缺陷。荧光渗透液循环使用，定期补充损耗，不排放。检测完成后，返回清洗线进行水洗、烘干。</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荧光检测是指将溶有荧光物料的渗透剂渗入工件表面的微小裂纹中，在紫外线灯照射下显现黄绿色荧光斑点或条纹，从而发现和判断金属件表面缺陷。</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⑨水洗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荧光液浸泡槽后设置 1 道热水槽，尺寸为3200×1200×1000mm，热水槽采用电加热，温度约70℃，热水循环使用，定期补充损耗量不更换，每天补充量约为水槽量的10%。</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⑩吹水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清洗后的工件进入吹水槽，通过压缩空气对工件进行吹水，以加速清洗后的工件表面水滴的掉落，吹水掉落的少量废水通过吹水槽下部排水管</w:t>
            </w:r>
            <w:r>
              <w:rPr>
                <w:rFonts w:hint="eastAsia" w:ascii="Times New Roman" w:hAnsi="Times New Roman" w:cs="Times New Roman"/>
                <w:color w:val="auto"/>
                <w:sz w:val="24"/>
                <w:szCs w:val="24"/>
                <w:lang w:eastAsia="zh-CN"/>
              </w:rPr>
              <w:t>经</w:t>
            </w:r>
            <w:r>
              <w:rPr>
                <w:rFonts w:hint="default" w:ascii="Times New Roman" w:hAnsi="Times New Roman" w:cs="Times New Roman"/>
                <w:color w:val="auto"/>
                <w:sz w:val="24"/>
                <w:szCs w:val="24"/>
                <w:lang w:eastAsia="zh-CN"/>
              </w:rPr>
              <w:t>车间自建污水处理设施预处理后，进入中鼎减震厂区综合污水处理站处理。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⑪烘干及下料</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color w:val="auto"/>
                <w:sz w:val="24"/>
                <w:szCs w:val="24"/>
                <w:lang w:eastAsia="zh-CN"/>
              </w:rPr>
              <w:t>项目锻造件在清洗后和荧光检测水洗后均需要烘干，烘干槽由电加热热风机供热，温度约 70℃，时间约 5 分钟。烘干结束龙门自动进入下料工位自然冷却，人工装入物料框内。</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sz w:val="21"/>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5648" behindDoc="0" locked="0" layoutInCell="1" allowOverlap="1">
                <wp:simplePos x="0" y="0"/>
                <wp:positionH relativeFrom="column">
                  <wp:posOffset>3834765</wp:posOffset>
                </wp:positionH>
                <wp:positionV relativeFrom="paragraph">
                  <wp:posOffset>1864360</wp:posOffset>
                </wp:positionV>
                <wp:extent cx="883920" cy="494665"/>
                <wp:effectExtent l="0" t="0" r="0" b="0"/>
                <wp:wrapNone/>
                <wp:docPr id="4" name="文本框 4"/>
                <wp:cNvGraphicFramePr/>
                <a:graphic xmlns:a="http://schemas.openxmlformats.org/drawingml/2006/main">
                  <a:graphicData uri="http://schemas.microsoft.com/office/word/2010/wordprocessingShape">
                    <wps:wsp>
                      <wps:cNvSpPr txBox="1"/>
                      <wps:spPr>
                        <a:xfrm>
                          <a:off x="5167630" y="3563620"/>
                          <a:ext cx="883920" cy="494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lang w:eastAsia="zh-CN"/>
                              </w:rPr>
                            </w:pPr>
                            <w:r>
                              <w:rPr>
                                <w:rFonts w:hint="eastAsia"/>
                                <w:b/>
                                <w:bCs/>
                                <w:color w:val="FF0000"/>
                                <w:sz w:val="28"/>
                                <w:szCs w:val="28"/>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95pt;margin-top:146.8pt;height:38.95pt;width:69.6pt;z-index:251675648;mso-width-relative:page;mso-height-relative:page;" filled="f" stroked="f" coordsize="21600,21600" o:gfxdata="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tHj7d0AAAALAQAADwAAAAAA&#10;AAABACAAAAAiAAAAZHJzL2Rvd25yZXYueG1sUEsBAhQAFAAAAAgAh07iQH8IPoBHAgAAcQQAAA4A&#10;AAAAAAAAAQAgAAAALAEAAGRycy9lMm9Eb2MueG1sUEsFBgAAAAAGAAYAWQEAAOUFAAAAAA==&#10;">
                <v:fill on="f" focussize="0,0"/>
                <v:stroke on="f" weight="0.5pt"/>
                <v:imagedata o:title=""/>
                <o:lock v:ext="edit" aspectratio="f"/>
                <v:textbox>
                  <w:txbxContent>
                    <w:p>
                      <w:pPr>
                        <w:rPr>
                          <w:rFonts w:hint="eastAsia" w:eastAsiaTheme="minorEastAsia"/>
                          <w:b/>
                          <w:bCs/>
                          <w:color w:val="FF0000"/>
                          <w:sz w:val="28"/>
                          <w:szCs w:val="28"/>
                          <w:lang w:eastAsia="zh-CN"/>
                        </w:rPr>
                      </w:pPr>
                      <w:r>
                        <w:rPr>
                          <w:rFonts w:hint="eastAsia"/>
                          <w:b/>
                          <w:bCs/>
                          <w:color w:val="FF0000"/>
                          <w:sz w:val="28"/>
                          <w:szCs w:val="28"/>
                          <w:lang w:eastAsia="zh-CN"/>
                        </w:rPr>
                        <w:t>本项目</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3917315</wp:posOffset>
                </wp:positionH>
                <wp:positionV relativeFrom="paragraph">
                  <wp:posOffset>1740535</wp:posOffset>
                </wp:positionV>
                <wp:extent cx="576580" cy="734060"/>
                <wp:effectExtent l="180340" t="107315" r="195580" b="111125"/>
                <wp:wrapNone/>
                <wp:docPr id="2" name="平行四边形 2"/>
                <wp:cNvGraphicFramePr/>
                <a:graphic xmlns:a="http://schemas.openxmlformats.org/drawingml/2006/main">
                  <a:graphicData uri="http://schemas.microsoft.com/office/word/2010/wordprocessingShape">
                    <wps:wsp>
                      <wps:cNvSpPr/>
                      <wps:spPr>
                        <a:xfrm rot="8280000">
                          <a:off x="4802505" y="3611245"/>
                          <a:ext cx="576580" cy="734060"/>
                        </a:xfrm>
                        <a:prstGeom prst="parallelogram">
                          <a:avLst>
                            <a:gd name="adj" fmla="val 0"/>
                          </a:avLst>
                        </a:prstGeom>
                        <a:solidFill>
                          <a:srgbClr val="FF0000">
                            <a:alpha val="3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308.45pt;margin-top:137.05pt;height:57.8pt;width:45.4pt;rotation:9043968f;z-index:251674624;v-text-anchor:middle;mso-width-relative:page;mso-height-relative:page;" fillcolor="#FF0000" filled="t" stroked="t" coordsize="21600,21600" o:gfxdata="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Iu78n2wAAAAsBAAAPAAAAAAAAAAEAIAAA&#10;ACIAAABkcnMvZG93bnJldi54bWxQSwECFAAUAAAACACHTuJAMxq7U7QCAABoBQAADgAAAAAAAAAB&#10;ACAAAAAqAQAAZHJzL2Uyb0RvYy54bWxQSwUGAAAAAAYABgBZAQAAUAYAAAAA&#10;" adj="0">
                <v:fill on="t" opacity="19660f" focussize="0,0"/>
                <v:stroke weight="1pt" color="#FF0000 [3204]" miterlimit="8" joinstyle="miter"/>
                <v:imagedata o:title=""/>
                <o:lock v:ext="edit" aspectratio="f"/>
              </v:shape>
            </w:pict>
          </mc:Fallback>
        </mc:AlternateContent>
      </w:r>
      <w:r>
        <w:drawing>
          <wp:anchor distT="0" distB="0" distL="114300" distR="114300" simplePos="0" relativeHeight="251679744" behindDoc="0" locked="0" layoutInCell="1" allowOverlap="1">
            <wp:simplePos x="0" y="0"/>
            <wp:positionH relativeFrom="column">
              <wp:posOffset>7526655</wp:posOffset>
            </wp:positionH>
            <wp:positionV relativeFrom="paragraph">
              <wp:posOffset>91440</wp:posOffset>
            </wp:positionV>
            <wp:extent cx="848995" cy="942975"/>
            <wp:effectExtent l="0" t="0" r="8255" b="9525"/>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0"/>
                    <a:stretch>
                      <a:fillRect/>
                    </a:stretch>
                  </pic:blipFill>
                  <pic:spPr>
                    <a:xfrm>
                      <a:off x="0" y="0"/>
                      <a:ext cx="848995" cy="942975"/>
                    </a:xfrm>
                    <a:prstGeom prst="rect">
                      <a:avLst/>
                    </a:prstGeom>
                    <a:noFill/>
                    <a:ln>
                      <a:noFill/>
                    </a:ln>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3578225</wp:posOffset>
                </wp:positionH>
                <wp:positionV relativeFrom="paragraph">
                  <wp:posOffset>3836035</wp:posOffset>
                </wp:positionV>
                <wp:extent cx="1896110" cy="301625"/>
                <wp:effectExtent l="4445" t="4445" r="23495" b="17780"/>
                <wp:wrapNone/>
                <wp:docPr id="5" name="文本框 5"/>
                <wp:cNvGraphicFramePr/>
                <a:graphic xmlns:a="http://schemas.openxmlformats.org/drawingml/2006/main">
                  <a:graphicData uri="http://schemas.microsoft.com/office/word/2010/wordprocessingShape">
                    <wps:wsp>
                      <wps:cNvSpPr txBox="1"/>
                      <wps:spPr>
                        <a:xfrm>
                          <a:off x="0" y="0"/>
                          <a:ext cx="1896110"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图5-1 </w:t>
                            </w:r>
                            <w:r>
                              <w:rPr>
                                <w:rFonts w:hint="default"/>
                                <w:b/>
                                <w:bCs/>
                                <w:sz w:val="21"/>
                                <w:szCs w:val="21"/>
                                <w:lang w:val="en-US" w:eastAsia="zh-CN"/>
                              </w:rPr>
                              <w:t>厂区</w:t>
                            </w:r>
                            <w:r>
                              <w:rPr>
                                <w:rFonts w:hint="eastAsia"/>
                                <w:b/>
                                <w:bCs/>
                                <w:sz w:val="21"/>
                                <w:szCs w:val="21"/>
                                <w:lang w:val="en-US" w:eastAsia="zh-CN"/>
                              </w:rPr>
                              <w:t>地理位置图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75pt;margin-top:302.05pt;height:23.75pt;width:149.3pt;z-index:251660288;mso-width-relative:page;mso-height-relative:page;" fillcolor="#FFFFFF [3201]" filled="t" stroked="t" coordsize="21600,21600" o:gfxdata="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0dk9MNsAAAALAQAADwAAAAAAAAABACAAAAAiAAAAZHJzL2Rvd25yZXYueG1sUEsB&#10;AhQAFAAAAAgAh07iQO9bQpdkAgAA1QQAAA4AAAAAAAAAAQAgAAAAKgEAAGRycy9lMm9Eb2MueG1s&#10;UEsFBgAAAAAGAAYAWQEAAAAGA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图5-1 </w:t>
                      </w:r>
                      <w:r>
                        <w:rPr>
                          <w:rFonts w:hint="default"/>
                          <w:b/>
                          <w:bCs/>
                          <w:sz w:val="21"/>
                          <w:szCs w:val="21"/>
                          <w:lang w:val="en-US" w:eastAsia="zh-CN"/>
                        </w:rPr>
                        <w:t>厂区</w:t>
                      </w:r>
                      <w:r>
                        <w:rPr>
                          <w:rFonts w:hint="eastAsia"/>
                          <w:b/>
                          <w:bCs/>
                          <w:sz w:val="21"/>
                          <w:szCs w:val="21"/>
                          <w:lang w:val="en-US" w:eastAsia="zh-CN"/>
                        </w:rPr>
                        <w:t>地理位置图</w:t>
                      </w:r>
                    </w:p>
                    <w:p/>
                  </w:txbxContent>
                </v:textbox>
              </v:shape>
            </w:pict>
          </mc:Fallback>
        </mc:AlternateContent>
      </w:r>
      <w:r>
        <w:rPr>
          <w:rFonts w:hint="eastAsia" w:eastAsiaTheme="minorEastAsia"/>
          <w:sz w:val="21"/>
          <w:lang w:eastAsia="zh-CN"/>
        </w:rPr>
        <w:drawing>
          <wp:inline distT="0" distB="0" distL="114300" distR="114300">
            <wp:extent cx="8397875" cy="3599815"/>
            <wp:effectExtent l="0" t="0" r="3175" b="635"/>
            <wp:docPr id="29" name="图片 29" descr="5ed39de3874b11103a54ba2b53c3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d39de3874b11103a54ba2b53c36b1"/>
                    <pic:cNvPicPr>
                      <a:picLocks noChangeAspect="1"/>
                    </pic:cNvPicPr>
                  </pic:nvPicPr>
                  <pic:blipFill>
                    <a:blip r:embed="rId11"/>
                    <a:stretch>
                      <a:fillRect/>
                    </a:stretch>
                  </pic:blipFill>
                  <pic:spPr>
                    <a:xfrm>
                      <a:off x="0" y="0"/>
                      <a:ext cx="8397875" cy="3599815"/>
                    </a:xfrm>
                    <a:prstGeom prst="rect">
                      <a:avLst/>
                    </a:prstGeom>
                  </pic:spPr>
                </pic:pic>
              </a:graphicData>
            </a:graphic>
          </wp:inline>
        </w:drawing>
      </w:r>
    </w:p>
    <w:p>
      <w:pPr>
        <w:pStyle w:val="2"/>
        <w:jc w:val="center"/>
        <w:rPr>
          <w:rFonts w:hint="eastAsia" w:eastAsiaTheme="minorEastAsia"/>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7696" behindDoc="0" locked="0" layoutInCell="1" allowOverlap="1">
                <wp:simplePos x="0" y="0"/>
                <wp:positionH relativeFrom="column">
                  <wp:posOffset>3618865</wp:posOffset>
                </wp:positionH>
                <wp:positionV relativeFrom="paragraph">
                  <wp:posOffset>5320665</wp:posOffset>
                </wp:positionV>
                <wp:extent cx="1849755" cy="301625"/>
                <wp:effectExtent l="4445" t="4445" r="12700" b="17780"/>
                <wp:wrapNone/>
                <wp:docPr id="26" name="文本框 26"/>
                <wp:cNvGraphicFramePr/>
                <a:graphic xmlns:a="http://schemas.openxmlformats.org/drawingml/2006/main">
                  <a:graphicData uri="http://schemas.microsoft.com/office/word/2010/wordprocessingShape">
                    <wps:wsp>
                      <wps:cNvSpPr txBox="1"/>
                      <wps:spPr>
                        <a:xfrm>
                          <a:off x="0" y="0"/>
                          <a:ext cx="1849755"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图5-2 </w:t>
                            </w:r>
                            <w:r>
                              <w:rPr>
                                <w:rFonts w:hint="default"/>
                                <w:b/>
                                <w:bCs/>
                                <w:sz w:val="21"/>
                                <w:szCs w:val="21"/>
                                <w:lang w:val="en-US" w:eastAsia="zh-CN"/>
                              </w:rPr>
                              <w:t>厂区</w:t>
                            </w:r>
                            <w:r>
                              <w:rPr>
                                <w:rFonts w:hint="eastAsia"/>
                                <w:b/>
                                <w:bCs/>
                                <w:sz w:val="21"/>
                                <w:szCs w:val="21"/>
                                <w:lang w:val="en-US" w:eastAsia="zh-CN"/>
                              </w:rPr>
                              <w:t>平面布置图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95pt;margin-top:418.95pt;height:23.75pt;width:145.65pt;z-index:251677696;mso-width-relative:page;mso-height-relative:page;" fillcolor="#FFFFFF [3201]" filled="t" stroked="t" coordsize="21600,21600" o:gfxdata="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wIv4NwAAAALAQAADwAAAAAAAAABACAAAAAiAAAAZHJzL2Rvd25yZXYueG1s&#10;UEsBAhQAFAAAAAgAh07iQID4Z8xmAgAA1wQAAA4AAAAAAAAAAQAgAAAAKwEAAGRycy9lMm9Eb2Mu&#10;eG1sUEsFBgAAAAAGAAYAWQEAAAMGA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图5-2 </w:t>
                      </w:r>
                      <w:r>
                        <w:rPr>
                          <w:rFonts w:hint="default"/>
                          <w:b/>
                          <w:bCs/>
                          <w:sz w:val="21"/>
                          <w:szCs w:val="21"/>
                          <w:lang w:val="en-US" w:eastAsia="zh-CN"/>
                        </w:rPr>
                        <w:t>厂区</w:t>
                      </w:r>
                      <w:r>
                        <w:rPr>
                          <w:rFonts w:hint="eastAsia"/>
                          <w:b/>
                          <w:bCs/>
                          <w:sz w:val="21"/>
                          <w:szCs w:val="21"/>
                          <w:lang w:val="en-US" w:eastAsia="zh-CN"/>
                        </w:rPr>
                        <w:t>平面布置图</w:t>
                      </w:r>
                    </w:p>
                    <w:p/>
                  </w:txbxContent>
                </v:textbox>
              </v:shape>
            </w:pict>
          </mc:Fallback>
        </mc:AlternateContent>
      </w:r>
      <w:r>
        <w:drawing>
          <wp:anchor distT="0" distB="0" distL="114300" distR="114300" simplePos="0" relativeHeight="251678720" behindDoc="0" locked="0" layoutInCell="1" allowOverlap="1">
            <wp:simplePos x="0" y="0"/>
            <wp:positionH relativeFrom="column">
              <wp:posOffset>7687310</wp:posOffset>
            </wp:positionH>
            <wp:positionV relativeFrom="paragraph">
              <wp:posOffset>17780</wp:posOffset>
            </wp:positionV>
            <wp:extent cx="848995" cy="942975"/>
            <wp:effectExtent l="0" t="0" r="8255" b="9525"/>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0"/>
                    <a:stretch>
                      <a:fillRect/>
                    </a:stretch>
                  </pic:blipFill>
                  <pic:spPr>
                    <a:xfrm>
                      <a:off x="0" y="0"/>
                      <a:ext cx="848995" cy="942975"/>
                    </a:xfrm>
                    <a:prstGeom prst="rect">
                      <a:avLst/>
                    </a:prstGeom>
                    <a:noFill/>
                    <a:ln>
                      <a:noFill/>
                    </a:ln>
                  </pic:spPr>
                </pic:pic>
              </a:graphicData>
            </a:graphic>
          </wp:anchor>
        </w:drawing>
      </w:r>
      <w:r>
        <w:rPr>
          <w:sz w:val="21"/>
        </w:rPr>
        <w:drawing>
          <wp:inline distT="0" distB="0" distL="114300" distR="114300">
            <wp:extent cx="8023225" cy="5476240"/>
            <wp:effectExtent l="0" t="0" r="15875" b="10160"/>
            <wp:docPr id="30" name="图片 30" descr="E:\望锦\702bfbb3d82a916fa764f5c956073d1 (2).png702bfbb3d82a916fa764f5c956073d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望锦\702bfbb3d82a916fa764f5c956073d1 (2).png702bfbb3d82a916fa764f5c956073d1 (2)"/>
                    <pic:cNvPicPr>
                      <a:picLocks noChangeAspect="1"/>
                    </pic:cNvPicPr>
                  </pic:nvPicPr>
                  <pic:blipFill>
                    <a:blip r:embed="rId12"/>
                    <a:srcRect t="230" b="230"/>
                    <a:stretch>
                      <a:fillRect/>
                    </a:stretch>
                  </pic:blipFill>
                  <pic:spPr>
                    <a:xfrm>
                      <a:off x="0" y="0"/>
                      <a:ext cx="8023225" cy="5476240"/>
                    </a:xfrm>
                    <a:prstGeom prst="rect">
                      <a:avLst/>
                    </a:prstGeom>
                  </pic:spPr>
                </pic:pic>
              </a:graphicData>
            </a:graphic>
          </wp:inline>
        </w:drawing>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b/>
                <w:bCs/>
                <w:sz w:val="24"/>
                <w:szCs w:val="24"/>
                <w:lang w:val="en-US" w:eastAsia="zh-CN"/>
              </w:rPr>
            </w:pPr>
            <w:r>
              <w:rPr>
                <w:rFonts w:hint="eastAsia"/>
                <w:b/>
                <w:bCs/>
                <w:sz w:val="24"/>
                <w:szCs w:val="24"/>
                <w:lang w:val="en-US" w:eastAsia="zh-CN"/>
              </w:rPr>
              <w:t>六、</w:t>
            </w:r>
            <w:r>
              <w:rPr>
                <w:rFonts w:hint="default"/>
                <w:b/>
                <w:bCs/>
                <w:sz w:val="24"/>
                <w:szCs w:val="24"/>
                <w:lang w:val="en-US" w:eastAsia="zh-CN"/>
              </w:rPr>
              <w:t>主要污染源、污染物处理和排放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清洗线废水包括脱脂废水、碱洗废水</w:t>
            </w:r>
            <w:r>
              <w:rPr>
                <w:rFonts w:hint="eastAsia" w:ascii="Times New Roman" w:hAnsi="Times New Roman" w:cs="Times New Roman"/>
                <w:color w:val="auto"/>
                <w:sz w:val="24"/>
                <w:szCs w:val="24"/>
                <w:lang w:eastAsia="zh-CN"/>
              </w:rPr>
              <w:t>、超声波清洗废水、水洗废水</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①脱脂废水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项目清洗线共2个脱脂槽，尺寸为3200*1200*1000m</w:t>
            </w:r>
            <w:r>
              <w:rPr>
                <w:rFonts w:hint="eastAsia"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rPr>
              <w:t>，有效容积为</w:t>
            </w:r>
            <w:r>
              <w:rPr>
                <w:rFonts w:hint="eastAsia" w:ascii="Times New Roman" w:hAnsi="Times New Roman" w:cs="Times New Roman"/>
                <w:color w:val="auto"/>
                <w:sz w:val="24"/>
                <w:szCs w:val="24"/>
                <w:lang w:val="en-US" w:eastAsia="zh-CN"/>
              </w:rPr>
              <w:t>3.264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（按总容积85%计），槽液采用外购的脱脂剂与水按照1:1配比后循环使用，同时根据效果，脱脂槽约1个月更换一次槽液，年更换12次，产生脱脂槽液废水</w:t>
            </w:r>
            <w:r>
              <w:rPr>
                <w:rFonts w:hint="eastAsia" w:ascii="Times New Roman" w:hAnsi="Times New Roman" w:cs="Times New Roman"/>
                <w:color w:val="auto"/>
                <w:sz w:val="24"/>
                <w:szCs w:val="24"/>
                <w:lang w:val="en-US" w:eastAsia="zh-CN"/>
              </w:rPr>
              <w:t>39.168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/a（0.1</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经车间污水处理设施预处理后，</w:t>
            </w:r>
            <w:r>
              <w:rPr>
                <w:rFonts w:hint="default" w:ascii="Times New Roman" w:hAnsi="Times New Roman" w:cs="Times New Roman"/>
                <w:color w:val="auto"/>
                <w:sz w:val="24"/>
                <w:szCs w:val="24"/>
              </w:rPr>
              <w:t>进入</w:t>
            </w:r>
            <w:r>
              <w:rPr>
                <w:rFonts w:hint="eastAsia" w:ascii="Times New Roman" w:hAnsi="Times New Roman" w:cs="Times New Roman"/>
                <w:color w:val="auto"/>
                <w:sz w:val="24"/>
                <w:szCs w:val="24"/>
                <w:lang w:eastAsia="zh-CN"/>
              </w:rPr>
              <w:t>中鼎减震厂区综合污水处理站</w:t>
            </w:r>
            <w:r>
              <w:rPr>
                <w:rFonts w:hint="default" w:ascii="Times New Roman" w:hAnsi="Times New Roman" w:cs="Times New Roman"/>
                <w:color w:val="auto"/>
                <w:sz w:val="24"/>
                <w:szCs w:val="24"/>
              </w:rPr>
              <w:t>预处理后，排入中德智造小镇污水处理厂处理。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②碱洗废水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项目清洗线共</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个碱洗槽，单个尺寸为3200*1200*1000m</w:t>
            </w:r>
            <w:r>
              <w:rPr>
                <w:rFonts w:hint="eastAsia"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rPr>
              <w:t>，单个有效容积为</w:t>
            </w:r>
            <w:r>
              <w:rPr>
                <w:rFonts w:hint="eastAsia" w:ascii="Times New Roman" w:hAnsi="Times New Roman" w:cs="Times New Roman"/>
                <w:color w:val="auto"/>
                <w:sz w:val="24"/>
                <w:szCs w:val="24"/>
                <w:lang w:val="en-US" w:eastAsia="zh-CN"/>
              </w:rPr>
              <w:t>3.264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（按总容积85%计）。碱洗槽液采用外购的片状氢氧化钠与水配比成25%碱液循环使用，同时根据碱洗效果，碱洗槽需定期清洗更换碱液，约1个月更换一次，年更换12次，产生碱液废水</w:t>
            </w:r>
            <w:r>
              <w:rPr>
                <w:rFonts w:hint="eastAsia" w:ascii="Times New Roman" w:hAnsi="Times New Roman" w:cs="Times New Roman"/>
                <w:color w:val="auto"/>
                <w:sz w:val="24"/>
                <w:szCs w:val="24"/>
                <w:lang w:val="en-US" w:eastAsia="zh-CN"/>
              </w:rPr>
              <w:t>39.168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/a（0.</w:t>
            </w:r>
            <w:r>
              <w:rPr>
                <w:rFonts w:hint="eastAsia"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经车间污水处理设施预处理后，</w:t>
            </w:r>
            <w:r>
              <w:rPr>
                <w:rFonts w:hint="default" w:ascii="Times New Roman" w:hAnsi="Times New Roman" w:cs="Times New Roman"/>
                <w:color w:val="auto"/>
                <w:sz w:val="24"/>
                <w:szCs w:val="24"/>
              </w:rPr>
              <w:t>进入</w:t>
            </w:r>
            <w:r>
              <w:rPr>
                <w:rFonts w:hint="eastAsia" w:ascii="Times New Roman" w:hAnsi="Times New Roman" w:cs="Times New Roman"/>
                <w:color w:val="auto"/>
                <w:sz w:val="24"/>
                <w:szCs w:val="24"/>
                <w:lang w:eastAsia="zh-CN"/>
              </w:rPr>
              <w:t>中鼎减震厂区综合污水处理站</w:t>
            </w:r>
            <w:r>
              <w:rPr>
                <w:rFonts w:hint="default" w:ascii="Times New Roman" w:hAnsi="Times New Roman" w:cs="Times New Roman"/>
                <w:color w:val="auto"/>
                <w:sz w:val="24"/>
                <w:szCs w:val="24"/>
              </w:rPr>
              <w:t>预处理后，排入中德智造小镇污水处理厂处理。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③超声波清洗废水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项目清洗线共</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个超声波清洗槽，</w:t>
            </w:r>
            <w:r>
              <w:rPr>
                <w:rFonts w:hint="default" w:ascii="Times New Roman" w:hAnsi="Times New Roman" w:cs="Times New Roman"/>
                <w:color w:val="auto"/>
                <w:sz w:val="24"/>
                <w:szCs w:val="24"/>
              </w:rPr>
              <w:t>尺寸为3200*1200*1000m</w:t>
            </w:r>
            <w:r>
              <w:rPr>
                <w:rFonts w:hint="eastAsia" w:ascii="Times New Roman" w:hAnsi="Times New Roman" w:cs="Times New Roman"/>
                <w:color w:val="auto"/>
                <w:sz w:val="24"/>
                <w:szCs w:val="24"/>
                <w:lang w:val="en-US" w:eastAsia="zh-CN"/>
              </w:rPr>
              <w:t>m</w:t>
            </w:r>
            <w:r>
              <w:rPr>
                <w:rFonts w:hint="eastAsia" w:ascii="Times New Roman" w:hAnsi="Times New Roman" w:cs="Times New Roman"/>
                <w:color w:val="auto"/>
                <w:sz w:val="24"/>
                <w:szCs w:val="24"/>
                <w:lang w:eastAsia="zh-CN"/>
              </w:rPr>
              <w:t>，有效容积为</w:t>
            </w:r>
            <w:r>
              <w:rPr>
                <w:rFonts w:hint="eastAsia" w:ascii="Times New Roman" w:hAnsi="Times New Roman" w:cs="Times New Roman"/>
                <w:color w:val="auto"/>
                <w:sz w:val="24"/>
                <w:szCs w:val="24"/>
                <w:lang w:val="en-US" w:eastAsia="zh-CN"/>
              </w:rPr>
              <w:t>3.264</w:t>
            </w:r>
            <w:r>
              <w:rPr>
                <w:rFonts w:hint="eastAsia" w:ascii="Times New Roman" w:hAnsi="Times New Roman" w:cs="Times New Roman"/>
                <w:color w:val="auto"/>
                <w:sz w:val="24"/>
                <w:szCs w:val="24"/>
                <w:lang w:eastAsia="zh-CN"/>
              </w:rPr>
              <w:t>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（按总容积 85%计）。超声波清洗槽使用清洗剂与水配比后清洗，超声波清洗槽水循环使用，每天补充损耗量约占槽液量的5%，即补充水0.1</w:t>
            </w:r>
            <w:r>
              <w:rPr>
                <w:rFonts w:hint="eastAsia"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lang w:eastAsia="zh-CN"/>
              </w:rPr>
              <w:t>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/d；同时根据清洗效果半个月更换一次槽液，年更换约24次，产生超声波清洗废水约</w:t>
            </w:r>
            <w:r>
              <w:rPr>
                <w:rFonts w:hint="eastAsia" w:ascii="Times New Roman" w:hAnsi="Times New Roman" w:cs="Times New Roman"/>
                <w:color w:val="auto"/>
                <w:sz w:val="24"/>
                <w:szCs w:val="24"/>
                <w:lang w:val="en-US" w:eastAsia="zh-CN"/>
              </w:rPr>
              <w:t>78.336</w:t>
            </w:r>
            <w:r>
              <w:rPr>
                <w:rFonts w:hint="eastAsia" w:ascii="Times New Roman" w:hAnsi="Times New Roman" w:cs="Times New Roman"/>
                <w:color w:val="auto"/>
                <w:sz w:val="24"/>
                <w:szCs w:val="24"/>
                <w:lang w:eastAsia="zh-CN"/>
              </w:rPr>
              <w:t>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/a（0.</w:t>
            </w:r>
            <w:r>
              <w:rPr>
                <w:rFonts w:hint="eastAsia" w:ascii="Times New Roman" w:hAnsi="Times New Roman" w:cs="Times New Roman"/>
                <w:color w:val="auto"/>
                <w:sz w:val="24"/>
                <w:szCs w:val="24"/>
                <w:lang w:val="en-US" w:eastAsia="zh-CN"/>
              </w:rPr>
              <w:t>26</w:t>
            </w:r>
            <w:r>
              <w:rPr>
                <w:rFonts w:hint="eastAsia" w:ascii="Times New Roman" w:hAnsi="Times New Roman" w:cs="Times New Roman"/>
                <w:color w:val="auto"/>
                <w:sz w:val="24"/>
                <w:szCs w:val="24"/>
                <w:lang w:eastAsia="zh-CN"/>
              </w:rPr>
              <w:t>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/d），经车间污水处理设施预处理后，</w:t>
            </w:r>
            <w:r>
              <w:rPr>
                <w:rFonts w:hint="default" w:ascii="Times New Roman" w:hAnsi="Times New Roman" w:cs="Times New Roman"/>
                <w:color w:val="auto"/>
                <w:sz w:val="24"/>
                <w:szCs w:val="24"/>
              </w:rPr>
              <w:t>进入</w:t>
            </w:r>
            <w:r>
              <w:rPr>
                <w:rFonts w:hint="eastAsia" w:ascii="Times New Roman" w:hAnsi="Times New Roman" w:cs="Times New Roman"/>
                <w:color w:val="auto"/>
                <w:sz w:val="24"/>
                <w:szCs w:val="24"/>
                <w:lang w:eastAsia="zh-CN"/>
              </w:rPr>
              <w:t>中鼎减震厂区综合污水处理站</w:t>
            </w:r>
            <w:r>
              <w:rPr>
                <w:rFonts w:hint="default" w:ascii="Times New Roman" w:hAnsi="Times New Roman" w:cs="Times New Roman"/>
                <w:color w:val="auto"/>
                <w:sz w:val="24"/>
                <w:szCs w:val="24"/>
              </w:rPr>
              <w:t>预处理后，排入中德智造小镇污水处理厂处理</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④</w:t>
            </w:r>
            <w:r>
              <w:rPr>
                <w:rFonts w:hint="default" w:ascii="Times New Roman" w:hAnsi="Times New Roman" w:cs="Times New Roman"/>
                <w:color w:val="auto"/>
                <w:sz w:val="24"/>
                <w:szCs w:val="24"/>
              </w:rPr>
              <w:t>水洗废水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项目清洗线设脱脂后水洗、碱洗后水洗、荧光检测后水洗等水洗工序，同一工序水洗槽采用逆流节水措施，共产生清洗废水约</w:t>
            </w:r>
            <w:r>
              <w:rPr>
                <w:rFonts w:hint="eastAsia"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清洗废水经经车间污水处理设施预处理后，</w:t>
            </w:r>
            <w:r>
              <w:rPr>
                <w:rFonts w:hint="default" w:ascii="Times New Roman" w:hAnsi="Times New Roman" w:cs="Times New Roman"/>
                <w:color w:val="auto"/>
                <w:sz w:val="24"/>
                <w:szCs w:val="24"/>
              </w:rPr>
              <w:t>进入</w:t>
            </w:r>
            <w:r>
              <w:rPr>
                <w:rFonts w:hint="eastAsia" w:ascii="Times New Roman" w:hAnsi="Times New Roman" w:cs="Times New Roman"/>
                <w:color w:val="auto"/>
                <w:sz w:val="24"/>
                <w:szCs w:val="24"/>
                <w:lang w:eastAsia="zh-CN"/>
              </w:rPr>
              <w:t>中鼎减震厂区综合污水处理站</w:t>
            </w:r>
            <w:r>
              <w:rPr>
                <w:rFonts w:hint="default" w:ascii="Times New Roman" w:hAnsi="Times New Roman" w:cs="Times New Roman"/>
                <w:color w:val="auto"/>
                <w:sz w:val="24"/>
                <w:szCs w:val="24"/>
              </w:rPr>
              <w:t>预处理后，排入中德智造小镇污水处理厂处理。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超声波清洗废水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项目</w:t>
            </w:r>
            <w:r>
              <w:rPr>
                <w:rFonts w:hint="default" w:ascii="Times New Roman" w:hAnsi="Times New Roman" w:cs="Times New Roman"/>
                <w:color w:val="auto"/>
                <w:sz w:val="24"/>
                <w:szCs w:val="24"/>
              </w:rPr>
              <w:t>自动超声波清洗机有超声波清洗槽</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个、超声波水洗槽</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个，单个槽体尺寸1*0.8*1m，有效容积为0.68m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（按总容积 85%计），超声波清洗槽使用</w:t>
            </w:r>
            <w:r>
              <w:rPr>
                <w:rFonts w:hint="eastAsia" w:ascii="Times New Roman" w:hAnsi="Times New Roman" w:cs="Times New Roman"/>
                <w:color w:val="auto"/>
                <w:sz w:val="24"/>
                <w:szCs w:val="24"/>
                <w:lang w:eastAsia="zh-CN"/>
              </w:rPr>
              <w:t>清洗剂</w:t>
            </w:r>
            <w:r>
              <w:rPr>
                <w:rFonts w:hint="default" w:ascii="Times New Roman" w:hAnsi="Times New Roman" w:cs="Times New Roman"/>
                <w:color w:val="auto"/>
                <w:sz w:val="24"/>
                <w:szCs w:val="24"/>
              </w:rPr>
              <w:t>与水配比成5%的槽液。超声波清洗槽水循环使用，根据清洗效果每个月更换约4次，年更换约48次，超声波清洗槽废水产生量约124.5m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/a（0.415m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/d）；超声波水洗槽采用逆流水洗，水洗槽1为连续进水，排水做为水洗槽2进水，进排水量约0.2m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/h</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单槽，清洗过程中约有5%的水被工件带走造成损耗，清洗废水产生量约6.08m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则</w:t>
            </w:r>
            <w:r>
              <w:rPr>
                <w:rFonts w:hint="default" w:ascii="Times New Roman" w:hAnsi="Times New Roman" w:cs="Times New Roman"/>
                <w:color w:val="auto"/>
                <w:sz w:val="24"/>
                <w:szCs w:val="24"/>
              </w:rPr>
              <w:t>超声波清洗废水排放量</w:t>
            </w:r>
            <w:r>
              <w:rPr>
                <w:rFonts w:hint="eastAsia" w:ascii="Times New Roman" w:hAnsi="Times New Roman" w:cs="Times New Roman"/>
                <w:color w:val="auto"/>
                <w:sz w:val="24"/>
                <w:szCs w:val="24"/>
                <w:lang w:eastAsia="zh-CN"/>
              </w:rPr>
              <w:t>为</w:t>
            </w:r>
            <w:r>
              <w:rPr>
                <w:rFonts w:hint="default" w:ascii="Times New Roman" w:hAnsi="Times New Roman" w:cs="Times New Roman"/>
                <w:color w:val="auto"/>
                <w:sz w:val="24"/>
                <w:szCs w:val="24"/>
              </w:rPr>
              <w:t>1948.5m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/a（6.495m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/d），进入</w:t>
            </w:r>
            <w:r>
              <w:rPr>
                <w:rFonts w:hint="eastAsia" w:ascii="Times New Roman" w:hAnsi="Times New Roman" w:cs="Times New Roman"/>
                <w:color w:val="auto"/>
                <w:sz w:val="24"/>
                <w:szCs w:val="24"/>
                <w:lang w:eastAsia="zh-CN"/>
              </w:rPr>
              <w:t>中鼎减震厂区综合污水处理站</w:t>
            </w:r>
            <w:r>
              <w:rPr>
                <w:rFonts w:hint="default" w:ascii="Times New Roman" w:hAnsi="Times New Roman" w:cs="Times New Roman"/>
                <w:color w:val="auto"/>
                <w:sz w:val="24"/>
                <w:szCs w:val="24"/>
              </w:rPr>
              <w:t>处理后，排入中德智造小镇污水处理厂处理。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eastAsia="zh-CN"/>
              </w:rPr>
              <w:t>）车间保洁废水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项目车间地面采取每天清扫制，保洁用水量约0.5m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/d（1</w:t>
            </w:r>
            <w:r>
              <w:rPr>
                <w:rFonts w:hint="eastAsia" w:ascii="Times New Roman" w:hAnsi="Times New Roman" w:cs="Times New Roman"/>
                <w:color w:val="auto"/>
                <w:sz w:val="24"/>
                <w:szCs w:val="24"/>
                <w:lang w:val="en-US" w:eastAsia="zh-CN"/>
              </w:rPr>
              <w:t>50</w:t>
            </w:r>
            <w:r>
              <w:rPr>
                <w:rFonts w:hint="eastAsia" w:ascii="Times New Roman" w:hAnsi="Times New Roman" w:cs="Times New Roman"/>
                <w:color w:val="auto"/>
                <w:sz w:val="24"/>
                <w:szCs w:val="24"/>
                <w:lang w:eastAsia="zh-CN"/>
              </w:rPr>
              <w:t>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/a），保洁用水随地面蒸发，清扫结束需对保洁工具清洗，清洗废水量产生系数约占保洁用水量的10%，即产生保洁废水0.</w:t>
            </w:r>
            <w:r>
              <w:rPr>
                <w:rFonts w:hint="eastAsia" w:ascii="Times New Roman" w:hAnsi="Times New Roman" w:cs="Times New Roman"/>
                <w:color w:val="auto"/>
                <w:sz w:val="24"/>
                <w:szCs w:val="24"/>
                <w:lang w:val="en-US" w:eastAsia="zh-CN"/>
              </w:rPr>
              <w:t>05</w:t>
            </w:r>
            <w:r>
              <w:rPr>
                <w:rFonts w:hint="eastAsia" w:ascii="Times New Roman" w:hAnsi="Times New Roman" w:cs="Times New Roman"/>
                <w:color w:val="auto"/>
                <w:sz w:val="24"/>
                <w:szCs w:val="24"/>
                <w:lang w:eastAsia="zh-CN"/>
              </w:rPr>
              <w:t>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/d（1</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eastAsia="zh-CN"/>
              </w:rPr>
              <w:t>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/a），保洁废水</w:t>
            </w:r>
            <w:r>
              <w:rPr>
                <w:rFonts w:hint="eastAsia" w:ascii="Times New Roman" w:hAnsi="Times New Roman" w:cs="Times New Roman"/>
                <w:color w:val="auto"/>
                <w:sz w:val="24"/>
                <w:szCs w:val="24"/>
                <w:lang w:val="en-US" w:eastAsia="zh-CN"/>
              </w:rPr>
              <w:t>经化粪池收集进入</w:t>
            </w:r>
            <w:r>
              <w:rPr>
                <w:rFonts w:hint="eastAsia" w:ascii="Times New Roman" w:hAnsi="Times New Roman" w:cs="Times New Roman"/>
                <w:color w:val="auto"/>
                <w:sz w:val="24"/>
                <w:szCs w:val="24"/>
                <w:lang w:eastAsia="zh-CN"/>
              </w:rPr>
              <w:t>中鼎减震厂区综合污水处理站</w:t>
            </w:r>
            <w:r>
              <w:rPr>
                <w:rFonts w:hint="eastAsia" w:ascii="Times New Roman" w:hAnsi="Times New Roman" w:cs="Times New Roman"/>
                <w:color w:val="auto"/>
                <w:sz w:val="24"/>
                <w:szCs w:val="24"/>
                <w:lang w:val="en-US" w:eastAsia="zh-CN"/>
              </w:rPr>
              <w:t>处理后，排入中德智造小镇污水处理厂处理</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本项目劳动定员200人，生活用水量为10m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/d（3000m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/a），排污系数按0.8计，则生活污水产生量为8m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/d（2400m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/a），生活污水经化粪池收集进入</w:t>
            </w:r>
            <w:r>
              <w:rPr>
                <w:rFonts w:hint="eastAsia" w:ascii="Times New Roman" w:hAnsi="Times New Roman" w:cs="Times New Roman"/>
                <w:color w:val="auto"/>
                <w:sz w:val="24"/>
                <w:szCs w:val="24"/>
                <w:lang w:eastAsia="zh-CN"/>
              </w:rPr>
              <w:t>中鼎减震厂区综合污水处理站</w:t>
            </w:r>
            <w:r>
              <w:rPr>
                <w:rFonts w:hint="eastAsia" w:ascii="Times New Roman" w:hAnsi="Times New Roman" w:cs="Times New Roman"/>
                <w:color w:val="auto"/>
                <w:sz w:val="24"/>
                <w:szCs w:val="24"/>
                <w:lang w:val="en-US" w:eastAsia="zh-CN"/>
              </w:rPr>
              <w:t>处理后，排入中德智造小镇污水处理厂处理。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项目清洗线增加车间污水预处理设施一套，设计处理能力60m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/d，工艺流程简述：碱洗脱脂废水进入废水收集池中调节pH值，进入化学沉淀池中加药装置加入PAM、PAC混凝沉淀，污泥池中产生的污泥经压滤机压滤后干泥作为危废。</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drawing>
                <wp:inline distT="0" distB="0" distL="114300" distR="114300">
                  <wp:extent cx="5544185" cy="3232150"/>
                  <wp:effectExtent l="0" t="0" r="18415" b="6350"/>
                  <wp:docPr id="24" name="图片 24" descr="E:\望锦\e63bed19f0c2ef99fc29a84c5ca22df.pnge63bed19f0c2ef99fc29a84c5ca2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望锦\e63bed19f0c2ef99fc29a84c5ca22df.pnge63bed19f0c2ef99fc29a84c5ca22df"/>
                          <pic:cNvPicPr>
                            <a:picLocks noChangeAspect="1"/>
                          </pic:cNvPicPr>
                        </pic:nvPicPr>
                        <pic:blipFill>
                          <a:blip r:embed="rId13"/>
                          <a:srcRect t="2886" b="2886"/>
                          <a:stretch>
                            <a:fillRect/>
                          </a:stretch>
                        </pic:blipFill>
                        <pic:spPr>
                          <a:xfrm>
                            <a:off x="0" y="0"/>
                            <a:ext cx="5544185" cy="3232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图</w:t>
            </w:r>
            <w:r>
              <w:rPr>
                <w:rFonts w:hint="eastAsia" w:ascii="Times New Roman" w:hAnsi="Times New Roman" w:cs="Times New Roman"/>
                <w:b/>
                <w:bCs/>
                <w:color w:val="auto"/>
                <w:sz w:val="21"/>
                <w:szCs w:val="21"/>
                <w:lang w:val="en-US" w:eastAsia="zh-CN"/>
              </w:rPr>
              <w:t>6-1 车间污水预处理设施工艺图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本项目废水总排放量65.065m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/d（19519.5m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清洗线生产废水（脱脂废水、碱洗废水、超声波清洗废水、水洗废水）经车间自建污水处理设施预处理后，与超声波清洗废水一并进入中鼎减震厂区综合污水处理站处理，排入中德智造小镇污水处理厂处理；保洁废水、生活污水经化粪池收集进入中鼎减震厂区综合污水处理站处理后，排入中德智造小镇污水处理厂，处理达标后排入东津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本项目产生的废气主要为</w:t>
            </w:r>
            <w:r>
              <w:rPr>
                <w:rFonts w:hint="eastAsia"/>
                <w:color w:val="auto"/>
                <w:sz w:val="24"/>
                <w:lang w:eastAsia="zh-CN"/>
              </w:rPr>
              <w:t>天然气燃烧、</w:t>
            </w:r>
            <w:r>
              <w:rPr>
                <w:rFonts w:hint="eastAsia" w:ascii="Times New Roman" w:hAnsi="Times New Roman" w:cs="Times New Roman"/>
                <w:color w:val="auto"/>
                <w:sz w:val="24"/>
                <w:szCs w:val="24"/>
                <w:lang w:eastAsia="zh-CN"/>
              </w:rPr>
              <w:t>锻坯加热、</w:t>
            </w:r>
            <w:r>
              <w:rPr>
                <w:rFonts w:hint="eastAsia"/>
                <w:color w:val="auto"/>
                <w:sz w:val="24"/>
                <w:lang w:eastAsia="zh-CN"/>
              </w:rPr>
              <w:t>抛丸、抛光、焊接、电阻炉等工序产生的废气</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主要污染</w:t>
            </w:r>
            <w:r>
              <w:rPr>
                <w:rFonts w:hint="eastAsia" w:ascii="Times New Roman" w:hAnsi="Times New Roman" w:cs="Times New Roman"/>
                <w:color w:val="auto"/>
                <w:sz w:val="24"/>
                <w:szCs w:val="24"/>
                <w:lang w:val="en-US" w:eastAsia="zh-CN"/>
              </w:rPr>
              <w:t>物为颗粒物（含油雾）、</w:t>
            </w:r>
            <w:r>
              <w:rPr>
                <w:rFonts w:hint="eastAsia"/>
                <w:color w:val="auto"/>
                <w:sz w:val="24"/>
                <w:lang w:eastAsia="zh-CN"/>
              </w:rPr>
              <w:t>二氧化硫、氮氧化物</w:t>
            </w:r>
            <w:r>
              <w:rPr>
                <w:rFonts w:hint="eastAsia"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项目低氮燃烧使用燃气烧嘴SFSV，烧嘴火焰出口速度可达180m/s，功率范围30~1400kW，该烧嘴采用延迟混合杯式结构，延缓燃烧室内空气燃气的混合过程，降低燃烧室内火焰温度，同时较快的火焰出口速度大量卷吸炉内烟气，有效降低氮氧化物生成。</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drawing>
                <wp:anchor distT="0" distB="0" distL="114300" distR="114300" simplePos="0" relativeHeight="251687936" behindDoc="0" locked="0" layoutInCell="1" allowOverlap="1">
                  <wp:simplePos x="0" y="0"/>
                  <wp:positionH relativeFrom="column">
                    <wp:posOffset>8255</wp:posOffset>
                  </wp:positionH>
                  <wp:positionV relativeFrom="paragraph">
                    <wp:posOffset>73660</wp:posOffset>
                  </wp:positionV>
                  <wp:extent cx="3228340" cy="1816735"/>
                  <wp:effectExtent l="0" t="0" r="10160" b="12065"/>
                  <wp:wrapNone/>
                  <wp:docPr id="19" name="图片 19" descr="7b8364f4b69f196895dc69c1ab5c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b8364f4b69f196895dc69c1ab5c5c8"/>
                          <pic:cNvPicPr>
                            <a:picLocks noChangeAspect="1"/>
                          </pic:cNvPicPr>
                        </pic:nvPicPr>
                        <pic:blipFill>
                          <a:blip r:embed="rId14"/>
                          <a:stretch>
                            <a:fillRect/>
                          </a:stretch>
                        </pic:blipFill>
                        <pic:spPr>
                          <a:xfrm>
                            <a:off x="0" y="0"/>
                            <a:ext cx="3228340" cy="1816735"/>
                          </a:xfrm>
                          <a:prstGeom prst="rect">
                            <a:avLst/>
                          </a:prstGeom>
                        </pic:spPr>
                      </pic:pic>
                    </a:graphicData>
                  </a:graphic>
                </wp:anchor>
              </w:drawing>
            </w:r>
            <w:r>
              <w:rPr>
                <w:rFonts w:hint="eastAsia" w:ascii="Times New Roman" w:hAnsi="Times New Roman" w:cs="Times New Roman"/>
                <w:color w:val="auto"/>
                <w:sz w:val="24"/>
                <w:szCs w:val="24"/>
                <w:lang w:eastAsia="zh-CN"/>
              </w:rPr>
              <w:drawing>
                <wp:inline distT="0" distB="0" distL="114300" distR="114300">
                  <wp:extent cx="3394710" cy="1566545"/>
                  <wp:effectExtent l="0" t="0" r="15240" b="14605"/>
                  <wp:docPr id="21" name="图片 21" descr="e323d3a39dea04961a83c84f615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323d3a39dea04961a83c84f6153662"/>
                          <pic:cNvPicPr>
                            <a:picLocks noChangeAspect="1"/>
                          </pic:cNvPicPr>
                        </pic:nvPicPr>
                        <pic:blipFill>
                          <a:blip r:embed="rId15"/>
                          <a:stretch>
                            <a:fillRect/>
                          </a:stretch>
                        </pic:blipFill>
                        <pic:spPr>
                          <a:xfrm>
                            <a:off x="0" y="0"/>
                            <a:ext cx="3394710" cy="1566545"/>
                          </a:xfrm>
                          <a:prstGeom prst="rect">
                            <a:avLst/>
                          </a:prstGeom>
                        </pic:spPr>
                      </pic:pic>
                    </a:graphicData>
                  </a:graphic>
                </wp:inline>
              </w:drawing>
            </w:r>
            <w:r>
              <w:rPr>
                <w:rFonts w:hint="eastAsia" w:ascii="Times New Roman" w:hAnsi="Times New Roman" w:cs="Times New Roman"/>
                <w:color w:val="auto"/>
                <w:sz w:val="24"/>
                <w:szCs w:val="24"/>
                <w:lang w:eastAsia="zh-CN"/>
              </w:rPr>
              <w:drawing>
                <wp:inline distT="0" distB="0" distL="114300" distR="114300">
                  <wp:extent cx="1908810" cy="3392805"/>
                  <wp:effectExtent l="0" t="0" r="15240" b="17145"/>
                  <wp:docPr id="20" name="图片 20" descr="84c4945aa74dafd44731902542e5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4c4945aa74dafd44731902542e593a"/>
                          <pic:cNvPicPr>
                            <a:picLocks noChangeAspect="1"/>
                          </pic:cNvPicPr>
                        </pic:nvPicPr>
                        <pic:blipFill>
                          <a:blip r:embed="rId16"/>
                          <a:stretch>
                            <a:fillRect/>
                          </a:stretch>
                        </pic:blipFill>
                        <pic:spPr>
                          <a:xfrm>
                            <a:off x="0" y="0"/>
                            <a:ext cx="1908810" cy="3392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图</w:t>
            </w:r>
            <w:r>
              <w:rPr>
                <w:rFonts w:hint="eastAsia" w:ascii="Times New Roman" w:hAnsi="Times New Roman" w:cs="Times New Roman"/>
                <w:b/>
                <w:bCs/>
                <w:color w:val="auto"/>
                <w:sz w:val="21"/>
                <w:szCs w:val="21"/>
                <w:lang w:val="en-US" w:eastAsia="zh-CN"/>
              </w:rPr>
              <w:t xml:space="preserve">6-1 </w:t>
            </w:r>
            <w:r>
              <w:rPr>
                <w:rFonts w:hint="eastAsia" w:ascii="Times New Roman" w:hAnsi="Times New Roman" w:cs="Times New Roman"/>
                <w:b/>
                <w:bCs/>
                <w:color w:val="auto"/>
                <w:sz w:val="21"/>
                <w:szCs w:val="21"/>
                <w:lang w:eastAsia="zh-CN"/>
              </w:rPr>
              <w:t>燃气烧嘴SFSV</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3条锻造线锻坯加热炉均采用超高速烧嘴低氮燃烧，天然气燃烧废气通过气动混旋喷淋塔处理后经1根15m 高排气筒排放（DA001）。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锻造线锻坯加热废气经喷淋塔+二级工业油烟净化器+活性炭吸附装置处理后，经2根15m 高排气筒排放（DA002、DA003）。</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eastAsiaTheme="minorEastAsia"/>
                <w:color w:val="auto"/>
                <w:sz w:val="24"/>
                <w:szCs w:val="24"/>
                <w:lang w:eastAsia="zh-CN"/>
              </w:rPr>
            </w:pPr>
            <w:r>
              <w:rPr>
                <w:rFonts w:hint="eastAsia" w:ascii="Times New Roman" w:hAnsi="Times New Roman" w:cs="Times New Roman"/>
                <w:color w:val="auto"/>
                <w:sz w:val="24"/>
                <w:szCs w:val="24"/>
                <w:lang w:eastAsia="zh-CN"/>
              </w:rPr>
              <w:t>1条固溶时效炉采用超高速烧嘴低氮燃烧，天然气燃烧废气与锻造线天然气燃烧废气合并通过气动混旋喷淋塔处理后经1根15m 高排气筒排放（DA001）。</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2台抛丸机为全封闭式，自带2套“袋式除尘器”，除尘后合并1根15m高排气筒排放（DA004）。</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电阻炉和焊接废气经工业油烟净化器+二级活性炭吸附装置处理后，通过1根 15m高排气筒排放（DA005）。</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抛光废气经布袋除尘器处理后，通过1根15m高排气筒排放（DA006）。</w:t>
            </w:r>
          </w:p>
          <w:p>
            <w:pPr>
              <w:spacing w:line="36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 xml:space="preserve">表6-1 </w:t>
            </w:r>
            <w:r>
              <w:rPr>
                <w:rFonts w:hint="default" w:ascii="Times New Roman" w:hAnsi="Times New Roman" w:cs="Times New Roman"/>
                <w:b/>
                <w:bCs/>
                <w:sz w:val="21"/>
                <w:szCs w:val="21"/>
                <w:lang w:val="en-US" w:eastAsia="zh-CN"/>
              </w:rPr>
              <w:t>废气污染源及治理措施</w:t>
            </w:r>
          </w:p>
          <w:tbl>
            <w:tblPr>
              <w:tblStyle w:val="12"/>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47"/>
              <w:gridCol w:w="2008"/>
              <w:gridCol w:w="2008"/>
              <w:gridCol w:w="2964"/>
              <w:gridCol w:w="7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0" w:type="auto"/>
                  <w:tcBorders>
                    <w:left w:val="single" w:color="000000" w:sz="12"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产污环节</w:t>
                  </w:r>
                </w:p>
              </w:tc>
              <w:tc>
                <w:tcPr>
                  <w:tcW w:w="0" w:type="auto"/>
                  <w:tcBorders>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污染物名称</w:t>
                  </w:r>
                </w:p>
              </w:tc>
              <w:tc>
                <w:tcPr>
                  <w:tcW w:w="0" w:type="auto"/>
                  <w:tcBorders>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可行技术</w:t>
                  </w:r>
                </w:p>
              </w:tc>
              <w:tc>
                <w:tcPr>
                  <w:tcW w:w="0" w:type="auto"/>
                  <w:tcBorders>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本项目采取的措施</w:t>
                  </w:r>
                </w:p>
              </w:tc>
              <w:tc>
                <w:tcPr>
                  <w:tcW w:w="0" w:type="auto"/>
                  <w:tcBorders>
                    <w:left w:val="single" w:color="000000" w:sz="4" w:space="0"/>
                    <w:bottom w:val="single" w:color="000000" w:sz="4" w:space="0"/>
                    <w:right w:val="single" w:color="000000" w:sz="12"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是否可行技术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0" w:type="auto"/>
                  <w:tcBorders>
                    <w:top w:val="single" w:color="000000" w:sz="4" w:space="0"/>
                    <w:left w:val="single" w:color="000000" w:sz="12"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天然气燃烧</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颗粒物、</w:t>
                  </w:r>
                  <w:r>
                    <w:rPr>
                      <w:rFonts w:hint="eastAsia" w:ascii="Times New Roman" w:hAnsi="Times New Roman" w:cs="Times New Roman"/>
                      <w:b w:val="0"/>
                      <w:bCs w:val="0"/>
                      <w:sz w:val="21"/>
                      <w:szCs w:val="21"/>
                      <w:lang w:val="en-US" w:eastAsia="zh-CN"/>
                    </w:rPr>
                    <w:t>二氧化硫、氮氧化物</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气动混旋喷淋塔</w:t>
                  </w:r>
                </w:p>
              </w:tc>
              <w:tc>
                <w:tcPr>
                  <w:tcW w:w="0" w:type="auto"/>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可行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0" w:type="auto"/>
                  <w:tcBorders>
                    <w:top w:val="single" w:color="000000" w:sz="4" w:space="0"/>
                    <w:left w:val="single" w:color="000000" w:sz="12"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锻坯加热</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油雾</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color w:val="auto"/>
                      <w:sz w:val="21"/>
                      <w:szCs w:val="21"/>
                      <w:lang w:eastAsia="zh-CN"/>
                    </w:rPr>
                    <w:t>工业油烟净化器</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喷淋塔+二级工业油烟净化器+活性炭吸附装置</w:t>
                  </w:r>
                </w:p>
              </w:tc>
              <w:tc>
                <w:tcPr>
                  <w:tcW w:w="0" w:type="auto"/>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default"/>
                      <w:sz w:val="21"/>
                      <w:szCs w:val="21"/>
                      <w:lang w:val="en-US" w:eastAsia="zh-CN"/>
                    </w:rPr>
                  </w:pPr>
                  <w:r>
                    <w:rPr>
                      <w:rFonts w:hint="eastAsia" w:ascii="Times New Roman" w:hAnsi="Times New Roman" w:cs="Times New Roman"/>
                      <w:b w:val="0"/>
                      <w:bCs w:val="0"/>
                      <w:sz w:val="21"/>
                      <w:szCs w:val="21"/>
                      <w:lang w:val="en-US" w:eastAsia="zh-CN"/>
                    </w:rPr>
                    <w:t>可行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0" w:type="auto"/>
                  <w:tcBorders>
                    <w:top w:val="single" w:color="000000" w:sz="4" w:space="0"/>
                    <w:left w:val="single" w:color="000000" w:sz="12"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eastAsia="宋体" w:cs="Times New Roman"/>
                      <w:b w:val="0"/>
                      <w:bCs w:val="0"/>
                      <w:color w:val="auto"/>
                      <w:sz w:val="21"/>
                      <w:szCs w:val="21"/>
                      <w:u w:val="none"/>
                      <w:lang w:val="en-US" w:eastAsia="zh-CN"/>
                    </w:rPr>
                    <w:t>抛丸</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颗粒物</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布袋除尘器</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eastAsia="宋体" w:cs="Times New Roman"/>
                      <w:b w:val="0"/>
                      <w:bCs w:val="0"/>
                      <w:color w:val="auto"/>
                      <w:sz w:val="21"/>
                      <w:szCs w:val="21"/>
                      <w:u w:val="none"/>
                      <w:lang w:val="en-US" w:eastAsia="zh-CN"/>
                    </w:rPr>
                    <w:t>袋式除尘器</w:t>
                  </w:r>
                </w:p>
              </w:tc>
              <w:tc>
                <w:tcPr>
                  <w:tcW w:w="775"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可行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0" w:type="auto"/>
                  <w:tcBorders>
                    <w:top w:val="single" w:color="000000" w:sz="4" w:space="0"/>
                    <w:left w:val="single" w:color="000000" w:sz="12"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eastAsia="宋体" w:cs="Times New Roman"/>
                      <w:b w:val="0"/>
                      <w:bCs w:val="0"/>
                      <w:color w:val="auto"/>
                      <w:sz w:val="21"/>
                      <w:szCs w:val="21"/>
                      <w:u w:val="none"/>
                      <w:lang w:val="en-US" w:eastAsia="zh-CN"/>
                    </w:rPr>
                    <w:t>电阻炉和焊接</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颗粒物、油雾</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color w:val="auto"/>
                      <w:sz w:val="21"/>
                      <w:szCs w:val="21"/>
                      <w:lang w:eastAsia="zh-CN"/>
                    </w:rPr>
                    <w:t>工业油烟净化器、</w:t>
                  </w:r>
                  <w:r>
                    <w:rPr>
                      <w:rFonts w:hint="eastAsia" w:ascii="Times New Roman" w:hAnsi="Times New Roman" w:cs="Times New Roman"/>
                      <w:b w:val="0"/>
                      <w:bCs w:val="0"/>
                      <w:sz w:val="21"/>
                      <w:szCs w:val="21"/>
                      <w:lang w:val="en-US" w:eastAsia="zh-CN"/>
                    </w:rPr>
                    <w:t>布袋除尘器</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工业油烟净化器+二级活性炭吸附装置</w:t>
                  </w:r>
                </w:p>
              </w:tc>
              <w:tc>
                <w:tcPr>
                  <w:tcW w:w="775"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可行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0" w:type="auto"/>
                  <w:tcBorders>
                    <w:top w:val="single" w:color="000000" w:sz="4" w:space="0"/>
                    <w:left w:val="single" w:color="000000" w:sz="12" w:space="0"/>
                    <w:bottom w:val="single" w:color="000000" w:sz="12"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eastAsia="宋体" w:cs="Times New Roman"/>
                      <w:b w:val="0"/>
                      <w:bCs w:val="0"/>
                      <w:color w:val="auto"/>
                      <w:sz w:val="21"/>
                      <w:szCs w:val="21"/>
                      <w:u w:val="none"/>
                      <w:lang w:val="en-US" w:eastAsia="zh-CN"/>
                    </w:rPr>
                    <w:t>抛光</w:t>
                  </w:r>
                </w:p>
              </w:tc>
              <w:tc>
                <w:tcPr>
                  <w:tcW w:w="0" w:type="auto"/>
                  <w:tcBorders>
                    <w:top w:val="single" w:color="000000" w:sz="4" w:space="0"/>
                    <w:left w:val="single" w:color="000000" w:sz="4" w:space="0"/>
                    <w:bottom w:val="single" w:color="000000" w:sz="12"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颗粒物</w:t>
                  </w:r>
                </w:p>
              </w:tc>
              <w:tc>
                <w:tcPr>
                  <w:tcW w:w="0" w:type="auto"/>
                  <w:tcBorders>
                    <w:top w:val="single" w:color="000000" w:sz="4" w:space="0"/>
                    <w:left w:val="single" w:color="000000" w:sz="4" w:space="0"/>
                    <w:bottom w:val="single" w:color="000000" w:sz="12"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布袋除尘器</w:t>
                  </w:r>
                </w:p>
              </w:tc>
              <w:tc>
                <w:tcPr>
                  <w:tcW w:w="0" w:type="auto"/>
                  <w:tcBorders>
                    <w:top w:val="single" w:color="000000" w:sz="4" w:space="0"/>
                    <w:left w:val="single" w:color="000000" w:sz="4" w:space="0"/>
                    <w:bottom w:val="single" w:color="000000" w:sz="12" w:space="0"/>
                    <w:right w:val="single" w:color="000000" w:sz="4"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eastAsia="宋体" w:cs="Times New Roman"/>
                      <w:b w:val="0"/>
                      <w:bCs w:val="0"/>
                      <w:color w:val="auto"/>
                      <w:sz w:val="21"/>
                      <w:szCs w:val="21"/>
                      <w:u w:val="none"/>
                      <w:lang w:val="en-US" w:eastAsia="zh-CN"/>
                    </w:rPr>
                    <w:t>袋式除尘器</w:t>
                  </w:r>
                </w:p>
              </w:tc>
              <w:tc>
                <w:tcPr>
                  <w:tcW w:w="0" w:type="auto"/>
                  <w:tcBorders>
                    <w:top w:val="single" w:color="000000" w:sz="4" w:space="0"/>
                    <w:left w:val="single" w:color="000000" w:sz="4" w:space="0"/>
                    <w:bottom w:val="single" w:color="000000" w:sz="12" w:space="0"/>
                    <w:right w:val="single" w:color="000000" w:sz="12" w:space="0"/>
                  </w:tcBorders>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可行</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经上表分析，本项目采取的废气治理措施工艺均为可行技术。</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color w:val="auto"/>
                <w:sz w:val="24"/>
                <w:szCs w:val="24"/>
                <w:u w:val="none"/>
                <w:lang w:val="en-US" w:eastAsia="zh-CN"/>
              </w:rPr>
              <w:t>车间内</w:t>
            </w:r>
            <w:r>
              <w:rPr>
                <w:rFonts w:hint="default" w:ascii="Times New Roman" w:hAnsi="Times New Roman" w:eastAsia="宋体" w:cs="Times New Roman"/>
                <w:b w:val="0"/>
                <w:bCs w:val="0"/>
                <w:color w:val="auto"/>
                <w:sz w:val="24"/>
                <w:szCs w:val="24"/>
                <w:u w:val="none"/>
                <w:lang w:val="en-US" w:eastAsia="zh-CN"/>
              </w:rPr>
              <w:t>加强废气处理设施的收集效率，并在车间安装机械通风设施，以减少无组织废气排放对职工及环境的影响。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宋体" w:hAnsi="宋体" w:eastAsia="宋体" w:cs="宋体"/>
                <w:color w:val="auto"/>
                <w:sz w:val="21"/>
                <w:szCs w:val="21"/>
                <w:lang w:eastAsia="zh-CN"/>
              </w:rPr>
            </w:pPr>
            <w:r>
              <w:rPr>
                <w:rFonts w:hint="default" w:ascii="宋体" w:hAnsi="宋体" w:eastAsia="宋体" w:cs="宋体"/>
                <w:color w:val="auto"/>
                <w:sz w:val="21"/>
                <w:szCs w:val="21"/>
                <w:lang w:eastAsia="zh-CN"/>
              </w:rPr>
              <w:drawing>
                <wp:inline distT="0" distB="0" distL="114300" distR="114300">
                  <wp:extent cx="2740660" cy="3654425"/>
                  <wp:effectExtent l="0" t="0" r="2540" b="3175"/>
                  <wp:docPr id="31" name="图片 31" descr="0cc15d51c2001ea5cef5566c4c09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cc15d51c2001ea5cef5566c4c093f1"/>
                          <pic:cNvPicPr>
                            <a:picLocks noChangeAspect="1"/>
                          </pic:cNvPicPr>
                        </pic:nvPicPr>
                        <pic:blipFill>
                          <a:blip r:embed="rId17"/>
                          <a:stretch>
                            <a:fillRect/>
                          </a:stretch>
                        </pic:blipFill>
                        <pic:spPr>
                          <a:xfrm>
                            <a:off x="0" y="0"/>
                            <a:ext cx="2740660" cy="365442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图6-2 天然气燃烧废气处理设施</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3712210" cy="2784475"/>
                  <wp:effectExtent l="0" t="0" r="2540" b="15875"/>
                  <wp:docPr id="32" name="图片 32" descr="8fd397bf675173b6634f00f1d35d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fd397bf675173b6634f00f1d35d9e5"/>
                          <pic:cNvPicPr>
                            <a:picLocks noChangeAspect="1"/>
                          </pic:cNvPicPr>
                        </pic:nvPicPr>
                        <pic:blipFill>
                          <a:blip r:embed="rId18"/>
                          <a:stretch>
                            <a:fillRect/>
                          </a:stretch>
                        </pic:blipFill>
                        <pic:spPr>
                          <a:xfrm>
                            <a:off x="0" y="0"/>
                            <a:ext cx="3712210" cy="278447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图6-3 锻坯加热废气处理设施</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inline distT="0" distB="0" distL="114300" distR="114300">
                  <wp:extent cx="2983230" cy="3978275"/>
                  <wp:effectExtent l="0" t="0" r="7620" b="3175"/>
                  <wp:docPr id="35" name="图片 35" descr="e89e6c356c5189d5f726b4f16ecb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89e6c356c5189d5f726b4f16ecb974"/>
                          <pic:cNvPicPr>
                            <a:picLocks noChangeAspect="1"/>
                          </pic:cNvPicPr>
                        </pic:nvPicPr>
                        <pic:blipFill>
                          <a:blip r:embed="rId19"/>
                          <a:stretch>
                            <a:fillRect/>
                          </a:stretch>
                        </pic:blipFill>
                        <pic:spPr>
                          <a:xfrm>
                            <a:off x="0" y="0"/>
                            <a:ext cx="2983230" cy="397827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1"/>
                <w:szCs w:val="21"/>
                <w:lang w:val="en-US" w:eastAsia="zh-CN"/>
              </w:rPr>
              <w:t>图6-4 抛丸废气处理设施</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inline distT="0" distB="0" distL="114300" distR="114300">
                  <wp:extent cx="2469515" cy="3904615"/>
                  <wp:effectExtent l="0" t="0" r="6985" b="635"/>
                  <wp:docPr id="38" name="图片 38" descr="4e080b14db6966cb6b39553783d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e080b14db6966cb6b39553783d5194"/>
                          <pic:cNvPicPr>
                            <a:picLocks noChangeAspect="1"/>
                          </pic:cNvPicPr>
                        </pic:nvPicPr>
                        <pic:blipFill>
                          <a:blip r:embed="rId20"/>
                          <a:srcRect r="15646"/>
                          <a:stretch>
                            <a:fillRect/>
                          </a:stretch>
                        </pic:blipFill>
                        <pic:spPr>
                          <a:xfrm>
                            <a:off x="0" y="0"/>
                            <a:ext cx="2469515" cy="390461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1"/>
                <w:szCs w:val="21"/>
                <w:lang w:val="en-US" w:eastAsia="zh-CN"/>
              </w:rPr>
              <w:t>图6-5 电阻炉和焊接废气处理设施</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inline distT="0" distB="0" distL="114300" distR="114300">
                  <wp:extent cx="3045460" cy="4060825"/>
                  <wp:effectExtent l="0" t="0" r="2540" b="15875"/>
                  <wp:docPr id="41" name="图片 41" descr="dfb7d29364a6b138196e334222c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fb7d29364a6b138196e334222c7598"/>
                          <pic:cNvPicPr>
                            <a:picLocks noChangeAspect="1"/>
                          </pic:cNvPicPr>
                        </pic:nvPicPr>
                        <pic:blipFill>
                          <a:blip r:embed="rId21"/>
                          <a:stretch>
                            <a:fillRect/>
                          </a:stretch>
                        </pic:blipFill>
                        <pic:spPr>
                          <a:xfrm>
                            <a:off x="0" y="0"/>
                            <a:ext cx="3045460" cy="406082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1"/>
                <w:szCs w:val="21"/>
                <w:lang w:val="en-US" w:eastAsia="zh-CN"/>
              </w:rPr>
              <w:t>图6-6 抛光废气处理设施</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Cs/>
                <w:color w:val="auto"/>
                <w:sz w:val="24"/>
              </w:rPr>
              <w:t>项目</w:t>
            </w:r>
            <w:r>
              <w:rPr>
                <w:rFonts w:hint="default" w:ascii="Times New Roman" w:hAnsi="Times New Roman" w:eastAsia="宋体" w:cs="Times New Roman"/>
                <w:color w:val="auto"/>
                <w:sz w:val="24"/>
              </w:rPr>
              <w:t>噪声</w:t>
            </w:r>
            <w:r>
              <w:rPr>
                <w:rFonts w:hint="default" w:ascii="Times New Roman" w:hAnsi="Times New Roman" w:eastAsia="宋体" w:cs="Times New Roman"/>
                <w:color w:val="auto"/>
                <w:sz w:val="24"/>
                <w:szCs w:val="24"/>
              </w:rPr>
              <w:t>主要来自于</w:t>
            </w:r>
            <w:r>
              <w:rPr>
                <w:rFonts w:hint="eastAsia" w:ascii="Times New Roman" w:hAnsi="Times New Roman" w:eastAsia="宋体" w:cs="Times New Roman"/>
                <w:color w:val="auto"/>
                <w:sz w:val="24"/>
                <w:szCs w:val="24"/>
                <w:lang w:eastAsia="zh-CN"/>
              </w:rPr>
              <w:t>锻造线、清洗线、抛丸机、机加工、空压机、</w:t>
            </w:r>
            <w:r>
              <w:rPr>
                <w:rFonts w:hint="default" w:ascii="Times New Roman" w:hAnsi="Times New Roman" w:eastAsia="宋体" w:cs="Times New Roman"/>
                <w:color w:val="auto"/>
                <w:sz w:val="24"/>
                <w:szCs w:val="24"/>
                <w:lang w:eastAsia="zh-CN"/>
              </w:rPr>
              <w:t>风机等设备</w:t>
            </w:r>
            <w:r>
              <w:rPr>
                <w:rFonts w:hint="default" w:ascii="Times New Roman" w:hAnsi="Times New Roman" w:eastAsia="宋体" w:cs="Times New Roman"/>
                <w:bCs/>
                <w:snapToGrid w:val="0"/>
                <w:color w:val="auto"/>
                <w:kern w:val="0"/>
                <w:sz w:val="24"/>
                <w:szCs w:val="24"/>
              </w:rPr>
              <w:t>运</w:t>
            </w:r>
            <w:r>
              <w:rPr>
                <w:rFonts w:hint="default" w:ascii="Times New Roman" w:hAnsi="Times New Roman" w:eastAsia="宋体" w:cs="Times New Roman"/>
                <w:bCs/>
                <w:snapToGrid w:val="0"/>
                <w:color w:val="auto"/>
                <w:kern w:val="0"/>
                <w:sz w:val="24"/>
              </w:rPr>
              <w:t>行产生的噪声</w:t>
            </w:r>
            <w:r>
              <w:rPr>
                <w:rFonts w:hint="default" w:ascii="Times New Roman" w:hAnsi="Times New Roman" w:cs="Times New Roman"/>
                <w:sz w:val="24"/>
                <w:szCs w:val="24"/>
                <w:lang w:val="en-US" w:eastAsia="zh-CN"/>
              </w:rPr>
              <w:t>，采取减震、隔声措施，并合理布置生产车间内的设备降低噪声对环境的影响。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lang w:eastAsia="zh-CN"/>
              </w:rPr>
              <w:t>项目产生的固废主要包括一般固废、危险废物及生活垃圾</w:t>
            </w:r>
            <w:r>
              <w:rPr>
                <w:rFonts w:hint="eastAsia"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t>一般固废有</w:t>
            </w:r>
            <w:r>
              <w:rPr>
                <w:rFonts w:hint="eastAsia" w:ascii="Times New Roman" w:hAnsi="Times New Roman" w:cs="Times New Roman"/>
                <w:color w:val="auto"/>
                <w:sz w:val="24"/>
                <w:szCs w:val="24"/>
                <w:lang w:eastAsia="zh-CN"/>
              </w:rPr>
              <w:t>金属</w:t>
            </w:r>
            <w:r>
              <w:rPr>
                <w:rFonts w:hint="default" w:ascii="Times New Roman" w:hAnsi="Times New Roman" w:cs="Times New Roman"/>
                <w:color w:val="auto"/>
                <w:sz w:val="24"/>
                <w:szCs w:val="24"/>
                <w:lang w:eastAsia="zh-CN"/>
              </w:rPr>
              <w:t>边角料</w:t>
            </w:r>
            <w:r>
              <w:rPr>
                <w:rFonts w:hint="eastAsia" w:ascii="Times New Roman" w:hAnsi="Times New Roman" w:cs="Times New Roman"/>
                <w:color w:val="auto"/>
                <w:sz w:val="24"/>
                <w:szCs w:val="24"/>
                <w:lang w:eastAsia="zh-CN"/>
              </w:rPr>
              <w:t>、不合格</w:t>
            </w:r>
            <w:r>
              <w:rPr>
                <w:rFonts w:hint="default" w:ascii="Times New Roman" w:hAnsi="Times New Roman" w:cs="Times New Roman"/>
                <w:color w:val="auto"/>
                <w:sz w:val="24"/>
                <w:szCs w:val="24"/>
                <w:lang w:eastAsia="zh-CN"/>
              </w:rPr>
              <w:t>品、</w:t>
            </w:r>
            <w:r>
              <w:rPr>
                <w:rFonts w:hint="default" w:ascii="Times New Roman" w:hAnsi="Times New Roman" w:cs="Times New Roman"/>
                <w:color w:val="auto"/>
                <w:sz w:val="24"/>
              </w:rPr>
              <w:t>废</w:t>
            </w:r>
            <w:r>
              <w:rPr>
                <w:rFonts w:hint="default" w:ascii="Times New Roman" w:hAnsi="Times New Roman" w:cs="Times New Roman"/>
                <w:color w:val="auto"/>
                <w:sz w:val="24"/>
                <w:lang w:eastAsia="zh-CN"/>
              </w:rPr>
              <w:t>钢丸、收集粉尘</w:t>
            </w:r>
            <w:r>
              <w:rPr>
                <w:rFonts w:hint="default" w:ascii="Times New Roman" w:hAnsi="Times New Roman" w:eastAsia="宋体" w:cs="Times New Roman"/>
                <w:b w:val="0"/>
                <w:bCs w:val="0"/>
                <w:color w:val="auto"/>
                <w:sz w:val="24"/>
                <w:szCs w:val="24"/>
                <w:lang w:eastAsia="zh-CN"/>
              </w:rPr>
              <w:t>收集后依托中鼎减震一般固废库，面积约400m</w:t>
            </w:r>
            <w:r>
              <w:rPr>
                <w:rFonts w:hint="default" w:ascii="Times New Roman" w:hAnsi="Times New Roman" w:eastAsia="宋体" w:cs="Times New Roman"/>
                <w:b w:val="0"/>
                <w:bCs w:val="0"/>
                <w:color w:val="auto"/>
                <w:sz w:val="24"/>
                <w:szCs w:val="24"/>
                <w:vertAlign w:val="superscript"/>
                <w:lang w:eastAsia="zh-CN"/>
              </w:rPr>
              <w:t>2</w:t>
            </w:r>
            <w:r>
              <w:rPr>
                <w:rFonts w:hint="default" w:ascii="Times New Roman" w:hAnsi="Times New Roman" w:eastAsia="宋体" w:cs="Times New Roman"/>
                <w:b w:val="0"/>
                <w:bCs w:val="0"/>
                <w:color w:val="auto"/>
                <w:sz w:val="24"/>
                <w:szCs w:val="24"/>
                <w:lang w:eastAsia="zh-CN"/>
              </w:rPr>
              <w:t>，项目使用面积约100m</w:t>
            </w:r>
            <w:r>
              <w:rPr>
                <w:rFonts w:hint="default" w:ascii="Times New Roman" w:hAnsi="Times New Roman" w:eastAsia="宋体" w:cs="Times New Roman"/>
                <w:b w:val="0"/>
                <w:bCs w:val="0"/>
                <w:color w:val="auto"/>
                <w:sz w:val="24"/>
                <w:szCs w:val="24"/>
                <w:vertAlign w:val="superscript"/>
                <w:lang w:eastAsia="zh-CN"/>
              </w:rPr>
              <w:t>2</w:t>
            </w:r>
            <w:r>
              <w:rPr>
                <w:rFonts w:hint="default" w:ascii="Times New Roman" w:hAnsi="Times New Roman" w:eastAsia="宋体" w:cs="Times New Roman"/>
                <w:b w:val="0"/>
                <w:bCs w:val="0"/>
                <w:color w:val="auto"/>
                <w:sz w:val="24"/>
                <w:szCs w:val="24"/>
                <w:lang w:eastAsia="zh-CN"/>
              </w:rPr>
              <w:t>。分区存放，设标识牌，暂存后定期</w:t>
            </w:r>
            <w:r>
              <w:rPr>
                <w:rFonts w:hint="eastAsia" w:ascii="Times New Roman" w:hAnsi="Times New Roman" w:eastAsia="宋体" w:cs="Times New Roman"/>
                <w:b w:val="0"/>
                <w:bCs w:val="0"/>
                <w:color w:val="auto"/>
                <w:sz w:val="24"/>
                <w:szCs w:val="24"/>
                <w:lang w:eastAsia="zh-CN"/>
              </w:rPr>
              <w:t>由</w:t>
            </w:r>
            <w:r>
              <w:rPr>
                <w:rFonts w:hint="eastAsia" w:ascii="Times New Roman" w:hAnsi="Times New Roman" w:eastAsia="宋体" w:cs="Times New Roman"/>
                <w:sz w:val="24"/>
                <w:szCs w:val="24"/>
                <w:lang w:eastAsia="zh-CN"/>
              </w:rPr>
              <w:t>物资公司回收</w:t>
            </w:r>
            <w:r>
              <w:rPr>
                <w:rFonts w:hint="default" w:ascii="Times New Roman" w:hAnsi="Times New Roman" w:eastAsia="宋体" w:cs="Times New Roman"/>
                <w:b w:val="0"/>
                <w:bCs w:val="0"/>
                <w:color w:val="auto"/>
                <w:sz w:val="24"/>
                <w:szCs w:val="24"/>
                <w:lang w:eastAsia="zh-CN"/>
              </w:rPr>
              <w:t>再利用。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auto"/>
                <w:sz w:val="24"/>
                <w:szCs w:val="24"/>
                <w:lang w:eastAsia="zh-CN"/>
              </w:rPr>
              <w:t>危险废物有废活性炭、废乳化液</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废切削液、脱脂槽渣、碱洗槽渣、废润滑油、化学品</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包装桶</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暂存于危废库中</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，公司已与宁国海螺环保科技有限责任公司</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、安徽嘉朋特</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环保科技</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服务</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有限公司签订危废处置协议，收集后交</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其</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处置。</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项目新增</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1座面积约30m</w:t>
            </w:r>
            <w:r>
              <w:rPr>
                <w:rFonts w:hint="default" w:ascii="Times New Roman" w:hAnsi="Times New Roman" w:eastAsia="宋体" w:cs="Times New Roman"/>
                <w:b w:val="0"/>
                <w:bCs w:val="0"/>
                <w:color w:val="000000" w:themeColor="text1"/>
                <w:sz w:val="24"/>
                <w:szCs w:val="24"/>
                <w:vertAlign w:val="superscript"/>
                <w:lang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危废库暂存，分区存放，设置分区标识牌，并单独委托</w:t>
            </w:r>
            <w:r>
              <w:rPr>
                <w:rFonts w:hint="eastAsia" w:ascii="Times New Roman" w:hAnsi="Times New Roman" w:eastAsia="宋体" w:cs="Times New Roman"/>
                <w:sz w:val="24"/>
                <w:szCs w:val="24"/>
                <w:lang w:eastAsia="zh-CN"/>
              </w:rPr>
              <w:t>宁国海螺环保科技有限责任公司、安徽嘉朋特环保科技服务有限公司</w:t>
            </w:r>
            <w:r>
              <w:rPr>
                <w:rFonts w:hint="default" w:ascii="Times New Roman" w:hAnsi="Times New Roman" w:eastAsia="宋体" w:cs="Times New Roman"/>
                <w:sz w:val="24"/>
                <w:szCs w:val="24"/>
                <w:lang w:eastAsia="zh-CN"/>
              </w:rPr>
              <w:t>处置</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生活垃圾收集后由环卫部门清运。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cs="Times New Roman"/>
                <w:color w:val="000000" w:themeColor="text1"/>
                <w:sz w:val="24"/>
                <w:szCs w:val="24"/>
                <w:lang w:eastAsia="zh-CN"/>
                <w14:textFill>
                  <w14:solidFill>
                    <w14:schemeClr w14:val="tx1"/>
                  </w14:solidFill>
                </w14:textFill>
              </w:rPr>
              <w:t>本项目使用的活性炭碘值为</w:t>
            </w:r>
            <w:r>
              <w:rPr>
                <w:rFonts w:hint="default" w:ascii="Times New Roman" w:hAnsi="Times New Roman" w:cs="Times New Roman"/>
                <w:color w:val="000000" w:themeColor="text1"/>
                <w:sz w:val="24"/>
                <w:szCs w:val="24"/>
                <w:lang w:val="en-US" w:eastAsia="zh-CN"/>
                <w14:textFill>
                  <w14:solidFill>
                    <w14:schemeClr w14:val="tx1"/>
                  </w14:solidFill>
                </w14:textFill>
              </w:rPr>
              <w:t>800，更换周期为3个月/次。</w:t>
            </w:r>
            <w:r>
              <w:rPr>
                <w:rFonts w:hint="default" w:ascii="Times New Roman" w:hAnsi="Times New Roman" w:cs="Times New Roman"/>
                <w:color w:val="000000" w:themeColor="text1"/>
                <w:sz w:val="24"/>
                <w:szCs w:val="24"/>
                <w14:textFill>
                  <w14:solidFill>
                    <w14:schemeClr w14:val="tx1"/>
                  </w14:solidFill>
                </w14:textFill>
              </w:rPr>
              <w:t>项目产生的固废经采取以上措施后</w:t>
            </w:r>
            <w:r>
              <w:rPr>
                <w:rFonts w:hint="default" w:ascii="Times New Roman" w:hAnsi="Times New Roman" w:cs="Times New Roman"/>
                <w:sz w:val="24"/>
                <w:szCs w:val="24"/>
              </w:rPr>
              <w:t>，所有废弃</w:t>
            </w:r>
            <w:r>
              <w:rPr>
                <w:sz w:val="24"/>
                <w:szCs w:val="24"/>
              </w:rPr>
              <w:t>物全部做到资源化无害化处理，</w:t>
            </w:r>
            <w:r>
              <w:rPr>
                <w:rFonts w:hint="eastAsia"/>
                <w:sz w:val="24"/>
                <w:szCs w:val="24"/>
                <w:lang w:eastAsia="zh-CN"/>
              </w:rPr>
              <w:t>不会</w:t>
            </w:r>
            <w:r>
              <w:rPr>
                <w:sz w:val="24"/>
                <w:szCs w:val="24"/>
              </w:rPr>
              <w:t>对周围环境</w:t>
            </w:r>
            <w:r>
              <w:rPr>
                <w:rFonts w:hint="eastAsia"/>
                <w:sz w:val="24"/>
                <w:szCs w:val="24"/>
                <w:lang w:eastAsia="zh-CN"/>
              </w:rPr>
              <w:t>产生</w:t>
            </w:r>
            <w:r>
              <w:rPr>
                <w:sz w:val="24"/>
                <w:szCs w:val="24"/>
              </w:rPr>
              <w:t>影响。</w:t>
            </w:r>
          </w:p>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表6-</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 xml:space="preserve"> 项目固体废物产生及处理情况表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564"/>
              <w:gridCol w:w="1955"/>
              <w:gridCol w:w="1212"/>
              <w:gridCol w:w="1592"/>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top w:val="single" w:color="auto" w:sz="12"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序号</w:t>
                  </w:r>
                </w:p>
              </w:tc>
              <w:tc>
                <w:tcPr>
                  <w:tcW w:w="896" w:type="pct"/>
                  <w:tcBorders>
                    <w:top w:val="single" w:color="auto" w:sz="12" w:space="0"/>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名称</w:t>
                  </w:r>
                </w:p>
              </w:tc>
              <w:tc>
                <w:tcPr>
                  <w:tcW w:w="1120" w:type="pct"/>
                  <w:tcBorders>
                    <w:top w:val="single" w:color="auto" w:sz="12" w:space="0"/>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eastAsia="zh-CN"/>
                    </w:rPr>
                    <w:t>固废代码</w:t>
                  </w:r>
                  <w:r>
                    <w:rPr>
                      <w:rFonts w:hint="eastAsia" w:eastAsia="宋体" w:cs="Times New Roman"/>
                      <w:sz w:val="21"/>
                      <w:szCs w:val="21"/>
                      <w:lang w:val="en-US" w:eastAsia="zh-CN"/>
                    </w:rPr>
                    <w:t>/</w:t>
                  </w:r>
                  <w:r>
                    <w:rPr>
                      <w:rFonts w:hint="eastAsia" w:eastAsia="宋体" w:cs="Times New Roman"/>
                      <w:sz w:val="21"/>
                      <w:szCs w:val="21"/>
                      <w:lang w:eastAsia="zh-CN"/>
                    </w:rPr>
                    <w:t>危废代码</w:t>
                  </w:r>
                </w:p>
              </w:tc>
              <w:tc>
                <w:tcPr>
                  <w:tcW w:w="694" w:type="pct"/>
                  <w:tcBorders>
                    <w:top w:val="single" w:color="auto" w:sz="12"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环评</w:t>
                  </w:r>
                  <w:r>
                    <w:rPr>
                      <w:rFonts w:hint="default" w:ascii="Times New Roman" w:hAnsi="Times New Roman" w:eastAsia="宋体" w:cs="Times New Roman"/>
                      <w:sz w:val="21"/>
                      <w:szCs w:val="21"/>
                      <w:lang w:eastAsia="zh-CN"/>
                    </w:rPr>
                    <w:t>产生量（</w:t>
                  </w:r>
                  <w:r>
                    <w:rPr>
                      <w:rFonts w:hint="default" w:ascii="Times New Roman" w:hAnsi="Times New Roman" w:eastAsia="宋体" w:cs="Times New Roman"/>
                      <w:sz w:val="21"/>
                      <w:szCs w:val="21"/>
                      <w:lang w:val="en-US" w:eastAsia="zh-CN"/>
                    </w:rPr>
                    <w:t>t/a</w:t>
                  </w:r>
                  <w:r>
                    <w:rPr>
                      <w:rFonts w:hint="default" w:ascii="Times New Roman" w:hAnsi="Times New Roman" w:eastAsia="宋体" w:cs="Times New Roman"/>
                      <w:sz w:val="21"/>
                      <w:szCs w:val="21"/>
                      <w:lang w:eastAsia="zh-CN"/>
                    </w:rPr>
                    <w:t>）</w:t>
                  </w:r>
                </w:p>
              </w:tc>
              <w:tc>
                <w:tcPr>
                  <w:tcW w:w="912" w:type="pct"/>
                  <w:tcBorders>
                    <w:top w:val="single" w:color="auto" w:sz="12"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实际发生量</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lang w:eastAsia="zh-CN"/>
                    </w:rPr>
                    <w:t>）</w:t>
                  </w:r>
                </w:p>
              </w:tc>
              <w:tc>
                <w:tcPr>
                  <w:tcW w:w="912" w:type="pct"/>
                  <w:tcBorders>
                    <w:top w:val="single" w:color="auto" w:sz="12" w:space="0"/>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896" w:type="pct"/>
                  <w:tcBorders>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金属</w:t>
                  </w:r>
                  <w:r>
                    <w:rPr>
                      <w:rFonts w:hint="default" w:ascii="Times New Roman" w:hAnsi="Times New Roman" w:eastAsia="宋体" w:cs="Times New Roman"/>
                      <w:sz w:val="21"/>
                      <w:szCs w:val="21"/>
                      <w:lang w:val="en-US" w:eastAsia="zh-CN"/>
                    </w:rPr>
                    <w:t>边角料</w:t>
                  </w:r>
                </w:p>
              </w:tc>
              <w:tc>
                <w:tcPr>
                  <w:tcW w:w="1120"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367-999-99-0001</w:t>
                  </w:r>
                </w:p>
              </w:tc>
              <w:tc>
                <w:tcPr>
                  <w:tcW w:w="694"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2520</w:t>
                  </w:r>
                </w:p>
              </w:tc>
              <w:tc>
                <w:tcPr>
                  <w:tcW w:w="912"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700</w:t>
                  </w:r>
                </w:p>
              </w:tc>
              <w:tc>
                <w:tcPr>
                  <w:tcW w:w="912" w:type="pct"/>
                  <w:vMerge w:val="restart"/>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收集后由物资公司回收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sz w:val="21"/>
                      <w:szCs w:val="21"/>
                    </w:rPr>
                    <w:t>2</w:t>
                  </w:r>
                </w:p>
              </w:tc>
              <w:tc>
                <w:tcPr>
                  <w:tcW w:w="896" w:type="pct"/>
                  <w:tcBorders>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olor w:val="auto"/>
                      <w:sz w:val="21"/>
                      <w:szCs w:val="21"/>
                    </w:rPr>
                  </w:pPr>
                  <w:r>
                    <w:rPr>
                      <w:rFonts w:hint="eastAsia" w:ascii="Times New Roman" w:hAnsi="Times New Roman" w:cs="Times New Roman"/>
                      <w:color w:val="auto"/>
                      <w:sz w:val="21"/>
                      <w:szCs w:val="21"/>
                      <w:lang w:eastAsia="zh-CN"/>
                    </w:rPr>
                    <w:t>不合格品</w:t>
                  </w:r>
                </w:p>
              </w:tc>
              <w:tc>
                <w:tcPr>
                  <w:tcW w:w="1120"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367-999-99-0002</w:t>
                  </w:r>
                </w:p>
              </w:tc>
              <w:tc>
                <w:tcPr>
                  <w:tcW w:w="694"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912"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eastAsia="宋体" w:cs="Times New Roman"/>
                      <w:sz w:val="21"/>
                      <w:szCs w:val="21"/>
                      <w:lang w:val="en-US" w:eastAsia="zh-CN"/>
                    </w:rPr>
                    <w:t>3</w:t>
                  </w:r>
                </w:p>
              </w:tc>
              <w:tc>
                <w:tcPr>
                  <w:tcW w:w="896" w:type="pct"/>
                  <w:tcBorders>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olor w:val="auto"/>
                      <w:sz w:val="21"/>
                      <w:szCs w:val="21"/>
                    </w:rPr>
                  </w:pPr>
                  <w:r>
                    <w:rPr>
                      <w:rFonts w:hint="eastAsia"/>
                      <w:color w:val="auto"/>
                      <w:sz w:val="21"/>
                      <w:szCs w:val="21"/>
                    </w:rPr>
                    <w:t>废</w:t>
                  </w:r>
                  <w:r>
                    <w:rPr>
                      <w:rFonts w:hint="eastAsia"/>
                      <w:color w:val="auto"/>
                      <w:sz w:val="21"/>
                      <w:szCs w:val="21"/>
                      <w:lang w:eastAsia="zh-CN"/>
                    </w:rPr>
                    <w:t>钢丸</w:t>
                  </w:r>
                </w:p>
              </w:tc>
              <w:tc>
                <w:tcPr>
                  <w:tcW w:w="1120"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900-999-66-0003</w:t>
                  </w:r>
                </w:p>
              </w:tc>
              <w:tc>
                <w:tcPr>
                  <w:tcW w:w="694"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9.6</w:t>
                  </w:r>
                </w:p>
              </w:tc>
              <w:tc>
                <w:tcPr>
                  <w:tcW w:w="912" w:type="pct"/>
                  <w:tcBorders>
                    <w:left w:val="single" w:color="auto" w:sz="4" w:space="0"/>
                    <w:right w:val="single" w:color="auto" w:sz="4" w:space="0"/>
                  </w:tcBorders>
                  <w:vAlign w:val="center"/>
                </w:tcPr>
                <w:p>
                  <w:pPr>
                    <w:pStyle w:val="34"/>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4</w:t>
                  </w:r>
                </w:p>
              </w:tc>
              <w:tc>
                <w:tcPr>
                  <w:tcW w:w="896" w:type="pct"/>
                  <w:tcBorders>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color w:val="auto"/>
                      <w:sz w:val="21"/>
                      <w:szCs w:val="21"/>
                      <w:lang w:eastAsia="zh-CN"/>
                    </w:rPr>
                    <w:t>收集粉尘</w:t>
                  </w:r>
                </w:p>
              </w:tc>
              <w:tc>
                <w:tcPr>
                  <w:tcW w:w="1120"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900-999-66-0004</w:t>
                  </w:r>
                </w:p>
              </w:tc>
              <w:tc>
                <w:tcPr>
                  <w:tcW w:w="694"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46.557</w:t>
                  </w:r>
                </w:p>
              </w:tc>
              <w:tc>
                <w:tcPr>
                  <w:tcW w:w="912"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w:t>
                  </w:r>
                </w:p>
              </w:tc>
              <w:tc>
                <w:tcPr>
                  <w:tcW w:w="896"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lang w:eastAsia="zh-CN"/>
                    </w:rPr>
                    <w:t>废活性炭</w:t>
                  </w:r>
                </w:p>
              </w:tc>
              <w:tc>
                <w:tcPr>
                  <w:tcW w:w="1120" w:type="pct"/>
                  <w:tcBorders>
                    <w:left w:val="single" w:color="auto" w:sz="4" w:space="0"/>
                    <w:right w:val="single" w:color="auto" w:sz="4" w:space="0"/>
                  </w:tcBorders>
                  <w:vAlign w:val="center"/>
                </w:tcPr>
                <w:p>
                  <w:pPr>
                    <w:pStyle w:val="34"/>
                    <w:snapToGrid w:val="0"/>
                    <w:rPr>
                      <w:rFonts w:hint="eastAsia" w:eastAsia="宋体" w:cs="Times New Roman"/>
                      <w:sz w:val="21"/>
                      <w:szCs w:val="21"/>
                      <w:lang w:eastAsia="zh-CN"/>
                    </w:rPr>
                  </w:pPr>
                  <w:r>
                    <w:rPr>
                      <w:rFonts w:ascii="Times New Roman" w:hAnsi="Times New Roman"/>
                      <w:color w:val="auto"/>
                      <w:sz w:val="21"/>
                      <w:szCs w:val="21"/>
                    </w:rPr>
                    <w:t>HW49</w:t>
                  </w:r>
                  <w:r>
                    <w:rPr>
                      <w:rFonts w:hint="eastAsia" w:ascii="Times New Roman" w:hAnsi="Times New Roman"/>
                      <w:color w:val="auto"/>
                      <w:sz w:val="21"/>
                      <w:szCs w:val="21"/>
                      <w:lang w:val="en-US" w:eastAsia="zh-CN"/>
                    </w:rPr>
                    <w:t xml:space="preserve"> </w:t>
                  </w:r>
                  <w:r>
                    <w:rPr>
                      <w:rFonts w:ascii="Times New Roman" w:hAnsi="Times New Roman"/>
                      <w:color w:val="auto"/>
                      <w:sz w:val="21"/>
                      <w:szCs w:val="21"/>
                    </w:rPr>
                    <w:t>900-039-49</w:t>
                  </w:r>
                </w:p>
              </w:tc>
              <w:tc>
                <w:tcPr>
                  <w:tcW w:w="694"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olor w:val="auto"/>
                      <w:sz w:val="21"/>
                      <w:szCs w:val="21"/>
                      <w:lang w:val="en-US" w:eastAsia="zh-CN"/>
                    </w:rPr>
                    <w:t>/</w:t>
                  </w:r>
                </w:p>
              </w:tc>
              <w:tc>
                <w:tcPr>
                  <w:tcW w:w="912" w:type="pct"/>
                  <w:tcBorders>
                    <w:left w:val="single" w:color="auto" w:sz="4" w:space="0"/>
                    <w:right w:val="single" w:color="auto" w:sz="4" w:space="0"/>
                  </w:tcBorders>
                  <w:vAlign w:val="center"/>
                </w:tcPr>
                <w:p>
                  <w:pPr>
                    <w:pStyle w:val="34"/>
                    <w:snapToGrid w:val="0"/>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暂未产生</w:t>
                  </w:r>
                </w:p>
              </w:tc>
              <w:tc>
                <w:tcPr>
                  <w:tcW w:w="912" w:type="pct"/>
                  <w:vMerge w:val="restart"/>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委托</w:t>
                  </w:r>
                  <w:r>
                    <w:rPr>
                      <w:rFonts w:hint="eastAsia" w:ascii="Times New Roman" w:hAnsi="Times New Roman" w:eastAsia="宋体" w:cs="Times New Roman"/>
                      <w:sz w:val="21"/>
                      <w:szCs w:val="21"/>
                      <w:lang w:eastAsia="zh-CN"/>
                    </w:rPr>
                    <w:t>宁国海螺环保科技有限责任公司、安徽嘉朋特环保科技服务有限公司</w:t>
                  </w:r>
                  <w:r>
                    <w:rPr>
                      <w:rFonts w:hint="default" w:ascii="Times New Roman" w:hAnsi="Times New Roman" w:eastAsia="宋体" w:cs="Times New Roman"/>
                      <w:sz w:val="21"/>
                      <w:szCs w:val="21"/>
                      <w:lang w:eastAsia="zh-CN"/>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6</w:t>
                  </w:r>
                </w:p>
              </w:tc>
              <w:tc>
                <w:tcPr>
                  <w:tcW w:w="896" w:type="pct"/>
                  <w:tcBorders>
                    <w:left w:val="single" w:color="auto" w:sz="4" w:space="0"/>
                    <w:right w:val="single" w:color="auto" w:sz="4" w:space="0"/>
                  </w:tcBorders>
                  <w:vAlign w:val="center"/>
                </w:tcPr>
                <w:p>
                  <w:pPr>
                    <w:pStyle w:val="34"/>
                    <w:snapToGrid w:val="0"/>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废乳化液</w:t>
                  </w:r>
                </w:p>
              </w:tc>
              <w:tc>
                <w:tcPr>
                  <w:tcW w:w="1120" w:type="pct"/>
                  <w:tcBorders>
                    <w:left w:val="single" w:color="auto" w:sz="4" w:space="0"/>
                    <w:right w:val="single" w:color="auto" w:sz="4" w:space="0"/>
                  </w:tcBorders>
                  <w:vAlign w:val="center"/>
                </w:tcPr>
                <w:p>
                  <w:pPr>
                    <w:pStyle w:val="34"/>
                    <w:snapToGrid w:val="0"/>
                    <w:rPr>
                      <w:rFonts w:hint="eastAsia" w:ascii="Times New Roman" w:hAnsi="Times New Roman"/>
                      <w:color w:val="auto"/>
                      <w:sz w:val="21"/>
                      <w:szCs w:val="21"/>
                    </w:rPr>
                  </w:pPr>
                  <w:r>
                    <w:rPr>
                      <w:rFonts w:hint="eastAsia" w:ascii="Times New Roman" w:hAnsi="Times New Roman"/>
                      <w:color w:val="auto"/>
                      <w:sz w:val="21"/>
                      <w:szCs w:val="21"/>
                    </w:rPr>
                    <w:t>HW09 900-00</w:t>
                  </w:r>
                  <w:r>
                    <w:rPr>
                      <w:rFonts w:hint="eastAsia" w:ascii="Times New Roman" w:hAnsi="Times New Roman"/>
                      <w:color w:val="auto"/>
                      <w:sz w:val="21"/>
                      <w:szCs w:val="21"/>
                      <w:lang w:val="en-US" w:eastAsia="zh-CN"/>
                    </w:rPr>
                    <w:t>7</w:t>
                  </w:r>
                  <w:r>
                    <w:rPr>
                      <w:rFonts w:hint="eastAsia" w:ascii="Times New Roman" w:hAnsi="Times New Roman"/>
                      <w:color w:val="auto"/>
                      <w:sz w:val="21"/>
                      <w:szCs w:val="21"/>
                    </w:rPr>
                    <w:t>-09</w:t>
                  </w:r>
                </w:p>
              </w:tc>
              <w:tc>
                <w:tcPr>
                  <w:tcW w:w="694"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12" w:type="pct"/>
                  <w:tcBorders>
                    <w:left w:val="single" w:color="auto" w:sz="4" w:space="0"/>
                    <w:right w:val="single" w:color="auto" w:sz="4" w:space="0"/>
                  </w:tcBorders>
                  <w:vAlign w:val="center"/>
                </w:tcPr>
                <w:p>
                  <w:pPr>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暂未产生</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7</w:t>
                  </w:r>
                </w:p>
              </w:tc>
              <w:tc>
                <w:tcPr>
                  <w:tcW w:w="896" w:type="pct"/>
                  <w:tcBorders>
                    <w:left w:val="single" w:color="auto" w:sz="4" w:space="0"/>
                    <w:right w:val="single" w:color="auto" w:sz="4" w:space="0"/>
                  </w:tcBorders>
                  <w:vAlign w:val="center"/>
                </w:tcPr>
                <w:p>
                  <w:pPr>
                    <w:pStyle w:val="34"/>
                    <w:snapToGrid w:val="0"/>
                    <w:rPr>
                      <w:rFonts w:hint="eastAsia" w:ascii="Times New Roman" w:hAnsi="Times New Roman"/>
                      <w:color w:val="auto"/>
                      <w:sz w:val="21"/>
                      <w:szCs w:val="21"/>
                    </w:rPr>
                  </w:pPr>
                  <w:r>
                    <w:rPr>
                      <w:rFonts w:hint="eastAsia" w:ascii="Times New Roman" w:hAnsi="Times New Roman" w:eastAsia="宋体" w:cs="Times New Roman"/>
                      <w:b w:val="0"/>
                      <w:bCs w:val="0"/>
                      <w:color w:val="auto"/>
                      <w:sz w:val="21"/>
                      <w:szCs w:val="21"/>
                      <w:lang w:eastAsia="zh-CN"/>
                    </w:rPr>
                    <w:t>废切削液</w:t>
                  </w:r>
                </w:p>
              </w:tc>
              <w:tc>
                <w:tcPr>
                  <w:tcW w:w="1120" w:type="pct"/>
                  <w:tcBorders>
                    <w:left w:val="single" w:color="auto" w:sz="4" w:space="0"/>
                    <w:right w:val="single" w:color="auto" w:sz="4" w:space="0"/>
                  </w:tcBorders>
                  <w:vAlign w:val="center"/>
                </w:tcPr>
                <w:p>
                  <w:pPr>
                    <w:pStyle w:val="34"/>
                    <w:snapToGrid w:val="0"/>
                    <w:rPr>
                      <w:rFonts w:ascii="Times New Roman" w:hAnsi="Times New Roman"/>
                      <w:color w:val="auto"/>
                      <w:sz w:val="21"/>
                      <w:szCs w:val="21"/>
                    </w:rPr>
                  </w:pPr>
                  <w:r>
                    <w:rPr>
                      <w:rFonts w:hint="eastAsia" w:ascii="Times New Roman" w:hAnsi="Times New Roman"/>
                      <w:color w:val="auto"/>
                      <w:sz w:val="21"/>
                      <w:szCs w:val="21"/>
                    </w:rPr>
                    <w:t>HW09 900-006-09</w:t>
                  </w:r>
                </w:p>
              </w:tc>
              <w:tc>
                <w:tcPr>
                  <w:tcW w:w="694"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w:t>
                  </w:r>
                </w:p>
              </w:tc>
              <w:tc>
                <w:tcPr>
                  <w:tcW w:w="912" w:type="pct"/>
                  <w:tcBorders>
                    <w:left w:val="single" w:color="auto" w:sz="4" w:space="0"/>
                    <w:right w:val="single" w:color="auto" w:sz="4" w:space="0"/>
                  </w:tcBorders>
                  <w:vAlign w:val="center"/>
                </w:tcPr>
                <w:p>
                  <w:pPr>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olor w:val="auto"/>
                      <w:sz w:val="21"/>
                      <w:szCs w:val="21"/>
                      <w:lang w:val="en-US" w:eastAsia="zh-CN"/>
                    </w:rPr>
                    <w:t>暂未产生</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8</w:t>
                  </w:r>
                </w:p>
              </w:tc>
              <w:tc>
                <w:tcPr>
                  <w:tcW w:w="896" w:type="pct"/>
                  <w:tcBorders>
                    <w:left w:val="single" w:color="auto" w:sz="4" w:space="0"/>
                    <w:right w:val="single" w:color="auto" w:sz="4" w:space="0"/>
                  </w:tcBorders>
                  <w:vAlign w:val="center"/>
                </w:tcPr>
                <w:p>
                  <w:pPr>
                    <w:pStyle w:val="34"/>
                    <w:snapToGrid w:val="0"/>
                    <w:rPr>
                      <w:rFonts w:hint="eastAsia" w:ascii="Times New Roman" w:hAnsi="Times New Roman"/>
                      <w:color w:val="auto"/>
                      <w:sz w:val="21"/>
                      <w:szCs w:val="21"/>
                    </w:rPr>
                  </w:pPr>
                  <w:r>
                    <w:rPr>
                      <w:rFonts w:hint="eastAsia" w:ascii="Times New Roman" w:hAnsi="Times New Roman" w:eastAsia="宋体" w:cs="Times New Roman"/>
                      <w:b w:val="0"/>
                      <w:bCs w:val="0"/>
                      <w:color w:val="auto"/>
                      <w:sz w:val="21"/>
                      <w:szCs w:val="21"/>
                      <w:lang w:eastAsia="zh-CN"/>
                    </w:rPr>
                    <w:t>脱脂槽渣</w:t>
                  </w:r>
                </w:p>
              </w:tc>
              <w:tc>
                <w:tcPr>
                  <w:tcW w:w="1120" w:type="pct"/>
                  <w:tcBorders>
                    <w:left w:val="single" w:color="auto" w:sz="4" w:space="0"/>
                    <w:right w:val="single" w:color="auto" w:sz="4" w:space="0"/>
                  </w:tcBorders>
                  <w:vAlign w:val="center"/>
                </w:tcPr>
                <w:p>
                  <w:pPr>
                    <w:pStyle w:val="34"/>
                    <w:snapToGrid w:val="0"/>
                    <w:rPr>
                      <w:rFonts w:ascii="Times New Roman" w:hAnsi="Times New Roman"/>
                      <w:color w:val="auto"/>
                      <w:sz w:val="21"/>
                      <w:szCs w:val="21"/>
                    </w:rPr>
                  </w:pPr>
                  <w:r>
                    <w:rPr>
                      <w:rFonts w:hint="eastAsia" w:ascii="Times New Roman" w:hAnsi="Times New Roman"/>
                      <w:color w:val="auto"/>
                      <w:sz w:val="21"/>
                      <w:szCs w:val="21"/>
                    </w:rPr>
                    <w:t>HW17 336-064-17</w:t>
                  </w:r>
                </w:p>
              </w:tc>
              <w:tc>
                <w:tcPr>
                  <w:tcW w:w="694"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0.456</w:t>
                  </w:r>
                </w:p>
              </w:tc>
              <w:tc>
                <w:tcPr>
                  <w:tcW w:w="912" w:type="pct"/>
                  <w:tcBorders>
                    <w:left w:val="single" w:color="auto" w:sz="4" w:space="0"/>
                    <w:right w:val="single" w:color="auto" w:sz="4" w:space="0"/>
                  </w:tcBorders>
                  <w:vAlign w:val="center"/>
                </w:tcPr>
                <w:p>
                  <w:pPr>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olor w:val="auto"/>
                      <w:sz w:val="21"/>
                      <w:szCs w:val="21"/>
                      <w:lang w:val="en-US" w:eastAsia="zh-CN"/>
                    </w:rPr>
                    <w:t>暂未产生</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9</w:t>
                  </w:r>
                </w:p>
              </w:tc>
              <w:tc>
                <w:tcPr>
                  <w:tcW w:w="896" w:type="pct"/>
                  <w:tcBorders>
                    <w:left w:val="single" w:color="auto" w:sz="4" w:space="0"/>
                    <w:right w:val="single" w:color="auto" w:sz="4" w:space="0"/>
                  </w:tcBorders>
                  <w:vAlign w:val="center"/>
                </w:tcPr>
                <w:p>
                  <w:pPr>
                    <w:pStyle w:val="34"/>
                    <w:snapToGrid w:val="0"/>
                    <w:rPr>
                      <w:rFonts w:hint="eastAsia" w:ascii="Times New Roman" w:hAnsi="Times New Roman"/>
                      <w:color w:val="auto"/>
                      <w:sz w:val="21"/>
                      <w:szCs w:val="21"/>
                    </w:rPr>
                  </w:pPr>
                  <w:r>
                    <w:rPr>
                      <w:rFonts w:hint="eastAsia" w:ascii="Times New Roman" w:hAnsi="Times New Roman" w:eastAsia="宋体" w:cs="Times New Roman"/>
                      <w:b w:val="0"/>
                      <w:bCs w:val="0"/>
                      <w:color w:val="auto"/>
                      <w:sz w:val="21"/>
                      <w:szCs w:val="21"/>
                      <w:lang w:eastAsia="zh-CN"/>
                    </w:rPr>
                    <w:t>碱洗槽渣</w:t>
                  </w:r>
                </w:p>
              </w:tc>
              <w:tc>
                <w:tcPr>
                  <w:tcW w:w="1120" w:type="pct"/>
                  <w:tcBorders>
                    <w:left w:val="single" w:color="auto" w:sz="4" w:space="0"/>
                    <w:right w:val="single" w:color="auto" w:sz="4" w:space="0"/>
                  </w:tcBorders>
                  <w:vAlign w:val="center"/>
                </w:tcPr>
                <w:p>
                  <w:pPr>
                    <w:pStyle w:val="34"/>
                    <w:snapToGrid w:val="0"/>
                    <w:rPr>
                      <w:rFonts w:ascii="Times New Roman" w:hAnsi="Times New Roman"/>
                      <w:color w:val="auto"/>
                      <w:sz w:val="21"/>
                      <w:szCs w:val="21"/>
                    </w:rPr>
                  </w:pPr>
                  <w:r>
                    <w:rPr>
                      <w:rFonts w:hint="eastAsia" w:ascii="Times New Roman" w:hAnsi="Times New Roman"/>
                      <w:color w:val="auto"/>
                      <w:sz w:val="21"/>
                      <w:szCs w:val="21"/>
                    </w:rPr>
                    <w:t>HW17 336-064-17</w:t>
                  </w:r>
                </w:p>
              </w:tc>
              <w:tc>
                <w:tcPr>
                  <w:tcW w:w="694"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0.73</w:t>
                  </w:r>
                </w:p>
              </w:tc>
              <w:tc>
                <w:tcPr>
                  <w:tcW w:w="912" w:type="pct"/>
                  <w:tcBorders>
                    <w:left w:val="single" w:color="auto" w:sz="4" w:space="0"/>
                    <w:right w:val="single" w:color="auto" w:sz="4" w:space="0"/>
                  </w:tcBorders>
                  <w:vAlign w:val="center"/>
                </w:tcPr>
                <w:p>
                  <w:pPr>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olor w:val="auto"/>
                      <w:sz w:val="21"/>
                      <w:szCs w:val="21"/>
                      <w:lang w:val="en-US" w:eastAsia="zh-CN"/>
                    </w:rPr>
                    <w:t>暂未产生</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10</w:t>
                  </w:r>
                </w:p>
              </w:tc>
              <w:tc>
                <w:tcPr>
                  <w:tcW w:w="896" w:type="pct"/>
                  <w:tcBorders>
                    <w:left w:val="single" w:color="auto" w:sz="4" w:space="0"/>
                    <w:right w:val="single" w:color="auto" w:sz="4" w:space="0"/>
                  </w:tcBorders>
                  <w:vAlign w:val="center"/>
                </w:tcPr>
                <w:p>
                  <w:pPr>
                    <w:pStyle w:val="34"/>
                    <w:snapToGrid w:val="0"/>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废润滑油</w:t>
                  </w:r>
                </w:p>
              </w:tc>
              <w:tc>
                <w:tcPr>
                  <w:tcW w:w="1120" w:type="pct"/>
                  <w:tcBorders>
                    <w:left w:val="single" w:color="auto" w:sz="4" w:space="0"/>
                    <w:right w:val="single" w:color="auto" w:sz="4" w:space="0"/>
                  </w:tcBorders>
                  <w:vAlign w:val="center"/>
                </w:tcPr>
                <w:p>
                  <w:pPr>
                    <w:pStyle w:val="34"/>
                    <w:snapToGrid w:val="0"/>
                    <w:rPr>
                      <w:rFonts w:ascii="Times New Roman" w:hAnsi="Times New Roman"/>
                      <w:color w:val="auto"/>
                      <w:sz w:val="21"/>
                      <w:szCs w:val="21"/>
                    </w:rPr>
                  </w:pPr>
                  <w:r>
                    <w:rPr>
                      <w:rFonts w:hint="eastAsia" w:ascii="Times New Roman" w:hAnsi="Times New Roman"/>
                      <w:color w:val="auto"/>
                      <w:sz w:val="21"/>
                      <w:szCs w:val="21"/>
                    </w:rPr>
                    <w:t>HW08 900-214-08</w:t>
                  </w:r>
                </w:p>
              </w:tc>
              <w:tc>
                <w:tcPr>
                  <w:tcW w:w="694"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c>
                <w:tcPr>
                  <w:tcW w:w="912" w:type="pct"/>
                  <w:tcBorders>
                    <w:left w:val="single" w:color="auto" w:sz="4" w:space="0"/>
                    <w:right w:val="single" w:color="auto" w:sz="4" w:space="0"/>
                  </w:tcBorders>
                  <w:vAlign w:val="center"/>
                </w:tcPr>
                <w:p>
                  <w:pPr>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olor w:val="auto"/>
                      <w:sz w:val="21"/>
                      <w:szCs w:val="21"/>
                      <w:lang w:val="en-US" w:eastAsia="zh-CN"/>
                    </w:rPr>
                    <w:t>暂未产生</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left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11</w:t>
                  </w:r>
                </w:p>
              </w:tc>
              <w:tc>
                <w:tcPr>
                  <w:tcW w:w="896" w:type="pct"/>
                  <w:tcBorders>
                    <w:left w:val="single" w:color="auto" w:sz="4" w:space="0"/>
                    <w:right w:val="single" w:color="auto" w:sz="4" w:space="0"/>
                  </w:tcBorders>
                  <w:vAlign w:val="center"/>
                </w:tcPr>
                <w:p>
                  <w:pPr>
                    <w:pStyle w:val="34"/>
                    <w:snapToGrid w:val="0"/>
                    <w:rPr>
                      <w:rFonts w:hint="eastAsia" w:ascii="Times New Roman" w:hAnsi="Times New Roman" w:eastAsia="宋体" w:cs="Times New Roman"/>
                      <w:kern w:val="24"/>
                      <w:sz w:val="21"/>
                      <w:szCs w:val="21"/>
                      <w:lang w:val="en-US" w:eastAsia="zh-CN" w:bidi="ar-SA"/>
                    </w:rPr>
                  </w:pPr>
                  <w:r>
                    <w:rPr>
                      <w:rFonts w:hint="eastAsia" w:ascii="Times New Roman" w:hAnsi="Times New Roman" w:eastAsia="宋体" w:cs="Times New Roman"/>
                      <w:b w:val="0"/>
                      <w:bCs w:val="0"/>
                      <w:color w:val="auto"/>
                      <w:sz w:val="21"/>
                      <w:szCs w:val="21"/>
                      <w:lang w:eastAsia="zh-CN"/>
                    </w:rPr>
                    <w:t>化学品包装桶</w:t>
                  </w:r>
                </w:p>
              </w:tc>
              <w:tc>
                <w:tcPr>
                  <w:tcW w:w="1120" w:type="pct"/>
                  <w:tcBorders>
                    <w:left w:val="single" w:color="auto" w:sz="4" w:space="0"/>
                    <w:right w:val="single" w:color="auto" w:sz="4" w:space="0"/>
                  </w:tcBorders>
                  <w:vAlign w:val="center"/>
                </w:tcPr>
                <w:p>
                  <w:pPr>
                    <w:pStyle w:val="34"/>
                    <w:snapToGrid w:val="0"/>
                    <w:rPr>
                      <w:rFonts w:hint="eastAsia" w:ascii="宋体" w:hAnsi="Impact" w:eastAsia="宋体" w:cs="Times New Roman"/>
                      <w:kern w:val="24"/>
                      <w:sz w:val="21"/>
                      <w:szCs w:val="21"/>
                      <w:lang w:val="en-US" w:eastAsia="zh-CN" w:bidi="ar-SA"/>
                    </w:rPr>
                  </w:pPr>
                  <w:r>
                    <w:rPr>
                      <w:rFonts w:hint="eastAsia" w:ascii="Times New Roman" w:hAnsi="Times New Roman"/>
                      <w:color w:val="auto"/>
                      <w:sz w:val="21"/>
                      <w:szCs w:val="21"/>
                    </w:rPr>
                    <w:t>HW49 900-041-49</w:t>
                  </w:r>
                </w:p>
              </w:tc>
              <w:tc>
                <w:tcPr>
                  <w:tcW w:w="694" w:type="pct"/>
                  <w:tcBorders>
                    <w:left w:val="single" w:color="auto" w:sz="4" w:space="0"/>
                    <w:right w:val="single" w:color="auto" w:sz="4" w:space="0"/>
                  </w:tcBorders>
                  <w:vAlign w:val="center"/>
                </w:tcPr>
                <w:p>
                  <w:pPr>
                    <w:pStyle w:val="34"/>
                    <w:snapToGrid w:val="0"/>
                    <w:rPr>
                      <w:rFonts w:hint="eastAsia" w:ascii="Times New Roman" w:hAnsi="Times New Roman" w:eastAsia="宋体" w:cs="Times New Roman"/>
                      <w:kern w:val="24"/>
                      <w:sz w:val="21"/>
                      <w:szCs w:val="21"/>
                      <w:lang w:val="en-US" w:eastAsia="zh-CN" w:bidi="ar-SA"/>
                    </w:rPr>
                  </w:pPr>
                  <w:r>
                    <w:rPr>
                      <w:rFonts w:hint="eastAsia" w:ascii="Times New Roman" w:hAnsi="Times New Roman" w:eastAsia="宋体" w:cs="Times New Roman"/>
                      <w:sz w:val="21"/>
                      <w:szCs w:val="21"/>
                      <w:lang w:val="en-US" w:eastAsia="zh-CN"/>
                    </w:rPr>
                    <w:t>2.724</w:t>
                  </w:r>
                </w:p>
              </w:tc>
              <w:tc>
                <w:tcPr>
                  <w:tcW w:w="912" w:type="pct"/>
                  <w:tcBorders>
                    <w:left w:val="single" w:color="auto" w:sz="4" w:space="0"/>
                    <w:right w:val="single" w:color="auto" w:sz="4" w:space="0"/>
                  </w:tcBorders>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暂未产生</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w:t>
                  </w:r>
                </w:p>
              </w:tc>
              <w:tc>
                <w:tcPr>
                  <w:tcW w:w="896"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浓缩污泥</w:t>
                  </w:r>
                </w:p>
              </w:tc>
              <w:tc>
                <w:tcPr>
                  <w:tcW w:w="1120" w:type="pct"/>
                  <w:tcBorders>
                    <w:left w:val="single" w:color="auto" w:sz="4" w:space="0"/>
                    <w:right w:val="single" w:color="auto" w:sz="4" w:space="0"/>
                  </w:tcBorders>
                  <w:vAlign w:val="center"/>
                </w:tcPr>
                <w:p>
                  <w:pPr>
                    <w:pStyle w:val="34"/>
                    <w:snapToGrid w:val="0"/>
                    <w:rPr>
                      <w:rFonts w:hint="eastAsia" w:eastAsia="宋体" w:cs="Times New Roman"/>
                      <w:sz w:val="21"/>
                      <w:szCs w:val="21"/>
                      <w:lang w:eastAsia="zh-CN"/>
                    </w:rPr>
                  </w:pPr>
                  <w:r>
                    <w:rPr>
                      <w:rFonts w:hint="eastAsia" w:ascii="Times New Roman" w:hAnsi="Times New Roman"/>
                      <w:color w:val="auto"/>
                      <w:sz w:val="21"/>
                      <w:szCs w:val="21"/>
                    </w:rPr>
                    <w:t>HW17 336-064-17</w:t>
                  </w:r>
                </w:p>
              </w:tc>
              <w:tc>
                <w:tcPr>
                  <w:tcW w:w="694" w:type="pct"/>
                  <w:tcBorders>
                    <w:left w:val="single" w:color="auto" w:sz="4" w:space="0"/>
                    <w:right w:val="single" w:color="auto" w:sz="4" w:space="0"/>
                  </w:tcBorders>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12" w:type="pct"/>
                  <w:tcBorders>
                    <w:left w:val="single" w:color="auto" w:sz="4" w:space="0"/>
                    <w:right w:val="single" w:color="auto" w:sz="4" w:space="0"/>
                  </w:tcBorders>
                  <w:vAlign w:val="center"/>
                </w:tcPr>
                <w:p>
                  <w:pPr>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olor w:val="auto"/>
                      <w:sz w:val="21"/>
                      <w:szCs w:val="21"/>
                      <w:lang w:val="en-US" w:eastAsia="zh-CN"/>
                    </w:rPr>
                    <w:t>暂未产生</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896" w:type="pct"/>
                  <w:tcBorders>
                    <w:left w:val="single" w:color="auto" w:sz="4" w:space="0"/>
                    <w:bottom w:val="single" w:color="auto" w:sz="12"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生活垃圾</w:t>
                  </w:r>
                </w:p>
              </w:tc>
              <w:tc>
                <w:tcPr>
                  <w:tcW w:w="1120" w:type="pct"/>
                  <w:tcBorders>
                    <w:left w:val="single" w:color="auto" w:sz="4" w:space="0"/>
                    <w:bottom w:val="single" w:color="auto" w:sz="12"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w:t>
                  </w:r>
                </w:p>
              </w:tc>
              <w:tc>
                <w:tcPr>
                  <w:tcW w:w="694" w:type="pct"/>
                  <w:tcBorders>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59.85</w:t>
                  </w:r>
                </w:p>
              </w:tc>
              <w:tc>
                <w:tcPr>
                  <w:tcW w:w="912" w:type="pct"/>
                  <w:tcBorders>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912" w:type="pct"/>
                  <w:tcBorders>
                    <w:left w:val="single" w:color="auto" w:sz="4"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环卫部门统一清运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eastAsiaTheme="minorEastAsia"/>
                <w:sz w:val="24"/>
                <w:szCs w:val="24"/>
                <w:lang w:eastAsia="zh-CN"/>
              </w:rPr>
            </w:pPr>
            <w:r>
              <w:rPr>
                <w:rFonts w:hint="eastAsia"/>
                <w:lang w:val="en-US" w:eastAsia="zh-CN"/>
              </w:rPr>
              <w:drawing>
                <wp:inline distT="0" distB="0" distL="114300" distR="114300">
                  <wp:extent cx="2712085" cy="2034540"/>
                  <wp:effectExtent l="0" t="0" r="12065" b="3810"/>
                  <wp:docPr id="1" name="图片 1" descr="d2f7c2d494b0eb267f98a20508c7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f7c2d494b0eb267f98a20508c7cec"/>
                          <pic:cNvPicPr>
                            <a:picLocks noChangeAspect="1"/>
                          </pic:cNvPicPr>
                        </pic:nvPicPr>
                        <pic:blipFill>
                          <a:blip r:embed="rId22"/>
                          <a:stretch>
                            <a:fillRect/>
                          </a:stretch>
                        </pic:blipFill>
                        <pic:spPr>
                          <a:xfrm>
                            <a:off x="0" y="0"/>
                            <a:ext cx="2712085" cy="2034540"/>
                          </a:xfrm>
                          <a:prstGeom prst="rect">
                            <a:avLst/>
                          </a:prstGeom>
                        </pic:spPr>
                      </pic:pic>
                    </a:graphicData>
                  </a:graphic>
                </wp:inline>
              </w:drawing>
            </w:r>
            <w:r>
              <w:rPr>
                <w:rFonts w:hint="eastAsia" w:eastAsiaTheme="minorEastAsia"/>
                <w:sz w:val="24"/>
                <w:szCs w:val="24"/>
                <w:lang w:eastAsia="zh-CN"/>
              </w:rPr>
              <w:drawing>
                <wp:inline distT="0" distB="0" distL="114300" distR="114300">
                  <wp:extent cx="2713990" cy="2036445"/>
                  <wp:effectExtent l="0" t="0" r="10160" b="1905"/>
                  <wp:docPr id="43" name="图片 43" descr="6e91a9fd62ecb6cf3b4a87e54680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6e91a9fd62ecb6cf3b4a87e54680ae6"/>
                          <pic:cNvPicPr>
                            <a:picLocks noChangeAspect="1"/>
                          </pic:cNvPicPr>
                        </pic:nvPicPr>
                        <pic:blipFill>
                          <a:blip r:embed="rId23"/>
                          <a:stretch>
                            <a:fillRect/>
                          </a:stretch>
                        </pic:blipFill>
                        <pic:spPr>
                          <a:xfrm>
                            <a:off x="0" y="0"/>
                            <a:ext cx="2713990" cy="20364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图6-7 危废库</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inline distT="0" distB="0" distL="114300" distR="114300">
                  <wp:extent cx="4058920" cy="3044190"/>
                  <wp:effectExtent l="0" t="0" r="17780" b="3810"/>
                  <wp:docPr id="63" name="图片 63" descr="dffdda74ffc3501162bfa6701ede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ffdda74ffc3501162bfa6701ede574"/>
                          <pic:cNvPicPr>
                            <a:picLocks noChangeAspect="1"/>
                          </pic:cNvPicPr>
                        </pic:nvPicPr>
                        <pic:blipFill>
                          <a:blip r:embed="rId24"/>
                          <a:stretch>
                            <a:fillRect/>
                          </a:stretch>
                        </pic:blipFill>
                        <pic:spPr>
                          <a:xfrm>
                            <a:off x="0" y="0"/>
                            <a:ext cx="4058920" cy="3044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图6-8 一般固废库</w:t>
            </w:r>
          </w:p>
          <w:p>
            <w:pPr>
              <w:keepNext w:val="0"/>
              <w:keepLines w:val="0"/>
              <w:pageBreakBefore w:val="0"/>
              <w:widowControl w:val="0"/>
              <w:tabs>
                <w:tab w:val="left" w:pos="1142"/>
              </w:tabs>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5、环境风险防范措施</w:t>
            </w:r>
          </w:p>
          <w:p>
            <w:pPr>
              <w:keepNext w:val="0"/>
              <w:keepLines w:val="0"/>
              <w:pageBreakBefore w:val="0"/>
              <w:widowControl w:val="0"/>
              <w:tabs>
                <w:tab w:val="left" w:pos="1142"/>
              </w:tabs>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本项目依托中鼎NVH园区1座容积为300m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的事故应急池，以及雨水排放口截断、应急切换等装置。</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586990" cy="1692910"/>
                  <wp:effectExtent l="0" t="0" r="3810" b="2540"/>
                  <wp:docPr id="64" name="图片 64" descr="5325e1e44431360f9db6cadd152a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5325e1e44431360f9db6cadd152ac94"/>
                          <pic:cNvPicPr>
                            <a:picLocks noChangeAspect="1"/>
                          </pic:cNvPicPr>
                        </pic:nvPicPr>
                        <pic:blipFill>
                          <a:blip r:embed="rId25"/>
                          <a:srcRect r="18527" b="29002"/>
                          <a:stretch>
                            <a:fillRect/>
                          </a:stretch>
                        </pic:blipFill>
                        <pic:spPr>
                          <a:xfrm>
                            <a:off x="0" y="0"/>
                            <a:ext cx="2586990" cy="1692910"/>
                          </a:xfrm>
                          <a:prstGeom prst="rect">
                            <a:avLst/>
                          </a:prstGeom>
                        </pic:spPr>
                      </pic:pic>
                    </a:graphicData>
                  </a:graphic>
                </wp:inline>
              </w:drawing>
            </w:r>
            <w:r>
              <w:rPr>
                <w:rFonts w:hint="eastAsia" w:eastAsiaTheme="minorEastAsia"/>
                <w:sz w:val="24"/>
                <w:szCs w:val="24"/>
                <w:lang w:eastAsia="zh-CN"/>
              </w:rPr>
              <w:drawing>
                <wp:inline distT="0" distB="0" distL="114300" distR="114300">
                  <wp:extent cx="2880995" cy="1676400"/>
                  <wp:effectExtent l="0" t="0" r="14605" b="0"/>
                  <wp:docPr id="65" name="图片 65" descr="320fa60ed16f084329b15472e5b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20fa60ed16f084329b15472e5b2949"/>
                          <pic:cNvPicPr>
                            <a:picLocks noChangeAspect="1"/>
                          </pic:cNvPicPr>
                        </pic:nvPicPr>
                        <pic:blipFill>
                          <a:blip r:embed="rId26"/>
                          <a:srcRect r="15626" b="34557"/>
                          <a:stretch>
                            <a:fillRect/>
                          </a:stretch>
                        </pic:blipFill>
                        <pic:spPr>
                          <a:xfrm>
                            <a:off x="0" y="0"/>
                            <a:ext cx="2880995" cy="16764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图6-9 园区事故应急池</w:t>
            </w:r>
          </w:p>
          <w:p>
            <w:pPr>
              <w:keepNext w:val="0"/>
              <w:keepLines w:val="0"/>
              <w:pageBreakBefore w:val="0"/>
              <w:widowControl w:val="0"/>
              <w:tabs>
                <w:tab w:val="left" w:pos="1142"/>
              </w:tabs>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6、环保设施投资及三同时一览表</w:t>
            </w:r>
          </w:p>
          <w:p>
            <w:pPr>
              <w:spacing w:line="36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 xml:space="preserve">表6-3 </w:t>
            </w:r>
            <w:r>
              <w:rPr>
                <w:rFonts w:hint="default" w:ascii="Times New Roman" w:hAnsi="Times New Roman" w:cs="Times New Roman"/>
                <w:b/>
                <w:bCs/>
                <w:sz w:val="21"/>
                <w:szCs w:val="21"/>
                <w:lang w:val="en-US" w:eastAsia="zh-CN"/>
              </w:rPr>
              <w:t>环保设施投资</w:t>
            </w:r>
            <w:r>
              <w:rPr>
                <w:rFonts w:hint="eastAsia" w:ascii="Times New Roman" w:hAnsi="Times New Roman" w:cs="Times New Roman"/>
                <w:b/>
                <w:bCs/>
                <w:sz w:val="21"/>
                <w:szCs w:val="21"/>
                <w:lang w:val="en-US" w:eastAsia="zh-CN"/>
              </w:rPr>
              <w:t>及三同时</w:t>
            </w:r>
            <w:r>
              <w:rPr>
                <w:rFonts w:hint="default" w:ascii="Times New Roman" w:hAnsi="Times New Roman" w:cs="Times New Roman"/>
                <w:b/>
                <w:bCs/>
                <w:sz w:val="21"/>
                <w:szCs w:val="21"/>
                <w:lang w:val="en-US" w:eastAsia="zh-CN"/>
              </w:rPr>
              <w:t>一览表</w:t>
            </w:r>
          </w:p>
          <w:tbl>
            <w:tblPr>
              <w:tblStyle w:val="12"/>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249"/>
              <w:gridCol w:w="278"/>
              <w:gridCol w:w="564"/>
              <w:gridCol w:w="3209"/>
              <w:gridCol w:w="373"/>
              <w:gridCol w:w="394"/>
              <w:gridCol w:w="3252"/>
              <w:gridCol w:w="38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0" w:type="auto"/>
                  <w:vMerge w:val="restart"/>
                  <w:tcBorders>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序号</w:t>
                  </w:r>
                </w:p>
              </w:tc>
              <w:tc>
                <w:tcPr>
                  <w:tcW w:w="0" w:type="auto"/>
                  <w:vMerge w:val="restar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治理项目</w:t>
                  </w:r>
                </w:p>
              </w:tc>
              <w:tc>
                <w:tcPr>
                  <w:tcW w:w="0" w:type="auto"/>
                  <w:gridSpan w:val="3"/>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环评要求</w:t>
                  </w:r>
                </w:p>
              </w:tc>
              <w:tc>
                <w:tcPr>
                  <w:tcW w:w="0" w:type="auto"/>
                  <w:gridSpan w:val="3"/>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实际建设情况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jc w:val="center"/>
              </w:trPr>
              <w:tc>
                <w:tcPr>
                  <w:tcW w:w="0" w:type="auto"/>
                  <w:vMerge w:val="continue"/>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措施内容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环评估算</w:t>
                  </w:r>
                </w:p>
              </w:tc>
              <w:tc>
                <w:tcPr>
                  <w:tcW w:w="0" w:type="auto"/>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措施内容</w:t>
                  </w:r>
                </w:p>
              </w:tc>
              <w:tc>
                <w:tcPr>
                  <w:tcW w:w="0" w:type="auto"/>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实际投资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5" w:hRule="atLeast"/>
                <w:jc w:val="center"/>
              </w:trPr>
              <w:tc>
                <w:tcPr>
                  <w:tcW w:w="0" w:type="auto"/>
                  <w:vMerge w:val="restart"/>
                  <w:tcBorders>
                    <w:top w:val="single" w:color="000000" w:sz="4" w:space="0"/>
                    <w:left w:val="single" w:color="000000" w:sz="1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w:t>
                  </w:r>
                </w:p>
              </w:tc>
              <w:tc>
                <w:tcPr>
                  <w:tcW w:w="0" w:type="auto"/>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废气治理</w:t>
                  </w:r>
                </w:p>
              </w:tc>
              <w:tc>
                <w:tcPr>
                  <w:tcW w:w="0" w:type="auto"/>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锻坯加热</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炉</w:t>
                  </w:r>
                </w:p>
              </w:tc>
              <w:tc>
                <w:tcPr>
                  <w:tcW w:w="0" w:type="auto"/>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rPr>
                    <w:t>4 条锻造线锻坯加热炉均采用低氮燃烧器，天然气燃烧废气合并 1 根15m高排气筒排放（DA001）</w:t>
                  </w:r>
                  <w:r>
                    <w:rPr>
                      <w:rFonts w:hint="eastAsia" w:ascii="Times New Roman" w:hAnsi="Times New Roman" w:cs="Times New Roman"/>
                      <w:lang w:eastAsia="zh-CN"/>
                    </w:rPr>
                    <w:t>。</w:t>
                  </w:r>
                </w:p>
              </w:tc>
              <w:tc>
                <w:tcPr>
                  <w:tcW w:w="0" w:type="auto"/>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80</w:t>
                  </w:r>
                  <w:r>
                    <w:rPr>
                      <w:rFonts w:hint="default" w:ascii="Times New Roman" w:hAnsi="Times New Roman" w:cs="Times New Roman"/>
                      <w:b w:val="0"/>
                      <w:bCs w:val="0"/>
                      <w:sz w:val="21"/>
                      <w:szCs w:val="21"/>
                      <w:lang w:val="en-US" w:eastAsia="zh-CN"/>
                    </w:rPr>
                    <w:t xml:space="preserve"> 万元</w:t>
                  </w:r>
                </w:p>
              </w:tc>
              <w:tc>
                <w:tcPr>
                  <w:tcW w:w="0" w:type="auto"/>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锻坯加热</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炉</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rPr>
                    <w:t>天然气燃烧废气</w:t>
                  </w:r>
                  <w:r>
                    <w:rPr>
                      <w:rFonts w:hint="eastAsia" w:ascii="Times New Roman" w:hAnsi="Times New Roman" w:cs="Times New Roman"/>
                      <w:lang w:eastAsia="zh-CN"/>
                    </w:rPr>
                    <w:t>经超高速烧嘴低氮燃烧</w:t>
                  </w:r>
                  <w:r>
                    <w:rPr>
                      <w:rFonts w:hint="eastAsia" w:ascii="Times New Roman" w:hAnsi="Times New Roman" w:cs="Times New Roman"/>
                      <w:lang w:val="en-US" w:eastAsia="zh-CN"/>
                    </w:rPr>
                    <w:t>+</w:t>
                  </w:r>
                  <w:r>
                    <w:rPr>
                      <w:rFonts w:hint="eastAsia" w:ascii="Times New Roman" w:hAnsi="Times New Roman" w:cs="Times New Roman"/>
                      <w:lang w:eastAsia="zh-CN"/>
                    </w:rPr>
                    <w:t>气动混旋喷淋塔，经</w:t>
                  </w:r>
                  <w:r>
                    <w:rPr>
                      <w:rFonts w:hint="default" w:ascii="Times New Roman" w:hAnsi="Times New Roman" w:cs="Times New Roman"/>
                    </w:rPr>
                    <w:t>15m高排气筒排放</w:t>
                  </w:r>
                </w:p>
              </w:tc>
              <w:tc>
                <w:tcPr>
                  <w:tcW w:w="0" w:type="auto"/>
                  <w:vMerge w:val="restart"/>
                  <w:tcBorders>
                    <w:top w:val="single" w:color="000000" w:sz="4" w:space="0"/>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万元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5" w:hRule="atLeast"/>
                <w:jc w:val="center"/>
              </w:trPr>
              <w:tc>
                <w:tcPr>
                  <w:tcW w:w="0" w:type="auto"/>
                  <w:vMerge w:val="continue"/>
                  <w:tcBorders>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0" w:type="auto"/>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0" w:type="auto"/>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0" w:type="auto"/>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0" w:type="auto"/>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0" w:type="auto"/>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锻造线锻坯加热废气经喷淋塔+二级工业油烟净化器+活性炭吸附装置处理后，经2根15m高排气筒排放。</w:t>
                  </w:r>
                </w:p>
              </w:tc>
              <w:tc>
                <w:tcPr>
                  <w:tcW w:w="0" w:type="auto"/>
                  <w:vMerge w:val="continue"/>
                  <w:tcBorders>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97" w:hRule="atLeast"/>
                <w:jc w:val="center"/>
              </w:trPr>
              <w:tc>
                <w:tcPr>
                  <w:tcW w:w="0" w:type="auto"/>
                  <w:vMerge w:val="continue"/>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热处理炉</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 条固溶时效炉均采用低氮燃烧器，天然气燃烧废气合并 1 根 15m 高排气筒排放（DA002）。</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热处理炉</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lang w:eastAsia="zh-CN"/>
                    </w:rPr>
                    <w:t>超高速烧嘴低氮燃烧</w:t>
                  </w:r>
                  <w:r>
                    <w:rPr>
                      <w:rFonts w:hint="eastAsia" w:ascii="Times New Roman" w:hAnsi="Times New Roman" w:cs="Times New Roman"/>
                      <w:lang w:val="en-US" w:eastAsia="zh-CN"/>
                    </w:rPr>
                    <w:t>+</w:t>
                  </w:r>
                  <w:r>
                    <w:rPr>
                      <w:rFonts w:hint="eastAsia" w:ascii="Times New Roman" w:hAnsi="Times New Roman" w:cs="Times New Roman"/>
                      <w:lang w:eastAsia="zh-CN"/>
                    </w:rPr>
                    <w:t>气动混旋喷淋塔，经</w:t>
                  </w:r>
                  <w:r>
                    <w:rPr>
                      <w:rFonts w:hint="default" w:ascii="Times New Roman" w:hAnsi="Times New Roman" w:cs="Times New Roman"/>
                    </w:rPr>
                    <w:t>15m高排气筒排放</w:t>
                  </w:r>
                  <w:r>
                    <w:rPr>
                      <w:rFonts w:hint="eastAsia" w:ascii="Times New Roman" w:hAnsi="Times New Roman" w:cs="Times New Roman"/>
                      <w:lang w:eastAsia="zh-CN"/>
                    </w:rPr>
                    <w:t>。</w:t>
                  </w:r>
                </w:p>
              </w:tc>
              <w:tc>
                <w:tcPr>
                  <w:tcW w:w="0" w:type="auto"/>
                  <w:vMerge w:val="continue"/>
                  <w:tcBorders>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97" w:hRule="atLeast"/>
                <w:jc w:val="center"/>
              </w:trPr>
              <w:tc>
                <w:tcPr>
                  <w:tcW w:w="0" w:type="auto"/>
                  <w:vMerge w:val="continue"/>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打磨</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采用半封闭式打磨柜，打磨粉尘收集后经 1 套“袋式除尘器”处理后，通过 1 根 15m 高排气筒排放（DA003）。除尘效率 99%，处理规模为 8500m</w:t>
                  </w:r>
                  <w:r>
                    <w:rPr>
                      <w:rFonts w:hint="default" w:ascii="Times New Roman" w:hAnsi="Times New Roman" w:cs="Times New Roman"/>
                      <w:b w:val="0"/>
                      <w:bCs w:val="0"/>
                      <w:sz w:val="21"/>
                      <w:szCs w:val="21"/>
                      <w:vertAlign w:val="superscript"/>
                      <w:lang w:val="en-US" w:eastAsia="zh-CN"/>
                    </w:rPr>
                    <w:t>3</w:t>
                  </w:r>
                  <w:r>
                    <w:rPr>
                      <w:rFonts w:hint="default" w:ascii="Times New Roman" w:hAnsi="Times New Roman" w:cs="Times New Roman"/>
                      <w:b w:val="0"/>
                      <w:bCs w:val="0"/>
                      <w:sz w:val="21"/>
                      <w:szCs w:val="21"/>
                      <w:lang w:val="en-US" w:eastAsia="zh-CN"/>
                    </w:rPr>
                    <w:t>/h。</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打磨</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未建设</w:t>
                  </w:r>
                </w:p>
              </w:tc>
              <w:tc>
                <w:tcPr>
                  <w:tcW w:w="0" w:type="auto"/>
                  <w:vMerge w:val="continue"/>
                  <w:tcBorders>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jc w:val="center"/>
              </w:trPr>
              <w:tc>
                <w:tcPr>
                  <w:tcW w:w="0" w:type="auto"/>
                  <w:vMerge w:val="continue"/>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抛丸</w:t>
                  </w:r>
                </w:p>
              </w:tc>
              <w:tc>
                <w:tcPr>
                  <w:tcW w:w="0" w:type="auto"/>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 台抛丸机为全封闭式，自带 2 套“袋式除尘器”，除尘后合并 1 根 15m 高排气筒排放（DA004）。除尘效率 99%，单台处理规模为 5000m</w:t>
                  </w:r>
                  <w:r>
                    <w:rPr>
                      <w:rFonts w:hint="default" w:ascii="Times New Roman" w:hAnsi="Times New Roman" w:cs="Times New Roman"/>
                      <w:b w:val="0"/>
                      <w:bCs w:val="0"/>
                      <w:sz w:val="21"/>
                      <w:szCs w:val="21"/>
                      <w:vertAlign w:val="superscript"/>
                      <w:lang w:val="en-US" w:eastAsia="zh-CN"/>
                    </w:rPr>
                    <w:t>3</w:t>
                  </w:r>
                  <w:r>
                    <w:rPr>
                      <w:rFonts w:hint="default" w:ascii="Times New Roman" w:hAnsi="Times New Roman" w:cs="Times New Roman"/>
                      <w:b w:val="0"/>
                      <w:bCs w:val="0"/>
                      <w:sz w:val="21"/>
                      <w:szCs w:val="21"/>
                      <w:lang w:val="en-US" w:eastAsia="zh-CN"/>
                    </w:rPr>
                    <w:t>/h。</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抛丸</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2台抛丸机为全封闭式，自带 2 套“袋式除尘器”，除尘后合并1根15m高排气筒排放。</w:t>
                  </w:r>
                </w:p>
              </w:tc>
              <w:tc>
                <w:tcPr>
                  <w:tcW w:w="0" w:type="auto"/>
                  <w:vMerge w:val="continue"/>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jc w:val="center"/>
              </w:trPr>
              <w:tc>
                <w:tcPr>
                  <w:tcW w:w="0" w:type="auto"/>
                  <w:vMerge w:val="continue"/>
                  <w:tcBorders>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0" w:type="auto"/>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0" w:type="auto"/>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0" w:type="auto"/>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0" w:type="auto"/>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抛光</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抛光废气经布袋除尘器处理后，通过1根15m高排气筒排放。</w:t>
                  </w:r>
                </w:p>
              </w:tc>
              <w:tc>
                <w:tcPr>
                  <w:tcW w:w="0" w:type="auto"/>
                  <w:vMerge w:val="continue"/>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97" w:hRule="atLeast"/>
                <w:jc w:val="center"/>
              </w:trPr>
              <w:tc>
                <w:tcPr>
                  <w:tcW w:w="0" w:type="auto"/>
                  <w:vMerge w:val="continue"/>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焊接</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 台焊接设备配套“焊接烟尘净化器”处理后，通过 1 根 15m 高排气筒排放（DA005）。处理规模为 1500m</w:t>
                  </w:r>
                  <w:r>
                    <w:rPr>
                      <w:rFonts w:hint="default" w:ascii="Times New Roman" w:hAnsi="Times New Roman" w:cs="Times New Roman"/>
                      <w:b w:val="0"/>
                      <w:bCs w:val="0"/>
                      <w:sz w:val="21"/>
                      <w:szCs w:val="21"/>
                      <w:vertAlign w:val="superscript"/>
                      <w:lang w:val="en-US" w:eastAsia="zh-CN"/>
                    </w:rPr>
                    <w:t>3</w:t>
                  </w:r>
                  <w:r>
                    <w:rPr>
                      <w:rFonts w:hint="default" w:ascii="Times New Roman" w:hAnsi="Times New Roman" w:cs="Times New Roman"/>
                      <w:b w:val="0"/>
                      <w:bCs w:val="0"/>
                      <w:sz w:val="21"/>
                      <w:szCs w:val="21"/>
                      <w:lang w:val="en-US" w:eastAsia="zh-CN"/>
                    </w:rPr>
                    <w:t>/h。</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焊接</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2台焊接设备产生的焊接废气与电阻炉产生的废气合并通过工业油烟净化器+二级活性炭吸附装置处理后，经 1 根 15m高排气筒排放。</w:t>
                  </w:r>
                </w:p>
              </w:tc>
              <w:tc>
                <w:tcPr>
                  <w:tcW w:w="0" w:type="auto"/>
                  <w:vMerge w:val="continue"/>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1" w:hRule="atLeast"/>
                <w:jc w:val="center"/>
              </w:trPr>
              <w:tc>
                <w:tcPr>
                  <w:tcW w:w="0" w:type="auto"/>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废水治理</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生产废水</w:t>
                  </w:r>
                  <w:r>
                    <w:rPr>
                      <w:rFonts w:hint="default" w:ascii="Times New Roman" w:hAnsi="Times New Roman" w:cs="Times New Roman"/>
                      <w:b w:val="0"/>
                      <w:bCs w:val="0"/>
                      <w:sz w:val="21"/>
                      <w:szCs w:val="21"/>
                      <w:lang w:val="en-US" w:eastAsia="zh-CN"/>
                    </w:rPr>
                    <w:t>、生活污水</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依托中鼎工业园内现有1 座360m³/d 的污水处理站，采用“预处理+芬顿氧化＋A2/O”处理工艺</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0" w:type="auto"/>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新增车间污水预处理设施一套，设计处理能力60m</w:t>
                  </w:r>
                  <w:r>
                    <w:rPr>
                      <w:rFonts w:hint="eastAsia" w:ascii="Times New Roman" w:hAnsi="Times New Roman" w:cs="Times New Roman"/>
                      <w:b w:val="0"/>
                      <w:bCs w:val="0"/>
                      <w:sz w:val="21"/>
                      <w:szCs w:val="21"/>
                      <w:vertAlign w:val="superscript"/>
                      <w:lang w:val="en-US" w:eastAsia="zh-CN"/>
                    </w:rPr>
                    <w:t>3</w:t>
                  </w:r>
                  <w:r>
                    <w:rPr>
                      <w:rFonts w:hint="eastAsia" w:ascii="Times New Roman" w:hAnsi="Times New Roman" w:cs="Times New Roman"/>
                      <w:b w:val="0"/>
                      <w:bCs w:val="0"/>
                      <w:sz w:val="21"/>
                      <w:szCs w:val="21"/>
                      <w:lang w:val="en-US" w:eastAsia="zh-CN"/>
                    </w:rPr>
                    <w:t>/d。清洗线生产废水（脱脂废水、碱洗废水、超声波清洗废水、水洗废水）经车间自建污水处理设施预处理后，与超声波清洗废水一并进入中鼎减震厂区综合污水处理站处理，排入中德智造小镇污水处理厂处理；保洁废水、生活污水经化粪池收集进入中鼎减震厂区综合污水处理站处理后，排入中德智造小镇污水处理厂，处理达标后排入东津河。</w:t>
                  </w:r>
                </w:p>
              </w:tc>
              <w:tc>
                <w:tcPr>
                  <w:tcW w:w="0" w:type="auto"/>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75万元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jc w:val="center"/>
              </w:trPr>
              <w:tc>
                <w:tcPr>
                  <w:tcW w:w="0" w:type="auto"/>
                  <w:vMerge w:val="restart"/>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固废治理</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一般固废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项目产生的金属边角料、不合格品、废钢丸、收集粉尘等依托中鼎减震一般固废库，面积约400m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，项目使用面积约100m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。应分区存放，设标识牌，暂存后定期外售再利用。</w:t>
                  </w:r>
                </w:p>
              </w:tc>
              <w:tc>
                <w:tcPr>
                  <w:tcW w:w="0" w:type="auto"/>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0" w:type="auto"/>
                  <w:gridSpan w:val="2"/>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项目产生的金属边角料、不合格品、废钢丸、收集粉尘等依托中鼎减震一般固废库，面积约400m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，项目使用面积约100m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。分区存放，设标识牌，暂存后定期外售再利用</w:t>
                  </w:r>
                  <w:r>
                    <w:rPr>
                      <w:rFonts w:hint="eastAsia" w:ascii="Times New Roman" w:hAnsi="Times New Roman" w:cs="Times New Roman"/>
                      <w:b w:val="0"/>
                      <w:bCs w:val="0"/>
                      <w:sz w:val="21"/>
                      <w:szCs w:val="21"/>
                      <w:lang w:val="en-US" w:eastAsia="zh-CN"/>
                    </w:rPr>
                    <w:t>。项目产生的废切削液、脱脂槽渣、碱洗槽渣、废润滑油、废乳化液、废活性炭、浓缩污泥等危废，新建1座面积约30m</w:t>
                  </w:r>
                  <w:r>
                    <w:rPr>
                      <w:rFonts w:hint="eastAsia" w:ascii="Times New Roman" w:hAnsi="Times New Roman" w:cs="Times New Roman"/>
                      <w:b w:val="0"/>
                      <w:bCs w:val="0"/>
                      <w:sz w:val="21"/>
                      <w:szCs w:val="21"/>
                      <w:vertAlign w:val="superscript"/>
                      <w:lang w:val="en-US" w:eastAsia="zh-CN"/>
                    </w:rPr>
                    <w:t>2</w:t>
                  </w:r>
                  <w:r>
                    <w:rPr>
                      <w:rFonts w:hint="eastAsia" w:ascii="Times New Roman" w:hAnsi="Times New Roman" w:cs="Times New Roman"/>
                      <w:b w:val="0"/>
                      <w:bCs w:val="0"/>
                      <w:sz w:val="21"/>
                      <w:szCs w:val="21"/>
                      <w:lang w:val="en-US" w:eastAsia="zh-CN"/>
                    </w:rPr>
                    <w:t>危废库暂存，分区存放，设置分区标识牌，并单独委托有资质的危废单位处置。生活垃圾</w:t>
                  </w:r>
                  <w:r>
                    <w:rPr>
                      <w:rFonts w:hint="default" w:ascii="Times New Roman" w:hAnsi="Times New Roman" w:cs="Times New Roman"/>
                      <w:b w:val="0"/>
                      <w:bCs w:val="0"/>
                      <w:sz w:val="21"/>
                      <w:szCs w:val="21"/>
                      <w:lang w:val="en-US" w:eastAsia="zh-CN"/>
                    </w:rPr>
                    <w:t>委托当地环卫部门统一清运处理</w:t>
                  </w:r>
                  <w:r>
                    <w:rPr>
                      <w:rFonts w:hint="eastAsia" w:ascii="Times New Roman" w:hAnsi="Times New Roman" w:cs="Times New Roman"/>
                      <w:b w:val="0"/>
                      <w:bCs w:val="0"/>
                      <w:sz w:val="21"/>
                      <w:szCs w:val="21"/>
                      <w:lang w:val="en-US" w:eastAsia="zh-CN"/>
                    </w:rPr>
                    <w:t>。</w:t>
                  </w:r>
                </w:p>
              </w:tc>
              <w:tc>
                <w:tcPr>
                  <w:tcW w:w="0" w:type="auto"/>
                  <w:vMerge w:val="restart"/>
                  <w:tcBorders>
                    <w:top w:val="single" w:color="000000" w:sz="4" w:space="0"/>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5万元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2" w:hRule="atLeast"/>
                <w:jc w:val="center"/>
              </w:trPr>
              <w:tc>
                <w:tcPr>
                  <w:tcW w:w="0" w:type="auto"/>
                  <w:vMerge w:val="continue"/>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危险废物</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项目产生的废切削液、脱脂槽渣、碱洗槽渣、废润滑油、废化学品桶等危废依托中鼎 NVH 园区 1 座面积约 200m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危废库暂存，项目使用面积约 30m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。禁止与减震危废混放，应分区存放，设置分区标识牌，并单独委托有资质的危废单位处置。</w:t>
                  </w:r>
                </w:p>
              </w:tc>
              <w:tc>
                <w:tcPr>
                  <w:tcW w:w="0" w:type="auto"/>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2" w:hRule="atLeast"/>
                <w:jc w:val="center"/>
              </w:trPr>
              <w:tc>
                <w:tcPr>
                  <w:tcW w:w="0" w:type="auto"/>
                  <w:vMerge w:val="continue"/>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生活垃圾</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依托现有生活垃圾收集系统，由环卫部门统一清运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处置。</w:t>
                  </w:r>
                </w:p>
              </w:tc>
              <w:tc>
                <w:tcPr>
                  <w:tcW w:w="0" w:type="auto"/>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vMerge w:val="continue"/>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5" w:hRule="atLeast"/>
                <w:jc w:val="center"/>
              </w:trPr>
              <w:tc>
                <w:tcPr>
                  <w:tcW w:w="0" w:type="auto"/>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噪声治理</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设备噪声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选用低噪声设备，高噪声设备采取减振、厂房隔音等措施</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20</w:t>
                  </w:r>
                  <w:r>
                    <w:rPr>
                      <w:rFonts w:hint="default" w:ascii="Times New Roman" w:hAnsi="Times New Roman" w:cs="Times New Roman"/>
                      <w:b w:val="0"/>
                      <w:bCs w:val="0"/>
                      <w:sz w:val="21"/>
                      <w:szCs w:val="21"/>
                      <w:lang w:val="en-US" w:eastAsia="zh-CN"/>
                    </w:rPr>
                    <w:t xml:space="preserve"> 万元</w:t>
                  </w:r>
                </w:p>
              </w:tc>
              <w:tc>
                <w:tcPr>
                  <w:tcW w:w="0" w:type="auto"/>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选用低噪声设备，</w:t>
                  </w:r>
                  <w:r>
                    <w:rPr>
                      <w:rFonts w:hint="eastAsia" w:ascii="Times New Roman" w:hAnsi="Times New Roman" w:cs="Times New Roman"/>
                      <w:b w:val="0"/>
                      <w:bCs w:val="0"/>
                      <w:sz w:val="21"/>
                      <w:szCs w:val="21"/>
                      <w:lang w:val="en-US" w:eastAsia="zh-CN"/>
                    </w:rPr>
                    <w:t>加装隔声罩，</w:t>
                  </w:r>
                  <w:r>
                    <w:rPr>
                      <w:rFonts w:hint="default" w:ascii="Times New Roman" w:hAnsi="Times New Roman" w:cs="Times New Roman"/>
                      <w:b w:val="0"/>
                      <w:bCs w:val="0"/>
                      <w:sz w:val="21"/>
                      <w:szCs w:val="21"/>
                      <w:lang w:val="en-US" w:eastAsia="zh-CN"/>
                    </w:rPr>
                    <w:t>采取隔声、减振等措施</w:t>
                  </w:r>
                  <w:r>
                    <w:rPr>
                      <w:rFonts w:hint="eastAsia" w:ascii="Times New Roman" w:hAnsi="Times New Roman" w:cs="Times New Roman"/>
                      <w:b w:val="0"/>
                      <w:bCs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万元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1" w:hRule="atLeast"/>
                <w:jc w:val="center"/>
              </w:trPr>
              <w:tc>
                <w:tcPr>
                  <w:tcW w:w="0" w:type="auto"/>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土壤及地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下水措施</w:t>
                  </w:r>
                </w:p>
              </w:tc>
              <w:tc>
                <w:tcPr>
                  <w:tcW w:w="0" w:type="auto"/>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危废库、污水处理站均依托中鼎 NVH 园区内设施及现有重点防渗措施；项目化学品库、清洗线等采取重点防渗措施。</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lang w:val="en-US" w:eastAsia="zh-CN"/>
                    </w:rPr>
                    <w:t>5 万元</w:t>
                  </w:r>
                </w:p>
              </w:tc>
              <w:tc>
                <w:tcPr>
                  <w:tcW w:w="0" w:type="auto"/>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color w:val="auto"/>
                      <w:kern w:val="0"/>
                      <w:szCs w:val="21"/>
                    </w:rPr>
                    <w:t>项目</w:t>
                  </w:r>
                  <w:r>
                    <w:rPr>
                      <w:rFonts w:hint="eastAsia" w:ascii="Times New Roman" w:hAnsi="Times New Roman" w:cs="Times New Roman"/>
                      <w:color w:val="auto"/>
                      <w:kern w:val="0"/>
                      <w:szCs w:val="21"/>
                      <w:lang w:eastAsia="zh-CN"/>
                    </w:rPr>
                    <w:t>危废库、污水处理设施、</w:t>
                  </w:r>
                  <w:r>
                    <w:rPr>
                      <w:rFonts w:hint="default" w:ascii="Times New Roman" w:hAnsi="Times New Roman" w:cs="Times New Roman"/>
                      <w:color w:val="auto"/>
                      <w:kern w:val="0"/>
                      <w:szCs w:val="21"/>
                    </w:rPr>
                    <w:t>化学品库、清洗线等采取重点防渗措施。</w:t>
                  </w:r>
                </w:p>
              </w:tc>
              <w:tc>
                <w:tcPr>
                  <w:tcW w:w="0" w:type="auto"/>
                  <w:vMerge w:val="restart"/>
                  <w:tcBorders>
                    <w:top w:val="single" w:color="000000" w:sz="4" w:space="0"/>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1" w:hRule="atLeast"/>
                <w:jc w:val="center"/>
              </w:trPr>
              <w:tc>
                <w:tcPr>
                  <w:tcW w:w="0" w:type="auto"/>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环境风险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防范措施</w:t>
                  </w:r>
                </w:p>
              </w:tc>
              <w:tc>
                <w:tcPr>
                  <w:tcW w:w="0" w:type="auto"/>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依托中鼎 NVH园区 1 座容积为300m</w:t>
                  </w:r>
                  <w:r>
                    <w:rPr>
                      <w:rFonts w:hint="default" w:ascii="Times New Roman" w:hAnsi="Times New Roman" w:cs="Times New Roman"/>
                      <w:b w:val="0"/>
                      <w:bCs w:val="0"/>
                      <w:sz w:val="21"/>
                      <w:szCs w:val="21"/>
                      <w:vertAlign w:val="superscript"/>
                      <w:lang w:val="en-US" w:eastAsia="zh-CN"/>
                    </w:rPr>
                    <w:t>3</w:t>
                  </w:r>
                  <w:r>
                    <w:rPr>
                      <w:rFonts w:hint="default" w:ascii="Times New Roman" w:hAnsi="Times New Roman" w:cs="Times New Roman"/>
                      <w:b w:val="0"/>
                      <w:bCs w:val="0"/>
                      <w:sz w:val="21"/>
                      <w:szCs w:val="21"/>
                      <w:lang w:val="en-US" w:eastAsia="zh-CN"/>
                    </w:rPr>
                    <w:t>的事故应急池，以及雨水排放口截断、应急切换等装置；厂房内新增消防设施，环境管理制度等。</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10</w:t>
                  </w:r>
                  <w:r>
                    <w:rPr>
                      <w:rFonts w:hint="default" w:ascii="Times New Roman" w:hAnsi="Times New Roman" w:cs="Times New Roman"/>
                      <w:b w:val="0"/>
                      <w:bCs w:val="0"/>
                      <w:sz w:val="21"/>
                      <w:szCs w:val="21"/>
                      <w:lang w:val="en-US" w:eastAsia="zh-CN"/>
                    </w:rPr>
                    <w:t>万元</w:t>
                  </w:r>
                </w:p>
              </w:tc>
              <w:tc>
                <w:tcPr>
                  <w:tcW w:w="0" w:type="auto"/>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依托中鼎NVH园区1座容积为300m</w:t>
                  </w:r>
                  <w:r>
                    <w:rPr>
                      <w:rFonts w:hint="default" w:ascii="Times New Roman" w:hAnsi="Times New Roman" w:cs="Times New Roman"/>
                      <w:b w:val="0"/>
                      <w:bCs w:val="0"/>
                      <w:sz w:val="21"/>
                      <w:szCs w:val="21"/>
                      <w:vertAlign w:val="superscript"/>
                      <w:lang w:val="en-US" w:eastAsia="zh-CN"/>
                    </w:rPr>
                    <w:t>3</w:t>
                  </w:r>
                  <w:r>
                    <w:rPr>
                      <w:rFonts w:hint="default" w:ascii="Times New Roman" w:hAnsi="Times New Roman" w:cs="Times New Roman"/>
                      <w:b w:val="0"/>
                      <w:bCs w:val="0"/>
                      <w:sz w:val="21"/>
                      <w:szCs w:val="21"/>
                      <w:lang w:val="en-US" w:eastAsia="zh-CN"/>
                    </w:rPr>
                    <w:t>的事故应急池，以及雨水排放口截断、应急切换等装置；厂房内新增消防设施，环境管理制度等。</w:t>
                  </w:r>
                </w:p>
              </w:tc>
              <w:tc>
                <w:tcPr>
                  <w:tcW w:w="0" w:type="auto"/>
                  <w:vMerge w:val="continue"/>
                  <w:tcBorders>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1" w:hRule="atLeast"/>
                <w:jc w:val="center"/>
              </w:trPr>
              <w:tc>
                <w:tcPr>
                  <w:tcW w:w="0" w:type="auto"/>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7</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环境管理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及监测</w:t>
                  </w:r>
                </w:p>
              </w:tc>
              <w:tc>
                <w:tcPr>
                  <w:tcW w:w="0" w:type="auto"/>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有组织废气及无组织废气、废水、噪声等监测计划</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lang w:val="en-US" w:eastAsia="zh-CN"/>
                    </w:rPr>
                    <w:t>万元</w:t>
                  </w:r>
                </w:p>
              </w:tc>
              <w:tc>
                <w:tcPr>
                  <w:tcW w:w="0" w:type="auto"/>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有组织废气及无组织废气、废水、噪声等监测计划</w:t>
                  </w:r>
                </w:p>
              </w:tc>
              <w:tc>
                <w:tcPr>
                  <w:tcW w:w="0" w:type="auto"/>
                  <w:vMerge w:val="continue"/>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jc w:val="center"/>
              </w:trPr>
              <w:tc>
                <w:tcPr>
                  <w:tcW w:w="0" w:type="auto"/>
                  <w:tcBorders>
                    <w:top w:val="single" w:color="000000" w:sz="4" w:space="0"/>
                    <w:left w:val="single" w:color="000000" w:sz="1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0" w:type="auto"/>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合计</w:t>
                  </w:r>
                </w:p>
              </w:tc>
              <w:tc>
                <w:tcPr>
                  <w:tcW w:w="0" w:type="auto"/>
                  <w:gridSpan w:val="2"/>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0" w:type="auto"/>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lang w:val="en-US" w:eastAsia="zh-CN"/>
                    </w:rPr>
                    <w:t>2</w:t>
                  </w:r>
                  <w:r>
                    <w:rPr>
                      <w:rFonts w:hint="eastAsia" w:ascii="Times New Roman" w:hAnsi="Times New Roman" w:cs="Times New Roman"/>
                      <w:b w:val="0"/>
                      <w:bCs w:val="0"/>
                      <w:sz w:val="21"/>
                      <w:szCs w:val="21"/>
                      <w:lang w:val="en-US" w:eastAsia="zh-CN"/>
                    </w:rPr>
                    <w:t>7</w:t>
                  </w:r>
                  <w:r>
                    <w:rPr>
                      <w:rFonts w:hint="default" w:ascii="Times New Roman" w:hAnsi="Times New Roman" w:cs="Times New Roman"/>
                      <w:b w:val="0"/>
                      <w:bCs w:val="0"/>
                      <w:sz w:val="21"/>
                      <w:szCs w:val="21"/>
                      <w:lang w:val="en-US" w:eastAsia="zh-CN"/>
                    </w:rPr>
                    <w:t xml:space="preserve"> 万元</w:t>
                  </w:r>
                </w:p>
              </w:tc>
              <w:tc>
                <w:tcPr>
                  <w:tcW w:w="0" w:type="auto"/>
                  <w:gridSpan w:val="2"/>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0" w:type="auto"/>
                  <w:tcBorders>
                    <w:top w:val="single" w:color="000000" w:sz="4" w:space="0"/>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135 万元</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7、环境保护目标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公司位于宁国中德智造产业园中鼎集团NVH园区4#厂房，公司场址周边主要为中鼎集团NVH园区内其他企业。公司厂界外500m范围内无学校、自然保护区、风景名胜区和文物古迹等大气敏感目标</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1"/>
                <w:szCs w:val="21"/>
                <w:lang w:val="en-US" w:eastAsia="zh-CN"/>
              </w:rPr>
            </w:pPr>
            <w:bookmarkStart w:id="1" w:name="_Hlk482430460"/>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6</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项目</w:t>
            </w:r>
            <w:r>
              <w:rPr>
                <w:rFonts w:hint="default" w:ascii="Times New Roman" w:hAnsi="Times New Roman" w:cs="Times New Roman"/>
                <w:b/>
                <w:bCs/>
                <w:sz w:val="21"/>
                <w:szCs w:val="21"/>
                <w:lang w:val="en-US" w:eastAsia="zh-CN"/>
              </w:rPr>
              <w:t>周边环境</w:t>
            </w:r>
            <w:r>
              <w:rPr>
                <w:rFonts w:hint="eastAsia" w:ascii="Times New Roman" w:hAnsi="Times New Roman" w:cs="Times New Roman"/>
                <w:b/>
                <w:bCs/>
                <w:sz w:val="21"/>
                <w:szCs w:val="21"/>
                <w:lang w:val="en-US" w:eastAsia="zh-CN"/>
              </w:rPr>
              <w:t>保护目标</w:t>
            </w:r>
            <w:r>
              <w:rPr>
                <w:rFonts w:hint="default" w:ascii="Times New Roman" w:hAnsi="Times New Roman" w:cs="Times New Roman"/>
                <w:b/>
                <w:bCs/>
                <w:sz w:val="21"/>
                <w:szCs w:val="21"/>
                <w:lang w:val="en-US" w:eastAsia="zh-CN"/>
              </w:rPr>
              <w:t>一览表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470"/>
              <w:gridCol w:w="1334"/>
              <w:gridCol w:w="1261"/>
              <w:gridCol w:w="558"/>
              <w:gridCol w:w="558"/>
              <w:gridCol w:w="2563"/>
              <w:gridCol w:w="646"/>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环境要素</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名称</w:t>
                  </w: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经纬度</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保护对象</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保护内容</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环境功能区</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相对厂址方位</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经度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纬度</w:t>
                  </w: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空气环境</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姚村</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119.046543E</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30.581067N</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居民</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lang w:val="en-US" w:eastAsia="zh-CN"/>
                    </w:rPr>
                    <w:t>人</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《环境空气质量标准》 （GB3095-2012）中的二级标准</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450</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bookmarkEnd w:id="1"/>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288"/>
              <w:gridCol w:w="830"/>
              <w:gridCol w:w="1353"/>
              <w:gridCol w:w="1457"/>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环境要素</w:t>
                  </w:r>
                </w:p>
              </w:tc>
              <w:tc>
                <w:tcPr>
                  <w:tcW w:w="15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环境保护对象名称</w:t>
                  </w:r>
                </w:p>
              </w:tc>
              <w:tc>
                <w:tcPr>
                  <w:tcW w:w="9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方位</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距项目边界最近距离</w:t>
                  </w:r>
                </w:p>
              </w:tc>
              <w:tc>
                <w:tcPr>
                  <w:tcW w:w="174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规模</w:t>
                  </w:r>
                </w:p>
              </w:tc>
              <w:tc>
                <w:tcPr>
                  <w:tcW w:w="30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1186" w:type="dxa"/>
                  <w:tcBorders>
                    <w:top w:val="nil"/>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地表水环境</w:t>
                  </w:r>
                </w:p>
              </w:tc>
              <w:tc>
                <w:tcPr>
                  <w:tcW w:w="15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东津河</w:t>
                  </w:r>
                </w:p>
              </w:tc>
              <w:tc>
                <w:tcPr>
                  <w:tcW w:w="9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740m</w:t>
                  </w:r>
                </w:p>
              </w:tc>
              <w:tc>
                <w:tcPr>
                  <w:tcW w:w="1743"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中型</w:t>
                  </w:r>
                </w:p>
              </w:tc>
              <w:tc>
                <w:tcPr>
                  <w:tcW w:w="3033"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《地表水环境质量标准》（GB3838-2002）Ⅲ类标准</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eastAsiaTheme="minorEastAsia"/>
                <w:sz w:val="24"/>
                <w:szCs w:val="24"/>
                <w:lang w:eastAsia="zh-CN"/>
              </w:rPr>
              <w:drawing>
                <wp:inline distT="0" distB="0" distL="114300" distR="114300">
                  <wp:extent cx="4993005" cy="2131060"/>
                  <wp:effectExtent l="0" t="0" r="17145" b="2540"/>
                  <wp:docPr id="22" name="图片 22" descr="6addc4522a1594aa1d6df6dce35a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addc4522a1594aa1d6df6dce35a15c"/>
                          <pic:cNvPicPr>
                            <a:picLocks noChangeAspect="1"/>
                          </pic:cNvPicPr>
                        </pic:nvPicPr>
                        <pic:blipFill>
                          <a:blip r:embed="rId27"/>
                          <a:stretch>
                            <a:fillRect/>
                          </a:stretch>
                        </pic:blipFill>
                        <pic:spPr>
                          <a:xfrm>
                            <a:off x="0" y="0"/>
                            <a:ext cx="4993005" cy="21310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图6-8 环境保护目标分布图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、排污许可完成情况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eastAsia="zh-CN"/>
              </w:rPr>
            </w:pPr>
            <w:r>
              <w:rPr>
                <w:rFonts w:hint="default" w:ascii="Times New Roman" w:hAnsi="Times New Roman" w:cs="Times New Roman"/>
                <w:sz w:val="24"/>
                <w:szCs w:val="24"/>
              </w:rPr>
              <w:t>根据项目的国民经济行业类别C3</w:t>
            </w:r>
            <w:r>
              <w:rPr>
                <w:rFonts w:hint="eastAsia" w:ascii="Times New Roman" w:hAnsi="Times New Roman" w:cs="Times New Roman"/>
                <w:sz w:val="24"/>
                <w:szCs w:val="24"/>
                <w:lang w:val="en-US" w:eastAsia="zh-CN"/>
              </w:rPr>
              <w:t xml:space="preserve">670 </w:t>
            </w:r>
            <w:r>
              <w:rPr>
                <w:rFonts w:hint="default" w:ascii="Times New Roman" w:hAnsi="Times New Roman" w:cs="Times New Roman"/>
                <w:sz w:val="24"/>
                <w:szCs w:val="24"/>
              </w:rPr>
              <w:t>汽车零部件及配件制造，按《固定污染源排污许可分类管理名录（2019年版）》进行判定，可知：本项目属于固定污染源排污许可分类管理名录表中的“三十一、汽车制造业 36汽车零部件及配件制造367”中的“</w:t>
            </w:r>
            <w:r>
              <w:rPr>
                <w:rFonts w:hint="eastAsia" w:ascii="Times New Roman" w:hAnsi="Times New Roman" w:cs="Times New Roman"/>
                <w:sz w:val="24"/>
                <w:szCs w:val="24"/>
                <w:lang w:eastAsia="zh-CN"/>
              </w:rPr>
              <w:t>其他</w:t>
            </w:r>
            <w:r>
              <w:rPr>
                <w:rFonts w:hint="default" w:ascii="Times New Roman" w:hAnsi="Times New Roman" w:cs="Times New Roman"/>
                <w:sz w:val="24"/>
                <w:szCs w:val="24"/>
              </w:rPr>
              <w:t>”，本项目的排污许可填报“管理类别”为“</w:t>
            </w:r>
            <w:r>
              <w:rPr>
                <w:rFonts w:hint="eastAsia" w:ascii="Times New Roman" w:hAnsi="Times New Roman" w:cs="Times New Roman"/>
                <w:sz w:val="24"/>
                <w:szCs w:val="24"/>
                <w:lang w:eastAsia="zh-CN"/>
              </w:rPr>
              <w:t>登记</w:t>
            </w:r>
            <w:r>
              <w:rPr>
                <w:rFonts w:hint="default" w:ascii="Times New Roman" w:hAnsi="Times New Roman" w:cs="Times New Roman"/>
                <w:sz w:val="24"/>
                <w:szCs w:val="24"/>
              </w:rPr>
              <w:t>管理”。安徽望锦汽车部件有限公司于202</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23</w:t>
            </w:r>
            <w:r>
              <w:rPr>
                <w:rFonts w:hint="default" w:ascii="Times New Roman" w:hAnsi="Times New Roman" w:cs="Times New Roman"/>
                <w:sz w:val="24"/>
                <w:szCs w:val="24"/>
              </w:rPr>
              <w:t>日进行排污许可</w:t>
            </w:r>
            <w:r>
              <w:rPr>
                <w:rFonts w:hint="eastAsia" w:ascii="Times New Roman" w:hAnsi="Times New Roman" w:cs="Times New Roman"/>
                <w:sz w:val="24"/>
                <w:szCs w:val="24"/>
                <w:lang w:eastAsia="zh-CN"/>
              </w:rPr>
              <w:t>登记</w:t>
            </w:r>
            <w:r>
              <w:rPr>
                <w:rFonts w:hint="default" w:ascii="Times New Roman" w:hAnsi="Times New Roman" w:cs="Times New Roman"/>
                <w:sz w:val="24"/>
                <w:szCs w:val="24"/>
              </w:rPr>
              <w:t>，有效期为2023年8月23日至2028年8月22日。登记编号：91341881MA8LHRAD7L001Z</w:t>
            </w:r>
            <w:r>
              <w:rPr>
                <w:rFonts w:hint="eastAsia"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9、应急预案完成情况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lang w:val="en-US" w:eastAsia="zh-CN"/>
              </w:rPr>
            </w:pPr>
            <w:r>
              <w:rPr>
                <w:rFonts w:hint="eastAsia" w:ascii="Times New Roman" w:hAnsi="Times New Roman" w:cs="Times New Roman"/>
                <w:sz w:val="24"/>
                <w:szCs w:val="24"/>
                <w:lang w:val="en-US" w:eastAsia="zh-CN"/>
              </w:rPr>
              <w:t>安徽望锦汽车部件有限公司已于2023年9月签订应急预案编制合同，突发环境事件应急预案正在编制中。</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Theme="minorEastAsia"/>
          <w:lang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6832600</wp:posOffset>
                </wp:positionH>
                <wp:positionV relativeFrom="paragraph">
                  <wp:posOffset>193040</wp:posOffset>
                </wp:positionV>
                <wp:extent cx="198755" cy="222250"/>
                <wp:effectExtent l="4445" t="4445" r="6350" b="20955"/>
                <wp:wrapNone/>
                <wp:docPr id="45" name="任意多边形 45"/>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538pt;margin-top:15.2pt;height:17.5pt;width:15.65pt;z-index:251666432;mso-width-relative:page;mso-height-relative:page;" fillcolor="#FF0000" filled="t" stroked="t" coordsize="21600,21600" o:gfxdata="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JAgiA2AAAAAsBAAAPAAAAAAAAAAEAIAAAACIAAABkcnMvZG93bnJldi54bWxQ&#10;SwECFAAUAAAACACHTuJAC+srsk0DAABUCQAADgAAAAAAAAABACAAAAAnAQAAZHJzL2Uyb0RvYy54&#10;bWxQSwUGAAAAAAYABgBZAQAA5g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1316990</wp:posOffset>
                </wp:positionH>
                <wp:positionV relativeFrom="paragraph">
                  <wp:posOffset>4156710</wp:posOffset>
                </wp:positionV>
                <wp:extent cx="198755" cy="222250"/>
                <wp:effectExtent l="4445" t="4445" r="6350" b="20955"/>
                <wp:wrapNone/>
                <wp:docPr id="33" name="任意多边形 33"/>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103.7pt;margin-top:327.3pt;height:17.5pt;width:15.65pt;z-index:251667456;mso-width-relative:page;mso-height-relative:page;" fillcolor="#FF0000" filled="t" stroked="t" coordsize="21600,21600" o:gfxdata="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EshElTZAAAACwEAAA8AAAAAAAAAAQAgAAAAIgAAAGRycy9kb3ducmV2Lnht&#10;bFBLAQIUABQAAAAIAIdO4kDx/7F3TgMAAFQJAAAOAAAAAAAAAAEAIAAAACg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4269105</wp:posOffset>
                </wp:positionH>
                <wp:positionV relativeFrom="paragraph">
                  <wp:posOffset>4140200</wp:posOffset>
                </wp:positionV>
                <wp:extent cx="142875" cy="142875"/>
                <wp:effectExtent l="7620" t="10795" r="20955" b="17780"/>
                <wp:wrapNone/>
                <wp:docPr id="47" name="流程图: 摘录 4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36.15pt;margin-top:326pt;height:11.25pt;width:11.25pt;z-index:251663360;mso-width-relative:page;mso-height-relative:page;" fillcolor="#FF0000" filled="t" stroked="t" coordsize="21600,21600" o:gfxdata="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RPxF3AAAAAsB&#10;AAAPAAAAAAAAAAEAIAAAACIAAABkcnMvZG93bnJldi54bWxQSwECFAAUAAAACACHTuJAI9JQGR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1311910</wp:posOffset>
                </wp:positionH>
                <wp:positionV relativeFrom="paragraph">
                  <wp:posOffset>2053590</wp:posOffset>
                </wp:positionV>
                <wp:extent cx="142875" cy="142875"/>
                <wp:effectExtent l="7620" t="10795" r="20955" b="17780"/>
                <wp:wrapNone/>
                <wp:docPr id="46" name="流程图: 摘录 46"/>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103.3pt;margin-top:161.7pt;height:11.25pt;width:11.25pt;z-index:251665408;mso-width-relative:page;mso-height-relative:page;" fillcolor="#FF0000" filled="t" stroked="t" coordsize="21600,21600" o:gfxdata="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Tx9K3AAAAAsB&#10;AAAPAAAAAAAAAAEAIAAAACIAAABkcnMvZG93bnJldi54bWxQSwECFAAUAAAACACHTuJAxYYRyR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5034915</wp:posOffset>
                </wp:positionH>
                <wp:positionV relativeFrom="paragraph">
                  <wp:posOffset>224155</wp:posOffset>
                </wp:positionV>
                <wp:extent cx="190500" cy="182245"/>
                <wp:effectExtent l="19685" t="20955" r="37465" b="25400"/>
                <wp:wrapNone/>
                <wp:docPr id="7" name="五角星 7"/>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96.45pt;margin-top:17.65pt;height:14.35pt;width:15pt;z-index:251659264;v-text-anchor:middle;mso-width-relative:page;mso-height-relative:page;" fillcolor="#FF0000" filled="t" stroked="t" coordsize="190500,182245" o:gfxdata="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K6EEraAAAACQEAAA8AAAAAAAAAAQAgAAAAIgAAAGRycy9k&#10;b3ducmV2LnhtbFBLAQIUABQAAAAIAIdO4kB0/tT7cgIAAPcEAAAOAAAAAAAAAAEAIAAAACkBAABk&#10;cnMvZTJvRG9jLnhtbFBLBQYAAAAABgAGAFkBAAANBgAAAAA=&#10;" path="m0,69611l72764,69611,95250,0,117735,69611,190499,69611,131631,112633,154117,182244,95250,139221,36382,182244,58868,112633xe">
                <v:path o:connectlocs="95250,0;0,69611;36382,182244;154117,182244;190499,69611" o:connectangles="247,164,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1342390</wp:posOffset>
                </wp:positionH>
                <wp:positionV relativeFrom="paragraph">
                  <wp:posOffset>108585</wp:posOffset>
                </wp:positionV>
                <wp:extent cx="198755" cy="222250"/>
                <wp:effectExtent l="4445" t="4445" r="6350" b="20955"/>
                <wp:wrapNone/>
                <wp:docPr id="34" name="任意多边形 34"/>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105.7pt;margin-top:8.55pt;height:17.5pt;width:15.65pt;z-index:251668480;mso-width-relative:page;mso-height-relative:page;" fillcolor="#FF0000" filled="t" stroked="t" coordsize="21600,21600" o:gfxdata="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OG125jWAAAACQEAAA8AAAAAAAAAAQAgAAAAIgAAAGRycy9kb3ducmV2LnhtbFBL&#10;AQIUABQAAAAIAIdO4kDUsJHETgMAAFQJAAAOAAAAAAAAAAEAIAAAACUBAABkcnMvZTJvRG9jLnht&#10;bFBLBQYAAAAABgAGAFkBAADl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6913880</wp:posOffset>
                </wp:positionH>
                <wp:positionV relativeFrom="paragraph">
                  <wp:posOffset>2529205</wp:posOffset>
                </wp:positionV>
                <wp:extent cx="142875" cy="142875"/>
                <wp:effectExtent l="7620" t="10795" r="20955" b="17780"/>
                <wp:wrapNone/>
                <wp:docPr id="25" name="流程图: 摘录 25"/>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544.4pt;margin-top:199.15pt;height:11.25pt;width:11.25pt;z-index:251680768;mso-width-relative:page;mso-height-relative:page;" fillcolor="#FF0000" filled="t" stroked="t" coordsize="21600,21600" o:gfxdata="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PdVSTcAAAADQEA&#10;AA8AAAAAAAAAAQAgAAAAIgAAAGRycy9kb3ducmV2LnhtbFBLAQIUABQAAAAIAIdO4kC5b0QMFgIA&#10;AEEEAAAOAAAAAAAAAAEAIAAAACsBAABkcnMvZTJvRG9jLnhtbFBLBQYAAAAABgAGAFkBAACzBQAA&#10;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4197350</wp:posOffset>
                </wp:positionH>
                <wp:positionV relativeFrom="paragraph">
                  <wp:posOffset>201930</wp:posOffset>
                </wp:positionV>
                <wp:extent cx="142875" cy="142875"/>
                <wp:effectExtent l="7620" t="10795" r="20955" b="17780"/>
                <wp:wrapNone/>
                <wp:docPr id="42" name="流程图: 摘录 42"/>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30.5pt;margin-top:15.9pt;height:11.25pt;width:11.25pt;z-index:251662336;mso-width-relative:page;mso-height-relative:page;" fillcolor="#FF0000" filled="t" stroked="t" coordsize="21600,21600" o:gfxdata="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GaTnbAAAACQEA&#10;AA8AAAAAAAAAAQAgAAAAIgAAAGRycy9kb3ducmV2LnhtbFBLAQIUABQAAAAIAIdO4kDf2fY+FwIA&#10;AEEEAAAOAAAAAAAAAAEAIAAAACoBAABkcnMvZTJvRG9jLnhtbFBLBQYAAAAABgAGAFkBAACzBQAA&#10;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1224915</wp:posOffset>
                </wp:positionH>
                <wp:positionV relativeFrom="paragraph">
                  <wp:posOffset>1515745</wp:posOffset>
                </wp:positionV>
                <wp:extent cx="119380" cy="130810"/>
                <wp:effectExtent l="4445" t="4445" r="9525" b="17145"/>
                <wp:wrapNone/>
                <wp:docPr id="17" name="椭圆 17"/>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96.45pt;margin-top:119.35pt;height:10.3pt;width:9.4pt;z-index:251686912;mso-width-relative:page;mso-height-relative:page;" fillcolor="#FF0000" filled="t" stroked="t" coordsize="21600,21600" o:gfxdata="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xqQrfXAAAACwEAAA8AAAAAAAAAAQAgAAAAIgAAAGRycy9kb3ducmV2&#10;LnhtbFBLAQIUABQAAAAIAIdO4kBu5iE2/QEAACMEAAAOAAAAAAAAAAEAIAAAACYBAABkcnMvZTJv&#10;RG9jLnhtbFBLBQYAAAAABgAGAFkBAACVBQ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1249045</wp:posOffset>
                </wp:positionH>
                <wp:positionV relativeFrom="paragraph">
                  <wp:posOffset>1214120</wp:posOffset>
                </wp:positionV>
                <wp:extent cx="119380" cy="130810"/>
                <wp:effectExtent l="4445" t="4445" r="9525" b="17145"/>
                <wp:wrapNone/>
                <wp:docPr id="16" name="椭圆 16"/>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98.35pt;margin-top:95.6pt;height:10.3pt;width:9.4pt;z-index:251685888;mso-width-relative:page;mso-height-relative:page;" fillcolor="#FF0000" filled="t" stroked="t" coordsize="21600,21600" o:gfxdata="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6lSUdYAAAALAQAADwAAAAAAAAABACAAAAAiAAAAZHJzL2Rvd25yZXYu&#10;eG1sUEsBAhQAFAAAAAgAh07iQBuabiD9AQAAIwQAAA4AAAAAAAAAAQAgAAAAJQEAAGRycy9lMm9E&#10;b2MueG1sUEsFBgAAAAAGAAYAWQEAAJQFA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5424170</wp:posOffset>
                </wp:positionH>
                <wp:positionV relativeFrom="paragraph">
                  <wp:posOffset>325120</wp:posOffset>
                </wp:positionV>
                <wp:extent cx="119380" cy="130810"/>
                <wp:effectExtent l="4445" t="4445" r="9525" b="17145"/>
                <wp:wrapNone/>
                <wp:docPr id="15" name="椭圆 15"/>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427.1pt;margin-top:25.6pt;height:10.3pt;width:9.4pt;z-index:251684864;mso-width-relative:page;mso-height-relative:page;" fillcolor="#FF0000" filled="t" stroked="t" coordsize="21600,21600" o:gfxdata="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jWusrXAAAACQEAAA8AAAAAAAAAAQAgAAAAIgAAAGRycy9kb3ducmV2&#10;LnhtbFBLAQIUABQAAAAIAIdO4kCEHr8a/QEAACMEAAAOAAAAAAAAAAEAIAAAACYBAABkcnMvZTJv&#10;RG9jLnhtbFBLBQYAAAAABgAGAFkBAACVBQ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6940550</wp:posOffset>
                </wp:positionH>
                <wp:positionV relativeFrom="paragraph">
                  <wp:posOffset>1491615</wp:posOffset>
                </wp:positionV>
                <wp:extent cx="119380" cy="130810"/>
                <wp:effectExtent l="4445" t="4445" r="9525" b="17145"/>
                <wp:wrapNone/>
                <wp:docPr id="13" name="椭圆 13"/>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546.5pt;margin-top:117.45pt;height:10.3pt;width:9.4pt;z-index:251683840;mso-width-relative:page;mso-height-relative:page;" fillcolor="#FF0000" filled="t" stroked="t" coordsize="21600,21600" o:gfxdata="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iYx42AAAAA0BAAAPAAAAAAAAAAEAIAAAACIAAABkcnMvZG93bnJl&#10;di54bWxQSwECFAAUAAAACACHTuJAuhccb/0BAAAjBAAADgAAAAAAAAABACAAAAAnAQAAZHJzL2Uy&#10;b0RvYy54bWxQSwUGAAAAAAYABgBZAQAAlgU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6939915</wp:posOffset>
                </wp:positionH>
                <wp:positionV relativeFrom="paragraph">
                  <wp:posOffset>1737995</wp:posOffset>
                </wp:positionV>
                <wp:extent cx="119380" cy="130810"/>
                <wp:effectExtent l="4445" t="4445" r="9525" b="17145"/>
                <wp:wrapNone/>
                <wp:docPr id="11" name="椭圆 11"/>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546.45pt;margin-top:136.85pt;height:10.3pt;width:9.4pt;z-index:251682816;mso-width-relative:page;mso-height-relative:page;" fillcolor="#FF0000" filled="t" stroked="t" coordsize="21600,21600" o:gfxdata="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eShtnYAAAADQEAAA8AAAAAAAAAAQAgAAAAIgAAAGRycy9kb3ducmV2&#10;LnhtbFBLAQIUABQAAAAIAIdO4kBQ74JD/AEAACMEAAAOAAAAAAAAAAEAIAAAACcBAABkcnMvZTJv&#10;RG9jLnhtbFBLBQYAAAAABgAGAFkBAACVBQ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6932295</wp:posOffset>
                </wp:positionH>
                <wp:positionV relativeFrom="paragraph">
                  <wp:posOffset>2293620</wp:posOffset>
                </wp:positionV>
                <wp:extent cx="119380" cy="130810"/>
                <wp:effectExtent l="4445" t="4445" r="9525" b="17145"/>
                <wp:wrapNone/>
                <wp:docPr id="9" name="椭圆 9"/>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545.85pt;margin-top:180.6pt;height:10.3pt;width:9.4pt;z-index:251681792;mso-width-relative:page;mso-height-relative:page;" fillcolor="#FF0000" filled="t" stroked="t" coordsize="21600,21600" o:gfxdata="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FeDq9gAAAANAQAADwAAAAAAAAABACAAAAAiAAAAZHJzL2Rvd25yZXYu&#10;eG1sUEsBAhQAFAAAAAgAh07iQBJ4riD7AQAAIQQAAA4AAAAAAAAAAQAgAAAAJwEAAGRycy9lMm9E&#10;b2MueG1sUEsFBgAAAAAGAAYAWQEAAJQFA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4732655</wp:posOffset>
                </wp:positionH>
                <wp:positionV relativeFrom="paragraph">
                  <wp:posOffset>4537710</wp:posOffset>
                </wp:positionV>
                <wp:extent cx="142875" cy="142875"/>
                <wp:effectExtent l="7620" t="10795" r="20955" b="17780"/>
                <wp:wrapNone/>
                <wp:docPr id="44" name="流程图: 摘录 44"/>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72.65pt;margin-top:357.3pt;height:11.25pt;width:11.25pt;z-index:251664384;mso-width-relative:page;mso-height-relative:page;" fillcolor="#FF0000" filled="t" stroked="t" coordsize="21600,21600" o:gfxdata="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uMBN3AAAAAsB&#10;AAAPAAAAAAAAAAEAIAAAACIAAABkcnMvZG93bnJldi54bWxQSwECFAAUAAAACACHTuJASCnish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7549515</wp:posOffset>
                </wp:positionH>
                <wp:positionV relativeFrom="paragraph">
                  <wp:posOffset>2631440</wp:posOffset>
                </wp:positionV>
                <wp:extent cx="198755" cy="222250"/>
                <wp:effectExtent l="4445" t="4445" r="6350" b="20955"/>
                <wp:wrapNone/>
                <wp:docPr id="36" name="任意多边形 36"/>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00" style="position:absolute;left:0pt;margin-left:594.45pt;margin-top:207.2pt;height:17.5pt;width:15.65pt;z-index:251670528;mso-width-relative:page;mso-height-relative:page;" fillcolor="#FF0000" filled="t" stroked="t" coordsize="21600,21600" o:gfxdata="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HUTqTvZAAAADQEAAA8AAAAAAAAAAQAgAAAAIgAAAGRycy9kb3ducmV2Lnht&#10;bFBLAQIUABQAAAAIAIdO4kB674q+TgMAAFQJAAAOAAAAAAAAAAEAIAAAACg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7572375</wp:posOffset>
                </wp:positionH>
                <wp:positionV relativeFrom="paragraph">
                  <wp:posOffset>3833495</wp:posOffset>
                </wp:positionV>
                <wp:extent cx="190500" cy="182245"/>
                <wp:effectExtent l="19685" t="20955" r="37465" b="25400"/>
                <wp:wrapNone/>
                <wp:docPr id="6" name="五角星 6"/>
                <wp:cNvGraphicFramePr/>
                <a:graphic xmlns:a="http://schemas.openxmlformats.org/drawingml/2006/main">
                  <a:graphicData uri="http://schemas.microsoft.com/office/word/2010/wordprocessingShape">
                    <wps:wsp>
                      <wps:cNvSpPr/>
                      <wps:spPr>
                        <a:xfrm>
                          <a:off x="8397875" y="528701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96.25pt;margin-top:301.85pt;height:14.35pt;width:15pt;z-index:251676672;v-text-anchor:middle;mso-width-relative:page;mso-height-relative:page;" fillcolor="#FF0000" filled="t" stroked="t" coordsize="190500,182245" o:gfxdata="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1krg7aAAAADQEAAA8AAAAAAAAAAQAg&#10;AAAAIgAAAGRycy9kb3ducmV2LnhtbFBLAQIUABQAAAAIAIdO4kBB0xqEfgIAAAMFAAAOAAAAAAAA&#10;AAEAIAAAACkBAABkcnMvZTJvRG9jLnhtbFBLBQYAAAAABgAGAFkBAAAZBgAAAAA=&#10;" path="m0,69611l72764,69611,95250,0,117735,69611,190499,69611,131631,112633,154117,182244,95250,139221,36382,182244,58868,112633xe">
                <v:path o:connectlocs="95250,0;0,69611;36382,182244;154117,182244;190499,69611" o:connectangles="247,164,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7585075</wp:posOffset>
                </wp:positionH>
                <wp:positionV relativeFrom="paragraph">
                  <wp:posOffset>3452495</wp:posOffset>
                </wp:positionV>
                <wp:extent cx="142875" cy="142875"/>
                <wp:effectExtent l="7620" t="10795" r="20955" b="17780"/>
                <wp:wrapNone/>
                <wp:docPr id="37" name="流程图: 摘录 3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27" type="#_x0000_t127" style="position:absolute;left:0pt;margin-left:597.25pt;margin-top:271.85pt;height:11.25pt;width:11.25pt;z-index:251672576;mso-width-relative:page;mso-height-relative:page;" fillcolor="#FF0000" filled="t" stroked="t" coordsize="21600,21600" o:gfxdata="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MgX8N0AAAAN&#10;AQAADwAAAAAAAAABACAAAAAiAAAAZHJzL2Rvd25yZXYueG1sUEsBAhQAFAAAAAgAh07iQC3GDj4X&#10;AgAAQQQAAA4AAAAAAAAAAQAgAAAALAEAAGRycy9lMm9Eb2MueG1sUEsFBgAAAAAGAAYAWQEAALUF&#10;AAAAAA==&#10;">
                <v:fill on="t" focussize="0,0"/>
                <v:stroke color="#FF0000"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7589520</wp:posOffset>
                </wp:positionH>
                <wp:positionV relativeFrom="paragraph">
                  <wp:posOffset>3093720</wp:posOffset>
                </wp:positionV>
                <wp:extent cx="119380" cy="130810"/>
                <wp:effectExtent l="4445" t="4445" r="9525" b="17145"/>
                <wp:wrapNone/>
                <wp:docPr id="40" name="椭圆 40"/>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597.6pt;margin-top:243.6pt;height:10.3pt;width:9.4pt;z-index:251671552;mso-width-relative:page;mso-height-relative:page;" fillcolor="#FF0000" filled="t" stroked="t" coordsize="21600,21600" o:gfxdata="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1nJfjYAAAADQEAAA8AAAAAAAAAAQAgAAAAIgAAAGRycy9kb3ducmV2&#10;LnhtbFBLAQIUABQAAAAIAIdO4kDWclP0/AEAACMEAAAOAAAAAAAAAAEAIAAAACcBAABkcnMvZTJv&#10;RG9jLnhtbFBLBQYAAAAABgAGAFkBAACVBQ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7435850</wp:posOffset>
                </wp:positionH>
                <wp:positionV relativeFrom="paragraph">
                  <wp:posOffset>2612390</wp:posOffset>
                </wp:positionV>
                <wp:extent cx="905510" cy="1460500"/>
                <wp:effectExtent l="0" t="0" r="8890" b="6350"/>
                <wp:wrapNone/>
                <wp:docPr id="39" name="文本框 39"/>
                <wp:cNvGraphicFramePr/>
                <a:graphic xmlns:a="http://schemas.openxmlformats.org/drawingml/2006/main">
                  <a:graphicData uri="http://schemas.microsoft.com/office/word/2010/wordprocessingShape">
                    <wps:wsp>
                      <wps:cNvSpPr txBox="1"/>
                      <wps:spPr>
                        <a:xfrm>
                          <a:off x="0" y="0"/>
                          <a:ext cx="905510" cy="1460500"/>
                        </a:xfrm>
                        <a:prstGeom prst="rect">
                          <a:avLst/>
                        </a:prstGeom>
                        <a:solidFill>
                          <a:srgbClr val="FFFFFF"/>
                        </a:solidFill>
                        <a:ln>
                          <a:noFill/>
                        </a:ln>
                      </wps:spPr>
                      <wps:txb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wps:txbx>
                      <wps:bodyPr upright="1"/>
                    </wps:wsp>
                  </a:graphicData>
                </a:graphic>
              </wp:anchor>
            </w:drawing>
          </mc:Choice>
          <mc:Fallback>
            <w:pict>
              <v:shape id="_x0000_s1026" o:spid="_x0000_s1026" o:spt="202" type="#_x0000_t202" style="position:absolute;left:0pt;margin-left:585.5pt;margin-top:205.7pt;height:115pt;width:71.3pt;z-index:251669504;mso-width-relative:page;mso-height-relative:page;" fillcolor="#FFFFFF" filled="t" stroked="f" coordsize="21600,21600" o:gfxdata="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hSvTNkAAAANAQAADwAAAAAAAAABACAAAAAiAAAAZHJzL2Rvd25y&#10;ZXYueG1sUEsBAhQAFAAAAAgAh07iQLK1cvrEAQAAeQMAAA4AAAAAAAAAAQAgAAAAKAEAAGRycy9l&#10;Mm9Eb2MueG1sUEsFBgAAAAAGAAYAWQEAAF4FAAAAAA==&#10;">
                <v:fill on="t" focussize="0,0"/>
                <v:stroke on="f"/>
                <v:imagedata o:title=""/>
                <o:lock v:ext="edit" aspectratio="f"/>
                <v:textbo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v:textbox>
              </v:shape>
            </w:pict>
          </mc:Fallback>
        </mc:AlternateContent>
      </w:r>
      <w:r>
        <w:rPr>
          <w:rFonts w:hint="eastAsia" w:eastAsiaTheme="minorEastAsia"/>
          <w:lang w:eastAsia="zh-CN"/>
        </w:rPr>
        <w:drawing>
          <wp:inline distT="0" distB="0" distL="114300" distR="114300">
            <wp:extent cx="5619750" cy="4173855"/>
            <wp:effectExtent l="0" t="0" r="0" b="0"/>
            <wp:docPr id="18" name="图片 18" descr="E:\望锦\702bfbb3d82a916fa764f5c956073d1 (2).png702bfbb3d82a916fa764f5c956073d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望锦\702bfbb3d82a916fa764f5c956073d1 (2).png702bfbb3d82a916fa764f5c956073d1 (2)"/>
                    <pic:cNvPicPr>
                      <a:picLocks noChangeAspect="1"/>
                    </pic:cNvPicPr>
                  </pic:nvPicPr>
                  <pic:blipFill>
                    <a:blip r:embed="rId12"/>
                    <a:srcRect l="4314" t="1024" r="4314"/>
                    <a:stretch>
                      <a:fillRect/>
                    </a:stretch>
                  </pic:blipFill>
                  <pic:spPr>
                    <a:xfrm>
                      <a:off x="0" y="0"/>
                      <a:ext cx="5619750" cy="4173855"/>
                    </a:xfrm>
                    <a:prstGeom prst="rect">
                      <a:avLst/>
                    </a:prstGeom>
                  </pic:spPr>
                </pic:pic>
              </a:graphicData>
            </a:graphic>
          </wp:inline>
        </w:drawing>
      </w:r>
    </w:p>
    <w:p>
      <w:pPr>
        <w:bidi w:val="0"/>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673600" behindDoc="0" locked="0" layoutInCell="1" allowOverlap="1">
                <wp:simplePos x="0" y="0"/>
                <wp:positionH relativeFrom="column">
                  <wp:posOffset>3030855</wp:posOffset>
                </wp:positionH>
                <wp:positionV relativeFrom="paragraph">
                  <wp:posOffset>88265</wp:posOffset>
                </wp:positionV>
                <wp:extent cx="2974975" cy="301625"/>
                <wp:effectExtent l="0" t="0" r="15875" b="3175"/>
                <wp:wrapNone/>
                <wp:docPr id="3" name="文本框 3"/>
                <wp:cNvGraphicFramePr/>
                <a:graphic xmlns:a="http://schemas.openxmlformats.org/drawingml/2006/main">
                  <a:graphicData uri="http://schemas.microsoft.com/office/word/2010/wordprocessingShape">
                    <wps:wsp>
                      <wps:cNvSpPr txBox="1"/>
                      <wps:spPr>
                        <a:xfrm>
                          <a:off x="4913630" y="6525895"/>
                          <a:ext cx="297497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图6-9 </w:t>
                            </w:r>
                            <w:r>
                              <w:rPr>
                                <w:rFonts w:hint="default"/>
                                <w:b/>
                                <w:bCs/>
                                <w:sz w:val="21"/>
                                <w:szCs w:val="21"/>
                                <w:lang w:val="en-US" w:eastAsia="zh-CN"/>
                              </w:rPr>
                              <w:t>厂区平面布置</w:t>
                            </w:r>
                            <w:r>
                              <w:rPr>
                                <w:rFonts w:hint="eastAsia"/>
                                <w:b/>
                                <w:bCs/>
                                <w:sz w:val="21"/>
                                <w:szCs w:val="21"/>
                                <w:lang w:val="en-US" w:eastAsia="zh-CN"/>
                              </w:rPr>
                              <w:t>、雨污管网</w:t>
                            </w:r>
                            <w:r>
                              <w:rPr>
                                <w:rFonts w:hint="default"/>
                                <w:b/>
                                <w:bCs/>
                                <w:sz w:val="21"/>
                                <w:szCs w:val="21"/>
                                <w:lang w:val="en-US" w:eastAsia="zh-CN"/>
                              </w:rPr>
                              <w:t>及监测点位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65pt;margin-top:6.95pt;height:23.75pt;width:234.25pt;z-index:251673600;mso-width-relative:page;mso-height-relative:page;" fillcolor="#FFFFFF [3201]" filled="t" stroked="f" coordsize="21600,21600" o:gfxdata="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qqo&#10;u9UAAAAJAQAADwAAAAAAAAABACAAAAAiAAAAZHJzL2Rvd25yZXYueG1sUEsBAhQAFAAAAAgAh07i&#10;QPBitu1eAgAAmwQAAA4AAAAAAAAAAQAgAAAAJAEAAGRycy9lMm9Eb2MueG1sUEsFBgAAAAAGAAYA&#10;WQEAAPQFAAAAAA==&#10;">
                <v:fill on="t" focussize="0,0"/>
                <v:stroke on="f" weight="0.5pt"/>
                <v:imagedata o:title=""/>
                <o:lock v:ext="edit" aspectratio="f"/>
                <v:textbo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图6-9 </w:t>
                      </w:r>
                      <w:r>
                        <w:rPr>
                          <w:rFonts w:hint="default"/>
                          <w:b/>
                          <w:bCs/>
                          <w:sz w:val="21"/>
                          <w:szCs w:val="21"/>
                          <w:lang w:val="en-US" w:eastAsia="zh-CN"/>
                        </w:rPr>
                        <w:t>厂区平面布置</w:t>
                      </w:r>
                      <w:r>
                        <w:rPr>
                          <w:rFonts w:hint="eastAsia"/>
                          <w:b/>
                          <w:bCs/>
                          <w:sz w:val="21"/>
                          <w:szCs w:val="21"/>
                          <w:lang w:val="en-US" w:eastAsia="zh-CN"/>
                        </w:rPr>
                        <w:t>、雨污管网</w:t>
                      </w:r>
                      <w:r>
                        <w:rPr>
                          <w:rFonts w:hint="default"/>
                          <w:b/>
                          <w:bCs/>
                          <w:sz w:val="21"/>
                          <w:szCs w:val="21"/>
                          <w:lang w:val="en-US" w:eastAsia="zh-CN"/>
                        </w:rPr>
                        <w:t>及监测点位</w:t>
                      </w:r>
                    </w:p>
                  </w:txbxContent>
                </v:textbox>
              </v:shape>
            </w:pict>
          </mc:Fallback>
        </mc:AlternateContent>
      </w:r>
      <w:r>
        <w:rPr>
          <w:rFonts w:hint="eastAsia" w:cs="Times New Roman"/>
          <w:kern w:val="2"/>
          <w:sz w:val="21"/>
          <w:szCs w:val="24"/>
          <w:lang w:val="en-US" w:eastAsia="zh-CN" w:bidi="ar-SA"/>
        </w:rPr>
        <w:t xml:space="preserve">                                </w:t>
      </w:r>
    </w:p>
    <w:p>
      <w:pPr>
        <w:tabs>
          <w:tab w:val="left" w:pos="4435"/>
        </w:tabs>
        <w:bidi w:val="0"/>
        <w:jc w:val="left"/>
        <w:rPr>
          <w:rFonts w:hint="default"/>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七、建设项目环境影响报告表主要结论及审批部门审批决定：</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1、环评报告表主要结论</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auto"/>
                <w:sz w:val="24"/>
                <w:szCs w:val="24"/>
                <w:lang w:eastAsia="zh-CN"/>
              </w:rPr>
              <w:t>安徽望锦汽车部件有限公司汽车底盘部件生产项目符合国家产业政策，符合区域发展总体规划，符合中德智造小镇总体发展规划，符合国家及地方相关环保文件要求；区域环境功能区质量总体能够满足相应标准要求。项目总体布局合理，项目在落实各项污染防治措施后，废水、废气、噪声等污染物可以做到达标排放，固废可得到妥善处置，对项目区域环境的影响程度和范围均较小。因此，从环境影响角度，项目建设是可行的</w:t>
            </w:r>
            <w:r>
              <w:rPr>
                <w:rFonts w:hint="default" w:ascii="Times New Roman" w:hAnsi="Times New Roman" w:eastAsia="宋体" w:cs="Times New Roman"/>
                <w:color w:val="00000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2、审批意见</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一、安徽望锦汽车部件有限公司汽车底盘部件生产项目(重新报批)选址于宁国中德智造产业园中鼎集团 NVH园区租赁宁国中德产业园中鼎集团NVH园区厂房，在已购置球面数控车床、机加工作站一体化自动化、OBJ自动线、各类组装生产线基础上，新购置各类锻造线、定制生产线、数控加工中心、连接杆装配线、检测设备、公辅设备等。调整后，生产规模为年产汽车零部件2413万件。该项目经宁国经济技术开发区管委会备案，项目代码:2106-341862-04-01-286589。原有项目已于2021年7月26日经我局同意 (宁环审批[2021]75号)，现因生产规模、工艺、设施设备发生重大变动，重新报批环评。经我局研究，原则同意建设。原批复文件宁环审批[2021] 75 号废止。</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二、待与中德智造小镇污水处理厂签订接管协议后，废水排放执行《橡胶制品工业污染物排放标准》(GB27632-2011)间接排放限值及中德小镇污水处理厂接管标准</w:t>
            </w:r>
            <w:r>
              <w:rPr>
                <w:rFonts w:hint="eastAsia" w:ascii="Times New Roman" w:hAnsi="Times New Roman" w:eastAsia="宋体"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三、项目锻坯加热炉及热处理炉天然气燃烧废气排放执行《工业炉窑大气污染综合治理方案》 (环大气[2019]56号)中限值要求</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抛丸颗粒物废气排放执行《大气污染物综合排放标准》 (GB16297-1996)中表2排放限值要求</w:t>
            </w:r>
            <w:r>
              <w:rPr>
                <w:rFonts w:hint="eastAsia" w:ascii="Times New Roman" w:hAnsi="Times New Roman" w:eastAsia="宋体"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四、运营期厂界噪声执行《工业企业厂界环境噪声排放标准》 (GB12348-2008)中3类标准</w:t>
            </w:r>
            <w:r>
              <w:rPr>
                <w:rFonts w:hint="eastAsia" w:ascii="Times New Roman" w:hAnsi="Times New Roman" w:eastAsia="宋体"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五、该项目固体废弃物执行《一般工业固体废物贮存和填埋污染控制标准》 (GB18599-2020)相关要求</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危险废物执行《危险废物贮存污染控制标准》 (GB18597-2023)及其修改单。</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六、严格执行排污许可制度。建设项目发生实际排污行为之前应申领排污许可证，建设项目无证排污或不按证排污的，根据环境保护设施验收条件有关规定，你单位不得出具环境保护设施验收合格意见。</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七、项目建设应严格执行环境保护设施与主体工程同时设计、同时施工、同时投入使用的环境保护“三同时”制度，并按照有关规定自主组织竣工环保验收，验收报告公示期满后 5个工作日内，应当登录全国建设项目竣工环境保护验收信息平台，填报建设项目基本信息、环境保护设施验收情况等相关信息。</w:t>
            </w: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r>
              <w:rPr>
                <w:rFonts w:hint="default" w:ascii="Times New Roman" w:hAnsi="Times New Roman" w:eastAsia="宋体" w:cs="Times New Roman"/>
                <w:b/>
                <w:bCs/>
                <w:color w:val="000000"/>
                <w:sz w:val="24"/>
                <w:szCs w:val="24"/>
                <w:lang w:val="en-US" w:eastAsia="zh-CN"/>
              </w:rPr>
              <w:t>八、环评批复落实情况</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2" w:firstLineChars="200"/>
              <w:jc w:val="center"/>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表8-1 环评批复要求与落实情况对照表</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95"/>
              <w:gridCol w:w="4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op w:val="single" w:color="auto" w:sz="4" w:space="0"/>
                    <w:left w:val="single" w:color="auto" w:sz="0"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环评批复</w:t>
                  </w:r>
                  <w:r>
                    <w:rPr>
                      <w:rFonts w:hint="default" w:ascii="Times New Roman" w:hAnsi="Times New Roman" w:cs="Times New Roman" w:eastAsiaTheme="minorEastAsia"/>
                      <w:sz w:val="21"/>
                      <w:szCs w:val="21"/>
                    </w:rPr>
                    <w:t>及环评报告</w:t>
                  </w:r>
                </w:p>
              </w:tc>
              <w:tc>
                <w:tcPr>
                  <w:tcW w:w="2654" w:type="pct"/>
                  <w:tcBorders>
                    <w:top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auto"/>
                      <w:sz w:val="21"/>
                      <w:szCs w:val="21"/>
                      <w:highlight w:val="none"/>
                      <w:lang w:eastAsia="zh-CN"/>
                    </w:rPr>
                    <w:t>安徽望锦汽车部件有限公司汽车底盘部件生产项目(重新报批)选址于宁国中德智造产业园中鼎集团 NVH园区租赁宁国中德产业园中鼎集团NVH园区厂房，在已购置球面数控车床、机加工作站一体化自动化、OBJ自动线、各类组装生产线基础上，新购置各类锻造线、定制生产线、数控加工中心、连接杆装配线、检测设备、公辅设备等。调整后，生产规模为年产汽车零部件2413万件。该项目经宁国经济技术开发区管委会备案，项目代码:2106-341862-04-01-286589。原有项目已于2021年7月26日经我局同意 (宁环审批[2021]75号)，现因生产规模、工艺、设施设备发生重大变动，重新报批环评。经我局研究，原则同意建设。原批复文件宁环审批[2021] 75 号废止。</w:t>
                  </w:r>
                </w:p>
              </w:tc>
              <w:tc>
                <w:tcPr>
                  <w:tcW w:w="2654" w:type="pct"/>
                  <w:tcBorders>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sz w:val="21"/>
                      <w:szCs w:val="21"/>
                      <w:lang w:val="en-US" w:eastAsia="zh-CN" w:bidi="ar-SA"/>
                    </w:rPr>
                    <w:t>建</w:t>
                  </w:r>
                  <w:r>
                    <w:rPr>
                      <w:rFonts w:hint="default" w:ascii="Times New Roman" w:hAnsi="Times New Roman" w:eastAsia="宋体" w:cs="Times New Roman"/>
                      <w:sz w:val="21"/>
                      <w:szCs w:val="21"/>
                      <w:lang w:val="en-US" w:eastAsia="zh-CN"/>
                    </w:rPr>
                    <w:t>设项目</w:t>
                  </w:r>
                  <w:r>
                    <w:rPr>
                      <w:rFonts w:hint="default" w:ascii="Times New Roman" w:hAnsi="Times New Roman" w:eastAsia="宋体" w:cs="Times New Roman"/>
                      <w:sz w:val="21"/>
                      <w:szCs w:val="21"/>
                    </w:rPr>
                    <w:t>位于</w:t>
                  </w:r>
                  <w:r>
                    <w:rPr>
                      <w:rFonts w:hint="eastAsia" w:ascii="Times New Roman" w:hAnsi="Times New Roman" w:eastAsia="宋体" w:cs="Times New Roman"/>
                      <w:sz w:val="21"/>
                      <w:szCs w:val="21"/>
                      <w:lang w:eastAsia="zh-CN"/>
                    </w:rPr>
                    <w:t>安徽省宁国市</w:t>
                  </w:r>
                  <w:r>
                    <w:rPr>
                      <w:rFonts w:hint="default" w:ascii="Times New Roman" w:hAnsi="Times New Roman" w:eastAsia="宋体" w:cs="Times New Roman"/>
                      <w:color w:val="auto"/>
                      <w:sz w:val="21"/>
                      <w:szCs w:val="21"/>
                      <w:highlight w:val="none"/>
                      <w:lang w:eastAsia="zh-CN"/>
                    </w:rPr>
                    <w:t>宁国中德智造产业园中鼎集团NVH园区</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建设位置未发生变化</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bidi="ar-SA"/>
                    </w:rPr>
                    <w:t>待与中德智造小镇污水处理厂签订接管协议后，废水排放执行《橡胶制品工业污染物排放标准》(GB27632-2011)间接排放限值及中德小镇污水处理厂接管标准。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本</w:t>
                  </w:r>
                  <w:r>
                    <w:rPr>
                      <w:rFonts w:hint="eastAsia" w:ascii="Times New Roman" w:hAnsi="Times New Roman" w:cs="Times New Roman"/>
                      <w:color w:val="000000"/>
                      <w:sz w:val="21"/>
                      <w:szCs w:val="21"/>
                      <w:lang w:val="en-US" w:eastAsia="zh-CN" w:bidi="ar-SA"/>
                    </w:rPr>
                    <w:t>项目</w:t>
                  </w:r>
                  <w:r>
                    <w:rPr>
                      <w:rFonts w:hint="default" w:ascii="Times New Roman" w:hAnsi="Times New Roman" w:cs="Times New Roman" w:eastAsiaTheme="minorEastAsia"/>
                      <w:color w:val="000000"/>
                      <w:sz w:val="21"/>
                      <w:szCs w:val="21"/>
                      <w:lang w:val="en-US" w:eastAsia="zh-CN" w:bidi="ar-SA"/>
                    </w:rPr>
                    <w:t>清洗线生产废水（脱脂废水、碱洗废水、超声波清洗废水、水洗废水）经车间自建污水处理设施预处理后，与超声波清洗废水一并进入中鼎减震厂区综合污水处理站处理，排入中德智造小镇污水处理厂处理；保洁废水、生活污水经化粪池收集进入中鼎减震厂区综合污水处理站处理后，满足</w:t>
                  </w:r>
                  <w:r>
                    <w:rPr>
                      <w:rFonts w:hint="default" w:ascii="Times New Roman" w:hAnsi="Times New Roman" w:cs="Times New Roman" w:eastAsiaTheme="minorEastAsia"/>
                      <w:sz w:val="21"/>
                      <w:szCs w:val="21"/>
                      <w:lang w:val="en-US" w:eastAsia="zh-CN" w:bidi="ar-SA"/>
                    </w:rPr>
                    <w:t>《橡胶制品工业污染物排放标准》(GB27632-2011)间接排放限值</w:t>
                  </w:r>
                  <w:r>
                    <w:rPr>
                      <w:rFonts w:hint="default" w:ascii="Times New Roman" w:hAnsi="Times New Roman" w:cs="Times New Roman" w:eastAsiaTheme="minorEastAsia"/>
                      <w:color w:val="000000"/>
                      <w:sz w:val="21"/>
                      <w:szCs w:val="21"/>
                      <w:lang w:val="en-US" w:eastAsia="zh-CN" w:bidi="ar-SA"/>
                    </w:rPr>
                    <w:t>和中德小镇污水处理厂接管标准，通过污水管网排入中德小镇污水处理厂处理达标后，排入东津河。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eastAsia="zh-CN"/>
                    </w:rPr>
                    <w:t>项目锻坯加热炉及热处理炉天然气燃烧废气排放执行《工业炉窑大气污染综合治理方案》 (环大气[2019]56号)中限值要求；抛丸颗粒物废气排放执行《大气污染物综合排放标准》 (GB16297-1996)中表2排放限值要求。</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锻造线锻坯加热炉采用低氮燃烧，天然气燃烧废气通过气动混旋喷淋塔处理后经1根15m 高排气筒排放（DA001）。锻造线锻坯加热废气经喷淋塔+二级工业油烟净化器+活性炭吸附装置处理后，经2根15m 高排气筒排放（DA002、DA003）。固溶时效炉采用低氮燃烧，天然气燃烧废气与锻造线天然气燃烧废气合并通过气动混旋喷淋塔处理后经1根15m 高排气筒排放（DA001）。2台抛丸机为全封闭式，自带2套“袋式除尘器”，除尘后合并1根15m高排气筒排放（DA004）。电阻炉产生的废气经工业油烟净化器+二级活性炭吸附装置处理后，通过1根 15m高排气筒排放（DA005）。2台焊接设备焊接废气与电阻炉产生的废气合并通过工业油烟净化器+二级活性炭吸附装置处理后，经 1 根 15m高排气筒排放（DA005）。抛光机</w:t>
                  </w:r>
                  <w:r>
                    <w:rPr>
                      <w:rFonts w:hint="eastAsia" w:ascii="Times New Roman" w:hAnsi="Times New Roman" w:cs="Times New Roman"/>
                      <w:color w:val="000000"/>
                      <w:sz w:val="21"/>
                      <w:szCs w:val="21"/>
                      <w:lang w:val="en-US" w:eastAsia="zh-CN" w:bidi="ar-SA"/>
                    </w:rPr>
                    <w:t>产生的</w:t>
                  </w:r>
                  <w:r>
                    <w:rPr>
                      <w:rFonts w:hint="default" w:ascii="Times New Roman" w:hAnsi="Times New Roman" w:cs="Times New Roman" w:eastAsiaTheme="minorEastAsia"/>
                      <w:color w:val="000000"/>
                      <w:sz w:val="21"/>
                      <w:szCs w:val="21"/>
                      <w:lang w:val="en-US" w:eastAsia="zh-CN" w:bidi="ar-SA"/>
                    </w:rPr>
                    <w:t>废气经布袋除尘器处理后，通过1根15m高排气筒排放（DA006）。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运营期厂界噪声执行《工业企业厂界环境噪声排放标准》 (GB12348-2008)中3类标准。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项目采</w:t>
                  </w:r>
                  <w:r>
                    <w:rPr>
                      <w:rFonts w:hint="default" w:ascii="Times New Roman" w:hAnsi="Times New Roman" w:cs="Times New Roman"/>
                      <w:color w:val="000000"/>
                      <w:sz w:val="21"/>
                      <w:szCs w:val="21"/>
                      <w:lang w:val="en-US" w:eastAsia="zh-CN" w:bidi="ar-SA"/>
                    </w:rPr>
                    <w:t>用低噪声设备，并通过优化车间内设备布局，采取隔声减振等降噪措施</w:t>
                  </w:r>
                  <w:r>
                    <w:rPr>
                      <w:rFonts w:hint="default" w:ascii="Times New Roman" w:hAnsi="Times New Roman" w:cs="Times New Roman" w:eastAsiaTheme="minorEastAsia"/>
                      <w:color w:val="000000"/>
                      <w:sz w:val="21"/>
                      <w:szCs w:val="21"/>
                      <w:lang w:val="en-US" w:eastAsia="zh-CN" w:bidi="ar-SA"/>
                    </w:rPr>
                    <w:t>降低噪声对环境的影响。厂界噪声满足《工业企业厂界环境噪声排放标准》（GB 12348-2008）</w:t>
                  </w:r>
                  <w:r>
                    <w:rPr>
                      <w:rFonts w:hint="default"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类标准</w:t>
                  </w:r>
                  <w:r>
                    <w:rPr>
                      <w:rFonts w:hint="default" w:ascii="Times New Roman" w:hAnsi="Times New Roman" w:cs="Times New Roman"/>
                      <w:color w:val="000000"/>
                      <w:sz w:val="21"/>
                      <w:szCs w:val="21"/>
                      <w:lang w:val="en-US" w:eastAsia="zh-CN" w:bidi="ar-SA"/>
                    </w:rPr>
                    <w:t>的</w:t>
                  </w:r>
                  <w:r>
                    <w:rPr>
                      <w:rFonts w:hint="default" w:ascii="Times New Roman" w:hAnsi="Times New Roman" w:cs="Times New Roman" w:eastAsiaTheme="minorEastAsia"/>
                      <w:color w:val="000000"/>
                      <w:sz w:val="21"/>
                      <w:szCs w:val="21"/>
                      <w:lang w:val="en-US" w:eastAsia="zh-CN" w:bidi="ar-SA"/>
                    </w:rPr>
                    <w:t>要求</w:t>
                  </w:r>
                  <w:r>
                    <w:rPr>
                      <w:rFonts w:hint="default" w:ascii="Times New Roman" w:hAnsi="Times New Roman" w:cs="Times New Roman"/>
                      <w:color w:val="000000"/>
                      <w:sz w:val="21"/>
                      <w:szCs w:val="21"/>
                      <w:lang w:val="en-US" w:eastAsia="zh-CN" w:bidi="ar-SA"/>
                    </w:rPr>
                    <w:t>。</w:t>
                  </w:r>
                  <w:r>
                    <w:rPr>
                      <w:rFonts w:hint="default" w:ascii="Times New Roman" w:hAnsi="Times New Roman" w:cs="Times New Roman" w:eastAsiaTheme="minorEastAsia"/>
                      <w:color w:val="000000"/>
                      <w:sz w:val="21"/>
                      <w:szCs w:val="21"/>
                      <w:lang w:val="en-US" w:eastAsia="zh-CN" w:bidi="ar-SA"/>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该项目固体废弃物执行《一般工业固体废物贮存和填埋污染控制标准》 (GB18599-2020)相关要求；危险废物执行《危险废物贮存污染控制标准》 (GB18597-2023)及其修改单。</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b w:val="0"/>
                      <w:bCs w:val="0"/>
                      <w:color w:val="auto"/>
                      <w:sz w:val="21"/>
                      <w:szCs w:val="21"/>
                      <w:lang w:eastAsia="zh-CN"/>
                    </w:rPr>
                    <w:t>项目产生的固废主要包括一般固废、危险废物及生活垃圾。一般固废有金属边角料、不合格品、废钢丸、收集粉尘收集后由物资公司回收。危险废物有废活性炭、</w:t>
                  </w:r>
                  <w:r>
                    <w:rPr>
                      <w:rFonts w:hint="eastAsia" w:ascii="Times New Roman" w:hAnsi="Times New Roman" w:eastAsia="宋体" w:cs="Times New Roman"/>
                      <w:b w:val="0"/>
                      <w:bCs w:val="0"/>
                      <w:color w:val="auto"/>
                      <w:sz w:val="21"/>
                      <w:szCs w:val="21"/>
                      <w:lang w:eastAsia="zh-CN"/>
                    </w:rPr>
                    <w:t>废乳化液、</w:t>
                  </w:r>
                  <w:r>
                    <w:rPr>
                      <w:rFonts w:hint="default" w:ascii="Times New Roman" w:hAnsi="Times New Roman" w:eastAsia="宋体" w:cs="Times New Roman"/>
                      <w:b w:val="0"/>
                      <w:bCs w:val="0"/>
                      <w:color w:val="auto"/>
                      <w:sz w:val="21"/>
                      <w:szCs w:val="21"/>
                      <w:lang w:eastAsia="zh-CN"/>
                    </w:rPr>
                    <w:t>废切削液、脱脂槽渣、碱洗槽渣、废润滑油、化学品包装桶暂存于危废库中，公司已与宁国海螺环保科技有限责任公司、安徽嘉朋特环保科技服务有限公司签订危废处置协议，收集后交其处置。生活垃圾收集后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rPr>
                    <w:t>严格执行排污许可制度。建设项目发生实际排污行为之前应申领排污许可证，建设项目无证排污或不按证排污的，根据环境保护设施验收条件有关规定，你单位不得出具环境保护设施验收合格意见。</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安徽望锦汽车部件有限公司于2023年8月23日进行排污许可登记，有效期为2023年8月23日至2028年8月22日。登记编号：91341881MA8LHRAD7L001Z。</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000000"/>
                      <w:sz w:val="21"/>
                      <w:szCs w:val="21"/>
                    </w:rPr>
                    <w:t>项目建设应严格执行环境保护设施与主体工程同时设计、同时施工、同时投入使用的环境保护“三同时”制度，并按照有关规定自主组织竣工环保验收，验收报告公示期满后 5个工作日内，应当登录全国建设项目竣工环境保护验收信息平台，填报建设项目基本信息、环境保护设施验收情况等相关信息。</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1"/>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lang w:val="en-US" w:eastAsia="zh-CN"/>
                    </w:rPr>
                    <w:t>本次申请验收。</w:t>
                  </w:r>
                  <w:r>
                    <w:rPr>
                      <w:rFonts w:hint="default" w:ascii="Times New Roman" w:hAnsi="Times New Roman" w:eastAsia="宋体" w:cs="Times New Roman"/>
                      <w:sz w:val="21"/>
                      <w:szCs w:val="21"/>
                      <w:lang w:val="en-US" w:eastAsia="zh-CN" w:bidi="ar-SA"/>
                    </w:rPr>
                    <w:t>根据此次验收检测，污染物排放总量满足总量控制指标</w:t>
                  </w:r>
                  <w:r>
                    <w:rPr>
                      <w:rFonts w:hint="eastAsia" w:ascii="Times New Roman" w:hAnsi="Times New Roman" w:eastAsia="宋体" w:cs="Times New Roman"/>
                      <w:sz w:val="21"/>
                      <w:szCs w:val="21"/>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2"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九、验收监测质量保证及质量控制：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本次验收检测采样及样品分析均严格按照《环境监测质量保证管理规定（暂行）》及相关环境监测技术规范的要求进行，实施全程序质量控制。项目检测前，相关部门根据检测方案制定了详细的质量控制计划，并按照计划实施。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具体质控要求如下：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（1）生产处于正常。检测期间生产在额定生产负荷的工况下稳定运行，各污染治理设施运行基本正常。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（2）检测分析方法采用国家有关部门颁布的标准（或推荐）方法。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（3）合理布设检测点位，保证各检测点位布设的科学性和可比性。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（4）检测人员经考核并持有合格证书，所有检测仪器经过计量部门检定并在有效期内。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（5）现场采样、保存及实验分析阶段均采取相关质控措施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①废气检测仪器均符合国家有关标准或技术要求，检测前按检测因子分别用标准气体和流量计对其进行校核（标定），在测试时保证其采样流量的准确 。采样和分析过程严格按照《固定源废气监测技术规范》（HJ/T 397-2007）、《固定污染源质量保证和质量控制技术规范（试行）》（HJ/T373-2007）和《空气和废气监测分析方法》（第四版）进行。采样时企业正常生产且在额定生产负荷的工况下稳定运行，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000000"/>
                <w:sz w:val="24"/>
                <w:szCs w:val="24"/>
                <w:lang w:val="en-US" w:eastAsia="zh-CN"/>
              </w:rPr>
              <w:t>② 噪声检测方法按《工业企业厂界环境噪声排放标准》（GB12348-2008）要求进行，采用等效声级Leq（A）值为进行了评价，各项质控措施和结果满足相关规范的要求。评价量，统计声级 L10 、L50 、L90 作为依据，测量仪器为AWA6228+型精密噪声频谱分析仪，校准仪器为AWA6221A声校准器，测量仪器使用前后均进行校准，前、后校准示值偏差不大于0.5dB（A）检测时气象条件满足检测技术要求，从而确保了检测数据的代表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5"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十、验收监测内容：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bookmarkStart w:id="2" w:name="_Toc6477"/>
            <w:r>
              <w:rPr>
                <w:rFonts w:hint="default" w:ascii="Times New Roman" w:hAnsi="Times New Roman" w:eastAsia="宋体" w:cs="Times New Roman"/>
                <w:sz w:val="24"/>
                <w:szCs w:val="24"/>
                <w:lang w:val="en-US" w:eastAsia="zh-CN"/>
              </w:rPr>
              <w:t>1、废水</w:t>
            </w:r>
            <w:bookmarkEnd w:id="2"/>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表10-1 废水监测内容一览表</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3822"/>
              <w:gridCol w:w="2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left w:val="single" w:color="auto" w:sz="0" w:space="0"/>
                  </w:tcBorders>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3822" w:type="dxa"/>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2449" w:type="dxa"/>
                  <w:tcBorders>
                    <w:right w:val="single" w:color="auto" w:sz="12" w:space="0"/>
                  </w:tcBorders>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461"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bookmarkStart w:id="3" w:name="_Toc5005"/>
                  <w:r>
                    <w:rPr>
                      <w:rFonts w:hint="eastAsia" w:ascii="Times New Roman" w:hAnsi="Times New Roman" w:eastAsia="宋体" w:cs="Times New Roman"/>
                      <w:b w:val="0"/>
                      <w:bCs w:val="0"/>
                      <w:sz w:val="21"/>
                      <w:szCs w:val="21"/>
                      <w:vertAlign w:val="baseline"/>
                      <w:lang w:val="en-US" w:eastAsia="zh-CN"/>
                    </w:rPr>
                    <w:t>中鼎减震厂区综合污水处理站</w:t>
                  </w:r>
                  <w:r>
                    <w:rPr>
                      <w:rFonts w:hint="default" w:ascii="Times New Roman" w:hAnsi="Times New Roman" w:eastAsia="宋体" w:cs="Times New Roman"/>
                      <w:b w:val="0"/>
                      <w:bCs w:val="0"/>
                      <w:sz w:val="21"/>
                      <w:szCs w:val="21"/>
                      <w:vertAlign w:val="baseline"/>
                      <w:lang w:val="en-US" w:eastAsia="zh-CN"/>
                    </w:rPr>
                    <w:t>进出口</w:t>
                  </w:r>
                </w:p>
              </w:tc>
              <w:tc>
                <w:tcPr>
                  <w:tcW w:w="382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pH值、化学需氧量、悬浮物、</w:t>
                  </w:r>
                  <w:r>
                    <w:rPr>
                      <w:rFonts w:hint="default" w:ascii="Times New Roman" w:hAnsi="Times New Roman" w:eastAsia="宋体" w:cs="Times New Roman"/>
                      <w:sz w:val="21"/>
                      <w:szCs w:val="21"/>
                      <w:lang w:val="en-US" w:eastAsia="zh-CN"/>
                    </w:rPr>
                    <w:t>阴离子表面活性剂</w:t>
                  </w:r>
                  <w:r>
                    <w:rPr>
                      <w:rFonts w:hint="default" w:ascii="Times New Roman" w:hAnsi="Times New Roman" w:eastAsia="宋体" w:cs="Times New Roman"/>
                      <w:b w:val="0"/>
                      <w:bCs w:val="0"/>
                      <w:sz w:val="21"/>
                      <w:szCs w:val="21"/>
                      <w:vertAlign w:val="baseline"/>
                      <w:lang w:val="en-US" w:eastAsia="zh-CN"/>
                    </w:rPr>
                    <w:t>、石油类、</w:t>
                  </w:r>
                  <w:r>
                    <w:rPr>
                      <w:rFonts w:hint="default" w:ascii="Times New Roman" w:hAnsi="Times New Roman" w:eastAsia="宋体" w:cs="Times New Roman"/>
                      <w:sz w:val="21"/>
                      <w:szCs w:val="21"/>
                      <w:vertAlign w:val="baseline"/>
                      <w:lang w:val="en-US" w:eastAsia="zh-CN"/>
                    </w:rPr>
                    <w:t>生化需氧量</w:t>
                  </w:r>
                  <w:r>
                    <w:rPr>
                      <w:rFonts w:hint="default" w:ascii="Times New Roman" w:hAnsi="Times New Roman" w:eastAsia="宋体" w:cs="Times New Roman"/>
                      <w:b w:val="0"/>
                      <w:bCs w:val="0"/>
                      <w:sz w:val="21"/>
                      <w:szCs w:val="21"/>
                      <w:vertAlign w:val="baseline"/>
                      <w:lang w:val="en-US" w:eastAsia="zh-CN"/>
                    </w:rPr>
                    <w:t>、氨氮、总氮、铝</w:t>
                  </w:r>
                </w:p>
              </w:tc>
              <w:tc>
                <w:tcPr>
                  <w:tcW w:w="2449" w:type="dxa"/>
                  <w:tcBorders>
                    <w:right w:val="single" w:color="auto" w:sz="12" w:space="0"/>
                  </w:tcBorders>
                  <w:noWrap w:val="0"/>
                  <w:vAlign w:val="center"/>
                </w:tcPr>
                <w:p>
                  <w:pPr>
                    <w:pStyle w:val="21"/>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rPr>
                    <w:t>批次/</w:t>
                  </w:r>
                  <w:r>
                    <w:rPr>
                      <w:rFonts w:hint="eastAsia" w:ascii="Times New Roman" w:hAnsi="Times New Roman" w:cs="Times New Roman"/>
                      <w:lang w:val="en-US" w:eastAsia="zh-CN"/>
                    </w:rPr>
                    <w:t>2</w:t>
                  </w:r>
                  <w:r>
                    <w:rPr>
                      <w:rFonts w:hint="default" w:ascii="Times New Roman" w:hAnsi="Times New Roman" w:cs="Times New Roman"/>
                    </w:rPr>
                    <w:t>点/</w:t>
                  </w:r>
                  <w:r>
                    <w:rPr>
                      <w:rFonts w:hint="eastAsia" w:ascii="Times New Roman" w:hAnsi="Times New Roman" w:cs="Times New Roman"/>
                      <w:lang w:val="en-US" w:eastAsia="zh-CN"/>
                    </w:rPr>
                    <w:t>2</w:t>
                  </w:r>
                  <w:r>
                    <w:rPr>
                      <w:rFonts w:hint="default" w:ascii="Times New Roman" w:hAnsi="Times New Roman" w:cs="Times New Roman"/>
                    </w:rPr>
                    <w:t>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2、废气</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废气监测点位、项目、频次见下表。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表10-2 废气监测内容一览表</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398"/>
              <w:gridCol w:w="2913"/>
              <w:gridCol w:w="1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left w:val="single" w:color="auto" w:sz="0"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类别</w:t>
                  </w:r>
                </w:p>
              </w:tc>
              <w:tc>
                <w:tcPr>
                  <w:tcW w:w="1946"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监测点位</w:t>
                  </w:r>
                </w:p>
              </w:tc>
              <w:tc>
                <w:tcPr>
                  <w:tcW w:w="1668"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监测项目</w:t>
                  </w:r>
                </w:p>
              </w:tc>
              <w:tc>
                <w:tcPr>
                  <w:tcW w:w="795" w:type="pct"/>
                  <w:tcBorders>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lef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有组织废气</w:t>
                  </w:r>
                </w:p>
              </w:tc>
              <w:tc>
                <w:tcPr>
                  <w:tcW w:w="194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b w:val="0"/>
                      <w:bCs w:val="0"/>
                      <w:sz w:val="21"/>
                      <w:szCs w:val="21"/>
                      <w:vertAlign w:val="baseline"/>
                      <w:lang w:val="en-US" w:eastAsia="zh-CN"/>
                    </w:rPr>
                    <w:t>天然气燃烧</w:t>
                  </w:r>
                  <w:r>
                    <w:rPr>
                      <w:rFonts w:hint="default" w:ascii="Times New Roman" w:hAnsi="Times New Roman" w:eastAsia="宋体" w:cs="Times New Roman"/>
                      <w:b w:val="0"/>
                      <w:bCs w:val="0"/>
                      <w:sz w:val="21"/>
                      <w:szCs w:val="21"/>
                      <w:vertAlign w:val="baseline"/>
                      <w:lang w:val="en-US" w:eastAsia="zh-CN"/>
                    </w:rPr>
                    <w:t>废气排气筒出口</w:t>
                  </w:r>
                  <w:r>
                    <w:rPr>
                      <w:rFonts w:hint="eastAsia" w:ascii="Times New Roman" w:hAnsi="Times New Roman" w:eastAsia="宋体" w:cs="Times New Roman"/>
                      <w:b w:val="0"/>
                      <w:bCs w:val="0"/>
                      <w:sz w:val="21"/>
                      <w:szCs w:val="21"/>
                      <w:vertAlign w:val="baseline"/>
                      <w:lang w:val="en-US" w:eastAsia="zh-CN"/>
                    </w:rPr>
                    <w:t>（DA001）</w:t>
                  </w:r>
                </w:p>
              </w:tc>
              <w:tc>
                <w:tcPr>
                  <w:tcW w:w="16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sz w:val="21"/>
                      <w:szCs w:val="21"/>
                      <w:vertAlign w:val="baseline"/>
                      <w:lang w:val="en-US" w:eastAsia="zh-CN"/>
                    </w:rPr>
                    <w:t>颗粒物、二氧化硫、氮氧化物</w:t>
                  </w:r>
                </w:p>
              </w:tc>
              <w:tc>
                <w:tcPr>
                  <w:tcW w:w="795" w:type="pct"/>
                  <w:tcBorders>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1</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1#锻坯加热废气排气筒进出口</w:t>
                  </w:r>
                  <w:r>
                    <w:rPr>
                      <w:rFonts w:hint="eastAsia" w:ascii="Times New Roman" w:hAnsi="Times New Roman" w:eastAsia="宋体" w:cs="Times New Roman"/>
                      <w:b w:val="0"/>
                      <w:bCs w:val="0"/>
                      <w:sz w:val="21"/>
                      <w:szCs w:val="21"/>
                      <w:vertAlign w:val="baseline"/>
                      <w:lang w:val="en-US" w:eastAsia="zh-CN"/>
                    </w:rPr>
                    <w:t>（DA002）</w:t>
                  </w:r>
                </w:p>
              </w:tc>
              <w:tc>
                <w:tcPr>
                  <w:tcW w:w="16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95"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2#锻坯加热废气排气筒进出口</w:t>
                  </w:r>
                  <w:r>
                    <w:rPr>
                      <w:rFonts w:hint="eastAsia" w:ascii="Times New Roman" w:hAnsi="Times New Roman" w:eastAsia="宋体" w:cs="Times New Roman"/>
                      <w:b w:val="0"/>
                      <w:bCs w:val="0"/>
                      <w:sz w:val="21"/>
                      <w:szCs w:val="21"/>
                      <w:vertAlign w:val="baseline"/>
                      <w:lang w:val="en-US" w:eastAsia="zh-CN"/>
                    </w:rPr>
                    <w:t>（DA003）</w:t>
                  </w:r>
                </w:p>
              </w:tc>
              <w:tc>
                <w:tcPr>
                  <w:tcW w:w="16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95"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抛丸废气排气筒出口</w:t>
                  </w:r>
                  <w:r>
                    <w:rPr>
                      <w:rFonts w:hint="eastAsia" w:ascii="Times New Roman" w:hAnsi="Times New Roman" w:eastAsia="宋体" w:cs="Times New Roman"/>
                      <w:b w:val="0"/>
                      <w:bCs w:val="0"/>
                      <w:sz w:val="21"/>
                      <w:szCs w:val="21"/>
                      <w:vertAlign w:val="baseline"/>
                      <w:lang w:val="en-US" w:eastAsia="zh-CN"/>
                    </w:rPr>
                    <w:t>（DA004）</w:t>
                  </w:r>
                </w:p>
              </w:tc>
              <w:tc>
                <w:tcPr>
                  <w:tcW w:w="16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95"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589" w:type="pct"/>
                  <w:vMerge w:val="continue"/>
                  <w:tcBorders>
                    <w:lef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电阻炉</w:t>
                  </w:r>
                  <w:r>
                    <w:rPr>
                      <w:rFonts w:hint="eastAsia" w:ascii="Times New Roman" w:hAnsi="Times New Roman" w:eastAsia="宋体" w:cs="Times New Roman"/>
                      <w:b w:val="0"/>
                      <w:bCs w:val="0"/>
                      <w:sz w:val="21"/>
                      <w:szCs w:val="21"/>
                      <w:vertAlign w:val="baseline"/>
                      <w:lang w:val="en-US" w:eastAsia="zh-CN"/>
                    </w:rPr>
                    <w:t>和焊接</w:t>
                  </w:r>
                  <w:r>
                    <w:rPr>
                      <w:rFonts w:hint="default" w:ascii="Times New Roman" w:hAnsi="Times New Roman" w:eastAsia="宋体" w:cs="Times New Roman"/>
                      <w:b w:val="0"/>
                      <w:bCs w:val="0"/>
                      <w:sz w:val="21"/>
                      <w:szCs w:val="21"/>
                      <w:vertAlign w:val="baseline"/>
                      <w:lang w:val="en-US" w:eastAsia="zh-CN"/>
                    </w:rPr>
                    <w:t>废气排气筒进出口</w:t>
                  </w:r>
                  <w:r>
                    <w:rPr>
                      <w:rFonts w:hint="eastAsia" w:ascii="Times New Roman" w:hAnsi="Times New Roman" w:eastAsia="宋体" w:cs="Times New Roman"/>
                      <w:b w:val="0"/>
                      <w:bCs w:val="0"/>
                      <w:sz w:val="21"/>
                      <w:szCs w:val="21"/>
                      <w:vertAlign w:val="baseline"/>
                      <w:lang w:val="en-US" w:eastAsia="zh-CN"/>
                    </w:rPr>
                    <w:t>（DA005）</w:t>
                  </w:r>
                </w:p>
              </w:tc>
              <w:tc>
                <w:tcPr>
                  <w:tcW w:w="16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颗粒物、油雾</w:t>
                  </w:r>
                </w:p>
              </w:tc>
              <w:tc>
                <w:tcPr>
                  <w:tcW w:w="795"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抛光</w:t>
                  </w:r>
                  <w:r>
                    <w:rPr>
                      <w:rFonts w:hint="default" w:ascii="Times New Roman" w:hAnsi="Times New Roman" w:eastAsia="宋体" w:cs="Times New Roman"/>
                      <w:b w:val="0"/>
                      <w:bCs w:val="0"/>
                      <w:sz w:val="21"/>
                      <w:szCs w:val="21"/>
                      <w:vertAlign w:val="baseline"/>
                      <w:lang w:val="en-US" w:eastAsia="zh-CN"/>
                    </w:rPr>
                    <w:t>废气排气筒进出口</w:t>
                  </w:r>
                  <w:r>
                    <w:rPr>
                      <w:rFonts w:hint="eastAsia" w:ascii="Times New Roman" w:hAnsi="Times New Roman" w:eastAsia="宋体" w:cs="Times New Roman"/>
                      <w:b w:val="0"/>
                      <w:bCs w:val="0"/>
                      <w:sz w:val="21"/>
                      <w:szCs w:val="21"/>
                      <w:vertAlign w:val="baseline"/>
                      <w:lang w:val="en-US" w:eastAsia="zh-CN"/>
                    </w:rPr>
                    <w:t>（DA006）</w:t>
                  </w:r>
                </w:p>
              </w:tc>
              <w:tc>
                <w:tcPr>
                  <w:tcW w:w="166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95"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89" w:type="pct"/>
                  <w:tcBorders>
                    <w:lef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无组织废气</w:t>
                  </w:r>
                </w:p>
              </w:tc>
              <w:tc>
                <w:tcPr>
                  <w:tcW w:w="1946"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eastAsia="zh-CN"/>
                    </w:rPr>
                  </w:pPr>
                  <w:r>
                    <w:rPr>
                      <w:rFonts w:hint="default" w:ascii="Times New Roman" w:hAnsi="Times New Roman" w:cs="Times New Roman"/>
                      <w:lang w:eastAsia="zh-CN"/>
                    </w:rPr>
                    <w:t>厂界四周三点</w:t>
                  </w:r>
                </w:p>
              </w:tc>
              <w:tc>
                <w:tcPr>
                  <w:tcW w:w="16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rPr>
                  </w:pPr>
                  <w:r>
                    <w:rPr>
                      <w:rFonts w:hint="default" w:ascii="Times New Roman" w:hAnsi="Times New Roman" w:cs="Times New Roman"/>
                      <w:lang w:val="en-US" w:eastAsia="zh-CN"/>
                    </w:rPr>
                    <w:t>颗粒物</w:t>
                  </w:r>
                </w:p>
              </w:tc>
              <w:tc>
                <w:tcPr>
                  <w:tcW w:w="795" w:type="pct"/>
                  <w:tcBorders>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3批次/3点/2天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3、厂界噪声</w:t>
            </w:r>
            <w:bookmarkEnd w:id="3"/>
            <w:bookmarkStart w:id="4" w:name="_GoBack"/>
            <w:bookmarkEnd w:id="4"/>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在厂界外共布设4个测点。监测频次为连续2天，每天昼夜各监测一次。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表10-3 噪声监测内容一览表</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13"/>
              <w:gridCol w:w="2266"/>
              <w:gridCol w:w="2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98" w:type="pct"/>
                  <w:tcBorders>
                    <w:left w:val="single" w:color="auto" w:sz="0" w:space="0"/>
                  </w:tcBorders>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1297" w:type="pct"/>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1404" w:type="pct"/>
                  <w:tcBorders>
                    <w:right w:val="single" w:color="auto" w:sz="12" w:space="0"/>
                  </w:tcBorders>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tcBorders>
                    <w:left w:val="single" w:color="auto" w:sz="4" w:space="0"/>
                  </w:tcBorders>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在厂界四周各布置1个监测点，共4个</w:t>
                  </w:r>
                </w:p>
              </w:tc>
              <w:tc>
                <w:tcPr>
                  <w:tcW w:w="1297" w:type="pct"/>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噪声等效声级</w:t>
                  </w:r>
                </w:p>
              </w:tc>
              <w:tc>
                <w:tcPr>
                  <w:tcW w:w="1404" w:type="pct"/>
                  <w:tcBorders>
                    <w:right w:val="single" w:color="auto" w:sz="12" w:space="0"/>
                  </w:tcBorders>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连续2天，</w:t>
                  </w:r>
                  <w:r>
                    <w:rPr>
                      <w:rFonts w:hint="default" w:ascii="Times New Roman" w:hAnsi="Times New Roman" w:cs="Times New Roman"/>
                      <w:lang w:eastAsia="zh-CN"/>
                    </w:rPr>
                    <w:t>昼夜各一次</w:t>
                  </w:r>
                </w:p>
              </w:tc>
            </w:tr>
          </w:tbl>
          <w:p>
            <w:pPr>
              <w:pStyle w:val="2"/>
              <w:jc w:val="both"/>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3"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十一、</w:t>
            </w:r>
            <w:r>
              <w:rPr>
                <w:rFonts w:hint="default" w:ascii="Times New Roman" w:hAnsi="Times New Roman" w:eastAsia="宋体" w:cs="Times New Roman"/>
                <w:b/>
                <w:bCs/>
                <w:sz w:val="24"/>
                <w:szCs w:val="24"/>
                <w:lang w:val="en-US" w:eastAsia="zh-CN"/>
              </w:rPr>
              <w:t>验收监测期间生产工况记录：</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项目竣工验收监测于202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日进行，监测期间公司生产正常，生产负荷为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89.8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~99.8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%，满足建设项目竣工环境保护验收监测对工况应达到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正常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生产负荷的要求，监测结果具有代表性。</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2" w:firstLineChars="20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表11-1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生产工况统计表</w:t>
            </w: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2138"/>
              <w:gridCol w:w="1736"/>
              <w:gridCol w:w="1736"/>
              <w:gridCol w:w="17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tcBorders>
                    <w:left w:val="single" w:color="auto" w:sz="0"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生产日期</w:t>
                  </w:r>
                </w:p>
              </w:tc>
              <w:tc>
                <w:tcPr>
                  <w:tcW w:w="1224" w:type="pc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产品名称</w:t>
                  </w:r>
                </w:p>
              </w:tc>
              <w:tc>
                <w:tcPr>
                  <w:tcW w:w="994" w:type="pc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实际</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产量</w:t>
                  </w:r>
                </w:p>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（万件/d）</w:t>
                  </w:r>
                </w:p>
              </w:tc>
              <w:tc>
                <w:tcPr>
                  <w:tcW w:w="994" w:type="pc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设计产量</w:t>
                  </w:r>
                </w:p>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（万件/d）</w:t>
                  </w:r>
                </w:p>
              </w:tc>
              <w:tc>
                <w:tcPr>
                  <w:tcW w:w="994" w:type="pct"/>
                  <w:tcBorders>
                    <w:right w:val="single" w:color="auto" w:sz="12"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产能比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restart"/>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224" w:type="pct"/>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lang w:eastAsia="zh-CN"/>
                    </w:rPr>
                    <w:t>控制臂</w:t>
                  </w:r>
                </w:p>
              </w:tc>
              <w:tc>
                <w:tcPr>
                  <w:tcW w:w="994"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994" w:type="pct"/>
                  <w:vAlign w:val="center"/>
                </w:tcPr>
                <w:p>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kern w:val="2"/>
                      <w:sz w:val="21"/>
                      <w:szCs w:val="24"/>
                      <w:lang w:val="en-US" w:eastAsia="zh-CN" w:bidi="ar-SA"/>
                    </w:rPr>
                    <w:t>2</w:t>
                  </w:r>
                </w:p>
              </w:tc>
              <w:tc>
                <w:tcPr>
                  <w:tcW w:w="994" w:type="pct"/>
                  <w:tcBorders>
                    <w:right w:val="single" w:color="auto" w:sz="12"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continue"/>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224"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lang w:eastAsia="zh-CN"/>
                    </w:rPr>
                    <w:t>铝制控制臂类</w:t>
                  </w:r>
                </w:p>
              </w:tc>
              <w:tc>
                <w:tcPr>
                  <w:tcW w:w="994" w:type="pct"/>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0.65</w:t>
                  </w:r>
                </w:p>
              </w:tc>
              <w:tc>
                <w:tcPr>
                  <w:tcW w:w="994" w:type="pct"/>
                  <w:vAlign w:val="center"/>
                </w:tcPr>
                <w:p>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auto"/>
                      <w:szCs w:val="21"/>
                      <w:lang w:val="en-US" w:eastAsia="zh-CN"/>
                    </w:rPr>
                    <w:t>0.667</w:t>
                  </w:r>
                </w:p>
              </w:tc>
              <w:tc>
                <w:tcPr>
                  <w:tcW w:w="994" w:type="pct"/>
                  <w:tcBorders>
                    <w:right w:val="single" w:color="auto" w:sz="12"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97.5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continue"/>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224"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eastAsia="zh-CN"/>
                    </w:rPr>
                  </w:pPr>
                  <w:r>
                    <w:rPr>
                      <w:rFonts w:hint="default" w:ascii="Times New Roman" w:hAnsi="Times New Roman" w:cs="Times New Roman"/>
                      <w:szCs w:val="21"/>
                      <w:lang w:eastAsia="zh-CN"/>
                    </w:rPr>
                    <w:t>前束控制臂类</w:t>
                  </w:r>
                </w:p>
              </w:tc>
              <w:tc>
                <w:tcPr>
                  <w:tcW w:w="994" w:type="pct"/>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0.16</w:t>
                  </w:r>
                </w:p>
              </w:tc>
              <w:tc>
                <w:tcPr>
                  <w:tcW w:w="994" w:type="pct"/>
                  <w:vAlign w:val="center"/>
                </w:tcPr>
                <w:p>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auto"/>
                      <w:szCs w:val="21"/>
                      <w:lang w:val="en-US" w:eastAsia="zh-CN"/>
                    </w:rPr>
                    <w:t>0.167</w:t>
                  </w:r>
                </w:p>
              </w:tc>
              <w:tc>
                <w:tcPr>
                  <w:tcW w:w="994" w:type="pct"/>
                  <w:tcBorders>
                    <w:right w:val="single" w:color="auto" w:sz="12"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95.8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continue"/>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224"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eastAsia="zh-CN"/>
                    </w:rPr>
                  </w:pPr>
                  <w:r>
                    <w:rPr>
                      <w:rFonts w:hint="default" w:ascii="Times New Roman" w:hAnsi="Times New Roman" w:cs="Times New Roman"/>
                      <w:szCs w:val="21"/>
                      <w:lang w:eastAsia="zh-CN"/>
                    </w:rPr>
                    <w:t>转向节</w:t>
                  </w:r>
                </w:p>
              </w:tc>
              <w:tc>
                <w:tcPr>
                  <w:tcW w:w="994" w:type="pct"/>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0.33</w:t>
                  </w:r>
                </w:p>
              </w:tc>
              <w:tc>
                <w:tcPr>
                  <w:tcW w:w="994" w:type="pct"/>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0.333</w:t>
                  </w:r>
                </w:p>
              </w:tc>
              <w:tc>
                <w:tcPr>
                  <w:tcW w:w="9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continue"/>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224"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eastAsia="zh-CN"/>
                    </w:rPr>
                  </w:pPr>
                  <w:r>
                    <w:rPr>
                      <w:rFonts w:hint="default" w:ascii="Times New Roman" w:hAnsi="Times New Roman" w:cs="Times New Roman"/>
                      <w:szCs w:val="21"/>
                      <w:lang w:eastAsia="zh-CN"/>
                    </w:rPr>
                    <w:t>内、外拉杆</w:t>
                  </w:r>
                </w:p>
              </w:tc>
              <w:tc>
                <w:tcPr>
                  <w:tcW w:w="994" w:type="pct"/>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1.33</w:t>
                  </w:r>
                </w:p>
              </w:tc>
              <w:tc>
                <w:tcPr>
                  <w:tcW w:w="994" w:type="pct"/>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1.333</w:t>
                  </w:r>
                </w:p>
              </w:tc>
              <w:tc>
                <w:tcPr>
                  <w:tcW w:w="9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continue"/>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224"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eastAsia="zh-CN"/>
                    </w:rPr>
                  </w:pPr>
                  <w:r>
                    <w:rPr>
                      <w:rFonts w:hint="default" w:ascii="Times New Roman" w:hAnsi="Times New Roman" w:cs="Times New Roman"/>
                      <w:szCs w:val="21"/>
                      <w:lang w:eastAsia="zh-CN"/>
                    </w:rPr>
                    <w:t>主销类</w:t>
                  </w:r>
                </w:p>
              </w:tc>
              <w:tc>
                <w:tcPr>
                  <w:tcW w:w="994" w:type="pct"/>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0.15</w:t>
                  </w:r>
                </w:p>
              </w:tc>
              <w:tc>
                <w:tcPr>
                  <w:tcW w:w="994" w:type="pct"/>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0.167</w:t>
                  </w:r>
                </w:p>
              </w:tc>
              <w:tc>
                <w:tcPr>
                  <w:tcW w:w="9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89.8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continue"/>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224"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eastAsia="zh-CN"/>
                    </w:rPr>
                  </w:pPr>
                  <w:r>
                    <w:rPr>
                      <w:rFonts w:hint="default" w:ascii="Times New Roman" w:hAnsi="Times New Roman" w:cs="Times New Roman"/>
                      <w:szCs w:val="21"/>
                      <w:lang w:eastAsia="zh-CN"/>
                    </w:rPr>
                    <w:t>稳定连接杆</w:t>
                  </w:r>
                </w:p>
              </w:tc>
              <w:tc>
                <w:tcPr>
                  <w:tcW w:w="994" w:type="pct"/>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0.3</w:t>
                  </w:r>
                </w:p>
              </w:tc>
              <w:tc>
                <w:tcPr>
                  <w:tcW w:w="994" w:type="pct"/>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0.333</w:t>
                  </w:r>
                </w:p>
              </w:tc>
              <w:tc>
                <w:tcPr>
                  <w:tcW w:w="9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restart"/>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138"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bCs/>
                      <w:color w:val="auto"/>
                      <w:szCs w:val="21"/>
                      <w:lang w:eastAsia="zh-CN"/>
                    </w:rPr>
                  </w:pPr>
                  <w:r>
                    <w:rPr>
                      <w:rFonts w:hint="default" w:ascii="Times New Roman" w:hAnsi="Times New Roman" w:cs="Times New Roman"/>
                      <w:szCs w:val="21"/>
                      <w:lang w:eastAsia="zh-CN"/>
                    </w:rPr>
                    <w:t>控制臂</w:t>
                  </w:r>
                </w:p>
              </w:tc>
              <w:tc>
                <w:tcPr>
                  <w:tcW w:w="994" w:type="pct"/>
                  <w:vAlign w:val="center"/>
                </w:tcPr>
                <w:p>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auto"/>
                      <w:szCs w:val="21"/>
                      <w:lang w:val="en-US" w:eastAsia="zh-CN"/>
                    </w:rPr>
                    <w:t>1.8</w:t>
                  </w:r>
                </w:p>
              </w:tc>
              <w:tc>
                <w:tcPr>
                  <w:tcW w:w="1736" w:type="dxa"/>
                  <w:vAlign w:val="center"/>
                </w:tcPr>
                <w:p>
                  <w:pPr>
                    <w:adjustRightInd w:val="0"/>
                    <w:snapToGrid w:val="0"/>
                    <w:spacing w:line="36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kern w:val="2"/>
                      <w:sz w:val="21"/>
                      <w:szCs w:val="24"/>
                      <w:lang w:val="en-US" w:eastAsia="zh-CN" w:bidi="ar-SA"/>
                    </w:rPr>
                    <w:t>2</w:t>
                  </w:r>
                </w:p>
              </w:tc>
              <w:tc>
                <w:tcPr>
                  <w:tcW w:w="9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continue"/>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138"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eastAsia="zh-CN"/>
                    </w:rPr>
                  </w:pPr>
                  <w:r>
                    <w:rPr>
                      <w:rFonts w:hint="default" w:ascii="Times New Roman" w:hAnsi="Times New Roman" w:cs="Times New Roman"/>
                      <w:szCs w:val="21"/>
                      <w:lang w:eastAsia="zh-CN"/>
                    </w:rPr>
                    <w:t>铝制控制臂类</w:t>
                  </w:r>
                </w:p>
              </w:tc>
              <w:tc>
                <w:tcPr>
                  <w:tcW w:w="994" w:type="pct"/>
                  <w:vAlign w:val="center"/>
                </w:tcPr>
                <w:p>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auto"/>
                      <w:szCs w:val="21"/>
                      <w:lang w:val="en-US" w:eastAsia="zh-CN"/>
                    </w:rPr>
                    <w:t>0.6</w:t>
                  </w:r>
                </w:p>
              </w:tc>
              <w:tc>
                <w:tcPr>
                  <w:tcW w:w="1736" w:type="dxa"/>
                  <w:vAlign w:val="center"/>
                </w:tcPr>
                <w:p>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auto"/>
                      <w:szCs w:val="21"/>
                      <w:lang w:val="en-US" w:eastAsia="zh-CN"/>
                    </w:rPr>
                    <w:t>0.667</w:t>
                  </w:r>
                </w:p>
              </w:tc>
              <w:tc>
                <w:tcPr>
                  <w:tcW w:w="9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89.9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continue"/>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138"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eastAsia="zh-CN"/>
                    </w:rPr>
                  </w:pPr>
                  <w:r>
                    <w:rPr>
                      <w:rFonts w:hint="default" w:ascii="Times New Roman" w:hAnsi="Times New Roman" w:cs="Times New Roman"/>
                      <w:szCs w:val="21"/>
                      <w:lang w:eastAsia="zh-CN"/>
                    </w:rPr>
                    <w:t>前束控制臂类</w:t>
                  </w:r>
                </w:p>
              </w:tc>
              <w:tc>
                <w:tcPr>
                  <w:tcW w:w="994" w:type="pct"/>
                  <w:vAlign w:val="center"/>
                </w:tcPr>
                <w:p>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auto"/>
                      <w:szCs w:val="21"/>
                      <w:lang w:val="en-US" w:eastAsia="zh-CN"/>
                    </w:rPr>
                    <w:t>0.15</w:t>
                  </w:r>
                </w:p>
              </w:tc>
              <w:tc>
                <w:tcPr>
                  <w:tcW w:w="1736" w:type="dxa"/>
                  <w:vAlign w:val="center"/>
                </w:tcPr>
                <w:p>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auto"/>
                      <w:szCs w:val="21"/>
                      <w:lang w:val="en-US" w:eastAsia="zh-CN"/>
                    </w:rPr>
                    <w:t>0.167</w:t>
                  </w:r>
                </w:p>
              </w:tc>
              <w:tc>
                <w:tcPr>
                  <w:tcW w:w="9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89.8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continue"/>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138"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eastAsia="zh-CN"/>
                    </w:rPr>
                  </w:pPr>
                  <w:r>
                    <w:rPr>
                      <w:rFonts w:hint="default" w:ascii="Times New Roman" w:hAnsi="Times New Roman" w:cs="Times New Roman"/>
                      <w:szCs w:val="21"/>
                      <w:lang w:eastAsia="zh-CN"/>
                    </w:rPr>
                    <w:t>转向节</w:t>
                  </w:r>
                </w:p>
              </w:tc>
              <w:tc>
                <w:tcPr>
                  <w:tcW w:w="994" w:type="pct"/>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0.3</w:t>
                  </w:r>
                </w:p>
              </w:tc>
              <w:tc>
                <w:tcPr>
                  <w:tcW w:w="1736" w:type="dxa"/>
                  <w:vAlign w:val="center"/>
                </w:tcPr>
                <w:p>
                  <w:pPr>
                    <w:adjustRightInd w:val="0"/>
                    <w:snapToGrid w:val="0"/>
                    <w:spacing w:line="360" w:lineRule="exact"/>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0.333</w:t>
                  </w:r>
                </w:p>
              </w:tc>
              <w:tc>
                <w:tcPr>
                  <w:tcW w:w="9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continue"/>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138"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eastAsia="zh-CN"/>
                    </w:rPr>
                  </w:pPr>
                  <w:r>
                    <w:rPr>
                      <w:rFonts w:hint="default" w:ascii="Times New Roman" w:hAnsi="Times New Roman" w:cs="Times New Roman"/>
                      <w:szCs w:val="21"/>
                      <w:lang w:eastAsia="zh-CN"/>
                    </w:rPr>
                    <w:t>内、外拉杆</w:t>
                  </w:r>
                </w:p>
              </w:tc>
              <w:tc>
                <w:tcPr>
                  <w:tcW w:w="994" w:type="pct"/>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1.3</w:t>
                  </w:r>
                </w:p>
              </w:tc>
              <w:tc>
                <w:tcPr>
                  <w:tcW w:w="1736" w:type="dxa"/>
                  <w:vAlign w:val="center"/>
                </w:tcPr>
                <w:p>
                  <w:pPr>
                    <w:adjustRightInd w:val="0"/>
                    <w:snapToGrid w:val="0"/>
                    <w:spacing w:line="360" w:lineRule="exact"/>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1.333</w:t>
                  </w:r>
                </w:p>
              </w:tc>
              <w:tc>
                <w:tcPr>
                  <w:tcW w:w="9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97.5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continue"/>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138"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eastAsia="zh-CN"/>
                    </w:rPr>
                  </w:pPr>
                  <w:r>
                    <w:rPr>
                      <w:rFonts w:hint="default" w:ascii="Times New Roman" w:hAnsi="Times New Roman" w:cs="Times New Roman"/>
                      <w:szCs w:val="21"/>
                      <w:lang w:eastAsia="zh-CN"/>
                    </w:rPr>
                    <w:t>主销类</w:t>
                  </w:r>
                </w:p>
              </w:tc>
              <w:tc>
                <w:tcPr>
                  <w:tcW w:w="994" w:type="pct"/>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0.16</w:t>
                  </w:r>
                </w:p>
              </w:tc>
              <w:tc>
                <w:tcPr>
                  <w:tcW w:w="1736" w:type="dxa"/>
                  <w:vAlign w:val="center"/>
                </w:tcPr>
                <w:p>
                  <w:pPr>
                    <w:adjustRightInd w:val="0"/>
                    <w:snapToGrid w:val="0"/>
                    <w:spacing w:line="360" w:lineRule="exact"/>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0.167</w:t>
                  </w:r>
                </w:p>
              </w:tc>
              <w:tc>
                <w:tcPr>
                  <w:tcW w:w="9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95.8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continue"/>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138"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eastAsia="zh-CN"/>
                    </w:rPr>
                  </w:pPr>
                  <w:r>
                    <w:rPr>
                      <w:rFonts w:hint="default" w:ascii="Times New Roman" w:hAnsi="Times New Roman" w:cs="Times New Roman"/>
                      <w:szCs w:val="21"/>
                      <w:lang w:eastAsia="zh-CN"/>
                    </w:rPr>
                    <w:t>稳定连接杆</w:t>
                  </w:r>
                </w:p>
              </w:tc>
              <w:tc>
                <w:tcPr>
                  <w:tcW w:w="994" w:type="pct"/>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0.3</w:t>
                  </w:r>
                </w:p>
              </w:tc>
              <w:tc>
                <w:tcPr>
                  <w:tcW w:w="1736" w:type="dxa"/>
                  <w:vAlign w:val="center"/>
                </w:tcPr>
                <w:p>
                  <w:pPr>
                    <w:adjustRightInd w:val="0"/>
                    <w:snapToGrid w:val="0"/>
                    <w:spacing w:line="360" w:lineRule="exact"/>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0.333</w:t>
                  </w:r>
                </w:p>
              </w:tc>
              <w:tc>
                <w:tcPr>
                  <w:tcW w:w="9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十</w:t>
            </w:r>
            <w:r>
              <w:rPr>
                <w:rFonts w:hint="eastAsia" w:ascii="Times New Roman" w:hAnsi="Times New Roman" w:cs="Times New Roman"/>
                <w:b/>
                <w:bCs/>
                <w:sz w:val="24"/>
                <w:szCs w:val="24"/>
                <w:lang w:val="en-US" w:eastAsia="zh-CN"/>
              </w:rPr>
              <w:t>二</w:t>
            </w:r>
            <w:r>
              <w:rPr>
                <w:rFonts w:hint="default" w:ascii="Times New Roman" w:hAnsi="Times New Roman" w:cs="Times New Roman"/>
                <w:b/>
                <w:bCs/>
                <w:sz w:val="24"/>
                <w:szCs w:val="24"/>
                <w:lang w:val="en-US" w:eastAsia="zh-CN"/>
              </w:rPr>
              <w:t>、验收监测结果：</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1、废气（有组织）：</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eastAsia="zh-CN"/>
              </w:rPr>
              <w:t>本</w:t>
            </w:r>
            <w:r>
              <w:rPr>
                <w:rFonts w:hint="default" w:ascii="Times New Roman" w:hAnsi="Times New Roman" w:cs="Times New Roman" w:eastAsiaTheme="minorEastAsia"/>
                <w:sz w:val="24"/>
                <w:szCs w:val="24"/>
              </w:rPr>
              <w:t>项目</w:t>
            </w:r>
            <w:r>
              <w:rPr>
                <w:rFonts w:hint="eastAsia" w:ascii="Times New Roman" w:hAnsi="Times New Roman" w:cs="Times New Roman"/>
                <w:color w:val="auto"/>
                <w:sz w:val="24"/>
                <w:lang w:eastAsia="zh-CN"/>
              </w:rPr>
              <w:t>锻坯加热炉及热处理炉天然气燃烧废气排放满足《工业炉窑大气污染综合治理方案》(环大气[2019]56号)中要求，锻坯加热、电阻炉废气中油雾排放满足上海市《大气污染物综合排放标准》（DB31/933-2015）中限值，抛丸、抛光、焊接工序颗粒物废气排放满足《大气污染物综合排放标准》(GB16297-1996)中表2排放限值要求</w:t>
            </w:r>
            <w:r>
              <w:rPr>
                <w:rFonts w:hint="default" w:ascii="Times New Roman" w:hAnsi="Times New Roman" w:cs="Times New Roman"/>
                <w:color w:val="auto"/>
                <w:sz w:val="24"/>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-1 废气排放监测结果</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453"/>
              <w:gridCol w:w="1256"/>
              <w:gridCol w:w="1092"/>
              <w:gridCol w:w="413"/>
              <w:gridCol w:w="1514"/>
              <w:gridCol w:w="729"/>
              <w:gridCol w:w="776"/>
              <w:gridCol w:w="508"/>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8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2023.08.01</w:t>
                  </w:r>
                </w:p>
              </w:tc>
              <w:tc>
                <w:tcPr>
                  <w:tcW w:w="6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23"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2023.08.01</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2023.08.03</w:t>
                  </w:r>
                </w:p>
              </w:tc>
              <w:tc>
                <w:tcPr>
                  <w:tcW w:w="73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5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7"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80"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3402"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80"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63" w:type="pct"/>
                  <w:gridSpan w:val="2"/>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15:08～15:34</w:t>
                  </w:r>
                </w:p>
              </w:tc>
              <w:tc>
                <w:tcPr>
                  <w:tcW w:w="86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15:36～16:02</w:t>
                  </w:r>
                </w:p>
              </w:tc>
              <w:tc>
                <w:tcPr>
                  <w:tcW w:w="863"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16:04～16:30</w:t>
                  </w:r>
                </w:p>
              </w:tc>
              <w:tc>
                <w:tcPr>
                  <w:tcW w:w="80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7"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天然气燃烧废气排气筒出口</w:t>
                  </w:r>
                </w:p>
              </w:tc>
              <w:tc>
                <w:tcPr>
                  <w:tcW w:w="98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63"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12358</w:t>
                  </w:r>
                </w:p>
              </w:tc>
              <w:tc>
                <w:tcPr>
                  <w:tcW w:w="86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12009</w:t>
                  </w:r>
                </w:p>
              </w:tc>
              <w:tc>
                <w:tcPr>
                  <w:tcW w:w="863"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13089</w:t>
                  </w:r>
                </w:p>
              </w:tc>
              <w:tc>
                <w:tcPr>
                  <w:tcW w:w="80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6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2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6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3.2</w:t>
                  </w:r>
                </w:p>
              </w:tc>
              <w:tc>
                <w:tcPr>
                  <w:tcW w:w="868"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3.7</w:t>
                  </w:r>
                </w:p>
              </w:tc>
              <w:tc>
                <w:tcPr>
                  <w:tcW w:w="86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3.8</w:t>
                  </w:r>
                </w:p>
              </w:tc>
              <w:tc>
                <w:tcPr>
                  <w:tcW w:w="80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6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6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0.040</w:t>
                  </w:r>
                </w:p>
              </w:tc>
              <w:tc>
                <w:tcPr>
                  <w:tcW w:w="868"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0.044</w:t>
                  </w:r>
                </w:p>
              </w:tc>
              <w:tc>
                <w:tcPr>
                  <w:tcW w:w="86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0.037</w:t>
                  </w:r>
                </w:p>
              </w:tc>
              <w:tc>
                <w:tcPr>
                  <w:tcW w:w="80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6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二氧化硫</w:t>
                  </w:r>
                </w:p>
              </w:tc>
              <w:tc>
                <w:tcPr>
                  <w:tcW w:w="72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6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w:t>
                  </w:r>
                </w:p>
              </w:tc>
              <w:tc>
                <w:tcPr>
                  <w:tcW w:w="868"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w:t>
                  </w:r>
                </w:p>
              </w:tc>
              <w:tc>
                <w:tcPr>
                  <w:tcW w:w="86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w:t>
                  </w:r>
                </w:p>
              </w:tc>
              <w:tc>
                <w:tcPr>
                  <w:tcW w:w="80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6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6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0.210</w:t>
                  </w:r>
                </w:p>
              </w:tc>
              <w:tc>
                <w:tcPr>
                  <w:tcW w:w="868"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0.240</w:t>
                  </w:r>
                </w:p>
              </w:tc>
              <w:tc>
                <w:tcPr>
                  <w:tcW w:w="86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0.222</w:t>
                  </w:r>
                </w:p>
              </w:tc>
              <w:tc>
                <w:tcPr>
                  <w:tcW w:w="80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6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氮氧化物</w:t>
                  </w:r>
                </w:p>
              </w:tc>
              <w:tc>
                <w:tcPr>
                  <w:tcW w:w="72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6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w:t>
                  </w:r>
                </w:p>
              </w:tc>
              <w:tc>
                <w:tcPr>
                  <w:tcW w:w="86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35</w:t>
                  </w:r>
                </w:p>
              </w:tc>
              <w:tc>
                <w:tcPr>
                  <w:tcW w:w="86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33</w:t>
                  </w:r>
                </w:p>
              </w:tc>
              <w:tc>
                <w:tcPr>
                  <w:tcW w:w="80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6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6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0.371</w:t>
                  </w:r>
                </w:p>
              </w:tc>
              <w:tc>
                <w:tcPr>
                  <w:tcW w:w="86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0.420</w:t>
                  </w:r>
                </w:p>
              </w:tc>
              <w:tc>
                <w:tcPr>
                  <w:tcW w:w="86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0.432</w:t>
                  </w:r>
                </w:p>
              </w:tc>
              <w:tc>
                <w:tcPr>
                  <w:tcW w:w="80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82" w:type="pct"/>
                  <w:gridSpan w:val="9"/>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“ND”表示检测结果低于检出限</w:t>
                  </w:r>
                </w:p>
              </w:tc>
            </w:tr>
          </w:tbl>
          <w:tbl>
            <w:tblPr>
              <w:tblStyle w:val="13"/>
              <w:tblpPr w:leftFromText="180" w:rightFromText="180" w:vertAnchor="text" w:horzAnchor="page" w:tblpXSpec="center" w:tblpY="304"/>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426"/>
              <w:gridCol w:w="1261"/>
              <w:gridCol w:w="1099"/>
              <w:gridCol w:w="414"/>
              <w:gridCol w:w="1520"/>
              <w:gridCol w:w="735"/>
              <w:gridCol w:w="778"/>
              <w:gridCol w:w="51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6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2023.08.01</w:t>
                  </w:r>
                </w:p>
              </w:tc>
              <w:tc>
                <w:tcPr>
                  <w:tcW w:w="63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2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2023.08.01</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2023.08.05</w:t>
                  </w:r>
                </w:p>
              </w:tc>
              <w:tc>
                <w:tcPr>
                  <w:tcW w:w="74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51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66"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3416"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16"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66"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67" w:type="pct"/>
                  <w:gridSpan w:val="2"/>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08:59～09:09</w:t>
                  </w:r>
                </w:p>
              </w:tc>
              <w:tc>
                <w:tcPr>
                  <w:tcW w:w="8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09:13～09:23</w:t>
                  </w:r>
                </w:p>
              </w:tc>
              <w:tc>
                <w:tcPr>
                  <w:tcW w:w="86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09:29～09:39</w:t>
                  </w:r>
                </w:p>
              </w:tc>
              <w:tc>
                <w:tcPr>
                  <w:tcW w:w="810"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1#锻坯加热废气排气筒进口</w:t>
                  </w:r>
                </w:p>
              </w:tc>
              <w:tc>
                <w:tcPr>
                  <w:tcW w:w="96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6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16693</w:t>
                  </w:r>
                </w:p>
              </w:tc>
              <w:tc>
                <w:tcPr>
                  <w:tcW w:w="8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16231</w:t>
                  </w:r>
                </w:p>
              </w:tc>
              <w:tc>
                <w:tcPr>
                  <w:tcW w:w="86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15647</w:t>
                  </w:r>
                </w:p>
              </w:tc>
              <w:tc>
                <w:tcPr>
                  <w:tcW w:w="810"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22.2</w:t>
                  </w:r>
                </w:p>
              </w:tc>
              <w:tc>
                <w:tcPr>
                  <w:tcW w:w="871"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22.8</w:t>
                  </w:r>
                </w:p>
              </w:tc>
              <w:tc>
                <w:tcPr>
                  <w:tcW w:w="8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23.8</w:t>
                  </w:r>
                </w:p>
              </w:tc>
              <w:tc>
                <w:tcPr>
                  <w:tcW w:w="81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0.370</w:t>
                  </w:r>
                </w:p>
              </w:tc>
              <w:tc>
                <w:tcPr>
                  <w:tcW w:w="87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0.370</w:t>
                  </w:r>
                </w:p>
              </w:tc>
              <w:tc>
                <w:tcPr>
                  <w:tcW w:w="8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0.372</w:t>
                  </w:r>
                </w:p>
              </w:tc>
              <w:tc>
                <w:tcPr>
                  <w:tcW w:w="81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1#锻坯加热废气排气筒出口</w:t>
                  </w:r>
                </w:p>
              </w:tc>
              <w:tc>
                <w:tcPr>
                  <w:tcW w:w="96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r>
                    <w:rPr>
                      <w:rFonts w:hint="default" w:ascii="Times New Roman" w:hAnsi="Times New Roman" w:eastAsia="宋体" w:cs="Times New Roman"/>
                      <w:sz w:val="21"/>
                      <w:szCs w:val="21"/>
                      <w:lang w:val="en-US" w:eastAsia="zh-CN"/>
                    </w:rPr>
                    <w:t>时段</w:t>
                  </w:r>
                </w:p>
              </w:tc>
              <w:tc>
                <w:tcPr>
                  <w:tcW w:w="867" w:type="pct"/>
                  <w:gridSpan w:val="2"/>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09:51～10:01</w:t>
                  </w:r>
                </w:p>
              </w:tc>
              <w:tc>
                <w:tcPr>
                  <w:tcW w:w="8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10:10～10:20</w:t>
                  </w:r>
                </w:p>
              </w:tc>
              <w:tc>
                <w:tcPr>
                  <w:tcW w:w="86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10:25～10:35</w:t>
                  </w:r>
                </w:p>
              </w:tc>
              <w:tc>
                <w:tcPr>
                  <w:tcW w:w="810"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6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6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21906</w:t>
                  </w:r>
                </w:p>
              </w:tc>
              <w:tc>
                <w:tcPr>
                  <w:tcW w:w="8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25354</w:t>
                  </w:r>
                </w:p>
              </w:tc>
              <w:tc>
                <w:tcPr>
                  <w:tcW w:w="86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21936</w:t>
                  </w:r>
                </w:p>
              </w:tc>
              <w:tc>
                <w:tcPr>
                  <w:tcW w:w="81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23065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0.85</w:t>
                  </w:r>
                </w:p>
              </w:tc>
              <w:tc>
                <w:tcPr>
                  <w:tcW w:w="871"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0.79</w:t>
                  </w:r>
                </w:p>
              </w:tc>
              <w:tc>
                <w:tcPr>
                  <w:tcW w:w="8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0.95</w:t>
                  </w:r>
                </w:p>
              </w:tc>
              <w:tc>
                <w:tcPr>
                  <w:tcW w:w="81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0.019</w:t>
                  </w:r>
                </w:p>
              </w:tc>
              <w:tc>
                <w:tcPr>
                  <w:tcW w:w="87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0.020</w:t>
                  </w:r>
                </w:p>
              </w:tc>
              <w:tc>
                <w:tcPr>
                  <w:tcW w:w="8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0.021</w:t>
                  </w:r>
                </w:p>
              </w:tc>
              <w:tc>
                <w:tcPr>
                  <w:tcW w:w="81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83"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处理效率</w:t>
                  </w:r>
                </w:p>
              </w:tc>
              <w:tc>
                <w:tcPr>
                  <w:tcW w:w="8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96.2%</w:t>
                  </w:r>
                </w:p>
              </w:tc>
              <w:tc>
                <w:tcPr>
                  <w:tcW w:w="87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96.5%</w:t>
                  </w:r>
                </w:p>
              </w:tc>
              <w:tc>
                <w:tcPr>
                  <w:tcW w:w="8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96.1%</w:t>
                  </w:r>
                </w:p>
              </w:tc>
              <w:tc>
                <w:tcPr>
                  <w:tcW w:w="81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8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仿宋" w:hAnsi="仿宋" w:eastAsia="仿宋" w:cs="仿宋"/>
                <w:b/>
                <w:bCs/>
                <w:sz w:val="24"/>
                <w:szCs w:val="24"/>
                <w:lang w:val="en-US" w:eastAsia="zh-CN"/>
              </w:rPr>
            </w:pP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426"/>
              <w:gridCol w:w="1268"/>
              <w:gridCol w:w="1113"/>
              <w:gridCol w:w="410"/>
              <w:gridCol w:w="1529"/>
              <w:gridCol w:w="804"/>
              <w:gridCol w:w="718"/>
              <w:gridCol w:w="671"/>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2023.08.01</w:t>
                  </w:r>
                </w:p>
              </w:tc>
              <w:tc>
                <w:tcPr>
                  <w:tcW w:w="6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73"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2023.08.05</w:t>
                  </w:r>
                </w:p>
              </w:tc>
              <w:tc>
                <w:tcPr>
                  <w:tcW w:w="79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70"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89"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0"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10:54～11:04</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11:09～11:19</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11:22～11:32</w:t>
                  </w:r>
                </w:p>
              </w:tc>
              <w:tc>
                <w:tcPr>
                  <w:tcW w:w="76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2#锻坯加热废气排气筒进口</w:t>
                  </w: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17757</w:t>
                  </w:r>
                </w:p>
              </w:tc>
              <w:tc>
                <w:tcPr>
                  <w:tcW w:w="87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17668</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17408</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24.3</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20.2</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20.4</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0.431</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0.357</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0.355</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2#锻坯加热废气排气筒出口</w:t>
                  </w: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r>
                    <w:rPr>
                      <w:rFonts w:hint="default" w:ascii="Times New Roman" w:hAnsi="Times New Roman" w:eastAsia="宋体" w:cs="Times New Roman"/>
                      <w:sz w:val="21"/>
                      <w:szCs w:val="21"/>
                      <w:lang w:val="en-US" w:eastAsia="zh-CN"/>
                    </w:rPr>
                    <w:t>时段</w:t>
                  </w:r>
                </w:p>
              </w:tc>
              <w:tc>
                <w:tcPr>
                  <w:tcW w:w="873" w:type="pct"/>
                  <w:gridSpan w:val="2"/>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11:50～12:00</w:t>
                  </w:r>
                </w:p>
              </w:tc>
              <w:tc>
                <w:tcPr>
                  <w:tcW w:w="8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12:05～12:15</w:t>
                  </w:r>
                </w:p>
              </w:tc>
              <w:tc>
                <w:tcPr>
                  <w:tcW w:w="873"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12:19～12:29</w:t>
                  </w:r>
                </w:p>
              </w:tc>
              <w:tc>
                <w:tcPr>
                  <w:tcW w:w="765"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19944</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20185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19705</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0.77</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0.92</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0.94</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0.015</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0.018</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0.018</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0"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处理效率</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96.8%</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95.4%</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95.4%</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60" w:type="pct"/>
                  <w:gridSpan w:val="9"/>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Times New Roman" w:hAnsi="Times New Roman" w:eastAsia="宋体" w:cs="Times New Roman"/>
                <w:b/>
                <w:bCs/>
                <w:sz w:val="21"/>
                <w:szCs w:val="21"/>
                <w:lang w:val="en-US" w:eastAsia="zh-CN"/>
              </w:rPr>
            </w:pP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426"/>
              <w:gridCol w:w="1268"/>
              <w:gridCol w:w="1113"/>
              <w:gridCol w:w="410"/>
              <w:gridCol w:w="1529"/>
              <w:gridCol w:w="804"/>
              <w:gridCol w:w="718"/>
              <w:gridCol w:w="671"/>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2023.08.01</w:t>
                  </w:r>
                </w:p>
              </w:tc>
              <w:tc>
                <w:tcPr>
                  <w:tcW w:w="6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73"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2023.08.01</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2023.08.03</w:t>
                  </w:r>
                </w:p>
              </w:tc>
              <w:tc>
                <w:tcPr>
                  <w:tcW w:w="79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70"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89"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0"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14:00～14:30</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14:35～15:05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15:08～15:38</w:t>
                  </w:r>
                </w:p>
              </w:tc>
              <w:tc>
                <w:tcPr>
                  <w:tcW w:w="76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抛光</w:t>
                  </w:r>
                  <w:r>
                    <w:rPr>
                      <w:rFonts w:hint="default" w:ascii="Times New Roman" w:hAnsi="Times New Roman" w:eastAsia="宋体" w:cs="Times New Roman"/>
                      <w:sz w:val="21"/>
                      <w:szCs w:val="21"/>
                      <w:lang w:val="en-US" w:eastAsia="zh-CN"/>
                    </w:rPr>
                    <w:t>废气排气筒进口</w:t>
                  </w: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1272</w:t>
                  </w:r>
                </w:p>
              </w:tc>
              <w:tc>
                <w:tcPr>
                  <w:tcW w:w="87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1349</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1694</w:t>
                  </w:r>
                </w:p>
              </w:tc>
              <w:tc>
                <w:tcPr>
                  <w:tcW w:w="76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41.2</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49.3</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49.9</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0.052</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0.067</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0.085</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抛光</w:t>
                  </w:r>
                  <w:r>
                    <w:rPr>
                      <w:rFonts w:hint="default" w:ascii="Times New Roman" w:hAnsi="Times New Roman" w:eastAsia="宋体" w:cs="Times New Roman"/>
                      <w:sz w:val="21"/>
                      <w:szCs w:val="21"/>
                      <w:lang w:val="en-US" w:eastAsia="zh-CN"/>
                    </w:rPr>
                    <w:t>废气排气筒出口</w:t>
                  </w: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r>
                    <w:rPr>
                      <w:rFonts w:hint="default" w:ascii="Times New Roman" w:hAnsi="Times New Roman" w:eastAsia="宋体" w:cs="Times New Roman"/>
                      <w:sz w:val="21"/>
                      <w:szCs w:val="21"/>
                      <w:lang w:val="en-US" w:eastAsia="zh-CN"/>
                    </w:rPr>
                    <w:t>时段</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14:00～14:30</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14:35～15:05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15:11～15:41</w:t>
                  </w:r>
                </w:p>
              </w:tc>
              <w:tc>
                <w:tcPr>
                  <w:tcW w:w="765"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1347</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1705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1970</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3.8</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3.1</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4.6</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0.005</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0.005</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0.009</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0"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处理效率</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90.8%</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93.7%</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90.8%</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60" w:type="pct"/>
                  <w:gridSpan w:val="9"/>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Times New Roman" w:hAnsi="Times New Roman" w:eastAsia="宋体" w:cs="Times New Roman"/>
                <w:b/>
                <w:bCs/>
                <w:sz w:val="21"/>
                <w:szCs w:val="21"/>
                <w:lang w:val="en-US" w:eastAsia="zh-CN"/>
              </w:rPr>
            </w:pP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426"/>
              <w:gridCol w:w="1266"/>
              <w:gridCol w:w="1036"/>
              <w:gridCol w:w="485"/>
              <w:gridCol w:w="1530"/>
              <w:gridCol w:w="805"/>
              <w:gridCol w:w="720"/>
              <w:gridCol w:w="673"/>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2023.08.01</w:t>
                  </w:r>
                </w:p>
              </w:tc>
              <w:tc>
                <w:tcPr>
                  <w:tcW w:w="59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622"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2023.08.01</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2023.08.03</w:t>
                  </w:r>
                </w:p>
              </w:tc>
              <w:tc>
                <w:tcPr>
                  <w:tcW w:w="80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9"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99"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9"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16:40～17:10</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17:12～17:42</w:t>
                  </w:r>
                </w:p>
              </w:tc>
              <w:tc>
                <w:tcPr>
                  <w:tcW w:w="87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17:44～18:14</w:t>
                  </w:r>
                </w:p>
              </w:tc>
              <w:tc>
                <w:tcPr>
                  <w:tcW w:w="76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抛丸废气排气筒</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出口</w:t>
                  </w:r>
                </w:p>
              </w:tc>
              <w:tc>
                <w:tcPr>
                  <w:tcW w:w="9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8170</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8254</w:t>
                  </w:r>
                </w:p>
              </w:tc>
              <w:tc>
                <w:tcPr>
                  <w:tcW w:w="87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8211</w:t>
                  </w:r>
                </w:p>
              </w:tc>
              <w:tc>
                <w:tcPr>
                  <w:tcW w:w="76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5.6</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6.0</w:t>
                  </w:r>
                </w:p>
              </w:tc>
              <w:tc>
                <w:tcPr>
                  <w:tcW w:w="87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7.1</w:t>
                  </w:r>
                </w:p>
              </w:tc>
              <w:tc>
                <w:tcPr>
                  <w:tcW w:w="76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0.046</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0.050</w:t>
                  </w:r>
                </w:p>
              </w:tc>
              <w:tc>
                <w:tcPr>
                  <w:tcW w:w="87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0.058</w:t>
                  </w:r>
                </w:p>
              </w:tc>
              <w:tc>
                <w:tcPr>
                  <w:tcW w:w="76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58" w:type="pct"/>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r>
          </w:tbl>
          <w:p>
            <w:pPr>
              <w:rPr>
                <w:rFonts w:hint="default" w:ascii="Times New Roman" w:hAnsi="Times New Roman" w:eastAsia="宋体" w:cs="Times New Roman"/>
                <w:sz w:val="21"/>
                <w:szCs w:val="21"/>
              </w:rPr>
            </w:pP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426"/>
              <w:gridCol w:w="1267"/>
              <w:gridCol w:w="1113"/>
              <w:gridCol w:w="410"/>
              <w:gridCol w:w="1529"/>
              <w:gridCol w:w="804"/>
              <w:gridCol w:w="718"/>
              <w:gridCol w:w="670"/>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2023.08.01</w:t>
                  </w:r>
                </w:p>
              </w:tc>
              <w:tc>
                <w:tcPr>
                  <w:tcW w:w="6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73"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2023.08.01</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2023.08.05</w:t>
                  </w:r>
                </w:p>
              </w:tc>
              <w:tc>
                <w:tcPr>
                  <w:tcW w:w="79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8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71"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91"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1"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09:18～09:38</w:t>
                  </w:r>
                </w:p>
              </w:tc>
              <w:tc>
                <w:tcPr>
                  <w:tcW w:w="87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09:40～10:00</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10:04～10:24</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电阻炉</w:t>
                  </w:r>
                  <w:r>
                    <w:rPr>
                      <w:rFonts w:hint="eastAsia" w:ascii="Times New Roman" w:hAnsi="Times New Roman" w:eastAsia="宋体" w:cs="Times New Roman"/>
                      <w:sz w:val="21"/>
                      <w:szCs w:val="21"/>
                      <w:lang w:val="en-US" w:eastAsia="zh-CN"/>
                    </w:rPr>
                    <w:t>和焊接</w:t>
                  </w:r>
                  <w:r>
                    <w:rPr>
                      <w:rFonts w:hint="default" w:ascii="Times New Roman" w:hAnsi="Times New Roman" w:eastAsia="宋体" w:cs="Times New Roman"/>
                      <w:sz w:val="21"/>
                      <w:szCs w:val="21"/>
                      <w:lang w:val="en-US" w:eastAsia="zh-CN"/>
                    </w:rPr>
                    <w:t>废气排气筒进口</w:t>
                  </w:r>
                </w:p>
              </w:tc>
              <w:tc>
                <w:tcPr>
                  <w:tcW w:w="9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918</w:t>
                  </w:r>
                </w:p>
              </w:tc>
              <w:tc>
                <w:tcPr>
                  <w:tcW w:w="87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899</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905</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48.1</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49.8</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48.4</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0.044</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0.045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0.044</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kern w:val="2"/>
                      <w:sz w:val="21"/>
                      <w:szCs w:val="21"/>
                      <w:vertAlign w:val="baseline"/>
                      <w:lang w:val="en-US" w:eastAsia="zh-CN" w:bidi="ar-SA"/>
                    </w:rPr>
                    <w:t>检测时段</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13:25～13:35</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13:26～13:46</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13:48～13:58</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960</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981</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983</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26.8</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26.6</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26.8</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0.026</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0.026</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0.026</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电阻炉</w:t>
                  </w:r>
                  <w:r>
                    <w:rPr>
                      <w:rFonts w:hint="eastAsia" w:ascii="Times New Roman" w:hAnsi="Times New Roman" w:eastAsia="宋体" w:cs="Times New Roman"/>
                      <w:sz w:val="21"/>
                      <w:szCs w:val="21"/>
                      <w:lang w:val="en-US" w:eastAsia="zh-CN"/>
                    </w:rPr>
                    <w:t>和焊接</w:t>
                  </w:r>
                  <w:r>
                    <w:rPr>
                      <w:rFonts w:hint="default" w:ascii="Times New Roman" w:hAnsi="Times New Roman" w:eastAsia="宋体" w:cs="Times New Roman"/>
                      <w:sz w:val="21"/>
                      <w:szCs w:val="21"/>
                      <w:lang w:val="en-US" w:eastAsia="zh-CN"/>
                    </w:rPr>
                    <w:t>废气排气筒出口</w:t>
                  </w:r>
                </w:p>
              </w:tc>
              <w:tc>
                <w:tcPr>
                  <w:tcW w:w="9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r>
                    <w:rPr>
                      <w:rFonts w:hint="default" w:ascii="Times New Roman" w:hAnsi="Times New Roman" w:eastAsia="宋体" w:cs="Times New Roman"/>
                      <w:sz w:val="21"/>
                      <w:szCs w:val="21"/>
                      <w:lang w:val="en-US" w:eastAsia="zh-CN"/>
                    </w:rPr>
                    <w:t>时段</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10:28～10:58</w:t>
                  </w:r>
                </w:p>
              </w:tc>
              <w:tc>
                <w:tcPr>
                  <w:tcW w:w="87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11:00～11:30</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11:31～12:01</w:t>
                  </w:r>
                </w:p>
              </w:tc>
              <w:tc>
                <w:tcPr>
                  <w:tcW w:w="76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992</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961</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970</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4.4</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4.8</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4.4</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0.004</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0.004</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处理效率</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90.9%</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90.4%</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90.9%</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kern w:val="2"/>
                      <w:sz w:val="21"/>
                      <w:szCs w:val="21"/>
                      <w:vertAlign w:val="baseline"/>
                      <w:lang w:val="en-US" w:eastAsia="zh-CN" w:bidi="ar-SA"/>
                    </w:rPr>
                    <w:t>检测时段</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14:06～14:21</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14:22～14:37</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14:39～14:54</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1018</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1011</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1062</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1.16</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1.04</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0.96</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0.001</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0.001</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0.001</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08"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处理效率</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95.7%</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96.1%</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96.4%</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62" w:type="pct"/>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Times New Roman" w:hAnsi="Times New Roman" w:eastAsia="宋体" w:cs="Times New Roman"/>
                <w:b/>
                <w:bCs/>
                <w:sz w:val="21"/>
                <w:szCs w:val="21"/>
                <w:lang w:val="en-US" w:eastAsia="zh-CN"/>
              </w:rPr>
            </w:pPr>
          </w:p>
          <w:p>
            <w:pPr>
              <w:rPr>
                <w:rFonts w:hint="default" w:ascii="Times New Roman" w:hAnsi="Times New Roman" w:eastAsia="宋体" w:cs="Times New Roman"/>
                <w:sz w:val="21"/>
                <w:szCs w:val="21"/>
                <w:lang w:val="en-US" w:eastAsia="zh-CN"/>
              </w:rPr>
            </w:pP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426"/>
              <w:gridCol w:w="1258"/>
              <w:gridCol w:w="1099"/>
              <w:gridCol w:w="414"/>
              <w:gridCol w:w="1520"/>
              <w:gridCol w:w="733"/>
              <w:gridCol w:w="780"/>
              <w:gridCol w:w="512"/>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p>
              </w:tc>
              <w:tc>
                <w:tcPr>
                  <w:tcW w:w="63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34"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2023.08.04</w:t>
                  </w:r>
                </w:p>
              </w:tc>
              <w:tc>
                <w:tcPr>
                  <w:tcW w:w="74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5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2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2"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3425"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2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2"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1" w:type="pct"/>
                  <w:gridSpan w:val="2"/>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13:05～13:31</w:t>
                  </w:r>
                </w:p>
              </w:tc>
              <w:tc>
                <w:tcPr>
                  <w:tcW w:w="8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13:33～13:59</w:t>
                  </w:r>
                </w:p>
              </w:tc>
              <w:tc>
                <w:tcPr>
                  <w:tcW w:w="871"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14:01～14:27</w:t>
                  </w:r>
                </w:p>
              </w:tc>
              <w:tc>
                <w:tcPr>
                  <w:tcW w:w="809"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2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天然气燃烧废气排气筒出口</w:t>
                  </w:r>
                </w:p>
              </w:tc>
              <w:tc>
                <w:tcPr>
                  <w:tcW w:w="952"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1"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13482</w:t>
                  </w:r>
                </w:p>
              </w:tc>
              <w:tc>
                <w:tcPr>
                  <w:tcW w:w="8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12726</w:t>
                  </w:r>
                </w:p>
              </w:tc>
              <w:tc>
                <w:tcPr>
                  <w:tcW w:w="871"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11090</w:t>
                  </w:r>
                </w:p>
              </w:tc>
              <w:tc>
                <w:tcPr>
                  <w:tcW w:w="80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2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2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w:t>
                  </w:r>
                </w:p>
              </w:tc>
              <w:tc>
                <w:tcPr>
                  <w:tcW w:w="873"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3.9</w:t>
                  </w:r>
                </w:p>
              </w:tc>
              <w:tc>
                <w:tcPr>
                  <w:tcW w:w="8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2.6</w:t>
                  </w:r>
                </w:p>
              </w:tc>
              <w:tc>
                <w:tcPr>
                  <w:tcW w:w="80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2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2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0.040</w:t>
                  </w:r>
                </w:p>
              </w:tc>
              <w:tc>
                <w:tcPr>
                  <w:tcW w:w="873"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0.050</w:t>
                  </w:r>
                </w:p>
              </w:tc>
              <w:tc>
                <w:tcPr>
                  <w:tcW w:w="8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0.029</w:t>
                  </w:r>
                </w:p>
              </w:tc>
              <w:tc>
                <w:tcPr>
                  <w:tcW w:w="80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2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2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二氧化硫</w:t>
                  </w:r>
                </w:p>
              </w:tc>
              <w:tc>
                <w:tcPr>
                  <w:tcW w:w="7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22</w:t>
                  </w:r>
                </w:p>
              </w:tc>
              <w:tc>
                <w:tcPr>
                  <w:tcW w:w="873"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w:t>
                  </w:r>
                </w:p>
              </w:tc>
              <w:tc>
                <w:tcPr>
                  <w:tcW w:w="8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w:t>
                  </w:r>
                </w:p>
              </w:tc>
              <w:tc>
                <w:tcPr>
                  <w:tcW w:w="80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2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2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0.297</w:t>
                  </w:r>
                </w:p>
              </w:tc>
              <w:tc>
                <w:tcPr>
                  <w:tcW w:w="873"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0.216</w:t>
                  </w:r>
                </w:p>
              </w:tc>
              <w:tc>
                <w:tcPr>
                  <w:tcW w:w="8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0.188</w:t>
                  </w:r>
                </w:p>
              </w:tc>
              <w:tc>
                <w:tcPr>
                  <w:tcW w:w="80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2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p>
              </w:tc>
              <w:tc>
                <w:tcPr>
                  <w:tcW w:w="22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氮氧化物</w:t>
                  </w:r>
                </w:p>
              </w:tc>
              <w:tc>
                <w:tcPr>
                  <w:tcW w:w="7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40</w:t>
                  </w:r>
                </w:p>
              </w:tc>
              <w:tc>
                <w:tcPr>
                  <w:tcW w:w="87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w:t>
                  </w:r>
                </w:p>
              </w:tc>
              <w:tc>
                <w:tcPr>
                  <w:tcW w:w="8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w:t>
                  </w:r>
                </w:p>
              </w:tc>
              <w:tc>
                <w:tcPr>
                  <w:tcW w:w="80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2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2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0.539</w:t>
                  </w:r>
                </w:p>
              </w:tc>
              <w:tc>
                <w:tcPr>
                  <w:tcW w:w="87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0.382</w:t>
                  </w:r>
                </w:p>
              </w:tc>
              <w:tc>
                <w:tcPr>
                  <w:tcW w:w="8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0.333</w:t>
                  </w:r>
                </w:p>
              </w:tc>
              <w:tc>
                <w:tcPr>
                  <w:tcW w:w="80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77" w:type="pct"/>
                  <w:gridSpan w:val="9"/>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“ND”表示检测结果低于检出限</w:t>
                  </w:r>
                </w:p>
              </w:tc>
            </w:tr>
          </w:tbl>
          <w:tbl>
            <w:tblPr>
              <w:tblStyle w:val="13"/>
              <w:tblpPr w:leftFromText="180" w:rightFromText="180" w:vertAnchor="text" w:horzAnchor="page" w:tblpXSpec="center" w:tblpY="304"/>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426"/>
              <w:gridCol w:w="1261"/>
              <w:gridCol w:w="1099"/>
              <w:gridCol w:w="413"/>
              <w:gridCol w:w="1521"/>
              <w:gridCol w:w="732"/>
              <w:gridCol w:w="779"/>
              <w:gridCol w:w="513"/>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p>
              </w:tc>
              <w:tc>
                <w:tcPr>
                  <w:tcW w:w="63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2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2023.08.06</w:t>
                  </w:r>
                </w:p>
              </w:tc>
              <w:tc>
                <w:tcPr>
                  <w:tcW w:w="74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5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8"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67"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3414"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18"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67"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67" w:type="pct"/>
                  <w:gridSpan w:val="2"/>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08:37～08:47</w:t>
                  </w:r>
                </w:p>
              </w:tc>
              <w:tc>
                <w:tcPr>
                  <w:tcW w:w="8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08:50～09:00</w:t>
                  </w:r>
                </w:p>
              </w:tc>
              <w:tc>
                <w:tcPr>
                  <w:tcW w:w="86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09:02～09:12</w:t>
                  </w:r>
                </w:p>
              </w:tc>
              <w:tc>
                <w:tcPr>
                  <w:tcW w:w="806"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8"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1#锻坯加热废气排气筒进口</w:t>
                  </w:r>
                </w:p>
              </w:tc>
              <w:tc>
                <w:tcPr>
                  <w:tcW w:w="9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6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16959</w:t>
                  </w:r>
                </w:p>
              </w:tc>
              <w:tc>
                <w:tcPr>
                  <w:tcW w:w="8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16647</w:t>
                  </w:r>
                </w:p>
              </w:tc>
              <w:tc>
                <w:tcPr>
                  <w:tcW w:w="86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16872</w:t>
                  </w:r>
                </w:p>
              </w:tc>
              <w:tc>
                <w:tcPr>
                  <w:tcW w:w="80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8"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21.5</w:t>
                  </w:r>
                </w:p>
              </w:tc>
              <w:tc>
                <w:tcPr>
                  <w:tcW w:w="872"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21.6</w:t>
                  </w:r>
                </w:p>
              </w:tc>
              <w:tc>
                <w:tcPr>
                  <w:tcW w:w="8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21.3</w:t>
                  </w:r>
                </w:p>
              </w:tc>
              <w:tc>
                <w:tcPr>
                  <w:tcW w:w="80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8"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0.365</w:t>
                  </w:r>
                </w:p>
              </w:tc>
              <w:tc>
                <w:tcPr>
                  <w:tcW w:w="872"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0.360</w:t>
                  </w:r>
                </w:p>
              </w:tc>
              <w:tc>
                <w:tcPr>
                  <w:tcW w:w="8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0.359</w:t>
                  </w:r>
                </w:p>
              </w:tc>
              <w:tc>
                <w:tcPr>
                  <w:tcW w:w="80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8"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1#锻坯加热废气排气筒出口</w:t>
                  </w:r>
                </w:p>
              </w:tc>
              <w:tc>
                <w:tcPr>
                  <w:tcW w:w="9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r>
                    <w:rPr>
                      <w:rFonts w:hint="default" w:ascii="Times New Roman" w:hAnsi="Times New Roman" w:eastAsia="宋体" w:cs="Times New Roman"/>
                      <w:sz w:val="21"/>
                      <w:szCs w:val="21"/>
                      <w:lang w:val="en-US" w:eastAsia="zh-CN"/>
                    </w:rPr>
                    <w:t>时段</w:t>
                  </w:r>
                </w:p>
              </w:tc>
              <w:tc>
                <w:tcPr>
                  <w:tcW w:w="867" w:type="pct"/>
                  <w:gridSpan w:val="2"/>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09:25～09:35</w:t>
                  </w:r>
                </w:p>
              </w:tc>
              <w:tc>
                <w:tcPr>
                  <w:tcW w:w="8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09:37～09:47</w:t>
                  </w:r>
                </w:p>
              </w:tc>
              <w:tc>
                <w:tcPr>
                  <w:tcW w:w="86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09:50～10:00</w:t>
                  </w:r>
                </w:p>
              </w:tc>
              <w:tc>
                <w:tcPr>
                  <w:tcW w:w="806"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8"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6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21736</w:t>
                  </w:r>
                </w:p>
              </w:tc>
              <w:tc>
                <w:tcPr>
                  <w:tcW w:w="8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22297</w:t>
                  </w:r>
                </w:p>
              </w:tc>
              <w:tc>
                <w:tcPr>
                  <w:tcW w:w="86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22119</w:t>
                  </w:r>
                </w:p>
              </w:tc>
              <w:tc>
                <w:tcPr>
                  <w:tcW w:w="80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8"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1.13</w:t>
                  </w:r>
                </w:p>
              </w:tc>
              <w:tc>
                <w:tcPr>
                  <w:tcW w:w="872"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1.07</w:t>
                  </w:r>
                </w:p>
              </w:tc>
              <w:tc>
                <w:tcPr>
                  <w:tcW w:w="8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1.08</w:t>
                  </w:r>
                </w:p>
              </w:tc>
              <w:tc>
                <w:tcPr>
                  <w:tcW w:w="80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8"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0.024</w:t>
                  </w:r>
                </w:p>
              </w:tc>
              <w:tc>
                <w:tcPr>
                  <w:tcW w:w="872"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0.024</w:t>
                  </w:r>
                </w:p>
              </w:tc>
              <w:tc>
                <w:tcPr>
                  <w:tcW w:w="8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0.024</w:t>
                  </w:r>
                </w:p>
              </w:tc>
              <w:tc>
                <w:tcPr>
                  <w:tcW w:w="80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85"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处理效率</w:t>
                  </w:r>
                </w:p>
              </w:tc>
              <w:tc>
                <w:tcPr>
                  <w:tcW w:w="8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94.7%</w:t>
                  </w:r>
                </w:p>
              </w:tc>
              <w:tc>
                <w:tcPr>
                  <w:tcW w:w="872"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95.0%</w:t>
                  </w:r>
                </w:p>
              </w:tc>
              <w:tc>
                <w:tcPr>
                  <w:tcW w:w="8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94.9%</w:t>
                  </w:r>
                </w:p>
              </w:tc>
              <w:tc>
                <w:tcPr>
                  <w:tcW w:w="80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81" w:type="pct"/>
                  <w:gridSpan w:val="9"/>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Times New Roman" w:hAnsi="Times New Roman" w:eastAsia="宋体" w:cs="Times New Roman"/>
                <w:b/>
                <w:bCs/>
                <w:sz w:val="21"/>
                <w:szCs w:val="21"/>
                <w:lang w:val="en-US" w:eastAsia="zh-CN"/>
              </w:rPr>
            </w:pP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426"/>
              <w:gridCol w:w="1268"/>
              <w:gridCol w:w="1113"/>
              <w:gridCol w:w="410"/>
              <w:gridCol w:w="1529"/>
              <w:gridCol w:w="804"/>
              <w:gridCol w:w="718"/>
              <w:gridCol w:w="671"/>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p>
              </w:tc>
              <w:tc>
                <w:tcPr>
                  <w:tcW w:w="6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73"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2023.08.06</w:t>
                  </w:r>
                </w:p>
              </w:tc>
              <w:tc>
                <w:tcPr>
                  <w:tcW w:w="79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70"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89"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0"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10:17～10:27</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10:30～10:40</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10:43～10:53</w:t>
                  </w:r>
                </w:p>
              </w:tc>
              <w:tc>
                <w:tcPr>
                  <w:tcW w:w="76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2#锻坯加热废气排气筒进口</w:t>
                  </w: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18277</w:t>
                  </w:r>
                </w:p>
              </w:tc>
              <w:tc>
                <w:tcPr>
                  <w:tcW w:w="87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19012</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19040</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18776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19.7</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19.2</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21.0</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0.360</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0.365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0.400</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2#锻坯加热废气排气筒出口</w:t>
                  </w: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r>
                    <w:rPr>
                      <w:rFonts w:hint="default" w:ascii="Times New Roman" w:hAnsi="Times New Roman" w:eastAsia="宋体" w:cs="Times New Roman"/>
                      <w:sz w:val="21"/>
                      <w:szCs w:val="21"/>
                      <w:lang w:val="en-US" w:eastAsia="zh-CN"/>
                    </w:rPr>
                    <w:t>时段</w:t>
                  </w:r>
                </w:p>
              </w:tc>
              <w:tc>
                <w:tcPr>
                  <w:tcW w:w="873" w:type="pct"/>
                  <w:gridSpan w:val="2"/>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11:05～11:15</w:t>
                  </w:r>
                </w:p>
              </w:tc>
              <w:tc>
                <w:tcPr>
                  <w:tcW w:w="8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11:18～11:28</w:t>
                  </w:r>
                </w:p>
              </w:tc>
              <w:tc>
                <w:tcPr>
                  <w:tcW w:w="873"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11:31～11:41</w:t>
                  </w:r>
                </w:p>
              </w:tc>
              <w:tc>
                <w:tcPr>
                  <w:tcW w:w="765"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23426</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23275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23401</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23367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1.13</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1.11</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1.10</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0.026</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0.026</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0.026</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0"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处理效率</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94.3</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94.2</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94.8</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60" w:type="pct"/>
                  <w:gridSpan w:val="9"/>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Times New Roman" w:hAnsi="Times New Roman" w:eastAsia="宋体" w:cs="Times New Roman"/>
                <w:b/>
                <w:bCs/>
                <w:sz w:val="21"/>
                <w:szCs w:val="21"/>
                <w:lang w:val="en-US" w:eastAsia="zh-CN"/>
              </w:rPr>
            </w:pP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426"/>
              <w:gridCol w:w="1268"/>
              <w:gridCol w:w="1113"/>
              <w:gridCol w:w="410"/>
              <w:gridCol w:w="1529"/>
              <w:gridCol w:w="804"/>
              <w:gridCol w:w="718"/>
              <w:gridCol w:w="671"/>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p>
              </w:tc>
              <w:tc>
                <w:tcPr>
                  <w:tcW w:w="6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73"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2023.08.04</w:t>
                  </w:r>
                </w:p>
              </w:tc>
              <w:tc>
                <w:tcPr>
                  <w:tcW w:w="79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70"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89"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0"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13:30～14:00</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14:05～14:35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14:39～15:09</w:t>
                  </w:r>
                </w:p>
              </w:tc>
              <w:tc>
                <w:tcPr>
                  <w:tcW w:w="76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抛光</w:t>
                  </w:r>
                  <w:r>
                    <w:rPr>
                      <w:rFonts w:hint="default" w:ascii="Times New Roman" w:hAnsi="Times New Roman" w:eastAsia="宋体" w:cs="Times New Roman"/>
                      <w:sz w:val="21"/>
                      <w:szCs w:val="21"/>
                      <w:lang w:val="en-US" w:eastAsia="zh-CN"/>
                    </w:rPr>
                    <w:t>废气排气筒进口</w:t>
                  </w: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1875</w:t>
                  </w:r>
                </w:p>
              </w:tc>
              <w:tc>
                <w:tcPr>
                  <w:tcW w:w="87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1926</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1882</w:t>
                  </w:r>
                </w:p>
              </w:tc>
              <w:tc>
                <w:tcPr>
                  <w:tcW w:w="76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49.4</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40.8</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44.5</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0.093</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0.079</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0.084</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抛光</w:t>
                  </w:r>
                  <w:r>
                    <w:rPr>
                      <w:rFonts w:hint="default" w:ascii="Times New Roman" w:hAnsi="Times New Roman" w:eastAsia="宋体" w:cs="Times New Roman"/>
                      <w:sz w:val="21"/>
                      <w:szCs w:val="21"/>
                      <w:lang w:val="en-US" w:eastAsia="zh-CN"/>
                    </w:rPr>
                    <w:t>废气排气筒出口</w:t>
                  </w: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r>
                    <w:rPr>
                      <w:rFonts w:hint="default" w:ascii="Times New Roman" w:hAnsi="Times New Roman" w:eastAsia="宋体" w:cs="Times New Roman"/>
                      <w:sz w:val="21"/>
                      <w:szCs w:val="21"/>
                      <w:lang w:val="en-US" w:eastAsia="zh-CN"/>
                    </w:rPr>
                    <w:t>时段</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13:32～14:02</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14:05～14:35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14:39～15:09</w:t>
                  </w:r>
                </w:p>
              </w:tc>
              <w:tc>
                <w:tcPr>
                  <w:tcW w:w="765"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2133</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2132</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2128</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2.3</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2.7</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0.005</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0.006</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0.005</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0"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处理效率</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95.3%</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93.4%</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94.4%</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vertAlign w:val="baseline"/>
                      <w:lang w:val="en-US" w:eastAsia="zh-CN"/>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3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60" w:type="pct"/>
                  <w:gridSpan w:val="9"/>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Times New Roman" w:hAnsi="Times New Roman" w:eastAsia="宋体" w:cs="Times New Roman"/>
                <w:b/>
                <w:bCs/>
                <w:sz w:val="21"/>
                <w:szCs w:val="21"/>
                <w:lang w:val="en-US" w:eastAsia="zh-CN"/>
              </w:rPr>
            </w:pP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426"/>
              <w:gridCol w:w="1265"/>
              <w:gridCol w:w="1096"/>
              <w:gridCol w:w="426"/>
              <w:gridCol w:w="1530"/>
              <w:gridCol w:w="797"/>
              <w:gridCol w:w="725"/>
              <w:gridCol w:w="666"/>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p>
              </w:tc>
              <w:tc>
                <w:tcPr>
                  <w:tcW w:w="63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84"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2023.08.04</w:t>
                  </w:r>
                </w:p>
              </w:tc>
              <w:tc>
                <w:tcPr>
                  <w:tcW w:w="80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8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8"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400"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16:14～16:44</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16:45～17:15</w:t>
                  </w:r>
                </w:p>
              </w:tc>
              <w:tc>
                <w:tcPr>
                  <w:tcW w:w="87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17:17～17:47</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抛丸废气排气筒</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出口</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8142</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8246</w:t>
                  </w:r>
                </w:p>
              </w:tc>
              <w:tc>
                <w:tcPr>
                  <w:tcW w:w="87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8158</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6.9</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5.0</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9.1</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0.056</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0.041</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0.074</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59" w:type="pct"/>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r>
          </w:tbl>
          <w:p>
            <w:pPr>
              <w:rPr>
                <w:rFonts w:hint="default" w:ascii="Times New Roman" w:hAnsi="Times New Roman" w:eastAsia="宋体" w:cs="Times New Roman"/>
                <w:sz w:val="21"/>
                <w:szCs w:val="21"/>
              </w:rPr>
            </w:pP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426"/>
              <w:gridCol w:w="1264"/>
              <w:gridCol w:w="1113"/>
              <w:gridCol w:w="410"/>
              <w:gridCol w:w="1529"/>
              <w:gridCol w:w="804"/>
              <w:gridCol w:w="718"/>
              <w:gridCol w:w="670"/>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6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p>
              </w:tc>
              <w:tc>
                <w:tcPr>
                  <w:tcW w:w="6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73"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2023.08.06</w:t>
                  </w:r>
                </w:p>
              </w:tc>
              <w:tc>
                <w:tcPr>
                  <w:tcW w:w="79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8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69"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92"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69"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08:47～09:09</w:t>
                  </w:r>
                </w:p>
              </w:tc>
              <w:tc>
                <w:tcPr>
                  <w:tcW w:w="87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09:10～09:30</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09:32～09:52</w:t>
                  </w:r>
                </w:p>
              </w:tc>
              <w:tc>
                <w:tcPr>
                  <w:tcW w:w="76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电阻炉</w:t>
                  </w:r>
                  <w:r>
                    <w:rPr>
                      <w:rFonts w:hint="eastAsia" w:ascii="Times New Roman" w:hAnsi="Times New Roman" w:eastAsia="宋体" w:cs="Times New Roman"/>
                      <w:sz w:val="21"/>
                      <w:szCs w:val="21"/>
                      <w:lang w:val="en-US" w:eastAsia="zh-CN"/>
                    </w:rPr>
                    <w:t>和焊接</w:t>
                  </w:r>
                  <w:r>
                    <w:rPr>
                      <w:rFonts w:hint="default" w:ascii="Times New Roman" w:hAnsi="Times New Roman" w:eastAsia="宋体" w:cs="Times New Roman"/>
                      <w:sz w:val="21"/>
                      <w:szCs w:val="21"/>
                      <w:lang w:val="en-US" w:eastAsia="zh-CN"/>
                    </w:rPr>
                    <w:t>废气排气筒进口</w:t>
                  </w:r>
                </w:p>
              </w:tc>
              <w:tc>
                <w:tcPr>
                  <w:tcW w:w="96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1022</w:t>
                  </w:r>
                </w:p>
              </w:tc>
              <w:tc>
                <w:tcPr>
                  <w:tcW w:w="87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1024</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960</w:t>
                  </w:r>
                </w:p>
              </w:tc>
              <w:tc>
                <w:tcPr>
                  <w:tcW w:w="76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48.7</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49.3</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49.1</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0.050</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0.050</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0.047</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6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kern w:val="2"/>
                      <w:sz w:val="21"/>
                      <w:szCs w:val="21"/>
                      <w:vertAlign w:val="baseline"/>
                      <w:lang w:val="en-US" w:eastAsia="zh-CN" w:bidi="ar-SA"/>
                    </w:rPr>
                    <w:t>检测时段</w:t>
                  </w:r>
                </w:p>
              </w:tc>
              <w:tc>
                <w:tcPr>
                  <w:tcW w:w="873" w:type="pct"/>
                  <w:gridSpan w:val="2"/>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14:41～14:51</w:t>
                  </w:r>
                </w:p>
              </w:tc>
              <w:tc>
                <w:tcPr>
                  <w:tcW w:w="8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14:52～15:02</w:t>
                  </w:r>
                </w:p>
              </w:tc>
              <w:tc>
                <w:tcPr>
                  <w:tcW w:w="873"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15:03～15:13</w:t>
                  </w:r>
                </w:p>
              </w:tc>
              <w:tc>
                <w:tcPr>
                  <w:tcW w:w="76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6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981</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965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975</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22.3</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22.8</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23.3</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0.022</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0.022</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0.023</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电阻炉</w:t>
                  </w:r>
                  <w:r>
                    <w:rPr>
                      <w:rFonts w:hint="eastAsia" w:ascii="Times New Roman" w:hAnsi="Times New Roman" w:eastAsia="宋体" w:cs="Times New Roman"/>
                      <w:sz w:val="21"/>
                      <w:szCs w:val="21"/>
                      <w:lang w:val="en-US" w:eastAsia="zh-CN"/>
                    </w:rPr>
                    <w:t>和焊接</w:t>
                  </w:r>
                  <w:r>
                    <w:rPr>
                      <w:rFonts w:hint="default" w:ascii="Times New Roman" w:hAnsi="Times New Roman" w:eastAsia="宋体" w:cs="Times New Roman"/>
                      <w:sz w:val="21"/>
                      <w:szCs w:val="21"/>
                      <w:lang w:val="en-US" w:eastAsia="zh-CN"/>
                    </w:rPr>
                    <w:t>废气排气筒出口</w:t>
                  </w:r>
                </w:p>
              </w:tc>
              <w:tc>
                <w:tcPr>
                  <w:tcW w:w="96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r>
                    <w:rPr>
                      <w:rFonts w:hint="default" w:ascii="Times New Roman" w:hAnsi="Times New Roman" w:eastAsia="宋体" w:cs="Times New Roman"/>
                      <w:sz w:val="21"/>
                      <w:szCs w:val="21"/>
                      <w:lang w:val="en-US" w:eastAsia="zh-CN"/>
                    </w:rPr>
                    <w:t>时段</w:t>
                  </w:r>
                </w:p>
              </w:tc>
              <w:tc>
                <w:tcPr>
                  <w:tcW w:w="873" w:type="pct"/>
                  <w:gridSpan w:val="2"/>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09:59～10:29</w:t>
                  </w:r>
                </w:p>
              </w:tc>
              <w:tc>
                <w:tcPr>
                  <w:tcW w:w="8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10:31～11:01</w:t>
                  </w:r>
                </w:p>
              </w:tc>
              <w:tc>
                <w:tcPr>
                  <w:tcW w:w="873"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11:03～11:33</w:t>
                  </w:r>
                </w:p>
              </w:tc>
              <w:tc>
                <w:tcPr>
                  <w:tcW w:w="768"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6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1002</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1002</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993</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4.6</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4.4</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4.9</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0.005</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0.004</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0.005</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6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处理效率</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90.6%</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91.1%</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90.0%</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6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kern w:val="2"/>
                      <w:sz w:val="21"/>
                      <w:szCs w:val="21"/>
                      <w:vertAlign w:val="baseline"/>
                      <w:lang w:val="en-US" w:eastAsia="zh-CN" w:bidi="ar-SA"/>
                    </w:rPr>
                    <w:t>检测时段</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15:20～15:35</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15:37～15:52</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15:53～16:08</w:t>
                  </w:r>
                </w:p>
              </w:tc>
              <w:tc>
                <w:tcPr>
                  <w:tcW w:w="76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6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1370</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1289</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1252</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0.95</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1.03</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1.09</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0.001</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0.001</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0.001</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6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处理效率</w:t>
                  </w:r>
                </w:p>
              </w:tc>
              <w:tc>
                <w:tcPr>
                  <w:tcW w:w="87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95.7%</w:t>
                  </w:r>
                </w:p>
              </w:tc>
              <w:tc>
                <w:tcPr>
                  <w:tcW w:w="87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95.3%</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62" w:type="pct"/>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2、废气（无组织）：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本项目无组织废气颗粒物浓度范围满足</w:t>
            </w:r>
            <w:r>
              <w:rPr>
                <w:rFonts w:hint="default" w:ascii="Times New Roman" w:hAnsi="Times New Roman" w:cs="Times New Roman" w:eastAsiaTheme="minorEastAsia"/>
                <w:sz w:val="24"/>
                <w:szCs w:val="24"/>
              </w:rPr>
              <w:t>《</w:t>
            </w:r>
            <w:r>
              <w:rPr>
                <w:rFonts w:hint="default" w:ascii="Times New Roman" w:hAnsi="Times New Roman" w:eastAsia="宋体" w:cs="Times New Roman"/>
                <w:sz w:val="24"/>
                <w:szCs w:val="24"/>
                <w:lang w:val="en-US" w:eastAsia="zh-CN"/>
              </w:rPr>
              <w:t>大气污染物综合排放标准</w:t>
            </w:r>
            <w:r>
              <w:rPr>
                <w:rFonts w:hint="default" w:ascii="Times New Roman" w:hAnsi="Times New Roman" w:cs="Times New Roman" w:eastAsiaTheme="minorEastAsia"/>
                <w:sz w:val="24"/>
                <w:szCs w:val="24"/>
              </w:rPr>
              <w:t>》（</w:t>
            </w:r>
            <w:r>
              <w:rPr>
                <w:rFonts w:hint="eastAsia" w:ascii="Times New Roman" w:hAnsi="Times New Roman" w:cs="Times New Roman"/>
                <w:color w:val="auto"/>
                <w:sz w:val="24"/>
                <w:lang w:val="en-US" w:eastAsia="zh-CN"/>
              </w:rPr>
              <w:t>G</w:t>
            </w:r>
            <w:r>
              <w:rPr>
                <w:rFonts w:hint="default" w:ascii="Times New Roman" w:hAnsi="Times New Roman" w:cs="Times New Roman"/>
                <w:color w:val="auto"/>
                <w:sz w:val="24"/>
              </w:rPr>
              <w:t>B</w:t>
            </w:r>
            <w:r>
              <w:rPr>
                <w:rFonts w:hint="eastAsia" w:ascii="Times New Roman" w:hAnsi="Times New Roman" w:cs="Times New Roman"/>
                <w:color w:val="auto"/>
                <w:sz w:val="24"/>
                <w:lang w:val="en-US" w:eastAsia="zh-CN"/>
              </w:rPr>
              <w:t>16297</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1996</w:t>
            </w:r>
            <w:r>
              <w:rPr>
                <w:rFonts w:hint="default" w:ascii="Times New Roman" w:hAnsi="Times New Roman" w:cs="Times New Roman" w:eastAsiaTheme="minorEastAsia"/>
                <w:sz w:val="24"/>
                <w:szCs w:val="24"/>
              </w:rPr>
              <w:t>）</w:t>
            </w:r>
            <w:r>
              <w:rPr>
                <w:rFonts w:hint="default" w:ascii="Times New Roman" w:hAnsi="Times New Roman" w:cs="Times New Roman"/>
                <w:color w:val="auto"/>
                <w:sz w:val="24"/>
              </w:rPr>
              <w:t>无组织排放监控浓度限值浓度</w:t>
            </w:r>
            <w:r>
              <w:rPr>
                <w:rFonts w:hint="default" w:ascii="Times New Roman" w:hAnsi="Times New Roman" w:cs="Times New Roman"/>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 xml:space="preserve"> 无组织废气检测结果</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676"/>
              <w:gridCol w:w="1772"/>
              <w:gridCol w:w="825"/>
              <w:gridCol w:w="947"/>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2023.08.01</w:t>
                  </w:r>
                </w:p>
              </w:tc>
              <w:tc>
                <w:tcPr>
                  <w:tcW w:w="148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分析日期</w:t>
                  </w:r>
                </w:p>
              </w:tc>
              <w:tc>
                <w:tcPr>
                  <w:tcW w:w="15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2023.08.03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检测点位</w:t>
                  </w:r>
                </w:p>
              </w:tc>
              <w:tc>
                <w:tcPr>
                  <w:tcW w:w="96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检测时段</w:t>
                  </w:r>
                </w:p>
              </w:tc>
              <w:tc>
                <w:tcPr>
                  <w:tcW w:w="3048" w:type="pct"/>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superscript"/>
                      <w:lang w:val="en-US" w:eastAsia="zh-CN" w:bidi="ar-SA"/>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3048" w:type="pct"/>
                  <w:gridSpan w:val="4"/>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总悬浮颗粒物</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i w:val="0"/>
                      <w:caps w:val="0"/>
                      <w:color w:val="333333"/>
                      <w:spacing w:val="0"/>
                      <w:sz w:val="21"/>
                      <w:szCs w:val="21"/>
                      <w:shd w:val="clear" w:fill="FFFFFF"/>
                    </w:rPr>
                    <w:t>μg</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厂界东</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13:36～14:36</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14:38～15:38</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15:41～16:41</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厂界西</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13:42～14:42</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14:44～15:44</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15:46～16:46</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厂界北</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13:49～14:49</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14:51～15:51</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15:54～16:54</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备注</w:t>
                  </w:r>
                </w:p>
              </w:tc>
              <w:tc>
                <w:tcPr>
                  <w:tcW w:w="401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both"/>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“ND”表示检测结果低于检出限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参数测试结果</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大气压力（KPa）</w:t>
                  </w:r>
                </w:p>
              </w:tc>
              <w:tc>
                <w:tcPr>
                  <w:tcW w:w="10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99.5～99.9</w:t>
                  </w:r>
                </w:p>
              </w:tc>
              <w:tc>
                <w:tcPr>
                  <w:tcW w:w="101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气温（℃）</w:t>
                  </w:r>
                </w:p>
              </w:tc>
              <w:tc>
                <w:tcPr>
                  <w:tcW w:w="10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31.1～33.6</w:t>
                  </w:r>
                </w:p>
              </w:tc>
            </w:tr>
          </w:tbl>
          <w:p>
            <w:pPr>
              <w:rPr>
                <w:rFonts w:hint="default" w:ascii="Times New Roman" w:hAnsi="Times New Roman" w:eastAsia="宋体" w:cs="Times New Roman"/>
                <w:sz w:val="21"/>
                <w:szCs w:val="21"/>
              </w:rPr>
            </w:pP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676"/>
              <w:gridCol w:w="1772"/>
              <w:gridCol w:w="825"/>
              <w:gridCol w:w="947"/>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2023.08.02</w:t>
                  </w:r>
                </w:p>
              </w:tc>
              <w:tc>
                <w:tcPr>
                  <w:tcW w:w="148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分析日期</w:t>
                  </w:r>
                </w:p>
              </w:tc>
              <w:tc>
                <w:tcPr>
                  <w:tcW w:w="15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2023.08.04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检测点位</w:t>
                  </w:r>
                </w:p>
              </w:tc>
              <w:tc>
                <w:tcPr>
                  <w:tcW w:w="96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检测时段</w:t>
                  </w:r>
                </w:p>
              </w:tc>
              <w:tc>
                <w:tcPr>
                  <w:tcW w:w="3048" w:type="pct"/>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superscript"/>
                      <w:lang w:val="en-US" w:eastAsia="zh-CN" w:bidi="ar-SA"/>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3048" w:type="pct"/>
                  <w:gridSpan w:val="4"/>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总悬浮颗粒物</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i w:val="0"/>
                      <w:caps w:val="0"/>
                      <w:color w:val="333333"/>
                      <w:spacing w:val="0"/>
                      <w:sz w:val="21"/>
                      <w:szCs w:val="21"/>
                      <w:shd w:val="clear" w:fill="FFFFFF"/>
                    </w:rPr>
                    <w:t>μg</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厂界东</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13:39～14:39</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14:41～15:41</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15:43～16:43</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厂界西</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13:45～14:45</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14:47～15:47</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15:49～16:49</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厂界北</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13:52～14:52</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14:55～15:55</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15:58～16:58</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304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备注</w:t>
                  </w:r>
                </w:p>
              </w:tc>
              <w:tc>
                <w:tcPr>
                  <w:tcW w:w="401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both"/>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“ND”表示检测结果低于检出限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参数测试结果</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大气压力（KPa）</w:t>
                  </w:r>
                </w:p>
              </w:tc>
              <w:tc>
                <w:tcPr>
                  <w:tcW w:w="10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99.5～99.7</w:t>
                  </w:r>
                </w:p>
              </w:tc>
              <w:tc>
                <w:tcPr>
                  <w:tcW w:w="101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气温（℃）</w:t>
                  </w:r>
                </w:p>
              </w:tc>
              <w:tc>
                <w:tcPr>
                  <w:tcW w:w="10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32.0～34.2</w:t>
                  </w:r>
                </w:p>
              </w:tc>
            </w:tr>
          </w:tbl>
          <w:p>
            <w:pPr>
              <w:rPr>
                <w:rFonts w:hint="default"/>
                <w:lang w:val="en-US" w:eastAsia="zh-CN"/>
              </w:rPr>
            </w:pPr>
          </w:p>
          <w:p>
            <w:pPr>
              <w:pStyle w:val="2"/>
              <w:spacing w:line="360" w:lineRule="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3、废水：</w:t>
            </w:r>
            <w:r>
              <w:rPr>
                <w:rFonts w:hint="default" w:ascii="Times New Roman" w:hAnsi="Times New Roman" w:eastAsia="宋体" w:cs="Times New Roman"/>
                <w:color w:val="000000"/>
                <w:sz w:val="24"/>
                <w:szCs w:val="24"/>
                <w:lang w:val="en-US" w:eastAsia="zh-CN"/>
              </w:rPr>
              <w:t>本项目废水排放满</w:t>
            </w:r>
            <w:r>
              <w:rPr>
                <w:rFonts w:hint="default" w:ascii="Times New Roman" w:hAnsi="Times New Roman" w:eastAsia="宋体" w:cs="Times New Roman"/>
                <w:bCs/>
                <w:color w:val="auto"/>
                <w:sz w:val="24"/>
                <w:szCs w:val="24"/>
                <w:lang w:eastAsia="zh-CN"/>
              </w:rPr>
              <w:t>足《橡胶制品工业污染物排放标准》（GB27632-2011）表 2 中轮胎企业和其他制品企业的间接排放标准及中德智造小镇污水处理厂接管标准</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000000"/>
                <w:sz w:val="24"/>
                <w:szCs w:val="24"/>
                <w:lang w:val="en-US" w:eastAsia="zh-CN"/>
              </w:rPr>
              <w:t>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b w:val="0"/>
                <w:bCs w:val="0"/>
                <w:sz w:val="24"/>
                <w:szCs w:val="24"/>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 xml:space="preserve">1-3 </w:t>
            </w:r>
            <w:r>
              <w:rPr>
                <w:rFonts w:hint="default" w:ascii="Times New Roman" w:hAnsi="Times New Roman" w:eastAsia="宋体" w:cs="Times New Roman"/>
                <w:b/>
                <w:bCs/>
                <w:color w:val="000000"/>
                <w:sz w:val="21"/>
                <w:szCs w:val="21"/>
                <w:lang w:val="en-US" w:eastAsia="zh-CN"/>
              </w:rPr>
              <w:t>废水检测结果</w:t>
            </w:r>
            <w:r>
              <w:rPr>
                <w:rFonts w:hint="eastAsia" w:ascii="仿宋" w:hAnsi="仿宋" w:eastAsia="仿宋" w:cs="仿宋"/>
                <w:b/>
                <w:bCs/>
                <w:sz w:val="24"/>
                <w:szCs w:val="24"/>
                <w:lang w:val="en-US" w:eastAsia="zh-CN"/>
              </w:rPr>
              <w:t xml:space="preserve">                                           </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876"/>
              <w:gridCol w:w="1208"/>
              <w:gridCol w:w="1172"/>
              <w:gridCol w:w="37"/>
              <w:gridCol w:w="1208"/>
              <w:gridCol w:w="1215"/>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采样时间</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2023.08.01</w:t>
                  </w:r>
                </w:p>
              </w:tc>
              <w:tc>
                <w:tcPr>
                  <w:tcW w:w="136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分析日期</w:t>
                  </w:r>
                </w:p>
              </w:tc>
              <w:tc>
                <w:tcPr>
                  <w:tcW w:w="1872" w:type="pct"/>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2023.08.01</w:t>
                  </w:r>
                  <w:r>
                    <w:rPr>
                      <w:rFonts w:hint="default" w:ascii="Times New Roman" w:hAnsi="Times New Roman" w:eastAsia="宋体" w:cs="Times New Roman"/>
                      <w:b w:val="0"/>
                      <w:bCs w:val="0"/>
                      <w:kern w:val="2"/>
                      <w:sz w:val="21"/>
                      <w:szCs w:val="21"/>
                      <w:vertAlign w:val="baseline"/>
                      <w:lang w:val="en-US" w:eastAsia="zh-CN" w:bidi="ar-SA"/>
                    </w:rPr>
                    <w:t>～</w:t>
                  </w:r>
                  <w:r>
                    <w:rPr>
                      <w:rFonts w:hint="default" w:ascii="Times New Roman" w:hAnsi="Times New Roman" w:eastAsia="宋体" w:cs="Times New Roman"/>
                      <w:b w:val="0"/>
                      <w:bCs w:val="0"/>
                      <w:color w:val="auto"/>
                      <w:sz w:val="21"/>
                      <w:szCs w:val="21"/>
                      <w:vertAlign w:val="baseline"/>
                      <w:lang w:val="en-US" w:eastAsia="zh-CN"/>
                    </w:rPr>
                    <w:t>2023.08.07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样品名称</w:t>
                  </w:r>
                </w:p>
              </w:tc>
              <w:tc>
                <w:tcPr>
                  <w:tcW w:w="1076"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2776"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46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076"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46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中鼎减震厂区综合污水处理站</w:t>
                  </w:r>
                  <w:r>
                    <w:rPr>
                      <w:rFonts w:hint="default" w:ascii="Times New Roman" w:hAnsi="Times New Roman" w:eastAsia="宋体" w:cs="Times New Roman"/>
                      <w:b w:val="0"/>
                      <w:bCs w:val="0"/>
                      <w:sz w:val="21"/>
                      <w:szCs w:val="21"/>
                      <w:vertAlign w:val="baseline"/>
                      <w:lang w:val="en-US" w:eastAsia="zh-CN"/>
                    </w:rPr>
                    <w:t>进口</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5.7</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5.9</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136</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121</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124</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生化需氧量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32.5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30.5</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83</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77</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78</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石油类</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14.6</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14.6</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14.7</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14.6</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27.3</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27.8</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26.8</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27.3</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29.6</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29.2</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28.6</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29.1</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阴离子表面活性剂</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0.51</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0.56</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0.49</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0.52</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铝</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0.56</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0.59</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0.51</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0.55</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5" w:type="dxa"/>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kern w:val="2"/>
                      <w:sz w:val="21"/>
                      <w:szCs w:val="21"/>
                      <w:lang w:val="en-US" w:eastAsia="zh-CN" w:bidi="ar-SA"/>
                    </w:rPr>
                    <w:t>样品性状</w:t>
                  </w:r>
                </w:p>
              </w:tc>
              <w:tc>
                <w:tcPr>
                  <w:tcW w:w="4314"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灰色、浑浊、有异味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中鼎减震厂区综合污水处理站</w:t>
                  </w:r>
                  <w:r>
                    <w:rPr>
                      <w:rFonts w:hint="default" w:ascii="Times New Roman" w:hAnsi="Times New Roman" w:eastAsia="宋体" w:cs="Times New Roman"/>
                      <w:b w:val="0"/>
                      <w:bCs w:val="0"/>
                      <w:sz w:val="21"/>
                      <w:szCs w:val="21"/>
                      <w:vertAlign w:val="baseline"/>
                      <w:lang w:val="en-US" w:eastAsia="zh-CN"/>
                    </w:rPr>
                    <w:t>出口</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7.6</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7.4</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46</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50</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50</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生化需氧量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15.0</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15.7</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36</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29.7</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石油类</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1.31</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1.34</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1.34</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1.33</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12.2</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11.8</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11.9</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12.7</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13.8</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12.8</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13.1</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阴离子表面活性剂</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0.050L</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0.050L</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0.050L</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0.050L</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铝</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0.32</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0.40</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0.38</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0.37</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样品性状</w:t>
                  </w:r>
                </w:p>
              </w:tc>
              <w:tc>
                <w:tcPr>
                  <w:tcW w:w="4314" w:type="pct"/>
                  <w:gridSpan w:val="7"/>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无色、透明、无异味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备注</w:t>
                  </w:r>
                </w:p>
              </w:tc>
              <w:tc>
                <w:tcPr>
                  <w:tcW w:w="4314" w:type="pct"/>
                  <w:gridSpan w:val="7"/>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240" w:lineRule="exact"/>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“L”表示检测结果低于方法检出限。</w:t>
                  </w:r>
                </w:p>
              </w:tc>
            </w:tr>
          </w:tbl>
          <w:p>
            <w:pPr>
              <w:rPr>
                <w:rFonts w:hint="default" w:ascii="Times New Roman" w:hAnsi="Times New Roman" w:eastAsia="宋体" w:cs="Times New Roman"/>
                <w:b/>
                <w:bCs/>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 xml:space="preserve">                                           </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876"/>
              <w:gridCol w:w="1208"/>
              <w:gridCol w:w="1172"/>
              <w:gridCol w:w="37"/>
              <w:gridCol w:w="1208"/>
              <w:gridCol w:w="1215"/>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采样时间</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p>
              </w:tc>
              <w:tc>
                <w:tcPr>
                  <w:tcW w:w="136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分析日期</w:t>
                  </w:r>
                </w:p>
              </w:tc>
              <w:tc>
                <w:tcPr>
                  <w:tcW w:w="1872" w:type="pct"/>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2023.08.02</w:t>
                  </w:r>
                  <w:r>
                    <w:rPr>
                      <w:rFonts w:hint="default" w:ascii="Times New Roman" w:hAnsi="Times New Roman" w:eastAsia="宋体" w:cs="Times New Roman"/>
                      <w:b w:val="0"/>
                      <w:bCs w:val="0"/>
                      <w:kern w:val="2"/>
                      <w:sz w:val="21"/>
                      <w:szCs w:val="21"/>
                      <w:vertAlign w:val="baseline"/>
                      <w:lang w:val="en-US" w:eastAsia="zh-CN" w:bidi="ar-SA"/>
                    </w:rPr>
                    <w:t>～</w:t>
                  </w:r>
                  <w:r>
                    <w:rPr>
                      <w:rFonts w:hint="default" w:ascii="Times New Roman" w:hAnsi="Times New Roman" w:eastAsia="宋体" w:cs="Times New Roman"/>
                      <w:b w:val="0"/>
                      <w:bCs w:val="0"/>
                      <w:color w:val="auto"/>
                      <w:sz w:val="21"/>
                      <w:szCs w:val="21"/>
                      <w:vertAlign w:val="baseline"/>
                      <w:lang w:val="en-US" w:eastAsia="zh-CN"/>
                    </w:rPr>
                    <w:t>2023.08.08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样品名称</w:t>
                  </w:r>
                </w:p>
              </w:tc>
              <w:tc>
                <w:tcPr>
                  <w:tcW w:w="1076"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2776"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46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076"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46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中鼎减震厂区综合污水处理站</w:t>
                  </w:r>
                  <w:r>
                    <w:rPr>
                      <w:rFonts w:hint="default" w:ascii="Times New Roman" w:hAnsi="Times New Roman" w:eastAsia="宋体" w:cs="Times New Roman"/>
                      <w:b w:val="0"/>
                      <w:bCs w:val="0"/>
                      <w:sz w:val="21"/>
                      <w:szCs w:val="21"/>
                      <w:vertAlign w:val="baseline"/>
                      <w:lang w:val="en-US" w:eastAsia="zh-CN"/>
                    </w:rPr>
                    <w:t>进口</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5.7</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5.8</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5.8</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127</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106</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119</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117</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生化需氧量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28.5</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70</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72</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77</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73</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石油类</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15.8</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14.4</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15.3</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27.4</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26.6</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26.9</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28.6</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29.8</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27.8</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28.7</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阴离子表面活性剂</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0.54</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0.59</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0.56</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0.56</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铝</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0.42</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0.59</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0.46</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0.49</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kern w:val="2"/>
                      <w:sz w:val="21"/>
                      <w:szCs w:val="21"/>
                      <w:lang w:val="en-US" w:eastAsia="zh-CN" w:bidi="ar-SA"/>
                    </w:rPr>
                    <w:t>样品性状</w:t>
                  </w:r>
                </w:p>
              </w:tc>
              <w:tc>
                <w:tcPr>
                  <w:tcW w:w="4314"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灰色、浑浊、有异味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中鼎减震厂区综合污水处理站</w:t>
                  </w:r>
                  <w:r>
                    <w:rPr>
                      <w:rFonts w:hint="default" w:ascii="Times New Roman" w:hAnsi="Times New Roman" w:eastAsia="宋体" w:cs="Times New Roman"/>
                      <w:b w:val="0"/>
                      <w:bCs w:val="0"/>
                      <w:sz w:val="21"/>
                      <w:szCs w:val="21"/>
                      <w:vertAlign w:val="baseline"/>
                      <w:lang w:val="en-US" w:eastAsia="zh-CN"/>
                    </w:rPr>
                    <w:t>出口</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7.2</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7.3</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7.3</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41</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43</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44</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生化需氧量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15.8</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16.0</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16.4</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25 </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25.7</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石油类</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1.50</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1.48</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1.49</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1.49</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10.2</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10.2</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10.4</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12.6</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11.8</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12.0</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12.1</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阴离子表面活性剂</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0.050L</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0.050L</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0.050L</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0.050L</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铝</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0.27</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0.25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0.24</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0.25</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样品性状</w:t>
                  </w:r>
                </w:p>
              </w:tc>
              <w:tc>
                <w:tcPr>
                  <w:tcW w:w="4314" w:type="pct"/>
                  <w:gridSpan w:val="7"/>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无色、透明、无异味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备注</w:t>
                  </w:r>
                </w:p>
              </w:tc>
              <w:tc>
                <w:tcPr>
                  <w:tcW w:w="4314" w:type="pct"/>
                  <w:gridSpan w:val="7"/>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240" w:lineRule="exact"/>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“L”表示检测结果低于方法检出限。</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2"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4、厂界噪声：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厂界环境噪声排放满足《工业企业厂界环境噪声排放标准》（GB12348-2008）中3类标准，为达标排放。具体检测结果见下表。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eastAsia" w:ascii="仿宋" w:hAnsi="仿宋" w:eastAsia="仿宋" w:cs="仿宋"/>
                <w:b/>
                <w:bCs/>
                <w:sz w:val="24"/>
                <w:szCs w:val="24"/>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val="en-US" w:eastAsia="zh-CN"/>
              </w:rPr>
              <w:t xml:space="preserve"> 噪声检测结果</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149"/>
              <w:gridCol w:w="1575"/>
              <w:gridCol w:w="1624"/>
              <w:gridCol w:w="1599"/>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4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dB（A）</w:t>
                  </w:r>
                </w:p>
              </w:tc>
              <w:tc>
                <w:tcPr>
                  <w:tcW w:w="65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检测点位</w:t>
                  </w:r>
                </w:p>
              </w:tc>
              <w:tc>
                <w:tcPr>
                  <w:tcW w:w="3698" w:type="pct"/>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65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rPr>
                  </w:pPr>
                </w:p>
              </w:tc>
              <w:tc>
                <w:tcPr>
                  <w:tcW w:w="1834"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2023.08.01</w:t>
                  </w:r>
                </w:p>
              </w:tc>
              <w:tc>
                <w:tcPr>
                  <w:tcW w:w="186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2023.08.02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p>
              </w:tc>
              <w:tc>
                <w:tcPr>
                  <w:tcW w:w="90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94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1#东</w:t>
                  </w:r>
                </w:p>
              </w:tc>
              <w:tc>
                <w:tcPr>
                  <w:tcW w:w="90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53.9</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45.2</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53.4</w:t>
                  </w:r>
                </w:p>
              </w:tc>
              <w:tc>
                <w:tcPr>
                  <w:tcW w:w="94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2#南</w:t>
                  </w:r>
                </w:p>
              </w:tc>
              <w:tc>
                <w:tcPr>
                  <w:tcW w:w="90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53.2</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45.4</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55.2</w:t>
                  </w:r>
                </w:p>
              </w:tc>
              <w:tc>
                <w:tcPr>
                  <w:tcW w:w="94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3#西</w:t>
                  </w:r>
                </w:p>
              </w:tc>
              <w:tc>
                <w:tcPr>
                  <w:tcW w:w="90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54.3</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46.0</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54.9</w:t>
                  </w:r>
                </w:p>
              </w:tc>
              <w:tc>
                <w:tcPr>
                  <w:tcW w:w="94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4#北</w:t>
                  </w:r>
                </w:p>
              </w:tc>
              <w:tc>
                <w:tcPr>
                  <w:tcW w:w="90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54.6</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46.3</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54.4</w:t>
                  </w:r>
                </w:p>
              </w:tc>
              <w:tc>
                <w:tcPr>
                  <w:tcW w:w="94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0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气相条件</w:t>
                  </w:r>
                </w:p>
              </w:tc>
              <w:tc>
                <w:tcPr>
                  <w:tcW w:w="183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昼：晴  夜：晴  风速：1.1 m/s</w:t>
                  </w:r>
                </w:p>
              </w:tc>
              <w:tc>
                <w:tcPr>
                  <w:tcW w:w="186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昼：晴  夜：晴  风速：1.1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57"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宋体" w:cs="Times New Roman"/>
                      <w:sz w:val="21"/>
                      <w:szCs w:val="21"/>
                      <w:lang w:val="en-US" w:eastAsia="zh-CN"/>
                    </w:rPr>
                  </w:pPr>
                </w:p>
              </w:tc>
            </w:tr>
          </w:tbl>
          <w:p>
            <w:pPr>
              <w:pStyle w:val="2"/>
              <w:spacing w:line="360" w:lineRule="auto"/>
              <w:jc w:val="both"/>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5" w:hRule="atLeast"/>
          <w:jc w:val="center"/>
        </w:trPr>
        <w:tc>
          <w:tcPr>
            <w:tcW w:w="5000" w:type="pct"/>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32"/>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总量核算表</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449"/>
              <w:gridCol w:w="1449"/>
              <w:gridCol w:w="1450"/>
              <w:gridCol w:w="1450"/>
              <w:gridCol w:w="14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排放速率/排放浓度</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年工作时间/排水量</w:t>
                  </w:r>
                </w:p>
              </w:tc>
              <w:tc>
                <w:tcPr>
                  <w:tcW w:w="833"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实际排放总量</w:t>
                  </w:r>
                </w:p>
              </w:tc>
              <w:tc>
                <w:tcPr>
                  <w:tcW w:w="833"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总量要求</w:t>
                  </w:r>
                </w:p>
              </w:tc>
              <w:tc>
                <w:tcPr>
                  <w:tcW w:w="836"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是否满足总量控制要求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r>
                    <w:rPr>
                      <w:rFonts w:hint="default" w:ascii="Times New Roman" w:hAnsi="Times New Roman" w:cs="Times New Roman"/>
                      <w:sz w:val="21"/>
                      <w:szCs w:val="21"/>
                      <w:vertAlign w:val="subscript"/>
                      <w:lang w:val="en-US" w:eastAsia="zh-CN"/>
                    </w:rPr>
                    <w:t>cr</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47</w:t>
                  </w:r>
                  <w:r>
                    <w:rPr>
                      <w:rFonts w:hint="default" w:ascii="Times New Roman" w:hAnsi="Times New Roman" w:cs="Times New Roman"/>
                      <w:sz w:val="21"/>
                      <w:szCs w:val="21"/>
                      <w:lang w:val="en-US" w:eastAsia="zh-CN"/>
                    </w:rPr>
                    <w:t>mg/L</w:t>
                  </w:r>
                </w:p>
              </w:tc>
              <w:tc>
                <w:tcPr>
                  <w:tcW w:w="832" w:type="pct"/>
                  <w:vMerge w:val="restar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19519.5</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0.917</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36"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不核算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11.2</w:t>
                  </w:r>
                  <w:r>
                    <w:rPr>
                      <w:rFonts w:hint="default" w:ascii="Times New Roman" w:hAnsi="Times New Roman" w:cs="Times New Roman"/>
                      <w:sz w:val="21"/>
                      <w:szCs w:val="21"/>
                      <w:lang w:val="en-US" w:eastAsia="zh-CN"/>
                    </w:rPr>
                    <w:t>mg/L</w:t>
                  </w:r>
                </w:p>
              </w:tc>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0.022</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36"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不核算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0.040</w:t>
                  </w:r>
                  <w:r>
                    <w:rPr>
                      <w:rFonts w:hint="default" w:ascii="Times New Roman" w:hAnsi="Times New Roman" w:cs="Times New Roman"/>
                      <w:sz w:val="21"/>
                      <w:szCs w:val="21"/>
                      <w:lang w:val="en-US" w:eastAsia="zh-CN"/>
                    </w:rPr>
                    <w:t>kg/h</w:t>
                  </w:r>
                </w:p>
              </w:tc>
              <w:tc>
                <w:tcPr>
                  <w:tcW w:w="832" w:type="pct"/>
                  <w:vMerge w:val="restar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r>
                    <w:rPr>
                      <w:rFonts w:hint="default" w:ascii="Times New Roman" w:hAnsi="Times New Roman" w:cs="Times New Roman"/>
                      <w:sz w:val="21"/>
                      <w:szCs w:val="21"/>
                      <w:lang w:val="en-US" w:eastAsia="zh-CN"/>
                    </w:rPr>
                    <w:t>00h/a</w:t>
                  </w:r>
                </w:p>
              </w:tc>
              <w:tc>
                <w:tcPr>
                  <w:tcW w:w="833" w:type="pct"/>
                  <w:vMerge w:val="restar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0.31</w:t>
                  </w:r>
                  <w:r>
                    <w:rPr>
                      <w:rFonts w:hint="default" w:ascii="Times New Roman" w:hAnsi="Times New Roman" w:cs="Times New Roman"/>
                      <w:sz w:val="21"/>
                      <w:szCs w:val="21"/>
                      <w:lang w:val="en-US" w:eastAsia="zh-CN"/>
                    </w:rPr>
                    <w:t>t/a</w:t>
                  </w:r>
                </w:p>
              </w:tc>
              <w:tc>
                <w:tcPr>
                  <w:tcW w:w="833" w:type="pct"/>
                  <w:vMerge w:val="restar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0.901</w:t>
                  </w:r>
                  <w:r>
                    <w:rPr>
                      <w:rFonts w:hint="default" w:ascii="Times New Roman" w:hAnsi="Times New Roman" w:eastAsia="宋体" w:cs="Times New Roman"/>
                      <w:color w:val="auto"/>
                      <w:sz w:val="21"/>
                      <w:szCs w:val="21"/>
                      <w:lang w:val="en-US" w:eastAsia="zh-CN"/>
                    </w:rPr>
                    <w:t>t/a</w:t>
                  </w:r>
                </w:p>
              </w:tc>
              <w:tc>
                <w:tcPr>
                  <w:tcW w:w="836" w:type="pct"/>
                  <w:vMerge w:val="restar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0.024</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c>
                <w:tcPr>
                  <w:tcW w:w="836"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0.026</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c>
                <w:tcPr>
                  <w:tcW w:w="836"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0.006</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c>
                <w:tcPr>
                  <w:tcW w:w="836"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0.054</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c>
                <w:tcPr>
                  <w:tcW w:w="836"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0.005</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c>
                <w:tcPr>
                  <w:tcW w:w="836"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0.229</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0.458</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0.595</w:t>
                  </w:r>
                  <w:r>
                    <w:rPr>
                      <w:rFonts w:hint="default" w:ascii="Times New Roman" w:hAnsi="Times New Roman" w:eastAsia="宋体" w:cs="Times New Roman"/>
                      <w:color w:val="auto"/>
                      <w:sz w:val="21"/>
                      <w:szCs w:val="21"/>
                      <w:lang w:val="en-US" w:eastAsia="zh-CN"/>
                    </w:rPr>
                    <w:t>t/a</w:t>
                  </w:r>
                </w:p>
              </w:tc>
              <w:tc>
                <w:tcPr>
                  <w:tcW w:w="8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NO</w:t>
                  </w:r>
                  <w:r>
                    <w:rPr>
                      <w:rFonts w:hint="eastAsia" w:ascii="Times New Roman" w:hAnsi="Times New Roman" w:cs="Times New Roman"/>
                      <w:sz w:val="21"/>
                      <w:szCs w:val="21"/>
                      <w:vertAlign w:val="subscript"/>
                      <w:lang w:val="en-US" w:eastAsia="zh-CN"/>
                    </w:rPr>
                    <w:t>x</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0.413</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0.826</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1.391</w:t>
                  </w:r>
                  <w:r>
                    <w:rPr>
                      <w:rFonts w:hint="default" w:ascii="Times New Roman" w:hAnsi="Times New Roman" w:eastAsia="宋体" w:cs="Times New Roman"/>
                      <w:color w:val="auto"/>
                      <w:sz w:val="21"/>
                      <w:szCs w:val="21"/>
                      <w:lang w:val="en-US" w:eastAsia="zh-CN"/>
                    </w:rPr>
                    <w:t>t/a</w:t>
                  </w:r>
                </w:p>
              </w:tc>
              <w:tc>
                <w:tcPr>
                  <w:tcW w:w="8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bl>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905760" cy="2177415"/>
                  <wp:effectExtent l="0" t="0" r="8890" b="13335"/>
                  <wp:docPr id="54" name="图片 54" descr="微信图片_2023080214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30802140830"/>
                          <pic:cNvPicPr>
                            <a:picLocks noChangeAspect="1"/>
                          </pic:cNvPicPr>
                        </pic:nvPicPr>
                        <pic:blipFill>
                          <a:blip r:embed="rId28"/>
                          <a:stretch>
                            <a:fillRect/>
                          </a:stretch>
                        </pic:blipFill>
                        <pic:spPr>
                          <a:xfrm>
                            <a:off x="0" y="0"/>
                            <a:ext cx="2905760" cy="217741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188210" cy="2188210"/>
                  <wp:effectExtent l="0" t="0" r="2540" b="2540"/>
                  <wp:docPr id="55" name="图片 55" descr="2630f277369aa708f050444f9638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630f277369aa708f050444f963856d"/>
                          <pic:cNvPicPr>
                            <a:picLocks noChangeAspect="1"/>
                          </pic:cNvPicPr>
                        </pic:nvPicPr>
                        <pic:blipFill>
                          <a:blip r:embed="rId29"/>
                          <a:stretch>
                            <a:fillRect/>
                          </a:stretch>
                        </pic:blipFill>
                        <pic:spPr>
                          <a:xfrm>
                            <a:off x="0" y="0"/>
                            <a:ext cx="2188210" cy="218821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422525" cy="3230245"/>
                  <wp:effectExtent l="0" t="0" r="15875" b="8255"/>
                  <wp:docPr id="57" name="图片 57" descr="66173bb4ba6ffcb3e2d6b8f86b3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66173bb4ba6ffcb3e2d6b8f86b33442"/>
                          <pic:cNvPicPr>
                            <a:picLocks noChangeAspect="1"/>
                          </pic:cNvPicPr>
                        </pic:nvPicPr>
                        <pic:blipFill>
                          <a:blip r:embed="rId30"/>
                          <a:stretch>
                            <a:fillRect/>
                          </a:stretch>
                        </pic:blipFill>
                        <pic:spPr>
                          <a:xfrm>
                            <a:off x="0" y="0"/>
                            <a:ext cx="2422525" cy="323024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432050" cy="3243580"/>
                  <wp:effectExtent l="0" t="0" r="6350" b="13970"/>
                  <wp:docPr id="56" name="图片 56" descr="f33c2d2ab6b2067c995a8323e21d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33c2d2ab6b2067c995a8323e21d319"/>
                          <pic:cNvPicPr>
                            <a:picLocks noChangeAspect="1"/>
                          </pic:cNvPicPr>
                        </pic:nvPicPr>
                        <pic:blipFill>
                          <a:blip r:embed="rId31"/>
                          <a:stretch>
                            <a:fillRect/>
                          </a:stretch>
                        </pic:blipFill>
                        <pic:spPr>
                          <a:xfrm>
                            <a:off x="0" y="0"/>
                            <a:ext cx="2432050" cy="324358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099945" cy="2800985"/>
                  <wp:effectExtent l="0" t="0" r="14605" b="18415"/>
                  <wp:docPr id="60" name="图片 60" descr="026589ddc9ca92bf5ddd6d2dfdf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026589ddc9ca92bf5ddd6d2dfdf4191"/>
                          <pic:cNvPicPr>
                            <a:picLocks noChangeAspect="1"/>
                          </pic:cNvPicPr>
                        </pic:nvPicPr>
                        <pic:blipFill>
                          <a:blip r:embed="rId32"/>
                          <a:stretch>
                            <a:fillRect/>
                          </a:stretch>
                        </pic:blipFill>
                        <pic:spPr>
                          <a:xfrm>
                            <a:off x="0" y="0"/>
                            <a:ext cx="2099945" cy="280098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3177540" cy="2382520"/>
                  <wp:effectExtent l="0" t="0" r="3810" b="17780"/>
                  <wp:docPr id="58" name="图片 58" descr="微信图片_2023080216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30802165051"/>
                          <pic:cNvPicPr>
                            <a:picLocks noChangeAspect="1"/>
                          </pic:cNvPicPr>
                        </pic:nvPicPr>
                        <pic:blipFill>
                          <a:blip r:embed="rId33"/>
                          <a:stretch>
                            <a:fillRect/>
                          </a:stretch>
                        </pic:blipFill>
                        <pic:spPr>
                          <a:xfrm>
                            <a:off x="0" y="0"/>
                            <a:ext cx="3177540" cy="238252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985135" cy="2238375"/>
                  <wp:effectExtent l="0" t="0" r="5715" b="9525"/>
                  <wp:docPr id="59" name="图片 59" descr="5faecc2bcf8d2d7f3caac2b421ca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5faecc2bcf8d2d7f3caac2b421ca75d"/>
                          <pic:cNvPicPr>
                            <a:picLocks noChangeAspect="1"/>
                          </pic:cNvPicPr>
                        </pic:nvPicPr>
                        <pic:blipFill>
                          <a:blip r:embed="rId34"/>
                          <a:stretch>
                            <a:fillRect/>
                          </a:stretch>
                        </pic:blipFill>
                        <pic:spPr>
                          <a:xfrm>
                            <a:off x="0" y="0"/>
                            <a:ext cx="2985135" cy="223837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165985" cy="2887980"/>
                  <wp:effectExtent l="0" t="0" r="5715" b="7620"/>
                  <wp:docPr id="61" name="图片 61" descr="0609673d549ae80a1460d255014b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609673d549ae80a1460d255014bee9"/>
                          <pic:cNvPicPr>
                            <a:picLocks noChangeAspect="1"/>
                          </pic:cNvPicPr>
                        </pic:nvPicPr>
                        <pic:blipFill>
                          <a:blip r:embed="rId35"/>
                          <a:stretch>
                            <a:fillRect/>
                          </a:stretch>
                        </pic:blipFill>
                        <pic:spPr>
                          <a:xfrm>
                            <a:off x="0" y="0"/>
                            <a:ext cx="2165985" cy="2887980"/>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-1 现场采样图</w:t>
            </w:r>
          </w:p>
          <w:p>
            <w:pPr>
              <w:jc w:val="center"/>
              <w:rPr>
                <w:rFonts w:hint="eastAsia"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bCs/>
                <w:sz w:val="21"/>
                <w:szCs w:val="21"/>
                <w:lang w:val="en-US" w:eastAsia="zh-CN"/>
              </w:rPr>
              <w:drawing>
                <wp:inline distT="0" distB="0" distL="114300" distR="114300">
                  <wp:extent cx="2514600" cy="3166110"/>
                  <wp:effectExtent l="0" t="0" r="0" b="0"/>
                  <wp:docPr id="62" name="图片 62" descr="16e1c1857e4a5196ac5d98cce53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e1c1857e4a5196ac5d98cce537934"/>
                          <pic:cNvPicPr>
                            <a:picLocks noChangeAspect="1"/>
                          </pic:cNvPicPr>
                        </pic:nvPicPr>
                        <pic:blipFill>
                          <a:blip r:embed="rId36"/>
                          <a:srcRect b="5568"/>
                          <a:stretch>
                            <a:fillRect/>
                          </a:stretch>
                        </pic:blipFill>
                        <pic:spPr>
                          <a:xfrm>
                            <a:off x="0" y="0"/>
                            <a:ext cx="2514600" cy="3166110"/>
                          </a:xfrm>
                          <a:prstGeom prst="rect">
                            <a:avLst/>
                          </a:prstGeom>
                        </pic:spPr>
                      </pic:pic>
                    </a:graphicData>
                  </a:graphic>
                </wp:inline>
              </w:drawing>
            </w:r>
            <w:r>
              <w:rPr>
                <w:rFonts w:hint="eastAsia" w:ascii="Times New Roman" w:hAnsi="Times New Roman" w:cs="Times New Roman" w:eastAsiaTheme="minorEastAsia"/>
                <w:b/>
                <w:bCs/>
                <w:sz w:val="21"/>
                <w:szCs w:val="21"/>
                <w:lang w:val="en-US" w:eastAsia="zh-CN"/>
              </w:rPr>
              <w:drawing>
                <wp:inline distT="0" distB="0" distL="114300" distR="114300">
                  <wp:extent cx="2496185" cy="3161665"/>
                  <wp:effectExtent l="0" t="0" r="18415" b="635"/>
                  <wp:docPr id="53" name="图片 53" descr="e7e9e869e633522106356d01269c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7e9e869e633522106356d01269c691"/>
                          <pic:cNvPicPr>
                            <a:picLocks noChangeAspect="1"/>
                          </pic:cNvPicPr>
                        </pic:nvPicPr>
                        <pic:blipFill>
                          <a:blip r:embed="rId37"/>
                          <a:srcRect b="5042"/>
                          <a:stretch>
                            <a:fillRect/>
                          </a:stretch>
                        </pic:blipFill>
                        <pic:spPr>
                          <a:xfrm>
                            <a:off x="0" y="0"/>
                            <a:ext cx="2496185" cy="3161665"/>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-2 现场采样图</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757805" cy="2757805"/>
                  <wp:effectExtent l="0" t="0" r="4445" b="4445"/>
                  <wp:docPr id="48" name="图片 48" descr="1eca8759aab4f63826917e323dda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eca8759aab4f63826917e323ddab8a"/>
                          <pic:cNvPicPr>
                            <a:picLocks noChangeAspect="1"/>
                          </pic:cNvPicPr>
                        </pic:nvPicPr>
                        <pic:blipFill>
                          <a:blip r:embed="rId38"/>
                          <a:stretch>
                            <a:fillRect/>
                          </a:stretch>
                        </pic:blipFill>
                        <pic:spPr>
                          <a:xfrm>
                            <a:off x="0" y="0"/>
                            <a:ext cx="2757805" cy="27578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726055" cy="2726055"/>
                  <wp:effectExtent l="0" t="0" r="17145" b="17145"/>
                  <wp:docPr id="50" name="图片 50" descr="ce9ed487e4fad50dd2cefd84f118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e9ed487e4fad50dd2cefd84f11880e"/>
                          <pic:cNvPicPr>
                            <a:picLocks noChangeAspect="1"/>
                          </pic:cNvPicPr>
                        </pic:nvPicPr>
                        <pic:blipFill>
                          <a:blip r:embed="rId39"/>
                          <a:stretch>
                            <a:fillRect/>
                          </a:stretch>
                        </pic:blipFill>
                        <pic:spPr>
                          <a:xfrm>
                            <a:off x="0" y="0"/>
                            <a:ext cx="2726055" cy="27260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740660" cy="2740660"/>
                  <wp:effectExtent l="0" t="0" r="2540" b="2540"/>
                  <wp:docPr id="52" name="图片 52" descr="792851b5c944e3e85ccfbee1ac00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92851b5c944e3e85ccfbee1ac00c9a"/>
                          <pic:cNvPicPr>
                            <a:picLocks noChangeAspect="1"/>
                          </pic:cNvPicPr>
                        </pic:nvPicPr>
                        <pic:blipFill>
                          <a:blip r:embed="rId40"/>
                          <a:stretch>
                            <a:fillRect/>
                          </a:stretch>
                        </pic:blipFill>
                        <pic:spPr>
                          <a:xfrm>
                            <a:off x="0" y="0"/>
                            <a:ext cx="2740660" cy="274066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726055" cy="2726055"/>
                  <wp:effectExtent l="0" t="0" r="17145" b="17145"/>
                  <wp:docPr id="51" name="图片 51" descr="67961240299415717958f0bb173a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67961240299415717958f0bb173abbb"/>
                          <pic:cNvPicPr>
                            <a:picLocks noChangeAspect="1"/>
                          </pic:cNvPicPr>
                        </pic:nvPicPr>
                        <pic:blipFill>
                          <a:blip r:embed="rId41"/>
                          <a:stretch>
                            <a:fillRect/>
                          </a:stretch>
                        </pic:blipFill>
                        <pic:spPr>
                          <a:xfrm>
                            <a:off x="0" y="0"/>
                            <a:ext cx="2726055" cy="2726055"/>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-3 现场采样图</w:t>
            </w:r>
          </w:p>
          <w:p>
            <w:pPr>
              <w:jc w:val="center"/>
              <w:rPr>
                <w:rFonts w:hint="default" w:ascii="Times New Roman" w:hAnsi="Times New Roman" w:cs="Times New Roman"/>
                <w:lang w:val="en-US" w:eastAsia="zh-CN"/>
              </w:rPr>
            </w:pPr>
          </w:p>
        </w:tc>
      </w:tr>
    </w:tbl>
    <w:p>
      <w:pPr>
        <w:spacing w:after="0" w:afterLines="0" w:line="360" w:lineRule="auto"/>
        <w:rPr>
          <w:rFonts w:hint="default" w:ascii="Times New Roman" w:hAnsi="Times New Roman" w:eastAsia="仿宋_GB2312" w:cs="Times New Roman"/>
          <w:b/>
          <w:color w:val="000000"/>
          <w:sz w:val="21"/>
          <w:szCs w:val="21"/>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十二、</w:t>
            </w:r>
            <w:r>
              <w:rPr>
                <w:rFonts w:hint="default" w:ascii="Times New Roman" w:hAnsi="Times New Roman" w:eastAsia="宋体" w:cs="Times New Roman"/>
                <w:b/>
                <w:bCs/>
                <w:color w:val="000000"/>
                <w:sz w:val="24"/>
                <w:szCs w:val="24"/>
                <w:lang w:val="en-US" w:eastAsia="zh-CN"/>
              </w:rPr>
              <w:t>验收监测结论：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sz w:val="24"/>
                <w:szCs w:val="24"/>
                <w:lang w:val="en-US" w:eastAsia="zh-CN"/>
              </w:rPr>
              <w:t>1、废水：</w:t>
            </w:r>
            <w:r>
              <w:rPr>
                <w:rFonts w:hint="eastAsia" w:ascii="Times New Roman" w:hAnsi="Times New Roman" w:eastAsia="宋体" w:cs="Times New Roman"/>
                <w:color w:val="000000"/>
                <w:sz w:val="24"/>
                <w:szCs w:val="24"/>
                <w:lang w:val="en-US" w:eastAsia="zh-CN"/>
              </w:rPr>
              <w:t>中鼎减震厂区综合污水处理站</w:t>
            </w:r>
            <w:r>
              <w:rPr>
                <w:rFonts w:hint="default" w:ascii="Times New Roman" w:hAnsi="Times New Roman" w:eastAsia="宋体" w:cs="Times New Roman"/>
                <w:color w:val="000000"/>
                <w:sz w:val="24"/>
                <w:szCs w:val="24"/>
                <w:lang w:val="en-US" w:eastAsia="zh-CN"/>
              </w:rPr>
              <w:t>出口的废水中pH范围是7.</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7.6</w:t>
            </w:r>
            <w:r>
              <w:rPr>
                <w:rFonts w:hint="default" w:ascii="Times New Roman" w:hAnsi="Times New Roman" w:eastAsia="宋体" w:cs="Times New Roman"/>
                <w:color w:val="000000"/>
                <w:sz w:val="24"/>
                <w:szCs w:val="24"/>
                <w:lang w:val="en-US" w:eastAsia="zh-CN"/>
              </w:rPr>
              <w:t>、COD最大日均排放浓度为</w:t>
            </w:r>
            <w:r>
              <w:rPr>
                <w:rFonts w:hint="eastAsia" w:ascii="Times New Roman" w:hAnsi="Times New Roman" w:eastAsia="宋体" w:cs="Times New Roman"/>
                <w:color w:val="000000"/>
                <w:sz w:val="24"/>
                <w:szCs w:val="24"/>
                <w:lang w:val="en-US" w:eastAsia="zh-CN"/>
              </w:rPr>
              <w:t>55</w:t>
            </w:r>
            <w:r>
              <w:rPr>
                <w:rFonts w:hint="default" w:ascii="Times New Roman" w:hAnsi="Times New Roman" w:eastAsia="宋体" w:cs="Times New Roman"/>
                <w:color w:val="000000"/>
                <w:sz w:val="24"/>
                <w:szCs w:val="24"/>
                <w:lang w:val="en-US" w:eastAsia="zh-CN"/>
              </w:rPr>
              <w:t>mg/L、</w:t>
            </w:r>
            <w:r>
              <w:rPr>
                <w:rFonts w:hint="eastAsia" w:ascii="Times New Roman" w:hAnsi="Times New Roman" w:eastAsia="宋体" w:cs="Times New Roman"/>
                <w:color w:val="000000"/>
                <w:sz w:val="24"/>
                <w:szCs w:val="24"/>
                <w:lang w:val="en-US" w:eastAsia="zh-CN"/>
              </w:rPr>
              <w:t>B</w:t>
            </w:r>
            <w:r>
              <w:rPr>
                <w:rFonts w:hint="default" w:ascii="Times New Roman" w:hAnsi="Times New Roman" w:eastAsia="宋体" w:cs="Times New Roman"/>
                <w:color w:val="000000"/>
                <w:sz w:val="24"/>
                <w:szCs w:val="24"/>
                <w:lang w:val="en-US" w:eastAsia="zh-CN"/>
              </w:rPr>
              <w:t>OD</w:t>
            </w:r>
            <w:r>
              <w:rPr>
                <w:rFonts w:hint="eastAsia" w:ascii="Times New Roman" w:hAnsi="Times New Roman" w:eastAsia="宋体" w:cs="Times New Roman"/>
                <w:color w:val="000000"/>
                <w:sz w:val="24"/>
                <w:szCs w:val="24"/>
                <w:vertAlign w:val="subscript"/>
                <w:lang w:val="en-US" w:eastAsia="zh-CN"/>
              </w:rPr>
              <w:t>5</w:t>
            </w:r>
            <w:r>
              <w:rPr>
                <w:rFonts w:hint="default" w:ascii="Times New Roman" w:hAnsi="Times New Roman" w:eastAsia="宋体" w:cs="Times New Roman"/>
                <w:color w:val="000000"/>
                <w:sz w:val="24"/>
                <w:szCs w:val="24"/>
                <w:lang w:val="en-US" w:eastAsia="zh-CN"/>
              </w:rPr>
              <w:t>最大日均排放浓度为</w:t>
            </w:r>
            <w:r>
              <w:rPr>
                <w:rFonts w:hint="eastAsia" w:ascii="Times New Roman" w:hAnsi="Times New Roman" w:eastAsia="宋体" w:cs="Times New Roman"/>
                <w:color w:val="000000"/>
                <w:sz w:val="24"/>
                <w:szCs w:val="24"/>
                <w:lang w:val="en-US" w:eastAsia="zh-CN"/>
              </w:rPr>
              <w:t>17.5</w:t>
            </w:r>
            <w:r>
              <w:rPr>
                <w:rFonts w:hint="default" w:ascii="Times New Roman" w:hAnsi="Times New Roman" w:eastAsia="宋体" w:cs="Times New Roman"/>
                <w:color w:val="000000"/>
                <w:sz w:val="24"/>
                <w:szCs w:val="24"/>
                <w:lang w:val="en-US" w:eastAsia="zh-CN"/>
              </w:rPr>
              <w:t>mg/L</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SS最大日均排放浓度为 3</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lang w:val="en-US" w:eastAsia="zh-CN"/>
              </w:rPr>
              <w:t>mg/L、NH</w:t>
            </w:r>
            <w:r>
              <w:rPr>
                <w:rFonts w:hint="default" w:ascii="Times New Roman" w:hAnsi="Times New Roman" w:eastAsia="宋体" w:cs="Times New Roman"/>
                <w:color w:val="000000"/>
                <w:sz w:val="24"/>
                <w:szCs w:val="24"/>
                <w:vertAlign w:val="subscript"/>
                <w:lang w:val="en-US" w:eastAsia="zh-CN"/>
              </w:rPr>
              <w:t>3</w:t>
            </w:r>
            <w:r>
              <w:rPr>
                <w:rFonts w:hint="default" w:ascii="Times New Roman" w:hAnsi="Times New Roman" w:eastAsia="宋体" w:cs="Times New Roman"/>
                <w:color w:val="000000"/>
                <w:sz w:val="24"/>
                <w:szCs w:val="24"/>
                <w:lang w:val="en-US" w:eastAsia="zh-CN"/>
              </w:rPr>
              <w:t>-N最大日均排放浓度为</w:t>
            </w:r>
            <w:r>
              <w:rPr>
                <w:rFonts w:hint="eastAsia" w:ascii="Times New Roman" w:hAnsi="Times New Roman" w:eastAsia="宋体" w:cs="Times New Roman"/>
                <w:color w:val="000000"/>
                <w:sz w:val="24"/>
                <w:szCs w:val="24"/>
                <w:lang w:val="en-US" w:eastAsia="zh-CN"/>
              </w:rPr>
              <w:t>12.2</w:t>
            </w:r>
            <w:r>
              <w:rPr>
                <w:rFonts w:hint="default" w:ascii="Times New Roman" w:hAnsi="Times New Roman" w:eastAsia="宋体" w:cs="Times New Roman"/>
                <w:color w:val="000000"/>
                <w:sz w:val="24"/>
                <w:szCs w:val="24"/>
                <w:lang w:val="en-US" w:eastAsia="zh-CN"/>
              </w:rPr>
              <w:t>mg/L、总</w:t>
            </w:r>
            <w:r>
              <w:rPr>
                <w:rFonts w:hint="eastAsia" w:ascii="Times New Roman" w:hAnsi="Times New Roman" w:eastAsia="宋体" w:cs="Times New Roman"/>
                <w:color w:val="000000"/>
                <w:sz w:val="24"/>
                <w:szCs w:val="24"/>
                <w:lang w:val="en-US" w:eastAsia="zh-CN"/>
              </w:rPr>
              <w:t>氮</w:t>
            </w:r>
            <w:r>
              <w:rPr>
                <w:rFonts w:hint="default" w:ascii="Times New Roman" w:hAnsi="Times New Roman" w:eastAsia="宋体" w:cs="Times New Roman"/>
                <w:color w:val="000000"/>
                <w:sz w:val="24"/>
                <w:szCs w:val="24"/>
                <w:lang w:val="en-US" w:eastAsia="zh-CN"/>
              </w:rPr>
              <w:t>最大日均排放浓度为</w:t>
            </w:r>
            <w:r>
              <w:rPr>
                <w:rFonts w:hint="eastAsia" w:ascii="Times New Roman" w:hAnsi="Times New Roman" w:eastAsia="宋体" w:cs="Times New Roman"/>
                <w:color w:val="000000"/>
                <w:sz w:val="24"/>
                <w:szCs w:val="24"/>
                <w:lang w:val="en-US" w:eastAsia="zh-CN"/>
              </w:rPr>
              <w:t>13.8</w:t>
            </w:r>
            <w:r>
              <w:rPr>
                <w:rFonts w:hint="default" w:ascii="Times New Roman" w:hAnsi="Times New Roman" w:eastAsia="宋体" w:cs="Times New Roman"/>
                <w:color w:val="000000"/>
                <w:sz w:val="24"/>
                <w:szCs w:val="24"/>
                <w:lang w:val="en-US" w:eastAsia="zh-CN"/>
              </w:rPr>
              <w:t>mg/L</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sz w:val="24"/>
                <w:szCs w:val="24"/>
                <w:lang w:val="en-US" w:eastAsia="zh-CN"/>
              </w:rPr>
              <w:t>阴离子表面活性剂</w:t>
            </w:r>
            <w:r>
              <w:rPr>
                <w:rFonts w:hint="default" w:ascii="Times New Roman" w:hAnsi="Times New Roman" w:eastAsia="宋体" w:cs="Times New Roman"/>
                <w:color w:val="000000"/>
                <w:sz w:val="24"/>
                <w:szCs w:val="24"/>
                <w:lang w:val="en-US" w:eastAsia="zh-CN"/>
              </w:rPr>
              <w:t>最大日均排放浓度为</w:t>
            </w:r>
            <w:r>
              <w:rPr>
                <w:rFonts w:hint="eastAsia" w:ascii="Times New Roman" w:hAnsi="Times New Roman" w:eastAsia="宋体" w:cs="Times New Roman"/>
                <w:color w:val="000000"/>
                <w:sz w:val="24"/>
                <w:szCs w:val="24"/>
                <w:lang w:val="en-US" w:eastAsia="zh-CN"/>
              </w:rPr>
              <w:t>低于检出限、铝</w:t>
            </w:r>
            <w:r>
              <w:rPr>
                <w:rFonts w:hint="default" w:ascii="Times New Roman" w:hAnsi="Times New Roman" w:eastAsia="宋体" w:cs="Times New Roman"/>
                <w:color w:val="000000"/>
                <w:sz w:val="24"/>
                <w:szCs w:val="24"/>
                <w:lang w:val="en-US" w:eastAsia="zh-CN"/>
              </w:rPr>
              <w:t>最大日均排放浓度为</w:t>
            </w:r>
            <w:r>
              <w:rPr>
                <w:rFonts w:hint="eastAsia" w:ascii="Times New Roman" w:hAnsi="Times New Roman" w:eastAsia="宋体" w:cs="Times New Roman"/>
                <w:color w:val="000000"/>
                <w:sz w:val="24"/>
                <w:szCs w:val="24"/>
                <w:lang w:val="en-US" w:eastAsia="zh-CN"/>
              </w:rPr>
              <w:t>0.40</w:t>
            </w:r>
            <w:r>
              <w:rPr>
                <w:rFonts w:hint="default" w:ascii="Times New Roman" w:hAnsi="Times New Roman" w:eastAsia="宋体" w:cs="Times New Roman"/>
                <w:color w:val="000000"/>
                <w:sz w:val="24"/>
                <w:szCs w:val="24"/>
                <w:lang w:val="en-US" w:eastAsia="zh-CN"/>
              </w:rPr>
              <w:t>mg/L，均满足</w:t>
            </w:r>
            <w:r>
              <w:rPr>
                <w:rFonts w:hint="default" w:ascii="Times New Roman" w:hAnsi="Times New Roman" w:cs="Times New Roman"/>
                <w:color w:val="auto"/>
                <w:kern w:val="0"/>
                <w:sz w:val="24"/>
                <w:lang w:eastAsia="zh-CN"/>
              </w:rPr>
              <w:t>《橡胶制品工业污染物排放标准》（GB</w:t>
            </w:r>
            <w:r>
              <w:rPr>
                <w:rFonts w:hint="default" w:ascii="Times New Roman" w:hAnsi="Times New Roman" w:cs="Times New Roman"/>
                <w:color w:val="000000" w:themeColor="text1"/>
                <w:kern w:val="0"/>
                <w:sz w:val="24"/>
                <w:lang w:eastAsia="zh-CN"/>
                <w14:textFill>
                  <w14:solidFill>
                    <w14:schemeClr w14:val="tx1"/>
                  </w14:solidFill>
                </w14:textFill>
              </w:rPr>
              <w:t>27632-2011）表2中轮胎企业和其他制品企业的间接排放标准及中德智造小镇污水处理厂接管标准</w:t>
            </w:r>
            <w:r>
              <w:rPr>
                <w:rFonts w:hint="default" w:ascii="Times New Roman" w:hAnsi="Times New Roman" w:cs="Times New Roman"/>
                <w:bCs/>
                <w:color w:val="000000" w:themeColor="text1"/>
                <w:sz w:val="24"/>
                <w:szCs w:val="24"/>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eastAsia="zh-CN"/>
                <w14:textFill>
                  <w14:solidFill>
                    <w14:schemeClr w14:val="tx1"/>
                  </w14:solidFill>
                </w14:textFill>
              </w:rPr>
              <w:t>验收监测期间，</w:t>
            </w:r>
            <w:r>
              <w:rPr>
                <w:rFonts w:hint="eastAsia" w:ascii="Times New Roman" w:hAnsi="Times New Roman" w:eastAsia="宋体" w:cs="Times New Roman"/>
                <w:color w:val="000000"/>
                <w:sz w:val="24"/>
                <w:szCs w:val="24"/>
                <w:lang w:val="en-US" w:eastAsia="zh-CN"/>
              </w:rPr>
              <w:t>中鼎减震厂区综合污水处理站</w:t>
            </w:r>
            <w:r>
              <w:rPr>
                <w:rFonts w:hint="default" w:ascii="Times New Roman" w:hAnsi="Times New Roman" w:cs="Times New Roman"/>
                <w:bCs/>
                <w:color w:val="000000" w:themeColor="text1"/>
                <w:sz w:val="24"/>
                <w:szCs w:val="24"/>
                <w:lang w:eastAsia="zh-CN"/>
                <w14:textFill>
                  <w14:solidFill>
                    <w14:schemeClr w14:val="tx1"/>
                  </w14:solidFill>
                </w14:textFill>
              </w:rPr>
              <w:t>对废水中COD处理效率为</w:t>
            </w:r>
            <w:r>
              <w:rPr>
                <w:rFonts w:hint="eastAsia" w:ascii="Times New Roman" w:hAnsi="Times New Roman" w:cs="Times New Roman"/>
                <w:bCs/>
                <w:color w:val="000000" w:themeColor="text1"/>
                <w:sz w:val="24"/>
                <w:szCs w:val="24"/>
                <w:lang w:val="en-US" w:eastAsia="zh-CN"/>
                <w14:textFill>
                  <w14:solidFill>
                    <w14:schemeClr w14:val="tx1"/>
                  </w14:solidFill>
                </w14:textFill>
              </w:rPr>
              <w:t>59.7</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62.3</w:t>
            </w:r>
            <w:r>
              <w:rPr>
                <w:rFonts w:hint="default" w:ascii="Times New Roman" w:hAnsi="Times New Roman" w:cs="Times New Roman"/>
                <w:bCs/>
                <w:color w:val="000000" w:themeColor="text1"/>
                <w:sz w:val="24"/>
                <w:szCs w:val="24"/>
                <w:lang w:eastAsia="zh-CN"/>
                <w14:textFill>
                  <w14:solidFill>
                    <w14:schemeClr w14:val="tx1"/>
                  </w14:solidFill>
                </w14:textFill>
              </w:rPr>
              <w:t>％，BOD</w:t>
            </w:r>
            <w:r>
              <w:rPr>
                <w:rFonts w:hint="default" w:ascii="Times New Roman" w:hAnsi="Times New Roman" w:cs="Times New Roman"/>
                <w:bCs/>
                <w:color w:val="000000" w:themeColor="text1"/>
                <w:sz w:val="24"/>
                <w:szCs w:val="24"/>
                <w:vertAlign w:val="subscript"/>
                <w:lang w:eastAsia="zh-CN"/>
                <w14:textFill>
                  <w14:solidFill>
                    <w14:schemeClr w14:val="tx1"/>
                  </w14:solidFill>
                </w14:textFill>
              </w:rPr>
              <w:t>5</w:t>
            </w:r>
            <w:r>
              <w:rPr>
                <w:rFonts w:hint="default" w:ascii="Times New Roman" w:hAnsi="Times New Roman" w:cs="Times New Roman"/>
                <w:bCs/>
                <w:color w:val="000000" w:themeColor="text1"/>
                <w:sz w:val="24"/>
                <w:szCs w:val="24"/>
                <w:lang w:eastAsia="zh-CN"/>
                <w14:textFill>
                  <w14:solidFill>
                    <w14:schemeClr w14:val="tx1"/>
                  </w14:solidFill>
                </w14:textFill>
              </w:rPr>
              <w:t>处理效率为</w:t>
            </w:r>
            <w:r>
              <w:rPr>
                <w:rFonts w:hint="eastAsia" w:ascii="Times New Roman" w:hAnsi="Times New Roman" w:cs="Times New Roman"/>
                <w:bCs/>
                <w:color w:val="000000" w:themeColor="text1"/>
                <w:sz w:val="24"/>
                <w:szCs w:val="24"/>
                <w:lang w:val="en-US" w:eastAsia="zh-CN"/>
                <w14:textFill>
                  <w14:solidFill>
                    <w14:schemeClr w14:val="tx1"/>
                  </w14:solidFill>
                </w14:textFill>
              </w:rPr>
              <w:t>42.4</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48.5</w:t>
            </w:r>
            <w:r>
              <w:rPr>
                <w:rFonts w:hint="default" w:ascii="Times New Roman" w:hAnsi="Times New Roman" w:cs="Times New Roman"/>
                <w:bCs/>
                <w:color w:val="000000" w:themeColor="text1"/>
                <w:sz w:val="24"/>
                <w:szCs w:val="24"/>
                <w:lang w:eastAsia="zh-CN"/>
                <w14:textFill>
                  <w14:solidFill>
                    <w14:schemeClr w14:val="tx1"/>
                  </w14:solidFill>
                </w14:textFill>
              </w:rPr>
              <w:t>％，SS处理效率为</w:t>
            </w:r>
            <w:r>
              <w:rPr>
                <w:rFonts w:hint="eastAsia" w:ascii="Times New Roman" w:hAnsi="Times New Roman" w:cs="Times New Roman"/>
                <w:bCs/>
                <w:color w:val="000000" w:themeColor="text1"/>
                <w:sz w:val="24"/>
                <w:szCs w:val="24"/>
                <w:lang w:val="en-US" w:eastAsia="zh-CN"/>
                <w14:textFill>
                  <w14:solidFill>
                    <w14:schemeClr w14:val="tx1"/>
                  </w14:solidFill>
                </w14:textFill>
              </w:rPr>
              <w:t>61.9</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64.8</w:t>
            </w:r>
            <w:r>
              <w:rPr>
                <w:rFonts w:hint="default" w:ascii="Times New Roman" w:hAnsi="Times New Roman" w:cs="Times New Roman"/>
                <w:bCs/>
                <w:color w:val="000000" w:themeColor="text1"/>
                <w:sz w:val="24"/>
                <w:szCs w:val="24"/>
                <w:lang w:eastAsia="zh-CN"/>
                <w14:textFill>
                  <w14:solidFill>
                    <w14:schemeClr w14:val="tx1"/>
                  </w14:solidFill>
                </w14:textFill>
              </w:rPr>
              <w:t>％，NH</w:t>
            </w:r>
            <w:r>
              <w:rPr>
                <w:rFonts w:hint="default" w:ascii="Times New Roman" w:hAnsi="Times New Roman" w:cs="Times New Roman"/>
                <w:bCs/>
                <w:color w:val="000000" w:themeColor="text1"/>
                <w:sz w:val="24"/>
                <w:szCs w:val="24"/>
                <w:vertAlign w:val="subscript"/>
                <w:lang w:eastAsia="zh-CN"/>
                <w14:textFill>
                  <w14:solidFill>
                    <w14:schemeClr w14:val="tx1"/>
                  </w14:solidFill>
                </w14:textFill>
              </w:rPr>
              <w:t>3</w:t>
            </w:r>
            <w:r>
              <w:rPr>
                <w:rFonts w:hint="default" w:ascii="Times New Roman" w:hAnsi="Times New Roman" w:cs="Times New Roman"/>
                <w:bCs/>
                <w:color w:val="000000" w:themeColor="text1"/>
                <w:sz w:val="24"/>
                <w:szCs w:val="24"/>
                <w:lang w:eastAsia="zh-CN"/>
                <w14:textFill>
                  <w14:solidFill>
                    <w14:schemeClr w14:val="tx1"/>
                  </w14:solidFill>
                </w14:textFill>
              </w:rPr>
              <w:t>-N处理效率为</w:t>
            </w:r>
            <w:r>
              <w:rPr>
                <w:rFonts w:hint="eastAsia" w:ascii="Times New Roman" w:hAnsi="Times New Roman" w:cs="Times New Roman"/>
                <w:bCs/>
                <w:color w:val="000000" w:themeColor="text1"/>
                <w:sz w:val="24"/>
                <w:szCs w:val="24"/>
                <w:lang w:val="en-US" w:eastAsia="zh-CN"/>
                <w14:textFill>
                  <w14:solidFill>
                    <w14:schemeClr w14:val="tx1"/>
                  </w14:solidFill>
                </w14:textFill>
              </w:rPr>
              <w:t>56.4</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61.3</w:t>
            </w:r>
            <w:r>
              <w:rPr>
                <w:rFonts w:hint="default" w:ascii="Times New Roman" w:hAnsi="Times New Roman" w:cs="Times New Roman"/>
                <w:bCs/>
                <w:color w:val="000000" w:themeColor="text1"/>
                <w:sz w:val="24"/>
                <w:szCs w:val="24"/>
                <w:lang w:eastAsia="zh-CN"/>
                <w14:textFill>
                  <w14:solidFill>
                    <w14:schemeClr w14:val="tx1"/>
                  </w14:solidFill>
                </w14:textFill>
              </w:rPr>
              <w:t>％，总氮的处理效率为</w:t>
            </w:r>
            <w:r>
              <w:rPr>
                <w:rFonts w:hint="eastAsia" w:ascii="Times New Roman" w:hAnsi="Times New Roman" w:cs="Times New Roman"/>
                <w:bCs/>
                <w:color w:val="000000" w:themeColor="text1"/>
                <w:sz w:val="24"/>
                <w:szCs w:val="24"/>
                <w:lang w:val="en-US" w:eastAsia="zh-CN"/>
                <w14:textFill>
                  <w14:solidFill>
                    <w14:schemeClr w14:val="tx1"/>
                  </w14:solidFill>
                </w14:textFill>
              </w:rPr>
              <w:t>55.0</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57.8</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eastAsia" w:ascii="Times New Roman" w:hAnsi="Times New Roman" w:cs="Times New Roman"/>
                <w:bCs/>
                <w:color w:val="000000" w:themeColor="text1"/>
                <w:sz w:val="24"/>
                <w:szCs w:val="24"/>
                <w:lang w:eastAsia="zh-CN"/>
                <w14:textFill>
                  <w14:solidFill>
                    <w14:schemeClr w14:val="tx1"/>
                  </w14:solidFill>
                </w14:textFill>
              </w:rPr>
              <w:t>铝</w:t>
            </w:r>
            <w:r>
              <w:rPr>
                <w:rFonts w:hint="default" w:ascii="Times New Roman" w:hAnsi="Times New Roman" w:cs="Times New Roman"/>
                <w:bCs/>
                <w:color w:val="000000" w:themeColor="text1"/>
                <w:sz w:val="24"/>
                <w:szCs w:val="24"/>
                <w:lang w:eastAsia="zh-CN"/>
                <w14:textFill>
                  <w14:solidFill>
                    <w14:schemeClr w14:val="tx1"/>
                  </w14:solidFill>
                </w14:textFill>
              </w:rPr>
              <w:t>的处理效率为</w:t>
            </w:r>
            <w:r>
              <w:rPr>
                <w:rFonts w:hint="eastAsia" w:ascii="Times New Roman" w:hAnsi="Times New Roman" w:cs="Times New Roman"/>
                <w:bCs/>
                <w:color w:val="000000" w:themeColor="text1"/>
                <w:sz w:val="24"/>
                <w:szCs w:val="24"/>
                <w:lang w:val="en-US" w:eastAsia="zh-CN"/>
                <w14:textFill>
                  <w14:solidFill>
                    <w14:schemeClr w14:val="tx1"/>
                  </w14:solidFill>
                </w14:textFill>
              </w:rPr>
              <w:t>32.7</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51.0</w:t>
            </w:r>
            <w:r>
              <w:rPr>
                <w:rFonts w:hint="default" w:ascii="Times New Roman" w:hAnsi="Times New Roman" w:cs="Times New Roman"/>
                <w:bCs/>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2、废气：验收监测期间</w:t>
            </w:r>
            <w:r>
              <w:rPr>
                <w:rFonts w:hint="default" w:ascii="Times New Roman" w:hAnsi="Times New Roman" w:cs="Times New Roman" w:eastAsiaTheme="minorEastAsia"/>
                <w:color w:val="000000" w:themeColor="text1"/>
                <w:sz w:val="24"/>
                <w:szCs w:val="24"/>
                <w14:textFill>
                  <w14:solidFill>
                    <w14:schemeClr w14:val="tx1"/>
                  </w14:solidFill>
                </w14:textFill>
              </w:rPr>
              <w:t>项目锻坯加热炉及热处理炉天然气燃烧废气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mg/m³，二氧化硫的最大排放浓度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mg/m³，氮氧化物最大排放浓度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ascii="Times New Roman" w:hAnsi="Times New Roman" w:cs="Times New Roman"/>
                <w:color w:val="000000" w:themeColor="text1"/>
                <w:sz w:val="24"/>
                <w:szCs w:val="24"/>
                <w:lang w:eastAsia="zh-CN"/>
                <w14:textFill>
                  <w14:solidFill>
                    <w14:schemeClr w14:val="tx1"/>
                  </w14:solidFill>
                </w14:textFill>
              </w:rPr>
              <w:t>均满足</w:t>
            </w:r>
            <w:r>
              <w:rPr>
                <w:rFonts w:hint="default" w:ascii="Times New Roman" w:hAnsi="Times New Roman" w:cs="Times New Roman" w:eastAsiaTheme="minorEastAsia"/>
                <w:color w:val="000000" w:themeColor="text1"/>
                <w:sz w:val="24"/>
                <w:szCs w:val="24"/>
                <w14:textFill>
                  <w14:solidFill>
                    <w14:schemeClr w14:val="tx1"/>
                  </w14:solidFill>
                </w14:textFill>
              </w:rPr>
              <w:t>《工业炉窑大气污染综合治理方案》 (环大气[2019]56号)中要求</w:t>
            </w:r>
            <w:r>
              <w:rPr>
                <w:rFonts w:hint="eastAsia" w:ascii="Times New Roman" w:hAnsi="Times New Roman" w:cs="Times New Roman"/>
                <w:color w:val="000000" w:themeColor="text1"/>
                <w:sz w:val="24"/>
                <w:szCs w:val="24"/>
                <w:lang w:eastAsia="zh-CN"/>
                <w14:textFill>
                  <w14:solidFill>
                    <w14:schemeClr w14:val="tx1"/>
                  </w14:solidFill>
                </w14:textFill>
              </w:rPr>
              <w:t>，锻坯加热废气中油雾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排放满足上海市《大气污染物综合排放标准》（DB31/933-2015）中限值，</w:t>
            </w:r>
            <w:r>
              <w:rPr>
                <w:rFonts w:hint="default" w:ascii="Times New Roman" w:hAnsi="Times New Roman" w:cs="Times New Roman" w:eastAsiaTheme="minorEastAsia"/>
                <w:color w:val="000000" w:themeColor="text1"/>
                <w:sz w:val="24"/>
                <w:szCs w:val="24"/>
                <w14:textFill>
                  <w14:solidFill>
                    <w14:schemeClr w14:val="tx1"/>
                  </w14:solidFill>
                </w14:textFill>
              </w:rPr>
              <w:t>抛丸</w:t>
            </w:r>
            <w:r>
              <w:rPr>
                <w:rFonts w:hint="eastAsia" w:ascii="Times New Roman" w:hAnsi="Times New Roman" w:cs="Times New Roman"/>
                <w:color w:val="000000" w:themeColor="text1"/>
                <w:sz w:val="24"/>
                <w:szCs w:val="24"/>
                <w:lang w:eastAsia="zh-CN"/>
                <w14:textFill>
                  <w14:solidFill>
                    <w14:schemeClr w14:val="tx1"/>
                  </w14:solidFill>
                </w14:textFill>
              </w:rPr>
              <w:t>、抛光、焊接</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ascii="Times New Roman" w:hAnsi="Times New Roman" w:cs="Times New Roman"/>
                <w:color w:val="000000" w:themeColor="text1"/>
                <w:sz w:val="24"/>
                <w:szCs w:val="24"/>
                <w:lang w:eastAsia="zh-CN"/>
                <w14:textFill>
                  <w14:solidFill>
                    <w14:schemeClr w14:val="tx1"/>
                  </w14:solidFill>
                </w14:textFill>
              </w:rPr>
              <w:t>中</w:t>
            </w:r>
            <w:r>
              <w:rPr>
                <w:rFonts w:hint="default" w:ascii="Times New Roman" w:hAnsi="Times New Roman" w:cs="Times New Roman" w:eastAsiaTheme="minorEastAsia"/>
                <w:color w:val="000000" w:themeColor="text1"/>
                <w:sz w:val="24"/>
                <w:szCs w:val="24"/>
                <w14:textFill>
                  <w14:solidFill>
                    <w14:schemeClr w14:val="tx1"/>
                  </w14:solidFill>
                </w14:textFill>
              </w:rPr>
              <w:t>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ascii="Times New Roman" w:hAnsi="Times New Roman" w:cs="Times New Roman"/>
                <w:color w:val="000000" w:themeColor="text1"/>
                <w:sz w:val="24"/>
                <w:szCs w:val="24"/>
                <w:lang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14:textFill>
                  <w14:solidFill>
                    <w14:schemeClr w14:val="tx1"/>
                  </w14:solidFill>
                </w14:textFill>
              </w:rPr>
              <w:t>《大气污染物综合排放标准》 (GB16297-1996)中表2排放限值要求。</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1#锻坯加热废气排气筒（DA002）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油雾去除效率为94.9%，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2#锻坯加热废气排气筒（DA003）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油雾去除效率为94.5%，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电阻炉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焊接废气排气筒（DA00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颗粒物去除效率为90.6%，油雾去除效率为95.5%，抛光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废气排气筒（DA00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颗粒物去除效率为94.4%。</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验收监测期间厂界无组织排放的颗粒物最大监测浓度为0.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5mg/m³，满足</w:t>
            </w:r>
            <w:r>
              <w:rPr>
                <w:rFonts w:hint="default" w:ascii="Times New Roman" w:hAnsi="Times New Roman" w:cs="Times New Roman" w:eastAsiaTheme="minorEastAsia"/>
                <w:sz w:val="24"/>
                <w:szCs w:val="24"/>
              </w:rPr>
              <w:t>《</w:t>
            </w:r>
            <w:r>
              <w:rPr>
                <w:rFonts w:hint="default" w:ascii="Times New Roman" w:hAnsi="Times New Roman" w:eastAsia="宋体" w:cs="Times New Roman"/>
                <w:sz w:val="24"/>
                <w:szCs w:val="24"/>
                <w:lang w:val="en-US" w:eastAsia="zh-CN"/>
              </w:rPr>
              <w:t>大气污染物综合排放标准</w:t>
            </w:r>
            <w:r>
              <w:rPr>
                <w:rFonts w:hint="default" w:ascii="Times New Roman" w:hAnsi="Times New Roman" w:cs="Times New Roman" w:eastAsiaTheme="minorEastAsia"/>
                <w:sz w:val="24"/>
                <w:szCs w:val="24"/>
              </w:rPr>
              <w:t>》（</w:t>
            </w:r>
            <w:r>
              <w:rPr>
                <w:rFonts w:hint="eastAsia" w:ascii="Times New Roman" w:hAnsi="Times New Roman" w:cs="Times New Roman"/>
                <w:color w:val="auto"/>
                <w:sz w:val="24"/>
                <w:lang w:val="en-US" w:eastAsia="zh-CN"/>
              </w:rPr>
              <w:t>G</w:t>
            </w:r>
            <w:r>
              <w:rPr>
                <w:rFonts w:hint="default" w:ascii="Times New Roman" w:hAnsi="Times New Roman" w:cs="Times New Roman"/>
                <w:color w:val="auto"/>
                <w:sz w:val="24"/>
              </w:rPr>
              <w:t>B</w:t>
            </w:r>
            <w:r>
              <w:rPr>
                <w:rFonts w:hint="eastAsia" w:ascii="Times New Roman" w:hAnsi="Times New Roman" w:cs="Times New Roman"/>
                <w:color w:val="auto"/>
                <w:sz w:val="24"/>
                <w:lang w:val="en-US" w:eastAsia="zh-CN"/>
              </w:rPr>
              <w:t>16297</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1996</w:t>
            </w:r>
            <w:r>
              <w:rPr>
                <w:rFonts w:hint="default" w:ascii="Times New Roman" w:hAnsi="Times New Roman" w:cs="Times New Roman" w:eastAsiaTheme="minorEastAsia"/>
                <w:sz w:val="24"/>
                <w:szCs w:val="24"/>
              </w:rPr>
              <w:t>）</w:t>
            </w:r>
            <w:r>
              <w:rPr>
                <w:rFonts w:hint="default" w:ascii="Times New Roman" w:hAnsi="Times New Roman" w:cs="Times New Roman"/>
                <w:color w:val="auto"/>
                <w:sz w:val="24"/>
              </w:rPr>
              <w:t>无组织排放监控浓度限值浓度</w:t>
            </w:r>
            <w:r>
              <w:rPr>
                <w:rFonts w:hint="eastAsia" w:ascii="Times New Roman" w:hAnsi="Times New Roman" w:cs="Times New Roman"/>
                <w:color w:val="auto"/>
                <w:sz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3、噪声：厂界环境噪声排放满足《工业企业厂界环境噪声排放标准》（GB12348-2008）中的3类标准，为达标排放。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4、固废：</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项目产生的固废主要包括一般固废、危险废物及生活垃圾。一般固废有金属边角料、不合格品、废钢丸、收集粉尘收集后由物资公司回收。危险废物有废活性炭、废切削液、脱脂槽渣、碱洗槽渣、废润滑油、化学品包装桶暂存于危废库中，公司已与宁国海螺环保科技有限责任公司、安徽嘉朋特环保科技服务有限公司签订危废处置协议，收集后交其处置。生活垃圾收集后由环卫部门清运。</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5、辐射：不涉及。</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废水排入宁国市中德小镇污水处理厂，NH</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-N、COD</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cr</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总量由宁国市中德小镇污水处理厂调剂，本次验收不核算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本项目颗粒物排放总量为0.31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，SO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排放总量为0.458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，NO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x</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排放总量为0.826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满足总量控制要求。</w:t>
            </w: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 xml:space="preserve"> </w:t>
            </w:r>
          </w:p>
        </w:tc>
      </w:tr>
    </w:tbl>
    <w:p>
      <w:pPr>
        <w:rPr>
          <w:rFonts w:hint="default" w:ascii="Times New Roman" w:hAnsi="Times New Roman" w:cs="Times New Roman"/>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rPr>
          <w:rFonts w:hint="eastAsia" w:ascii="宋体" w:hAnsi="宋体" w:eastAsia="宋体" w:cs="宋体"/>
          <w:b/>
          <w:bCs/>
          <w:color w:val="auto"/>
          <w:kern w:val="2"/>
          <w:sz w:val="36"/>
          <w:szCs w:val="36"/>
          <w:lang w:val="en-US" w:eastAsia="zh-CN" w:bidi="ar-SA"/>
        </w:rPr>
      </w:pPr>
      <w:r>
        <w:rPr>
          <w:rFonts w:hint="eastAsia" w:ascii="宋体" w:hAnsi="宋体" w:eastAsia="宋体" w:cs="宋体"/>
          <w:b/>
          <w:bCs/>
          <w:color w:val="auto"/>
          <w:kern w:val="2"/>
          <w:sz w:val="36"/>
          <w:szCs w:val="36"/>
          <w:lang w:val="en-US" w:eastAsia="zh-CN" w:bidi="ar-SA"/>
        </w:rPr>
        <w:t>安徽望锦汽车部件有限公司汽车底盘部件生产项目</w:t>
      </w:r>
    </w:p>
    <w:p>
      <w:pPr>
        <w:spacing w:line="360" w:lineRule="auto"/>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rPr>
        <w:t>竣工环境保护阶段性验收</w:t>
      </w:r>
      <w:r>
        <w:rPr>
          <w:rFonts w:hint="eastAsia" w:ascii="宋体" w:hAnsi="宋体" w:eastAsia="宋体" w:cs="宋体"/>
          <w:b/>
          <w:bCs/>
          <w:color w:val="auto"/>
          <w:sz w:val="36"/>
          <w:szCs w:val="36"/>
          <w:lang w:eastAsia="zh-CN"/>
        </w:rPr>
        <w:t>监测</w:t>
      </w:r>
      <w:r>
        <w:rPr>
          <w:rFonts w:hint="eastAsia" w:ascii="宋体" w:hAnsi="宋体" w:eastAsia="宋体" w:cs="宋体"/>
          <w:b/>
          <w:bCs/>
          <w:color w:val="auto"/>
          <w:sz w:val="36"/>
          <w:szCs w:val="36"/>
        </w:rPr>
        <w:t>报告</w:t>
      </w:r>
      <w:r>
        <w:rPr>
          <w:rFonts w:hint="eastAsia" w:ascii="宋体" w:hAnsi="宋体" w:eastAsia="宋体" w:cs="宋体"/>
          <w:b/>
          <w:bCs/>
          <w:color w:val="auto"/>
          <w:sz w:val="36"/>
          <w:szCs w:val="36"/>
          <w:lang w:val="en-US" w:eastAsia="zh-CN"/>
        </w:rPr>
        <w:t>意见修改清单</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4466"/>
        <w:gridCol w:w="2784"/>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序号</w:t>
            </w:r>
          </w:p>
        </w:tc>
        <w:tc>
          <w:tcPr>
            <w:tcW w:w="2496"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修改意见</w:t>
            </w:r>
          </w:p>
        </w:tc>
        <w:tc>
          <w:tcPr>
            <w:tcW w:w="1556"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完成情况</w:t>
            </w:r>
          </w:p>
        </w:tc>
        <w:tc>
          <w:tcPr>
            <w:tcW w:w="680"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1</w:t>
            </w:r>
          </w:p>
        </w:tc>
        <w:tc>
          <w:tcPr>
            <w:tcW w:w="2496" w:type="pct"/>
            <w:noWrap w:val="0"/>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line="240" w:lineRule="auto"/>
              <w:ind w:leftChars="0"/>
              <w:jc w:val="center"/>
              <w:textAlignment w:val="auto"/>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明确验收范围，核实项目本期主要生产设备清单和产污节点；核实敏感环境保护目标分布变化情况。</w:t>
            </w:r>
          </w:p>
        </w:tc>
        <w:tc>
          <w:tcPr>
            <w:tcW w:w="1556"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验收范围已明确，本项目敏感环境保护目标分布变化情况已核实无变动。</w:t>
            </w:r>
          </w:p>
        </w:tc>
        <w:tc>
          <w:tcPr>
            <w:tcW w:w="680"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2</w:t>
            </w:r>
          </w:p>
        </w:tc>
        <w:tc>
          <w:tcPr>
            <w:tcW w:w="2496" w:type="pct"/>
            <w:noWrap w:val="0"/>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line="240" w:lineRule="auto"/>
              <w:ind w:leftChars="0"/>
              <w:jc w:val="center"/>
              <w:textAlignment w:val="auto"/>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核实锻坯及时效炉天然气燃烧、抛丸、焊接、电阻炉工序废气收集，净化效果，附废气处理设施风机风量等参数并明确匹配情况，核实污染物排放总量和环境防护距离规划控制符合情况；核实水量平衡图，补充说明清洗线新增废水预处理设施工艺路线等，附废水委托处理协议和污水接管证明；核实固废种类属性及处理处置途径，完善危废暂存场所建设，核实活性炭碘值、充装量是否满足环境管理相关要求，明确活性炭更换周期，危废暂存间 (附危废托管协议) 内危险废物均须密封暂存，附有效的危废处理处置协议;定期对车间内外地面进行环境清理，持续改善环境。</w:t>
            </w:r>
          </w:p>
        </w:tc>
        <w:tc>
          <w:tcPr>
            <w:tcW w:w="1556"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各工段废气收集、净化效果已核实，废气净化处理工艺和相关参数已增加；污染物排放总量和环境防护距离规划控制符合情况已核实，水量平衡图已核实，清洗线新增废水预处理设施工艺已补充，危废库建设已完善，活性炭碘值、充装量满足环境管理相关要求，活性炭更换周期已明确，有效的危废处理处置协议见附件。</w:t>
            </w:r>
          </w:p>
        </w:tc>
        <w:tc>
          <w:tcPr>
            <w:tcW w:w="680"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3</w:t>
            </w:r>
          </w:p>
        </w:tc>
        <w:tc>
          <w:tcPr>
            <w:tcW w:w="2496"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完善相关场所环保标志标识、环保设施内部照片；附敏感环境保护目标分布图；完善项目竣工环保验收登记表；规范图表，勘误文字。</w:t>
            </w:r>
          </w:p>
        </w:tc>
        <w:tc>
          <w:tcPr>
            <w:tcW w:w="1556"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相关场所环保标志标识已完善，敏感环境保护目标分布图已补充</w:t>
            </w:r>
            <w:r>
              <w:rPr>
                <w:rFonts w:hint="eastAsia" w:ascii="Times New Roman" w:hAnsi="Times New Roman" w:eastAsia="仿宋" w:cs="Times New Roman"/>
                <w:color w:val="auto"/>
                <w:kern w:val="2"/>
                <w:sz w:val="24"/>
                <w:szCs w:val="24"/>
                <w:vertAlign w:val="baseline"/>
                <w:lang w:val="en-US" w:eastAsia="zh-CN" w:bidi="ar-SA"/>
              </w:rPr>
              <w:t>。</w:t>
            </w:r>
          </w:p>
        </w:tc>
        <w:tc>
          <w:tcPr>
            <w:tcW w:w="680"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w:t>
            </w:r>
          </w:p>
        </w:tc>
      </w:tr>
    </w:tbl>
    <w:p>
      <w:pPr>
        <w:pStyle w:val="2"/>
        <w:rPr>
          <w:rFonts w:hint="default"/>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12"/>
        <w:tblW w:w="4998" w:type="pct"/>
        <w:jc w:val="center"/>
        <w:tblLayout w:type="fixed"/>
        <w:tblCellMar>
          <w:top w:w="0" w:type="dxa"/>
          <w:left w:w="108" w:type="dxa"/>
          <w:bottom w:w="0" w:type="dxa"/>
          <w:right w:w="108" w:type="dxa"/>
        </w:tblCellMar>
      </w:tblPr>
      <w:tblGrid>
        <w:gridCol w:w="599"/>
        <w:gridCol w:w="1341"/>
        <w:gridCol w:w="795"/>
        <w:gridCol w:w="497"/>
        <w:gridCol w:w="467"/>
        <w:gridCol w:w="1048"/>
        <w:gridCol w:w="905"/>
        <w:gridCol w:w="931"/>
        <w:gridCol w:w="278"/>
        <w:gridCol w:w="577"/>
        <w:gridCol w:w="1451"/>
        <w:gridCol w:w="59"/>
        <w:gridCol w:w="376"/>
        <w:gridCol w:w="59"/>
        <w:gridCol w:w="306"/>
        <w:gridCol w:w="1259"/>
        <w:gridCol w:w="1286"/>
        <w:gridCol w:w="746"/>
        <w:gridCol w:w="214"/>
        <w:gridCol w:w="597"/>
        <w:gridCol w:w="348"/>
        <w:gridCol w:w="1048"/>
        <w:gridCol w:w="421"/>
      </w:tblGrid>
      <w:tr>
        <w:tblPrEx>
          <w:tblCellMar>
            <w:top w:w="0" w:type="dxa"/>
            <w:left w:w="108" w:type="dxa"/>
            <w:bottom w:w="0" w:type="dxa"/>
            <w:right w:w="108" w:type="dxa"/>
          </w:tblCellMar>
        </w:tblPrEx>
        <w:trPr>
          <w:trHeight w:val="283" w:hRule="atLeast"/>
          <w:jc w:val="center"/>
        </w:trPr>
        <w:tc>
          <w:tcPr>
            <w:tcW w:w="5000" w:type="pct"/>
            <w:gridSpan w:val="23"/>
            <w:tcBorders>
              <w:top w:val="nil"/>
              <w:left w:val="nil"/>
              <w:bottom w:val="nil"/>
              <w:right w:val="nil"/>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建设项目工程竣工环境保护“三同时”验收登记表</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eastAsia" w:ascii="Times New Roman" w:hAnsi="Times New Roman" w:cs="Times New Roman"/>
                <w:color w:val="000000"/>
                <w:sz w:val="18"/>
                <w:szCs w:val="18"/>
                <w:lang w:val="en-US" w:eastAsia="zh-CN"/>
              </w:rPr>
              <w:t>安徽望锦汽车部件有限公司</w:t>
            </w:r>
          </w:p>
        </w:tc>
        <w:tc>
          <w:tcPr>
            <w:tcW w:w="877"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填表人（签字）：　</w:t>
            </w:r>
          </w:p>
        </w:tc>
        <w:tc>
          <w:tcPr>
            <w:tcW w:w="519"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719" w:type="pct"/>
            <w:gridSpan w:val="3"/>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项目经办人（签字):</w:t>
            </w:r>
          </w:p>
        </w:tc>
        <w:tc>
          <w:tcPr>
            <w:tcW w:w="773" w:type="pct"/>
            <w:gridSpan w:val="4"/>
            <w:tcBorders>
              <w:top w:val="single" w:color="auto" w:sz="4" w:space="0"/>
              <w:left w:val="nil"/>
              <w:bottom w:val="single" w:color="auto" w:sz="4" w:space="0"/>
              <w:right w:val="single" w:color="000000"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r>
        <w:tblPrEx>
          <w:tblCellMar>
            <w:top w:w="0" w:type="dxa"/>
            <w:left w:w="108" w:type="dxa"/>
            <w:bottom w:w="0" w:type="dxa"/>
            <w:right w:w="108" w:type="dxa"/>
          </w:tblCellMar>
        </w:tblPrEx>
        <w:trPr>
          <w:trHeight w:val="283"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 设 项 目</w:t>
            </w: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汽车底盘部件生产项目</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建设地点</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kern w:val="0"/>
                <w:sz w:val="18"/>
                <w:szCs w:val="18"/>
              </w:rPr>
              <w:t>安徽省宁国市宁国中德智造产业园中鼎集团NVH园区4#厂房</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行业类别</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C3670</w:t>
            </w:r>
          </w:p>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汽车零部件制造</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建设性质</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新建</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年产2413万件汽车零部件</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实际生产能力</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年产1500万件汽车零部件</w:t>
            </w:r>
          </w:p>
        </w:tc>
        <w:tc>
          <w:tcPr>
            <w:tcW w:w="412" w:type="pct"/>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环评单位</w:t>
            </w:r>
          </w:p>
        </w:tc>
        <w:tc>
          <w:tcPr>
            <w:tcW w:w="1081" w:type="pct"/>
            <w:gridSpan w:val="6"/>
            <w:tcBorders>
              <w:top w:val="single" w:color="auto" w:sz="4" w:space="0"/>
              <w:left w:val="single" w:color="000000" w:sz="4" w:space="0"/>
              <w:bottom w:val="single" w:color="auto" w:sz="4" w:space="0"/>
              <w:right w:val="single" w:color="auto" w:sz="4" w:space="0"/>
            </w:tcBorders>
            <w:shd w:val="clear" w:color="auto" w:fill="FFFFFF"/>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宣城科宁环境科技有限公司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宣城市</w:t>
            </w:r>
            <w:r>
              <w:rPr>
                <w:rFonts w:hint="default" w:ascii="Times New Roman" w:hAnsi="Times New Roman" w:eastAsia="宋体" w:cs="Times New Roman"/>
                <w:color w:val="000000"/>
                <w:sz w:val="18"/>
                <w:szCs w:val="18"/>
                <w:lang w:val="en-US" w:eastAsia="zh-CN" w:bidi="ar-SA"/>
              </w:rPr>
              <w:t>宁国市</w:t>
            </w:r>
            <w:r>
              <w:rPr>
                <w:rFonts w:hint="eastAsia" w:ascii="Times New Roman" w:hAnsi="Times New Roman" w:cs="Times New Roman"/>
                <w:color w:val="000000"/>
                <w:sz w:val="18"/>
                <w:szCs w:val="18"/>
                <w:lang w:val="en-US" w:eastAsia="zh-CN" w:bidi="ar-SA"/>
              </w:rPr>
              <w:t>生态环境分</w:t>
            </w:r>
            <w:r>
              <w:rPr>
                <w:rFonts w:hint="default" w:ascii="Times New Roman" w:hAnsi="Times New Roman" w:eastAsia="宋体" w:cs="Times New Roman"/>
                <w:color w:val="000000"/>
                <w:sz w:val="18"/>
                <w:szCs w:val="18"/>
                <w:lang w:val="en-US" w:eastAsia="zh-CN" w:bidi="ar-SA"/>
              </w:rPr>
              <w:t>局</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审批文号</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highlight w:val="none"/>
                <w:lang w:val="en-US" w:eastAsia="zh-CN"/>
              </w:rPr>
              <w:t>宁环</w:t>
            </w:r>
            <w:r>
              <w:rPr>
                <w:rFonts w:hint="eastAsia" w:ascii="Times New Roman" w:hAnsi="Times New Roman" w:cs="Times New Roman"/>
                <w:color w:val="auto"/>
                <w:sz w:val="18"/>
                <w:szCs w:val="18"/>
                <w:highlight w:val="none"/>
                <w:lang w:val="en-US" w:eastAsia="zh-CN"/>
              </w:rPr>
              <w:t>审批[2023]36</w:t>
            </w:r>
            <w:r>
              <w:rPr>
                <w:rFonts w:hint="eastAsia" w:ascii="宋体" w:hAnsi="宋体" w:eastAsia="宋体" w:cs="宋体"/>
                <w:sz w:val="18"/>
                <w:szCs w:val="18"/>
                <w:lang w:val="en-US" w:eastAsia="zh-CN"/>
              </w:rPr>
              <w:t>号</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环评文件类型</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报告表</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20</w:t>
            </w:r>
            <w:r>
              <w:rPr>
                <w:rFonts w:hint="eastAsia" w:ascii="Times New Roman" w:hAnsi="Times New Roman" w:cs="Times New Roman"/>
                <w:color w:val="000000"/>
                <w:sz w:val="18"/>
                <w:szCs w:val="18"/>
                <w:lang w:val="en-US" w:eastAsia="zh-CN"/>
              </w:rPr>
              <w:t>23.6</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竣工日期</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2023.7</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排污许可证申领时间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2023.08.23</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安徽望锦汽车部件有限公司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环保设施施工单位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安徽望锦汽车部件有限公司</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本工程排污许可证编号</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91341881MA8LHRAD7L001Z</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环保设施监测单位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　</w:t>
            </w:r>
            <w:r>
              <w:rPr>
                <w:rFonts w:hint="default" w:ascii="Times New Roman" w:hAnsi="Times New Roman" w:eastAsia="宋体" w:cs="Times New Roman"/>
                <w:color w:val="000000"/>
                <w:sz w:val="18"/>
                <w:szCs w:val="18"/>
                <w:lang w:val="en-US" w:eastAsia="zh-CN" w:bidi="ar-SA"/>
              </w:rPr>
              <w:t>　</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验收监测时工况</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正常　</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40704.3</w:t>
            </w:r>
          </w:p>
        </w:tc>
        <w:tc>
          <w:tcPr>
            <w:tcW w:w="757" w:type="pct"/>
            <w:gridSpan w:val="4"/>
            <w:tcBorders>
              <w:top w:val="single" w:color="auto" w:sz="4" w:space="0"/>
              <w:left w:val="single" w:color="000000" w:sz="4" w:space="0"/>
              <w:bottom w:val="single" w:color="auto"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127</w:t>
            </w:r>
          </w:p>
        </w:tc>
        <w:tc>
          <w:tcPr>
            <w:tcW w:w="650" w:type="pct"/>
            <w:gridSpan w:val="2"/>
            <w:tcBorders>
              <w:top w:val="single" w:color="auto" w:sz="4" w:space="0"/>
              <w:left w:val="nil"/>
              <w:bottom w:val="single" w:color="auto" w:sz="4" w:space="0"/>
              <w:right w:val="single" w:color="000000" w:sz="4" w:space="0"/>
            </w:tcBorders>
            <w:shd w:val="clear" w:color="auto" w:fill="AEAAAA" w:themeFill="background2" w:themeFillShade="BF"/>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0.31</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eastAsia" w:ascii="Times New Roman" w:hAnsi="Times New Roman" w:cs="Times New Roman"/>
                <w:color w:val="000000"/>
                <w:sz w:val="18"/>
                <w:szCs w:val="18"/>
                <w:lang w:val="en-US" w:eastAsia="zh-CN"/>
              </w:rPr>
              <w:t>20000</w:t>
            </w:r>
          </w:p>
        </w:tc>
        <w:tc>
          <w:tcPr>
            <w:tcW w:w="757" w:type="pct"/>
            <w:gridSpan w:val="4"/>
            <w:tcBorders>
              <w:top w:val="single" w:color="auto" w:sz="4" w:space="0"/>
              <w:left w:val="single" w:color="000000"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135</w:t>
            </w:r>
          </w:p>
        </w:tc>
        <w:tc>
          <w:tcPr>
            <w:tcW w:w="650" w:type="pct"/>
            <w:gridSpan w:val="2"/>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0.675</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159" w:type="pct"/>
            <w:tcBorders>
              <w:top w:val="nil"/>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75</w:t>
            </w:r>
          </w:p>
        </w:tc>
        <w:tc>
          <w:tcPr>
            <w:tcW w:w="485"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废气治理（万元）</w:t>
            </w:r>
          </w:p>
        </w:tc>
        <w:tc>
          <w:tcPr>
            <w:tcW w:w="289" w:type="pct"/>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50</w:t>
            </w:r>
          </w:p>
        </w:tc>
        <w:tc>
          <w:tcPr>
            <w:tcW w:w="38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噪声治理（万元）</w:t>
            </w:r>
          </w:p>
        </w:tc>
        <w:tc>
          <w:tcPr>
            <w:tcW w:w="184" w:type="pct"/>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c>
          <w:tcPr>
            <w:tcW w:w="4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固废治理（万元）</w:t>
            </w:r>
          </w:p>
        </w:tc>
        <w:tc>
          <w:tcPr>
            <w:tcW w:w="139" w:type="pct"/>
            <w:gridSpan w:val="2"/>
            <w:tcBorders>
              <w:top w:val="nil"/>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c>
          <w:tcPr>
            <w:tcW w:w="913" w:type="pct"/>
            <w:gridSpan w:val="3"/>
            <w:tcBorders>
              <w:top w:val="nil"/>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绿化及生态（万元）</w:t>
            </w:r>
          </w:p>
        </w:tc>
        <w:tc>
          <w:tcPr>
            <w:tcW w:w="498"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4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其它（万元）</w:t>
            </w:r>
          </w:p>
        </w:tc>
        <w:tc>
          <w:tcPr>
            <w:tcW w:w="1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843" w:type="pct"/>
            <w:gridSpan w:val="3"/>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新增废水处理设施能力</w:t>
            </w:r>
          </w:p>
        </w:tc>
        <w:tc>
          <w:tcPr>
            <w:tcW w:w="1073"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1"/>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新增废气处理设施能力</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年平均工作时（h/a）</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2400</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运营单位社会统一信用代码　</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202</w:t>
            </w:r>
            <w:r>
              <w:rPr>
                <w:rFonts w:hint="eastAsia" w:ascii="Times New Roman" w:hAnsi="Times New Roman" w:cs="Times New Roman"/>
                <w:sz w:val="18"/>
                <w:szCs w:val="18"/>
                <w:lang w:val="en-US" w:eastAsia="zh-CN"/>
              </w:rPr>
              <w:t>3</w:t>
            </w:r>
            <w:r>
              <w:rPr>
                <w:rFonts w:hint="default"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8</w:t>
            </w:r>
          </w:p>
        </w:tc>
      </w:tr>
      <w:tr>
        <w:tblPrEx>
          <w:tblCellMar>
            <w:top w:w="0" w:type="dxa"/>
            <w:left w:w="108" w:type="dxa"/>
            <w:bottom w:w="0" w:type="dxa"/>
            <w:right w:w="108" w:type="dxa"/>
          </w:tblCellMar>
        </w:tblPrEx>
        <w:trPr>
          <w:trHeight w:val="312"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物排</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放达</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标与</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总量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控制</w:t>
            </w:r>
          </w:p>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业建</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设项</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目详</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填）</w:t>
            </w:r>
          </w:p>
        </w:tc>
        <w:tc>
          <w:tcPr>
            <w:tcW w:w="684" w:type="pct"/>
            <w:gridSpan w:val="2"/>
            <w:vMerge w:val="restart"/>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308"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原有排放量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（1）</w:t>
            </w:r>
          </w:p>
        </w:tc>
        <w:tc>
          <w:tcPr>
            <w:tcW w:w="335"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本期工程实际排放浓度（2）</w:t>
            </w:r>
          </w:p>
        </w:tc>
        <w:tc>
          <w:tcPr>
            <w:tcW w:w="28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本期工程允许</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排放浓度（3）</w:t>
            </w:r>
          </w:p>
        </w:tc>
        <w:tc>
          <w:tcPr>
            <w:tcW w:w="298"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本期工程产生量（4）</w:t>
            </w:r>
          </w:p>
        </w:tc>
        <w:tc>
          <w:tcPr>
            <w:tcW w:w="27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本期工程自身削减量（5）</w:t>
            </w:r>
          </w:p>
        </w:tc>
        <w:tc>
          <w:tcPr>
            <w:tcW w:w="464"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本期工程实际排放量（6）</w:t>
            </w:r>
          </w:p>
        </w:tc>
        <w:tc>
          <w:tcPr>
            <w:tcW w:w="255" w:type="pct"/>
            <w:gridSpan w:val="4"/>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本期工程核定排放总量（7）</w:t>
            </w:r>
          </w:p>
        </w:tc>
        <w:tc>
          <w:tcPr>
            <w:tcW w:w="40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“以新带老”</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削减量（8）</w:t>
            </w:r>
          </w:p>
        </w:tc>
        <w:tc>
          <w:tcPr>
            <w:tcW w:w="41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全厂实际排放总量（9）</w:t>
            </w:r>
          </w:p>
        </w:tc>
        <w:tc>
          <w:tcPr>
            <w:tcW w:w="307"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全厂核定排放总量（10）</w:t>
            </w:r>
          </w:p>
        </w:tc>
        <w:tc>
          <w:tcPr>
            <w:tcW w:w="30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区域平衡替代削减量（11）</w:t>
            </w:r>
          </w:p>
        </w:tc>
        <w:tc>
          <w:tcPr>
            <w:tcW w:w="470" w:type="pct"/>
            <w:gridSpan w:val="2"/>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排放增</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减量</w:t>
            </w:r>
          </w:p>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化学需氧量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0.917t/a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0.022t/a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eastAsia" w:ascii="Times New Roman" w:hAnsi="Times New Roman" w:cs="Times New Roman"/>
                <w:sz w:val="18"/>
                <w:szCs w:val="18"/>
                <w:lang w:val="en-US" w:eastAsia="zh-CN"/>
              </w:rPr>
              <w:t>0.4580t/a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颗粒物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0.31t/a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氮氧化物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0.826t/a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与项目有关的其它特征污染物</w:t>
            </w:r>
          </w:p>
        </w:tc>
        <w:tc>
          <w:tcPr>
            <w:tcW w:w="25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Impact">
    <w:panose1 w:val="020B0806030902050204"/>
    <w:charset w:val="00"/>
    <w:family w:val="swiss"/>
    <w:pitch w:val="default"/>
    <w:sig w:usb0="00000287" w:usb1="00000000" w:usb2="00000000" w:usb3="00000000" w:csb0="2000009F" w:csb1="DFD70000"/>
  </w:font>
  <w:font w:name="华文新魏">
    <w:altName w:val="宋体"/>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after="0"/>
                            <w:rPr>
                              <w:rStyle w:val="15"/>
                              <w:rFonts w:hint="eastAsia" w:ascii="宋体" w:hAnsi="宋体"/>
                              <w:sz w:val="28"/>
                              <w:szCs w:val="28"/>
                            </w:rPr>
                          </w:pPr>
                          <w:r>
                            <w:rPr>
                              <w:rStyle w:val="15"/>
                              <w:rFonts w:hint="eastAsia" w:ascii="宋体" w:hAnsi="宋体"/>
                              <w:sz w:val="28"/>
                              <w:szCs w:val="28"/>
                            </w:rPr>
                            <w:t>—</w:t>
                          </w:r>
                          <w:r>
                            <w:rPr>
                              <w:rStyle w:val="15"/>
                              <w:rFonts w:hint="eastAsia" w:ascii="宋体" w:hAnsi="宋体"/>
                              <w:sz w:val="20"/>
                              <w:szCs w:val="20"/>
                            </w:rPr>
                            <w:t xml:space="preserve">  </w:t>
                          </w:r>
                          <w:r>
                            <w:rPr>
                              <w:rFonts w:ascii="宋体" w:hAnsi="宋体"/>
                              <w:sz w:val="26"/>
                              <w:szCs w:val="26"/>
                            </w:rPr>
                            <w:fldChar w:fldCharType="begin"/>
                          </w:r>
                          <w:r>
                            <w:rPr>
                              <w:rStyle w:val="15"/>
                              <w:rFonts w:ascii="宋体" w:hAnsi="宋体"/>
                              <w:sz w:val="26"/>
                              <w:szCs w:val="26"/>
                            </w:rPr>
                            <w:instrText xml:space="preserve">PAGE  </w:instrText>
                          </w:r>
                          <w:r>
                            <w:rPr>
                              <w:rFonts w:ascii="宋体" w:hAnsi="宋体"/>
                              <w:sz w:val="26"/>
                              <w:szCs w:val="26"/>
                            </w:rPr>
                            <w:fldChar w:fldCharType="separate"/>
                          </w:r>
                          <w:r>
                            <w:rPr>
                              <w:rStyle w:val="15"/>
                              <w:rFonts w:ascii="宋体" w:hAnsi="宋体"/>
                              <w:sz w:val="26"/>
                              <w:szCs w:val="26"/>
                            </w:rPr>
                            <w:t>27</w:t>
                          </w:r>
                          <w:r>
                            <w:rPr>
                              <w:rFonts w:ascii="宋体" w:hAnsi="宋体"/>
                              <w:sz w:val="26"/>
                              <w:szCs w:val="26"/>
                            </w:rPr>
                            <w:fldChar w:fldCharType="end"/>
                          </w:r>
                          <w:r>
                            <w:rPr>
                              <w:rStyle w:val="15"/>
                              <w:rFonts w:hint="eastAsia" w:ascii="宋体" w:hAnsi="宋体"/>
                              <w:sz w:val="20"/>
                              <w:szCs w:val="20"/>
                            </w:rPr>
                            <w:t xml:space="preserve">  </w:t>
                          </w:r>
                          <w:r>
                            <w:rPr>
                              <w:rStyle w:val="1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0"/>
                      <w:spacing w:after="0"/>
                      <w:rPr>
                        <w:rStyle w:val="15"/>
                        <w:rFonts w:hint="eastAsia" w:ascii="宋体" w:hAnsi="宋体"/>
                        <w:sz w:val="28"/>
                        <w:szCs w:val="28"/>
                      </w:rPr>
                    </w:pPr>
                    <w:r>
                      <w:rPr>
                        <w:rStyle w:val="15"/>
                        <w:rFonts w:hint="eastAsia" w:ascii="宋体" w:hAnsi="宋体"/>
                        <w:sz w:val="28"/>
                        <w:szCs w:val="28"/>
                      </w:rPr>
                      <w:t>—</w:t>
                    </w:r>
                    <w:r>
                      <w:rPr>
                        <w:rStyle w:val="15"/>
                        <w:rFonts w:hint="eastAsia" w:ascii="宋体" w:hAnsi="宋体"/>
                        <w:sz w:val="20"/>
                        <w:szCs w:val="20"/>
                      </w:rPr>
                      <w:t xml:space="preserve">  </w:t>
                    </w:r>
                    <w:r>
                      <w:rPr>
                        <w:rFonts w:ascii="宋体" w:hAnsi="宋体"/>
                        <w:sz w:val="26"/>
                        <w:szCs w:val="26"/>
                      </w:rPr>
                      <w:fldChar w:fldCharType="begin"/>
                    </w:r>
                    <w:r>
                      <w:rPr>
                        <w:rStyle w:val="15"/>
                        <w:rFonts w:ascii="宋体" w:hAnsi="宋体"/>
                        <w:sz w:val="26"/>
                        <w:szCs w:val="26"/>
                      </w:rPr>
                      <w:instrText xml:space="preserve">PAGE  </w:instrText>
                    </w:r>
                    <w:r>
                      <w:rPr>
                        <w:rFonts w:ascii="宋体" w:hAnsi="宋体"/>
                        <w:sz w:val="26"/>
                        <w:szCs w:val="26"/>
                      </w:rPr>
                      <w:fldChar w:fldCharType="separate"/>
                    </w:r>
                    <w:r>
                      <w:rPr>
                        <w:rStyle w:val="15"/>
                        <w:rFonts w:ascii="宋体" w:hAnsi="宋体"/>
                        <w:sz w:val="26"/>
                        <w:szCs w:val="26"/>
                      </w:rPr>
                      <w:t>27</w:t>
                    </w:r>
                    <w:r>
                      <w:rPr>
                        <w:rFonts w:ascii="宋体" w:hAnsi="宋体"/>
                        <w:sz w:val="26"/>
                        <w:szCs w:val="26"/>
                      </w:rPr>
                      <w:fldChar w:fldCharType="end"/>
                    </w:r>
                    <w:r>
                      <w:rPr>
                        <w:rStyle w:val="15"/>
                        <w:rFonts w:hint="eastAsia" w:ascii="宋体" w:hAnsi="宋体"/>
                        <w:sz w:val="20"/>
                        <w:szCs w:val="20"/>
                      </w:rPr>
                      <w:t xml:space="preserve">  </w:t>
                    </w:r>
                    <w:r>
                      <w:rPr>
                        <w:rStyle w:val="15"/>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FF25C"/>
    <w:multiLevelType w:val="singleLevel"/>
    <w:tmpl w:val="05CFF25C"/>
    <w:lvl w:ilvl="0" w:tentative="0">
      <w:start w:val="1"/>
      <w:numFmt w:val="decimal"/>
      <w:lvlText w:val="%1."/>
      <w:lvlJc w:val="left"/>
      <w:pPr>
        <w:ind w:left="425" w:hanging="425"/>
      </w:pPr>
      <w:rPr>
        <w:rFonts w:hint="default"/>
      </w:rPr>
    </w:lvl>
  </w:abstractNum>
  <w:abstractNum w:abstractNumId="1">
    <w:nsid w:val="3BD8136D"/>
    <w:multiLevelType w:val="singleLevel"/>
    <w:tmpl w:val="3BD8136D"/>
    <w:lvl w:ilvl="0" w:tentative="0">
      <w:start w:val="3"/>
      <w:numFmt w:val="chineseCounting"/>
      <w:suff w:val="nothing"/>
      <w:lvlText w:val="%1、"/>
      <w:lvlJc w:val="left"/>
      <w:rPr>
        <w:rFonts w:hint="eastAsia"/>
      </w:rPr>
    </w:lvl>
  </w:abstractNum>
  <w:abstractNum w:abstractNumId="2">
    <w:nsid w:val="50481D14"/>
    <w:multiLevelType w:val="singleLevel"/>
    <w:tmpl w:val="50481D14"/>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hOWM1MmViMmFhNDk3NjM1YzAzM2M2ZGJhN2ZmNTUifQ=="/>
  </w:docVars>
  <w:rsids>
    <w:rsidRoot w:val="11E3099C"/>
    <w:rsid w:val="003F4A29"/>
    <w:rsid w:val="008A665D"/>
    <w:rsid w:val="008C716C"/>
    <w:rsid w:val="00936276"/>
    <w:rsid w:val="01207B0A"/>
    <w:rsid w:val="01291B88"/>
    <w:rsid w:val="01353714"/>
    <w:rsid w:val="014F5A3E"/>
    <w:rsid w:val="016B574D"/>
    <w:rsid w:val="01974AA5"/>
    <w:rsid w:val="01A4698D"/>
    <w:rsid w:val="01D61EE2"/>
    <w:rsid w:val="02215E20"/>
    <w:rsid w:val="022E6257"/>
    <w:rsid w:val="023E272A"/>
    <w:rsid w:val="029137FA"/>
    <w:rsid w:val="02A47DC0"/>
    <w:rsid w:val="02FB615C"/>
    <w:rsid w:val="034F2928"/>
    <w:rsid w:val="037616CC"/>
    <w:rsid w:val="037B4AA0"/>
    <w:rsid w:val="039A03F4"/>
    <w:rsid w:val="03E81928"/>
    <w:rsid w:val="03F359AA"/>
    <w:rsid w:val="046902B3"/>
    <w:rsid w:val="04AF2F6C"/>
    <w:rsid w:val="04E60D23"/>
    <w:rsid w:val="050F05C1"/>
    <w:rsid w:val="054C5B3F"/>
    <w:rsid w:val="05880459"/>
    <w:rsid w:val="05D31F43"/>
    <w:rsid w:val="05F97909"/>
    <w:rsid w:val="063C5AAC"/>
    <w:rsid w:val="064A4230"/>
    <w:rsid w:val="064D57D4"/>
    <w:rsid w:val="06603E17"/>
    <w:rsid w:val="066B4044"/>
    <w:rsid w:val="069B2A76"/>
    <w:rsid w:val="06F27EEE"/>
    <w:rsid w:val="06FE0358"/>
    <w:rsid w:val="071A523E"/>
    <w:rsid w:val="07860B81"/>
    <w:rsid w:val="078C2A30"/>
    <w:rsid w:val="079A613C"/>
    <w:rsid w:val="07C16D0B"/>
    <w:rsid w:val="080801E1"/>
    <w:rsid w:val="082A2F7F"/>
    <w:rsid w:val="08801D0D"/>
    <w:rsid w:val="08872A6F"/>
    <w:rsid w:val="08D211FF"/>
    <w:rsid w:val="08EA4DFE"/>
    <w:rsid w:val="09282E44"/>
    <w:rsid w:val="094D02E9"/>
    <w:rsid w:val="095A331B"/>
    <w:rsid w:val="098E2786"/>
    <w:rsid w:val="09AF2C35"/>
    <w:rsid w:val="09B0435A"/>
    <w:rsid w:val="0A691981"/>
    <w:rsid w:val="0A776A16"/>
    <w:rsid w:val="0A9B7E2F"/>
    <w:rsid w:val="0AFD1579"/>
    <w:rsid w:val="0B25669C"/>
    <w:rsid w:val="0B352322"/>
    <w:rsid w:val="0BAE4FF3"/>
    <w:rsid w:val="0C0F3B47"/>
    <w:rsid w:val="0C5C4C39"/>
    <w:rsid w:val="0C662A91"/>
    <w:rsid w:val="0C8F023A"/>
    <w:rsid w:val="0CB307DF"/>
    <w:rsid w:val="0CC04E4F"/>
    <w:rsid w:val="0CC65D86"/>
    <w:rsid w:val="0D1A3FA7"/>
    <w:rsid w:val="0D557D45"/>
    <w:rsid w:val="0D9836A1"/>
    <w:rsid w:val="0DB5782C"/>
    <w:rsid w:val="0DB86146"/>
    <w:rsid w:val="0E0C601A"/>
    <w:rsid w:val="0E2C21E4"/>
    <w:rsid w:val="0E415563"/>
    <w:rsid w:val="0E724D6F"/>
    <w:rsid w:val="0E8D7100"/>
    <w:rsid w:val="0EC0292C"/>
    <w:rsid w:val="0EDF2545"/>
    <w:rsid w:val="0EF56BA2"/>
    <w:rsid w:val="0F0B1EF9"/>
    <w:rsid w:val="0F132E0A"/>
    <w:rsid w:val="0F607C6B"/>
    <w:rsid w:val="0F81239C"/>
    <w:rsid w:val="0F9B682A"/>
    <w:rsid w:val="0F9E3EA7"/>
    <w:rsid w:val="0FA23105"/>
    <w:rsid w:val="0FA764C7"/>
    <w:rsid w:val="0FAE20D2"/>
    <w:rsid w:val="0FEE025B"/>
    <w:rsid w:val="1038043C"/>
    <w:rsid w:val="106F63B8"/>
    <w:rsid w:val="10791E78"/>
    <w:rsid w:val="1090632E"/>
    <w:rsid w:val="10DB57FB"/>
    <w:rsid w:val="111A4278"/>
    <w:rsid w:val="112C5615"/>
    <w:rsid w:val="116C31F8"/>
    <w:rsid w:val="11865AC3"/>
    <w:rsid w:val="1194329B"/>
    <w:rsid w:val="11A9737A"/>
    <w:rsid w:val="11C539D3"/>
    <w:rsid w:val="11CF479B"/>
    <w:rsid w:val="11E3099C"/>
    <w:rsid w:val="11E7661B"/>
    <w:rsid w:val="11F0700F"/>
    <w:rsid w:val="11F552B3"/>
    <w:rsid w:val="120A07A0"/>
    <w:rsid w:val="130318C3"/>
    <w:rsid w:val="13EB21F9"/>
    <w:rsid w:val="13F42654"/>
    <w:rsid w:val="14042D52"/>
    <w:rsid w:val="141A2298"/>
    <w:rsid w:val="14922675"/>
    <w:rsid w:val="14A35063"/>
    <w:rsid w:val="14F03E47"/>
    <w:rsid w:val="15240E43"/>
    <w:rsid w:val="1595503F"/>
    <w:rsid w:val="159C4FF4"/>
    <w:rsid w:val="15D00040"/>
    <w:rsid w:val="15D90D85"/>
    <w:rsid w:val="1648662A"/>
    <w:rsid w:val="165878EE"/>
    <w:rsid w:val="16672939"/>
    <w:rsid w:val="16755CAA"/>
    <w:rsid w:val="16917AAF"/>
    <w:rsid w:val="16AB3EC2"/>
    <w:rsid w:val="16FE2244"/>
    <w:rsid w:val="16FE6EC5"/>
    <w:rsid w:val="17170316"/>
    <w:rsid w:val="1736159E"/>
    <w:rsid w:val="174C6196"/>
    <w:rsid w:val="175760D1"/>
    <w:rsid w:val="176A37B1"/>
    <w:rsid w:val="17AB08EF"/>
    <w:rsid w:val="17E639E8"/>
    <w:rsid w:val="181D47CC"/>
    <w:rsid w:val="18855DF8"/>
    <w:rsid w:val="18C7197B"/>
    <w:rsid w:val="18CE7660"/>
    <w:rsid w:val="18E11E1D"/>
    <w:rsid w:val="18E15979"/>
    <w:rsid w:val="19882298"/>
    <w:rsid w:val="19CF4137"/>
    <w:rsid w:val="1A127129"/>
    <w:rsid w:val="1A6E387C"/>
    <w:rsid w:val="1AD27C6F"/>
    <w:rsid w:val="1AF513F4"/>
    <w:rsid w:val="1B2A30B6"/>
    <w:rsid w:val="1B716AD1"/>
    <w:rsid w:val="1BCA3B90"/>
    <w:rsid w:val="1BD92E92"/>
    <w:rsid w:val="1BE97B91"/>
    <w:rsid w:val="1BF157B5"/>
    <w:rsid w:val="1C454150"/>
    <w:rsid w:val="1C4A2CFA"/>
    <w:rsid w:val="1C4A7CD9"/>
    <w:rsid w:val="1C542906"/>
    <w:rsid w:val="1C835330"/>
    <w:rsid w:val="1CB9745D"/>
    <w:rsid w:val="1CCE3073"/>
    <w:rsid w:val="1CEB14BC"/>
    <w:rsid w:val="1D1B147F"/>
    <w:rsid w:val="1DCC63B8"/>
    <w:rsid w:val="1E16561C"/>
    <w:rsid w:val="1E2B6D2A"/>
    <w:rsid w:val="1E365FE8"/>
    <w:rsid w:val="1E713424"/>
    <w:rsid w:val="1EE52552"/>
    <w:rsid w:val="1F0411B1"/>
    <w:rsid w:val="1F325180"/>
    <w:rsid w:val="1F5D73FC"/>
    <w:rsid w:val="1F685ED8"/>
    <w:rsid w:val="1F751EA4"/>
    <w:rsid w:val="1F7C31BE"/>
    <w:rsid w:val="1FF61EAA"/>
    <w:rsid w:val="20330CED"/>
    <w:rsid w:val="20392F2D"/>
    <w:rsid w:val="20C07B93"/>
    <w:rsid w:val="21076A0C"/>
    <w:rsid w:val="2122022A"/>
    <w:rsid w:val="21326BFD"/>
    <w:rsid w:val="2138405D"/>
    <w:rsid w:val="2193671F"/>
    <w:rsid w:val="219A56D7"/>
    <w:rsid w:val="21E1179F"/>
    <w:rsid w:val="21FB71F9"/>
    <w:rsid w:val="226C7787"/>
    <w:rsid w:val="22726F55"/>
    <w:rsid w:val="22765464"/>
    <w:rsid w:val="228C07D3"/>
    <w:rsid w:val="22BD2FB3"/>
    <w:rsid w:val="230E1B9C"/>
    <w:rsid w:val="23764AF4"/>
    <w:rsid w:val="23CA32B4"/>
    <w:rsid w:val="23E2375A"/>
    <w:rsid w:val="24427D80"/>
    <w:rsid w:val="249A2142"/>
    <w:rsid w:val="24D16B95"/>
    <w:rsid w:val="24D202F6"/>
    <w:rsid w:val="24FD7230"/>
    <w:rsid w:val="252B6F44"/>
    <w:rsid w:val="25C97EC1"/>
    <w:rsid w:val="25E4181C"/>
    <w:rsid w:val="260B392E"/>
    <w:rsid w:val="26424C58"/>
    <w:rsid w:val="26472F16"/>
    <w:rsid w:val="26562947"/>
    <w:rsid w:val="269C3A1A"/>
    <w:rsid w:val="269D312A"/>
    <w:rsid w:val="27A159BE"/>
    <w:rsid w:val="27F43225"/>
    <w:rsid w:val="281853E0"/>
    <w:rsid w:val="28510EC8"/>
    <w:rsid w:val="292D5C81"/>
    <w:rsid w:val="293420EA"/>
    <w:rsid w:val="29382F69"/>
    <w:rsid w:val="294F211B"/>
    <w:rsid w:val="29A32D53"/>
    <w:rsid w:val="29E12E49"/>
    <w:rsid w:val="2A0E01F9"/>
    <w:rsid w:val="2A1F5959"/>
    <w:rsid w:val="2A2D2CA6"/>
    <w:rsid w:val="2A7A79DB"/>
    <w:rsid w:val="2AE45FD5"/>
    <w:rsid w:val="2AF43C32"/>
    <w:rsid w:val="2C3D0CC9"/>
    <w:rsid w:val="2C894B1B"/>
    <w:rsid w:val="2D001B1A"/>
    <w:rsid w:val="2DA6257F"/>
    <w:rsid w:val="2E07560B"/>
    <w:rsid w:val="2E19750B"/>
    <w:rsid w:val="2E8F3DE9"/>
    <w:rsid w:val="2EE23DA1"/>
    <w:rsid w:val="2EF57094"/>
    <w:rsid w:val="2EFC4E63"/>
    <w:rsid w:val="2FA14FDC"/>
    <w:rsid w:val="308745CC"/>
    <w:rsid w:val="30942CC8"/>
    <w:rsid w:val="30D73E25"/>
    <w:rsid w:val="30E221EB"/>
    <w:rsid w:val="31157D31"/>
    <w:rsid w:val="31203028"/>
    <w:rsid w:val="321F12D3"/>
    <w:rsid w:val="322C1C7D"/>
    <w:rsid w:val="326F0B3B"/>
    <w:rsid w:val="327116B6"/>
    <w:rsid w:val="328525BE"/>
    <w:rsid w:val="329C0DE9"/>
    <w:rsid w:val="32B141B6"/>
    <w:rsid w:val="330B46B7"/>
    <w:rsid w:val="334E041E"/>
    <w:rsid w:val="33D62B0E"/>
    <w:rsid w:val="33E95CF8"/>
    <w:rsid w:val="340053F5"/>
    <w:rsid w:val="344D7F0F"/>
    <w:rsid w:val="346D2663"/>
    <w:rsid w:val="347074B0"/>
    <w:rsid w:val="34B45226"/>
    <w:rsid w:val="34BA0ACC"/>
    <w:rsid w:val="35177D3B"/>
    <w:rsid w:val="351D4272"/>
    <w:rsid w:val="35B531F5"/>
    <w:rsid w:val="35FE7442"/>
    <w:rsid w:val="36232870"/>
    <w:rsid w:val="36920C88"/>
    <w:rsid w:val="37C70DFA"/>
    <w:rsid w:val="37CC59CC"/>
    <w:rsid w:val="38002AE5"/>
    <w:rsid w:val="385D5636"/>
    <w:rsid w:val="38922202"/>
    <w:rsid w:val="38BB3F25"/>
    <w:rsid w:val="38DA0B32"/>
    <w:rsid w:val="390E69DC"/>
    <w:rsid w:val="3916297D"/>
    <w:rsid w:val="392D53F8"/>
    <w:rsid w:val="3966110C"/>
    <w:rsid w:val="39736B31"/>
    <w:rsid w:val="398C14D9"/>
    <w:rsid w:val="398D63D0"/>
    <w:rsid w:val="39AA281F"/>
    <w:rsid w:val="39DB49B4"/>
    <w:rsid w:val="3B0B33EA"/>
    <w:rsid w:val="3B631652"/>
    <w:rsid w:val="3B96663F"/>
    <w:rsid w:val="3BC12485"/>
    <w:rsid w:val="3BE96E33"/>
    <w:rsid w:val="3BF75496"/>
    <w:rsid w:val="3C3560F7"/>
    <w:rsid w:val="3C575DCE"/>
    <w:rsid w:val="3C6E77F3"/>
    <w:rsid w:val="3D053A7C"/>
    <w:rsid w:val="3D207130"/>
    <w:rsid w:val="3DE2616C"/>
    <w:rsid w:val="3E073818"/>
    <w:rsid w:val="3E0C1200"/>
    <w:rsid w:val="3E0C5804"/>
    <w:rsid w:val="3F650802"/>
    <w:rsid w:val="3F6856F2"/>
    <w:rsid w:val="3F8B137E"/>
    <w:rsid w:val="3FBB1FB5"/>
    <w:rsid w:val="3FE200A5"/>
    <w:rsid w:val="3FE35C7C"/>
    <w:rsid w:val="3FEE7EAC"/>
    <w:rsid w:val="3FFD329E"/>
    <w:rsid w:val="40026A3B"/>
    <w:rsid w:val="400A1E7F"/>
    <w:rsid w:val="403B3CB1"/>
    <w:rsid w:val="404443F5"/>
    <w:rsid w:val="404922F5"/>
    <w:rsid w:val="40683658"/>
    <w:rsid w:val="408F7457"/>
    <w:rsid w:val="411D58E5"/>
    <w:rsid w:val="41200E85"/>
    <w:rsid w:val="418F67B3"/>
    <w:rsid w:val="41A22046"/>
    <w:rsid w:val="41D64FD5"/>
    <w:rsid w:val="41E33C60"/>
    <w:rsid w:val="42BB04E6"/>
    <w:rsid w:val="43370DB1"/>
    <w:rsid w:val="433D4ADA"/>
    <w:rsid w:val="43A43A29"/>
    <w:rsid w:val="43B57B2B"/>
    <w:rsid w:val="444162D1"/>
    <w:rsid w:val="4447497A"/>
    <w:rsid w:val="44C41938"/>
    <w:rsid w:val="451C5FE1"/>
    <w:rsid w:val="453907B6"/>
    <w:rsid w:val="453F29D6"/>
    <w:rsid w:val="4550160D"/>
    <w:rsid w:val="4594568D"/>
    <w:rsid w:val="459E773C"/>
    <w:rsid w:val="45E22C40"/>
    <w:rsid w:val="45E65E42"/>
    <w:rsid w:val="45E83F1B"/>
    <w:rsid w:val="45F6020C"/>
    <w:rsid w:val="463F7FFF"/>
    <w:rsid w:val="46477F5C"/>
    <w:rsid w:val="467C43A2"/>
    <w:rsid w:val="46B53706"/>
    <w:rsid w:val="46D70238"/>
    <w:rsid w:val="46F75AF5"/>
    <w:rsid w:val="470C161A"/>
    <w:rsid w:val="473F3239"/>
    <w:rsid w:val="47525B10"/>
    <w:rsid w:val="4776463B"/>
    <w:rsid w:val="478B3F94"/>
    <w:rsid w:val="47B440D5"/>
    <w:rsid w:val="47D11328"/>
    <w:rsid w:val="47E80223"/>
    <w:rsid w:val="480C5CBF"/>
    <w:rsid w:val="48767174"/>
    <w:rsid w:val="48873598"/>
    <w:rsid w:val="48A4239B"/>
    <w:rsid w:val="48BB6ACA"/>
    <w:rsid w:val="48F55A38"/>
    <w:rsid w:val="49037C00"/>
    <w:rsid w:val="493400B1"/>
    <w:rsid w:val="4955259A"/>
    <w:rsid w:val="49BE095D"/>
    <w:rsid w:val="49CB435D"/>
    <w:rsid w:val="49D85A26"/>
    <w:rsid w:val="49E01488"/>
    <w:rsid w:val="49E36DCB"/>
    <w:rsid w:val="49E571DC"/>
    <w:rsid w:val="4A46477D"/>
    <w:rsid w:val="4A527BD5"/>
    <w:rsid w:val="4A6D4A0F"/>
    <w:rsid w:val="4A947C65"/>
    <w:rsid w:val="4AB82869"/>
    <w:rsid w:val="4B3C4B0D"/>
    <w:rsid w:val="4B8230CF"/>
    <w:rsid w:val="4BBF4AA7"/>
    <w:rsid w:val="4BF22AAC"/>
    <w:rsid w:val="4C013661"/>
    <w:rsid w:val="4C0D2B2C"/>
    <w:rsid w:val="4C92075D"/>
    <w:rsid w:val="4CBF5C1D"/>
    <w:rsid w:val="4CEF05C2"/>
    <w:rsid w:val="4D167BF0"/>
    <w:rsid w:val="4D510F81"/>
    <w:rsid w:val="4D522188"/>
    <w:rsid w:val="4D7E765F"/>
    <w:rsid w:val="4D7F33D7"/>
    <w:rsid w:val="4DA31306"/>
    <w:rsid w:val="4DB50BA7"/>
    <w:rsid w:val="4DB85CAD"/>
    <w:rsid w:val="4E1116BB"/>
    <w:rsid w:val="4E655492"/>
    <w:rsid w:val="4EB63D79"/>
    <w:rsid w:val="4EC47055"/>
    <w:rsid w:val="4F6B6B79"/>
    <w:rsid w:val="4F840831"/>
    <w:rsid w:val="4FDF015D"/>
    <w:rsid w:val="4FE377A5"/>
    <w:rsid w:val="507F6097"/>
    <w:rsid w:val="50B769E4"/>
    <w:rsid w:val="50DB3F55"/>
    <w:rsid w:val="51073646"/>
    <w:rsid w:val="510B004C"/>
    <w:rsid w:val="512135B1"/>
    <w:rsid w:val="515139AB"/>
    <w:rsid w:val="515626A1"/>
    <w:rsid w:val="51B42592"/>
    <w:rsid w:val="527914F8"/>
    <w:rsid w:val="52816DC7"/>
    <w:rsid w:val="52A373D7"/>
    <w:rsid w:val="52D10231"/>
    <w:rsid w:val="52DD6187"/>
    <w:rsid w:val="52FD1EE9"/>
    <w:rsid w:val="53043F39"/>
    <w:rsid w:val="531E67C3"/>
    <w:rsid w:val="53242D01"/>
    <w:rsid w:val="532768AB"/>
    <w:rsid w:val="5341618B"/>
    <w:rsid w:val="53746E0E"/>
    <w:rsid w:val="53830375"/>
    <w:rsid w:val="53915C12"/>
    <w:rsid w:val="53F005F3"/>
    <w:rsid w:val="54037B39"/>
    <w:rsid w:val="54103035"/>
    <w:rsid w:val="543A2FEC"/>
    <w:rsid w:val="543E2C5B"/>
    <w:rsid w:val="549A7538"/>
    <w:rsid w:val="54A45BF1"/>
    <w:rsid w:val="54E3488F"/>
    <w:rsid w:val="55017D13"/>
    <w:rsid w:val="5578222A"/>
    <w:rsid w:val="558E065B"/>
    <w:rsid w:val="55930C2F"/>
    <w:rsid w:val="55A22122"/>
    <w:rsid w:val="56D31838"/>
    <w:rsid w:val="575817DD"/>
    <w:rsid w:val="578130E3"/>
    <w:rsid w:val="57886659"/>
    <w:rsid w:val="578F19D1"/>
    <w:rsid w:val="57B10631"/>
    <w:rsid w:val="57CF0AB7"/>
    <w:rsid w:val="58081702"/>
    <w:rsid w:val="5815704C"/>
    <w:rsid w:val="587677E4"/>
    <w:rsid w:val="587753D7"/>
    <w:rsid w:val="58E42460"/>
    <w:rsid w:val="595A2602"/>
    <w:rsid w:val="59780A1D"/>
    <w:rsid w:val="59C30A15"/>
    <w:rsid w:val="59C64C9B"/>
    <w:rsid w:val="59CA479D"/>
    <w:rsid w:val="5A0F487C"/>
    <w:rsid w:val="5A274FAA"/>
    <w:rsid w:val="5A2E5F69"/>
    <w:rsid w:val="5A354B33"/>
    <w:rsid w:val="5AC83331"/>
    <w:rsid w:val="5ADC3248"/>
    <w:rsid w:val="5AE824B9"/>
    <w:rsid w:val="5AF623E6"/>
    <w:rsid w:val="5B2555BE"/>
    <w:rsid w:val="5B2E3617"/>
    <w:rsid w:val="5BFA49FC"/>
    <w:rsid w:val="5C2C2148"/>
    <w:rsid w:val="5C2E04A2"/>
    <w:rsid w:val="5C7B30EF"/>
    <w:rsid w:val="5CA37385"/>
    <w:rsid w:val="5CC10AD7"/>
    <w:rsid w:val="5CC44887"/>
    <w:rsid w:val="5CD355C6"/>
    <w:rsid w:val="5CE15727"/>
    <w:rsid w:val="5D112254"/>
    <w:rsid w:val="5D727AA1"/>
    <w:rsid w:val="5DAF5613"/>
    <w:rsid w:val="5DE61A09"/>
    <w:rsid w:val="5DFC2E44"/>
    <w:rsid w:val="5EE15C89"/>
    <w:rsid w:val="5F531FCE"/>
    <w:rsid w:val="5F7433F4"/>
    <w:rsid w:val="5F784D70"/>
    <w:rsid w:val="5FDB5D6C"/>
    <w:rsid w:val="606F7B16"/>
    <w:rsid w:val="607D0DE1"/>
    <w:rsid w:val="608508AD"/>
    <w:rsid w:val="6141185E"/>
    <w:rsid w:val="61600EA1"/>
    <w:rsid w:val="616E01D2"/>
    <w:rsid w:val="61AA7629"/>
    <w:rsid w:val="61C84EF5"/>
    <w:rsid w:val="61D05126"/>
    <w:rsid w:val="61D51FCF"/>
    <w:rsid w:val="61E35B9B"/>
    <w:rsid w:val="624F5B86"/>
    <w:rsid w:val="62572E40"/>
    <w:rsid w:val="62F12229"/>
    <w:rsid w:val="63BC1AE8"/>
    <w:rsid w:val="63C07FE5"/>
    <w:rsid w:val="63F14DF8"/>
    <w:rsid w:val="64B8292A"/>
    <w:rsid w:val="64BB489D"/>
    <w:rsid w:val="650859CD"/>
    <w:rsid w:val="654B3E73"/>
    <w:rsid w:val="656A7099"/>
    <w:rsid w:val="65FD1729"/>
    <w:rsid w:val="668272C8"/>
    <w:rsid w:val="668659BA"/>
    <w:rsid w:val="671D5CC4"/>
    <w:rsid w:val="67221C9C"/>
    <w:rsid w:val="67665E2B"/>
    <w:rsid w:val="679D49E7"/>
    <w:rsid w:val="67B328F2"/>
    <w:rsid w:val="67D31EFE"/>
    <w:rsid w:val="684D3B04"/>
    <w:rsid w:val="68782306"/>
    <w:rsid w:val="68A85F1A"/>
    <w:rsid w:val="69772E6B"/>
    <w:rsid w:val="69B93AFC"/>
    <w:rsid w:val="6A5E1D79"/>
    <w:rsid w:val="6A987B4F"/>
    <w:rsid w:val="6AA14535"/>
    <w:rsid w:val="6AA31959"/>
    <w:rsid w:val="6AA67D9D"/>
    <w:rsid w:val="6AB147DA"/>
    <w:rsid w:val="6AB26742"/>
    <w:rsid w:val="6AC41FD2"/>
    <w:rsid w:val="6B036B0A"/>
    <w:rsid w:val="6B1B7628"/>
    <w:rsid w:val="6B2910E1"/>
    <w:rsid w:val="6B2F1B41"/>
    <w:rsid w:val="6B826114"/>
    <w:rsid w:val="6BE23C8A"/>
    <w:rsid w:val="6C2076DB"/>
    <w:rsid w:val="6C2948E8"/>
    <w:rsid w:val="6C6A1294"/>
    <w:rsid w:val="6C9F6852"/>
    <w:rsid w:val="6CA815F0"/>
    <w:rsid w:val="6CB1569B"/>
    <w:rsid w:val="6CB366D3"/>
    <w:rsid w:val="6CCE2FFA"/>
    <w:rsid w:val="6CE53865"/>
    <w:rsid w:val="6D516228"/>
    <w:rsid w:val="6D534E63"/>
    <w:rsid w:val="6D76531D"/>
    <w:rsid w:val="6E737E9F"/>
    <w:rsid w:val="6F3D26D3"/>
    <w:rsid w:val="6F415949"/>
    <w:rsid w:val="6F5953DE"/>
    <w:rsid w:val="6FA11CA4"/>
    <w:rsid w:val="701F71D4"/>
    <w:rsid w:val="70692AA5"/>
    <w:rsid w:val="710F044A"/>
    <w:rsid w:val="711D6F50"/>
    <w:rsid w:val="712E7F02"/>
    <w:rsid w:val="714C3AC4"/>
    <w:rsid w:val="717041A2"/>
    <w:rsid w:val="71B141C8"/>
    <w:rsid w:val="71B529D6"/>
    <w:rsid w:val="72367C35"/>
    <w:rsid w:val="72600832"/>
    <w:rsid w:val="72812A4F"/>
    <w:rsid w:val="72B56DCF"/>
    <w:rsid w:val="72B71456"/>
    <w:rsid w:val="72CF15E5"/>
    <w:rsid w:val="73437507"/>
    <w:rsid w:val="735B1D7D"/>
    <w:rsid w:val="7367613B"/>
    <w:rsid w:val="736D0FD2"/>
    <w:rsid w:val="73974727"/>
    <w:rsid w:val="742E5993"/>
    <w:rsid w:val="743B46F4"/>
    <w:rsid w:val="744C311D"/>
    <w:rsid w:val="74C973C0"/>
    <w:rsid w:val="752638FB"/>
    <w:rsid w:val="75AE348A"/>
    <w:rsid w:val="75BC57F3"/>
    <w:rsid w:val="75C016AE"/>
    <w:rsid w:val="75D200AA"/>
    <w:rsid w:val="76044EBB"/>
    <w:rsid w:val="7652040B"/>
    <w:rsid w:val="76530DD9"/>
    <w:rsid w:val="766E7A7C"/>
    <w:rsid w:val="76931CD5"/>
    <w:rsid w:val="76AB293C"/>
    <w:rsid w:val="76F669BA"/>
    <w:rsid w:val="77036C2F"/>
    <w:rsid w:val="771A6435"/>
    <w:rsid w:val="776A4892"/>
    <w:rsid w:val="77A5693E"/>
    <w:rsid w:val="77B511FC"/>
    <w:rsid w:val="77D73080"/>
    <w:rsid w:val="77F5069A"/>
    <w:rsid w:val="780041FF"/>
    <w:rsid w:val="784B788E"/>
    <w:rsid w:val="78542BE7"/>
    <w:rsid w:val="78731030"/>
    <w:rsid w:val="793F53A1"/>
    <w:rsid w:val="79486714"/>
    <w:rsid w:val="795E413F"/>
    <w:rsid w:val="796442E4"/>
    <w:rsid w:val="79C943F8"/>
    <w:rsid w:val="79E55EE9"/>
    <w:rsid w:val="79FA2DDC"/>
    <w:rsid w:val="7A143036"/>
    <w:rsid w:val="7A521A99"/>
    <w:rsid w:val="7A6758F5"/>
    <w:rsid w:val="7B4E7DC1"/>
    <w:rsid w:val="7B5B420B"/>
    <w:rsid w:val="7B6971E7"/>
    <w:rsid w:val="7B7A2964"/>
    <w:rsid w:val="7BFC23FF"/>
    <w:rsid w:val="7C1C7EBF"/>
    <w:rsid w:val="7C340AC9"/>
    <w:rsid w:val="7C524A1D"/>
    <w:rsid w:val="7C8105B2"/>
    <w:rsid w:val="7C8E138F"/>
    <w:rsid w:val="7C9E4285"/>
    <w:rsid w:val="7CC95F46"/>
    <w:rsid w:val="7CCA0287"/>
    <w:rsid w:val="7CD765D8"/>
    <w:rsid w:val="7D215834"/>
    <w:rsid w:val="7D5A35B8"/>
    <w:rsid w:val="7D6C4019"/>
    <w:rsid w:val="7DA63EE4"/>
    <w:rsid w:val="7DC425BD"/>
    <w:rsid w:val="7DDF16F3"/>
    <w:rsid w:val="7E05651C"/>
    <w:rsid w:val="7E0C2090"/>
    <w:rsid w:val="7EB6319E"/>
    <w:rsid w:val="7EFF5267"/>
    <w:rsid w:val="7F26773B"/>
    <w:rsid w:val="7F703475"/>
    <w:rsid w:val="7FF72D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4">
    <w:name w:val="heading 4"/>
    <w:basedOn w:val="1"/>
    <w:next w:val="1"/>
    <w:qFormat/>
    <w:uiPriority w:val="1"/>
    <w:pPr>
      <w:ind w:left="1068"/>
      <w:outlineLvl w:val="3"/>
    </w:pPr>
    <w:rPr>
      <w:rFonts w:ascii="宋体" w:hAnsi="宋体" w:eastAsia="宋体" w:cs="宋体"/>
      <w:b/>
      <w:bCs/>
      <w:sz w:val="24"/>
      <w:szCs w:val="24"/>
      <w:lang w:val="zh-CN" w:eastAsia="zh-CN" w:bidi="zh-CN"/>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5">
    <w:name w:val="Normal Indent"/>
    <w:basedOn w:val="1"/>
    <w:next w:val="4"/>
    <w:qFormat/>
    <w:uiPriority w:val="0"/>
    <w:pPr>
      <w:ind w:firstLine="200" w:firstLineChars="200"/>
    </w:pPr>
    <w:rPr>
      <w:rFonts w:eastAsia="宋体"/>
      <w:kern w:val="2"/>
      <w:sz w:val="28"/>
      <w:szCs w:val="24"/>
      <w:lang w:val="en-US" w:eastAsia="zh-CN" w:bidi="ar-SA"/>
    </w:rPr>
  </w:style>
  <w:style w:type="paragraph" w:styleId="6">
    <w:name w:val="Salutation"/>
    <w:basedOn w:val="1"/>
    <w:next w:val="1"/>
    <w:unhideWhenUsed/>
    <w:qFormat/>
    <w:uiPriority w:val="99"/>
  </w:style>
  <w:style w:type="paragraph" w:styleId="7">
    <w:name w:val="Body Text Indent"/>
    <w:basedOn w:val="1"/>
    <w:next w:val="8"/>
    <w:qFormat/>
    <w:uiPriority w:val="0"/>
    <w:pPr>
      <w:spacing w:after="120"/>
      <w:ind w:left="420" w:leftChars="200"/>
    </w:pPr>
    <w:rPr>
      <w:kern w:val="0"/>
      <w:sz w:val="24"/>
      <w:szCs w:val="20"/>
    </w:rPr>
  </w:style>
  <w:style w:type="paragraph" w:styleId="8">
    <w:name w:val="Body Text Indent 2"/>
    <w:basedOn w:val="1"/>
    <w:next w:val="9"/>
    <w:qFormat/>
    <w:uiPriority w:val="0"/>
    <w:pPr>
      <w:spacing w:after="120" w:line="480" w:lineRule="auto"/>
      <w:ind w:left="420" w:leftChars="200"/>
    </w:pPr>
  </w:style>
  <w:style w:type="paragraph" w:styleId="9">
    <w:name w:val="Body Text First Indent 2"/>
    <w:basedOn w:val="7"/>
    <w:next w:val="1"/>
    <w:qFormat/>
    <w:uiPriority w:val="0"/>
    <w:pPr>
      <w:spacing w:after="120"/>
      <w:ind w:left="420" w:firstLine="210"/>
    </w:pPr>
    <w:rPr>
      <w:rFonts w:eastAsia="楷体_GB2312"/>
      <w:sz w:val="30"/>
    </w:rPr>
  </w:style>
  <w:style w:type="paragraph" w:styleId="10">
    <w:name w:val="footer"/>
    <w:basedOn w:val="1"/>
    <w:qFormat/>
    <w:uiPriority w:val="0"/>
    <w:pPr>
      <w:tabs>
        <w:tab w:val="center" w:pos="4153"/>
        <w:tab w:val="right" w:pos="8306"/>
      </w:tabs>
    </w:pPr>
    <w:rPr>
      <w:rFonts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paragraph" w:customStyle="1" w:styleId="16">
    <w:name w:val="xl27"/>
    <w:basedOn w:val="1"/>
    <w:next w:val="1"/>
    <w:qFormat/>
    <w:uiPriority w:val="0"/>
    <w:pPr>
      <w:spacing w:before="100" w:beforeAutospacing="1" w:after="100" w:afterAutospacing="1"/>
    </w:pPr>
    <w:rPr>
      <w:color w:val="FF0000"/>
      <w:sz w:val="24"/>
    </w:rPr>
  </w:style>
  <w:style w:type="paragraph" w:customStyle="1" w:styleId="1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8">
    <w:name w:val="表格标题 Char"/>
    <w:basedOn w:val="14"/>
    <w:qFormat/>
    <w:uiPriority w:val="0"/>
    <w:rPr>
      <w:rFonts w:ascii="Times New Roman" w:hAnsi="Times New Roman" w:eastAsia="宋体" w:cs="宋体"/>
      <w:kern w:val="2"/>
      <w:sz w:val="24"/>
      <w:lang w:bidi="ar-SA"/>
    </w:rPr>
  </w:style>
  <w:style w:type="paragraph" w:customStyle="1" w:styleId="19">
    <w:name w:val="Char"/>
    <w:basedOn w:val="1"/>
    <w:qFormat/>
    <w:uiPriority w:val="0"/>
    <w:pPr>
      <w:snapToGrid w:val="0"/>
      <w:spacing w:line="360" w:lineRule="auto"/>
      <w:ind w:firstLine="529" w:firstLineChars="200"/>
    </w:pPr>
    <w:rPr>
      <w:rFonts w:ascii="宋体" w:hAnsi="宋体"/>
      <w:b/>
      <w:szCs w:val="24"/>
    </w:rPr>
  </w:style>
  <w:style w:type="paragraph" w:customStyle="1" w:styleId="20">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21">
    <w:name w:val="表格文字"/>
    <w:basedOn w:val="2"/>
    <w:qFormat/>
    <w:uiPriority w:val="0"/>
    <w:pPr>
      <w:spacing w:after="0" w:line="240" w:lineRule="auto"/>
      <w:ind w:firstLine="0" w:firstLineChars="0"/>
      <w:jc w:val="center"/>
    </w:pPr>
    <w:rPr>
      <w:rFonts w:ascii="宋体" w:hAnsi="宋体" w:eastAsia="宋体"/>
      <w:sz w:val="21"/>
      <w:szCs w:val="20"/>
    </w:rPr>
  </w:style>
  <w:style w:type="paragraph" w:customStyle="1" w:styleId="22">
    <w:name w:val="xl22"/>
    <w:basedOn w:val="1"/>
    <w:qFormat/>
    <w:uiPriority w:val="0"/>
    <w:pPr>
      <w:widowControl/>
      <w:spacing w:before="100" w:beforeLines="0" w:after="100" w:afterLines="0"/>
      <w:jc w:val="center"/>
    </w:pPr>
    <w:rPr>
      <w:rFonts w:eastAsia="宋体"/>
      <w:sz w:val="24"/>
      <w:szCs w:val="24"/>
      <w:lang w:val="en-US" w:eastAsia="zh-CN" w:bidi="ar-SA"/>
    </w:rPr>
  </w:style>
  <w:style w:type="character" w:customStyle="1" w:styleId="23">
    <w:name w:val="font11"/>
    <w:basedOn w:val="14"/>
    <w:qFormat/>
    <w:uiPriority w:val="0"/>
    <w:rPr>
      <w:rFonts w:hint="eastAsia" w:ascii="宋体" w:hAnsi="宋体" w:eastAsia="宋体" w:cs="宋体"/>
      <w:color w:val="000000"/>
      <w:sz w:val="20"/>
      <w:szCs w:val="20"/>
      <w:u w:val="none"/>
      <w:vertAlign w:val="superscript"/>
    </w:rPr>
  </w:style>
  <w:style w:type="character" w:customStyle="1" w:styleId="24">
    <w:name w:val="font21"/>
    <w:basedOn w:val="14"/>
    <w:qFormat/>
    <w:uiPriority w:val="0"/>
    <w:rPr>
      <w:rFonts w:hint="eastAsia" w:ascii="宋体" w:hAnsi="宋体" w:eastAsia="宋体" w:cs="宋体"/>
      <w:color w:val="000000"/>
      <w:sz w:val="20"/>
      <w:szCs w:val="20"/>
      <w:u w:val="none"/>
    </w:rPr>
  </w:style>
  <w:style w:type="paragraph" w:customStyle="1" w:styleId="25">
    <w:name w:val="正文h"/>
    <w:qFormat/>
    <w:uiPriority w:val="0"/>
    <w:pPr>
      <w:spacing w:line="600" w:lineRule="exact"/>
      <w:ind w:firstLine="200" w:firstLineChars="200"/>
      <w:jc w:val="both"/>
    </w:pPr>
    <w:rPr>
      <w:rFonts w:ascii="Calibri" w:hAnsi="Calibri" w:eastAsia="宋体" w:cs="宋体"/>
      <w:color w:val="000000"/>
      <w:sz w:val="28"/>
      <w:szCs w:val="28"/>
      <w:lang w:val="en-US" w:eastAsia="zh-CN" w:bidi="ar-SA"/>
    </w:rPr>
  </w:style>
  <w:style w:type="paragraph" w:customStyle="1" w:styleId="26">
    <w:name w:val="样式35"/>
    <w:basedOn w:val="1"/>
    <w:qFormat/>
    <w:uiPriority w:val="0"/>
    <w:pPr>
      <w:adjustRightInd w:val="0"/>
      <w:spacing w:line="312" w:lineRule="auto"/>
      <w:ind w:firstLine="567"/>
    </w:pPr>
    <w:rPr>
      <w:rFonts w:ascii="宋体"/>
      <w:kern w:val="0"/>
      <w:sz w:val="28"/>
      <w:szCs w:val="20"/>
    </w:rPr>
  </w:style>
  <w:style w:type="paragraph" w:customStyle="1" w:styleId="27">
    <w:name w:val="p0"/>
    <w:basedOn w:val="1"/>
    <w:qFormat/>
    <w:uiPriority w:val="0"/>
    <w:pPr>
      <w:widowControl/>
    </w:pPr>
    <w:rPr>
      <w:kern w:val="0"/>
      <w:szCs w:val="21"/>
    </w:rPr>
  </w:style>
  <w:style w:type="paragraph" w:customStyle="1" w:styleId="28">
    <w:name w:val="A标准格式"/>
    <w:basedOn w:val="1"/>
    <w:qFormat/>
    <w:uiPriority w:val="0"/>
    <w:pPr>
      <w:ind w:firstLine="480"/>
    </w:pPr>
  </w:style>
  <w:style w:type="paragraph" w:customStyle="1" w:styleId="29">
    <w:name w:val="表内文字"/>
    <w:basedOn w:val="1"/>
    <w:qFormat/>
    <w:uiPriority w:val="0"/>
    <w:pPr>
      <w:adjustRightInd w:val="0"/>
      <w:spacing w:line="240" w:lineRule="auto"/>
      <w:ind w:firstLine="0" w:firstLineChars="0"/>
      <w:jc w:val="center"/>
      <w:textAlignment w:val="baseline"/>
    </w:pPr>
    <w:rPr>
      <w:sz w:val="21"/>
      <w:szCs w:val="20"/>
    </w:rPr>
  </w:style>
  <w:style w:type="paragraph" w:customStyle="1" w:styleId="30">
    <w:name w:val="图表"/>
    <w:basedOn w:val="1"/>
    <w:qFormat/>
    <w:uiPriority w:val="0"/>
    <w:pPr>
      <w:adjustRightInd w:val="0"/>
      <w:snapToGrid w:val="0"/>
      <w:jc w:val="center"/>
    </w:pPr>
    <w:rPr>
      <w:color w:val="000000"/>
      <w:szCs w:val="22"/>
      <w:lang w:val="zh-CN"/>
    </w:rPr>
  </w:style>
  <w:style w:type="paragraph" w:customStyle="1" w:styleId="31">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32">
    <w:name w:val="表格1"/>
    <w:basedOn w:val="5"/>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33">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34">
    <w:name w:val="表格 32"/>
    <w:basedOn w:val="1"/>
    <w:qFormat/>
    <w:uiPriority w:val="0"/>
    <w:pPr>
      <w:autoSpaceDE w:val="0"/>
      <w:autoSpaceDN w:val="0"/>
      <w:adjustRightInd w:val="0"/>
      <w:jc w:val="center"/>
      <w:textAlignment w:val="baseline"/>
    </w:pPr>
    <w:rPr>
      <w:rFonts w:ascii="宋体" w:hAnsi="Impact"/>
      <w:kern w:val="24"/>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header" Target="head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25509</Words>
  <Characters>32596</Characters>
  <Lines>0</Lines>
  <Paragraphs>0</Paragraphs>
  <TotalTime>1</TotalTime>
  <ScaleCrop>false</ScaleCrop>
  <LinksUpToDate>false</LinksUpToDate>
  <CharactersWithSpaces>33510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2021-06-25T00:21:00Z</dcterms:created>
  <dc:creator>·</dc:creator>
  <cp:lastModifiedBy>·</cp:lastModifiedBy>
  <dcterms:modified xsi:type="dcterms:W3CDTF">2023-09-12T02:09:19Z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FDD3C6C1278E47AD8C7876305394AC4F</vt:lpwstr>
  </property>
</Properties>
</file>