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楷体" w:hAnsi="楷体" w:eastAsia="楷体"/>
          <w:b/>
          <w:sz w:val="36"/>
          <w:szCs w:val="36"/>
        </w:rPr>
      </w:pPr>
      <w:r>
        <w:rPr>
          <w:rFonts w:hint="eastAsia" w:ascii="楷体" w:hAnsi="楷体" w:eastAsia="楷体"/>
          <w:b/>
          <w:sz w:val="36"/>
          <w:szCs w:val="36"/>
        </w:rPr>
        <w:t>宁国市弘嘉金属表面处理有限公司</w:t>
      </w:r>
    </w:p>
    <w:p>
      <w:pPr>
        <w:jc w:val="center"/>
        <w:rPr>
          <w:rFonts w:hint="eastAsia" w:ascii="楷体" w:hAnsi="楷体" w:eastAsia="楷体"/>
          <w:b/>
          <w:sz w:val="36"/>
          <w:szCs w:val="36"/>
        </w:rPr>
      </w:pPr>
      <w:r>
        <w:rPr>
          <w:rFonts w:hint="eastAsia" w:ascii="楷体" w:hAnsi="楷体" w:eastAsia="楷体"/>
          <w:b/>
          <w:color w:val="000000"/>
          <w:sz w:val="36"/>
          <w:szCs w:val="36"/>
        </w:rPr>
        <w:t>整体搬迁及扩建项目竣工</w:t>
      </w:r>
      <w:r>
        <w:rPr>
          <w:rFonts w:hint="eastAsia" w:ascii="楷体" w:hAnsi="楷体" w:eastAsia="楷体"/>
          <w:b/>
          <w:sz w:val="36"/>
          <w:szCs w:val="36"/>
        </w:rPr>
        <w:t>环境保护</w:t>
      </w:r>
      <w:r>
        <w:rPr>
          <w:rFonts w:hint="eastAsia" w:ascii="楷体" w:hAnsi="楷体" w:eastAsia="楷体"/>
          <w:b/>
          <w:color w:val="000000"/>
          <w:sz w:val="36"/>
          <w:szCs w:val="36"/>
        </w:rPr>
        <w:t>阶段性</w:t>
      </w:r>
      <w:r>
        <w:rPr>
          <w:rFonts w:hint="eastAsia" w:ascii="楷体" w:hAnsi="楷体" w:eastAsia="楷体"/>
          <w:b/>
          <w:sz w:val="36"/>
          <w:szCs w:val="36"/>
        </w:rPr>
        <w:t>验收意见</w:t>
      </w:r>
    </w:p>
    <w:p>
      <w:pPr>
        <w:jc w:val="center"/>
        <w:rPr>
          <w:rFonts w:hint="eastAsia" w:ascii="楷体" w:hAnsi="楷体" w:eastAsia="楷体"/>
          <w:b/>
          <w:sz w:val="36"/>
          <w:szCs w:val="36"/>
        </w:rPr>
      </w:pPr>
    </w:p>
    <w:p>
      <w:pPr>
        <w:spacing w:line="520" w:lineRule="exact"/>
        <w:ind w:firstLine="560" w:firstLineChars="200"/>
        <w:textAlignment w:val="baseline"/>
        <w:rPr>
          <w:rFonts w:hint="eastAsia" w:ascii="楷体" w:hAnsi="楷体" w:eastAsia="楷体"/>
          <w:color w:val="000000"/>
          <w:sz w:val="28"/>
          <w:szCs w:val="28"/>
        </w:rPr>
      </w:pPr>
      <w:r>
        <w:rPr>
          <w:rFonts w:hint="eastAsia" w:ascii="楷体" w:hAnsi="楷体" w:eastAsia="楷体"/>
          <w:color w:val="000000"/>
          <w:sz w:val="28"/>
          <w:szCs w:val="28"/>
        </w:rPr>
        <w:t>2023年5月28日，宁国市弘嘉金属表面处理有限公司根据《整体搬迁及扩建项目竣工环境保护阶段性验收监测报告》并对照《建设项目竣工环境保护验收暂行办法》，严格依照国家有关法律法规、建设项目竣工环境保护验收技术指南/污染影响类、本项目环境影响报告书和审批部门审批决定等要求对本项目进行验收，提出意见如下：</w:t>
      </w:r>
    </w:p>
    <w:p>
      <w:pPr>
        <w:snapToGrid w:val="0"/>
        <w:spacing w:line="520" w:lineRule="exact"/>
        <w:ind w:firstLine="560" w:firstLineChars="200"/>
        <w:textAlignment w:val="baseline"/>
        <w:rPr>
          <w:rFonts w:hint="eastAsia" w:ascii="楷体" w:hAnsi="楷体" w:eastAsia="楷体"/>
          <w:color w:val="000000"/>
          <w:sz w:val="28"/>
          <w:szCs w:val="28"/>
        </w:rPr>
      </w:pPr>
      <w:r>
        <w:rPr>
          <w:rFonts w:hint="eastAsia" w:ascii="楷体" w:hAnsi="楷体" w:eastAsia="楷体"/>
          <w:color w:val="000000"/>
          <w:sz w:val="28"/>
          <w:szCs w:val="28"/>
        </w:rPr>
        <w:t>一、项目基本情况</w:t>
      </w:r>
    </w:p>
    <w:p>
      <w:pPr>
        <w:snapToGrid w:val="0"/>
        <w:spacing w:line="520" w:lineRule="exact"/>
        <w:ind w:firstLine="560" w:firstLineChars="200"/>
        <w:textAlignment w:val="baseline"/>
        <w:rPr>
          <w:rFonts w:hint="eastAsia" w:ascii="楷体" w:hAnsi="楷体" w:eastAsia="楷体"/>
          <w:color w:val="000000"/>
          <w:sz w:val="28"/>
          <w:szCs w:val="28"/>
        </w:rPr>
      </w:pPr>
      <w:r>
        <w:rPr>
          <w:rFonts w:hint="eastAsia" w:ascii="楷体" w:hAnsi="楷体" w:eastAsia="楷体"/>
          <w:color w:val="000000"/>
          <w:sz w:val="28"/>
          <w:szCs w:val="28"/>
        </w:rPr>
        <w:t>（一）主要建设内容</w:t>
      </w:r>
    </w:p>
    <w:p>
      <w:pPr>
        <w:spacing w:line="520" w:lineRule="exact"/>
        <w:ind w:firstLine="560" w:firstLineChars="200"/>
        <w:textAlignment w:val="baseline"/>
        <w:rPr>
          <w:rFonts w:hint="eastAsia" w:ascii="楷体" w:hAnsi="楷体" w:eastAsia="楷体"/>
          <w:color w:val="000000"/>
          <w:kern w:val="0"/>
          <w:sz w:val="28"/>
          <w:szCs w:val="28"/>
        </w:rPr>
      </w:pPr>
      <w:r>
        <w:rPr>
          <w:rFonts w:hint="eastAsia" w:ascii="楷体" w:hAnsi="楷体" w:eastAsia="楷体"/>
          <w:color w:val="000000"/>
          <w:sz w:val="28"/>
          <w:szCs w:val="28"/>
        </w:rPr>
        <w:t>宁国市弘嘉金属表面处理有限公司整体搬迁及扩建项目选址于宁国经济技术开发区电镀中心内，系租赁中心2幢钢结构生产厂房（1#楼、2#楼），总建筑面积12480m</w:t>
      </w:r>
      <w:r>
        <w:rPr>
          <w:rFonts w:hint="eastAsia" w:ascii="楷体" w:hAnsi="楷体" w:eastAsia="楷体"/>
          <w:color w:val="000000"/>
          <w:sz w:val="28"/>
          <w:szCs w:val="28"/>
          <w:vertAlign w:val="superscript"/>
        </w:rPr>
        <w:t>2</w:t>
      </w:r>
      <w:r>
        <w:rPr>
          <w:rFonts w:hint="eastAsia" w:ascii="楷体" w:hAnsi="楷体" w:eastAsia="楷体"/>
          <w:color w:val="000000"/>
          <w:kern w:val="0"/>
          <w:sz w:val="28"/>
          <w:szCs w:val="28"/>
        </w:rPr>
        <w:t>。主要建设内容为：淘汰原厂区全部电镀生产线。在电镀中心1#楼内</w:t>
      </w:r>
      <w:r>
        <w:rPr>
          <w:rFonts w:hint="eastAsia" w:ascii="楷体" w:hAnsi="楷体" w:eastAsia="楷体"/>
          <w:sz w:val="28"/>
          <w:szCs w:val="28"/>
        </w:rPr>
        <w:t>自北向南分别布置碱性挂镀锌生产线、碱性挂镀锌镍生产线、碱性滚镀锌生产线、碱性滚镀锌镍生产线、不锈钢钝化生产线、酸性滚镀锌生产线和阳极氧化生产线，计7条生产线，设计金属表面处理规模分别为23万m</w:t>
      </w:r>
      <w:r>
        <w:rPr>
          <w:rFonts w:hint="eastAsia" w:ascii="楷体" w:hAnsi="楷体" w:eastAsia="楷体"/>
          <w:sz w:val="28"/>
          <w:szCs w:val="28"/>
          <w:vertAlign w:val="superscript"/>
        </w:rPr>
        <w:t>2</w:t>
      </w:r>
      <w:r>
        <w:rPr>
          <w:rFonts w:hint="eastAsia" w:ascii="楷体" w:hAnsi="楷体" w:eastAsia="楷体"/>
          <w:sz w:val="28"/>
          <w:szCs w:val="28"/>
        </w:rPr>
        <w:t>、23万m</w:t>
      </w:r>
      <w:r>
        <w:rPr>
          <w:rFonts w:hint="eastAsia" w:ascii="楷体" w:hAnsi="楷体" w:eastAsia="楷体"/>
          <w:sz w:val="28"/>
          <w:szCs w:val="28"/>
          <w:vertAlign w:val="superscript"/>
        </w:rPr>
        <w:t>2</w:t>
      </w:r>
      <w:r>
        <w:rPr>
          <w:rFonts w:hint="eastAsia" w:ascii="楷体" w:hAnsi="楷体" w:eastAsia="楷体"/>
          <w:sz w:val="28"/>
          <w:szCs w:val="28"/>
        </w:rPr>
        <w:t>、25万m</w:t>
      </w:r>
      <w:r>
        <w:rPr>
          <w:rFonts w:hint="eastAsia" w:ascii="楷体" w:hAnsi="楷体" w:eastAsia="楷体"/>
          <w:sz w:val="28"/>
          <w:szCs w:val="28"/>
          <w:vertAlign w:val="superscript"/>
        </w:rPr>
        <w:t>2</w:t>
      </w:r>
      <w:r>
        <w:rPr>
          <w:rFonts w:hint="eastAsia" w:ascii="楷体" w:hAnsi="楷体" w:eastAsia="楷体"/>
          <w:sz w:val="28"/>
          <w:szCs w:val="28"/>
        </w:rPr>
        <w:t>、25万m</w:t>
      </w:r>
      <w:r>
        <w:rPr>
          <w:rFonts w:hint="eastAsia" w:ascii="楷体" w:hAnsi="楷体" w:eastAsia="楷体"/>
          <w:sz w:val="28"/>
          <w:szCs w:val="28"/>
          <w:vertAlign w:val="superscript"/>
        </w:rPr>
        <w:t>2</w:t>
      </w:r>
      <w:r>
        <w:rPr>
          <w:rFonts w:hint="eastAsia" w:ascii="楷体" w:hAnsi="楷体" w:eastAsia="楷体"/>
          <w:sz w:val="28"/>
          <w:szCs w:val="28"/>
        </w:rPr>
        <w:t>、13.32万m</w:t>
      </w:r>
      <w:r>
        <w:rPr>
          <w:rFonts w:hint="eastAsia" w:ascii="楷体" w:hAnsi="楷体" w:eastAsia="楷体"/>
          <w:sz w:val="28"/>
          <w:szCs w:val="28"/>
          <w:vertAlign w:val="superscript"/>
        </w:rPr>
        <w:t>2</w:t>
      </w:r>
      <w:r>
        <w:rPr>
          <w:rFonts w:hint="eastAsia" w:ascii="楷体" w:hAnsi="楷体" w:eastAsia="楷体"/>
          <w:sz w:val="28"/>
          <w:szCs w:val="28"/>
        </w:rPr>
        <w:t>、17万m</w:t>
      </w:r>
      <w:r>
        <w:rPr>
          <w:rFonts w:hint="eastAsia" w:ascii="楷体" w:hAnsi="楷体" w:eastAsia="楷体"/>
          <w:sz w:val="28"/>
          <w:szCs w:val="28"/>
          <w:vertAlign w:val="superscript"/>
        </w:rPr>
        <w:t>2</w:t>
      </w:r>
      <w:r>
        <w:rPr>
          <w:rFonts w:hint="eastAsia" w:ascii="楷体" w:hAnsi="楷体" w:eastAsia="楷体"/>
          <w:sz w:val="28"/>
          <w:szCs w:val="28"/>
        </w:rPr>
        <w:t>和5万m</w:t>
      </w:r>
      <w:r>
        <w:rPr>
          <w:rFonts w:hint="eastAsia" w:ascii="楷体" w:hAnsi="楷体" w:eastAsia="楷体"/>
          <w:sz w:val="28"/>
          <w:szCs w:val="28"/>
          <w:vertAlign w:val="superscript"/>
        </w:rPr>
        <w:t>2</w:t>
      </w:r>
      <w:r>
        <w:rPr>
          <w:rFonts w:hint="eastAsia" w:ascii="楷体" w:hAnsi="楷体" w:eastAsia="楷体"/>
          <w:sz w:val="28"/>
          <w:szCs w:val="28"/>
        </w:rPr>
        <w:t>，工艺主要包括：除油、酸洗、活化、出光、镀锌、镀锌镍、不锈钢钝化、阳极氧化、钝化、封孔等工序；在2#楼内自北向南分别布置镀硬铬生产线、酸性挂镀锌镍生产线和碱性镀锌铁合金生产线，设计金属表面处理规模分别为0.98万m</w:t>
      </w:r>
      <w:r>
        <w:rPr>
          <w:rFonts w:hint="eastAsia" w:ascii="楷体" w:hAnsi="楷体" w:eastAsia="楷体"/>
          <w:sz w:val="28"/>
          <w:szCs w:val="28"/>
          <w:vertAlign w:val="superscript"/>
        </w:rPr>
        <w:t>2</w:t>
      </w:r>
      <w:r>
        <w:rPr>
          <w:rFonts w:hint="eastAsia" w:ascii="楷体" w:hAnsi="楷体" w:eastAsia="楷体"/>
          <w:sz w:val="28"/>
          <w:szCs w:val="28"/>
        </w:rPr>
        <w:t>、22万m</w:t>
      </w:r>
      <w:r>
        <w:rPr>
          <w:rFonts w:hint="eastAsia" w:ascii="楷体" w:hAnsi="楷体" w:eastAsia="楷体"/>
          <w:sz w:val="28"/>
          <w:szCs w:val="28"/>
          <w:vertAlign w:val="superscript"/>
        </w:rPr>
        <w:t>2</w:t>
      </w:r>
      <w:r>
        <w:rPr>
          <w:rFonts w:hint="eastAsia" w:ascii="楷体" w:hAnsi="楷体" w:eastAsia="楷体"/>
          <w:sz w:val="28"/>
          <w:szCs w:val="28"/>
        </w:rPr>
        <w:t>、15.7万m</w:t>
      </w:r>
      <w:r>
        <w:rPr>
          <w:rFonts w:hint="eastAsia" w:ascii="楷体" w:hAnsi="楷体" w:eastAsia="楷体"/>
          <w:sz w:val="28"/>
          <w:szCs w:val="28"/>
          <w:vertAlign w:val="superscript"/>
        </w:rPr>
        <w:t>2</w:t>
      </w:r>
      <w:r>
        <w:rPr>
          <w:rFonts w:hint="eastAsia" w:ascii="楷体" w:hAnsi="楷体" w:eastAsia="楷体"/>
          <w:sz w:val="28"/>
          <w:szCs w:val="28"/>
        </w:rPr>
        <w:t>。工艺主要包括：除油、酸洗、活化、出光、镀锌铁、镀锌镍、镀铬、钝化、封孔等工序。</w:t>
      </w:r>
      <w:r>
        <w:rPr>
          <w:rFonts w:hint="eastAsia" w:ascii="楷体" w:hAnsi="楷体" w:eastAsia="楷体"/>
          <w:color w:val="000000"/>
          <w:kern w:val="0"/>
          <w:sz w:val="28"/>
          <w:szCs w:val="28"/>
        </w:rPr>
        <w:t>配套建设（或依托电镀中心现有）辅助、公用、储运和环保工程等</w:t>
      </w:r>
      <w:r>
        <w:rPr>
          <w:rFonts w:hint="eastAsia" w:ascii="楷体" w:hAnsi="楷体" w:eastAsia="楷体"/>
          <w:color w:val="000000"/>
          <w:sz w:val="28"/>
          <w:szCs w:val="28"/>
        </w:rPr>
        <w:t>。项目建成达产后可形成</w:t>
      </w:r>
      <w:r>
        <w:rPr>
          <w:rFonts w:hint="eastAsia" w:ascii="楷体" w:hAnsi="楷体" w:eastAsia="楷体" w:cs="宋体"/>
          <w:color w:val="000000"/>
          <w:kern w:val="0"/>
          <w:sz w:val="28"/>
          <w:szCs w:val="28"/>
        </w:rPr>
        <w:t>年表面处理170万m</w:t>
      </w:r>
      <w:r>
        <w:rPr>
          <w:rFonts w:hint="eastAsia" w:ascii="楷体" w:hAnsi="楷体" w:eastAsia="楷体" w:cs="宋体"/>
          <w:color w:val="000000"/>
          <w:kern w:val="0"/>
          <w:sz w:val="28"/>
          <w:szCs w:val="28"/>
          <w:vertAlign w:val="superscript"/>
        </w:rPr>
        <w:t>2</w:t>
      </w:r>
      <w:r>
        <w:rPr>
          <w:rFonts w:hint="eastAsia" w:ascii="楷体" w:hAnsi="楷体" w:eastAsia="楷体" w:cs="宋体"/>
          <w:color w:val="000000"/>
          <w:kern w:val="0"/>
          <w:sz w:val="28"/>
          <w:szCs w:val="28"/>
        </w:rPr>
        <w:t>镀层</w:t>
      </w:r>
      <w:r>
        <w:rPr>
          <w:rFonts w:hint="eastAsia" w:ascii="楷体" w:hAnsi="楷体" w:eastAsia="楷体"/>
          <w:color w:val="000000"/>
          <w:sz w:val="28"/>
          <w:szCs w:val="28"/>
        </w:rPr>
        <w:t>的生产能力。</w:t>
      </w:r>
      <w:r>
        <w:rPr>
          <w:rFonts w:hint="eastAsia" w:ascii="楷体" w:hAnsi="楷体" w:eastAsia="楷体"/>
          <w:color w:val="000000"/>
          <w:kern w:val="0"/>
          <w:sz w:val="28"/>
          <w:szCs w:val="28"/>
        </w:rPr>
        <w:t>系迁、扩建性质。</w:t>
      </w:r>
    </w:p>
    <w:p>
      <w:pPr>
        <w:spacing w:line="520" w:lineRule="exact"/>
        <w:ind w:firstLine="560" w:firstLineChars="200"/>
        <w:textAlignment w:val="baseline"/>
        <w:rPr>
          <w:rFonts w:hint="eastAsia" w:ascii="楷体" w:hAnsi="楷体" w:eastAsia="楷体"/>
          <w:color w:val="000000"/>
          <w:kern w:val="0"/>
          <w:sz w:val="28"/>
          <w:szCs w:val="28"/>
        </w:rPr>
      </w:pPr>
      <w:r>
        <w:rPr>
          <w:rFonts w:hint="eastAsia" w:ascii="楷体" w:hAnsi="楷体" w:eastAsia="楷体"/>
          <w:color w:val="000000"/>
          <w:kern w:val="0"/>
          <w:sz w:val="28"/>
          <w:szCs w:val="28"/>
        </w:rPr>
        <w:t>项目依托电镀中心相关配套基础设施主要包括：</w:t>
      </w:r>
      <w:r>
        <w:rPr>
          <w:rFonts w:ascii="楷体" w:hAnsi="楷体" w:eastAsia="楷体"/>
          <w:sz w:val="28"/>
          <w:szCs w:val="28"/>
        </w:rPr>
        <w:t>废水处理站、危化品配供中心、集中供热锅炉、危险废物暂存中心；生活污水依托宁国经济技术开发区污水处理厂处理。</w:t>
      </w:r>
    </w:p>
    <w:p>
      <w:pPr>
        <w:spacing w:line="520" w:lineRule="exact"/>
        <w:ind w:firstLine="560" w:firstLineChars="200"/>
        <w:textAlignment w:val="baseline"/>
        <w:rPr>
          <w:rFonts w:hint="eastAsia" w:ascii="楷体" w:hAnsi="楷体" w:eastAsia="楷体"/>
          <w:color w:val="000000"/>
          <w:sz w:val="28"/>
          <w:szCs w:val="28"/>
        </w:rPr>
      </w:pPr>
      <w:r>
        <w:rPr>
          <w:rFonts w:hint="eastAsia" w:ascii="楷体" w:hAnsi="楷体" w:eastAsia="楷体"/>
          <w:color w:val="000000"/>
          <w:sz w:val="28"/>
          <w:szCs w:val="28"/>
        </w:rPr>
        <w:t>（二）建设过程及环保审批情况</w:t>
      </w:r>
    </w:p>
    <w:p>
      <w:pPr>
        <w:ind w:firstLine="600"/>
        <w:rPr>
          <w:rFonts w:ascii="楷体" w:hAnsi="楷体" w:eastAsia="楷体"/>
          <w:sz w:val="28"/>
          <w:szCs w:val="28"/>
        </w:rPr>
      </w:pPr>
      <w:r>
        <w:rPr>
          <w:rFonts w:ascii="楷体" w:hAnsi="楷体" w:eastAsia="楷体"/>
          <w:sz w:val="28"/>
          <w:szCs w:val="28"/>
        </w:rPr>
        <w:t>2017年4月12日，宣城市人民政府发布《关于宣城市贯彻落实省环境保护督察反馈意见整改方案的报告》指出：宁国市弘嘉金属表面处理有限公司应于2018年底前完成原电镀生产线拆除、转产；宁国市开发区管委会应全力推进开发区电镀中心建设，确保金属表面处理企业尽快完成搬迁工作。</w:t>
      </w:r>
    </w:p>
    <w:p>
      <w:pPr>
        <w:ind w:firstLine="600"/>
        <w:rPr>
          <w:rFonts w:hint="eastAsia" w:ascii="楷体" w:hAnsi="楷体" w:eastAsia="楷体"/>
          <w:sz w:val="28"/>
          <w:szCs w:val="28"/>
        </w:rPr>
      </w:pPr>
      <w:r>
        <w:rPr>
          <w:rFonts w:ascii="楷体" w:hAnsi="楷体" w:eastAsia="楷体"/>
          <w:sz w:val="28"/>
          <w:szCs w:val="28"/>
        </w:rPr>
        <w:t>宁国市经济技术开发区管理委员会于2017年12月25日对项目进行了备案，备案项目编码2017-341862-33-03-034434；由于项目建设内容和规模变化，2018年9月14日，宁国市经济技术开发区管理委员对项目重新进行备案，项目编码仍为2017-341862-33-03-034434</w:t>
      </w:r>
      <w:r>
        <w:rPr>
          <w:rFonts w:hint="eastAsia" w:ascii="楷体" w:hAnsi="楷体" w:eastAsia="楷体"/>
          <w:sz w:val="28"/>
          <w:szCs w:val="28"/>
        </w:rPr>
        <w:t>。</w:t>
      </w:r>
    </w:p>
    <w:p>
      <w:pPr>
        <w:spacing w:line="520" w:lineRule="exact"/>
        <w:ind w:firstLine="560" w:firstLineChars="200"/>
        <w:textAlignment w:val="baseline"/>
        <w:rPr>
          <w:rFonts w:hint="eastAsia" w:ascii="楷体" w:hAnsi="楷体" w:eastAsia="楷体"/>
          <w:sz w:val="28"/>
          <w:szCs w:val="28"/>
        </w:rPr>
      </w:pPr>
      <w:r>
        <w:rPr>
          <w:rFonts w:hint="eastAsia" w:ascii="楷体" w:hAnsi="楷体" w:eastAsia="楷体"/>
          <w:sz w:val="28"/>
          <w:szCs w:val="28"/>
        </w:rPr>
        <w:t>公司于2018年1月委托安徽皖欣环境科技有限公司编制完成《</w:t>
      </w:r>
      <w:r>
        <w:rPr>
          <w:rFonts w:hint="eastAsia" w:ascii="楷体" w:hAnsi="楷体" w:eastAsia="楷体"/>
          <w:color w:val="000000"/>
          <w:sz w:val="28"/>
          <w:szCs w:val="28"/>
        </w:rPr>
        <w:t>宁国市弘嘉金属表面处理有限公司整体搬迁及扩建项目</w:t>
      </w:r>
      <w:r>
        <w:rPr>
          <w:rFonts w:hint="eastAsia" w:ascii="楷体" w:hAnsi="楷体" w:eastAsia="楷体"/>
          <w:sz w:val="28"/>
          <w:szCs w:val="28"/>
        </w:rPr>
        <w:t>环境影响报告书》，原宣城市环境保护局于2019年1月24日以文（宣环评[2019]5号）对上报的环评文件予以批复，同意项目建设。</w:t>
      </w:r>
    </w:p>
    <w:p>
      <w:pPr>
        <w:spacing w:line="520" w:lineRule="exact"/>
        <w:ind w:firstLine="560" w:firstLineChars="200"/>
        <w:textAlignment w:val="baseline"/>
        <w:rPr>
          <w:rFonts w:hint="eastAsia" w:ascii="楷体" w:hAnsi="楷体" w:eastAsia="楷体"/>
          <w:sz w:val="28"/>
          <w:szCs w:val="28"/>
        </w:rPr>
      </w:pPr>
      <w:r>
        <w:rPr>
          <w:rFonts w:hint="eastAsia" w:ascii="楷体" w:hAnsi="楷体" w:eastAsia="楷体"/>
          <w:sz w:val="28"/>
          <w:szCs w:val="28"/>
        </w:rPr>
        <w:t>2020年1月，上述项目中</w:t>
      </w:r>
      <w:r>
        <w:rPr>
          <w:rFonts w:hint="eastAsia" w:ascii="楷体" w:hAnsi="楷体" w:eastAsia="楷体"/>
          <w:color w:val="auto"/>
          <w:sz w:val="28"/>
          <w:szCs w:val="28"/>
        </w:rPr>
        <w:t>碱性挂镀锌生产线、碱性挂镀锌镍生产线、碱性滚镀锌生产线、碱性滚镀锌镍生产线、不锈钢钝化生产线、镀硬铬生产线和碱性镀锌铁合金生产线等7条生产线</w:t>
      </w:r>
      <w:r>
        <w:rPr>
          <w:rFonts w:hint="eastAsia" w:ascii="楷体" w:hAnsi="楷体" w:eastAsia="楷体"/>
          <w:sz w:val="28"/>
          <w:szCs w:val="28"/>
        </w:rPr>
        <w:t>建成并完成竣工环境保护自主验收。</w:t>
      </w:r>
    </w:p>
    <w:p>
      <w:pPr>
        <w:spacing w:line="520" w:lineRule="exact"/>
        <w:ind w:firstLine="560" w:firstLineChars="200"/>
        <w:textAlignment w:val="baseline"/>
        <w:rPr>
          <w:rFonts w:hint="eastAsia" w:ascii="楷体" w:hAnsi="楷体" w:eastAsia="楷体"/>
          <w:color w:val="auto"/>
          <w:sz w:val="28"/>
          <w:szCs w:val="28"/>
        </w:rPr>
      </w:pPr>
      <w:r>
        <w:rPr>
          <w:rFonts w:hint="eastAsia" w:ascii="楷体" w:hAnsi="楷体" w:eastAsia="楷体"/>
          <w:sz w:val="28"/>
          <w:szCs w:val="28"/>
        </w:rPr>
        <w:t>项目本期在2#厂房建成1条</w:t>
      </w:r>
      <w:r>
        <w:rPr>
          <w:rFonts w:hint="eastAsia" w:ascii="楷体" w:hAnsi="楷体" w:eastAsia="楷体"/>
          <w:sz w:val="28"/>
          <w:szCs w:val="28"/>
          <w:lang w:val="en-US" w:eastAsia="zh-CN"/>
        </w:rPr>
        <w:t>酸</w:t>
      </w:r>
      <w:r>
        <w:rPr>
          <w:rFonts w:hint="eastAsia" w:ascii="楷体" w:hAnsi="楷体" w:eastAsia="楷体"/>
          <w:sz w:val="28"/>
          <w:szCs w:val="28"/>
        </w:rPr>
        <w:t>性镀锌镍挂镀生产线，于202</w:t>
      </w:r>
      <w:r>
        <w:rPr>
          <w:rFonts w:hint="eastAsia" w:ascii="楷体" w:hAnsi="楷体" w:eastAsia="楷体"/>
          <w:sz w:val="28"/>
          <w:szCs w:val="28"/>
          <w:lang w:val="en-US" w:eastAsia="zh-CN"/>
        </w:rPr>
        <w:t>3</w:t>
      </w:r>
      <w:r>
        <w:rPr>
          <w:rFonts w:hint="eastAsia" w:ascii="楷体" w:hAnsi="楷体" w:eastAsia="楷体"/>
          <w:sz w:val="28"/>
          <w:szCs w:val="28"/>
        </w:rPr>
        <w:t>年</w:t>
      </w:r>
      <w:r>
        <w:rPr>
          <w:rFonts w:hint="eastAsia" w:ascii="楷体" w:hAnsi="楷体" w:eastAsia="楷体"/>
          <w:sz w:val="28"/>
          <w:szCs w:val="28"/>
          <w:lang w:val="en-US" w:eastAsia="zh-CN"/>
        </w:rPr>
        <w:t>1</w:t>
      </w:r>
      <w:r>
        <w:rPr>
          <w:rFonts w:hint="eastAsia" w:ascii="楷体" w:hAnsi="楷体" w:eastAsia="楷体"/>
          <w:sz w:val="28"/>
          <w:szCs w:val="28"/>
        </w:rPr>
        <w:t>月开工建设，2023年</w:t>
      </w:r>
      <w:r>
        <w:rPr>
          <w:rFonts w:hint="eastAsia" w:ascii="楷体" w:hAnsi="楷体" w:eastAsia="楷体"/>
          <w:sz w:val="28"/>
          <w:szCs w:val="28"/>
          <w:lang w:val="en-US" w:eastAsia="zh-CN"/>
        </w:rPr>
        <w:t>3</w:t>
      </w:r>
      <w:r>
        <w:rPr>
          <w:rFonts w:hint="eastAsia" w:ascii="楷体" w:hAnsi="楷体" w:eastAsia="楷体"/>
          <w:sz w:val="28"/>
          <w:szCs w:val="28"/>
        </w:rPr>
        <w:t>月建成投入试生产</w:t>
      </w:r>
      <w:r>
        <w:rPr>
          <w:rFonts w:hint="eastAsia" w:ascii="楷体" w:hAnsi="楷体" w:eastAsia="楷体"/>
          <w:color w:val="000000"/>
          <w:sz w:val="28"/>
          <w:szCs w:val="28"/>
        </w:rPr>
        <w:t>。</w:t>
      </w:r>
      <w:r>
        <w:rPr>
          <w:rFonts w:hint="eastAsia" w:ascii="楷体" w:hAnsi="楷体" w:eastAsia="楷体"/>
          <w:color w:val="auto"/>
          <w:sz w:val="28"/>
          <w:szCs w:val="28"/>
        </w:rPr>
        <w:t>公司于2023年</w:t>
      </w:r>
      <w:r>
        <w:rPr>
          <w:rFonts w:hint="eastAsia" w:ascii="楷体" w:hAnsi="楷体" w:eastAsia="楷体"/>
          <w:color w:val="auto"/>
          <w:sz w:val="28"/>
          <w:szCs w:val="28"/>
          <w:lang w:val="en-US" w:eastAsia="zh-CN"/>
        </w:rPr>
        <w:t>4</w:t>
      </w:r>
      <w:r>
        <w:rPr>
          <w:rFonts w:hint="eastAsia" w:ascii="楷体" w:hAnsi="楷体" w:eastAsia="楷体"/>
          <w:color w:val="auto"/>
          <w:sz w:val="28"/>
          <w:szCs w:val="28"/>
        </w:rPr>
        <w:t>月2</w:t>
      </w:r>
      <w:r>
        <w:rPr>
          <w:rFonts w:hint="eastAsia" w:ascii="楷体" w:hAnsi="楷体" w:eastAsia="楷体"/>
          <w:color w:val="auto"/>
          <w:sz w:val="28"/>
          <w:szCs w:val="28"/>
          <w:lang w:val="en-US" w:eastAsia="zh-CN"/>
        </w:rPr>
        <w:t>3</w:t>
      </w:r>
      <w:r>
        <w:rPr>
          <w:rFonts w:hint="eastAsia" w:ascii="楷体" w:hAnsi="楷体" w:eastAsia="楷体"/>
          <w:color w:val="auto"/>
          <w:sz w:val="28"/>
          <w:szCs w:val="28"/>
        </w:rPr>
        <w:t>日完成排污许可证变更申请手续，证书编号：91341881574422544D001P，有效期至202</w:t>
      </w:r>
      <w:r>
        <w:rPr>
          <w:rFonts w:hint="eastAsia" w:ascii="楷体" w:hAnsi="楷体" w:eastAsia="楷体"/>
          <w:color w:val="auto"/>
          <w:sz w:val="28"/>
          <w:szCs w:val="28"/>
          <w:lang w:val="en-US" w:eastAsia="zh-CN"/>
        </w:rPr>
        <w:t>5</w:t>
      </w:r>
      <w:r>
        <w:rPr>
          <w:rFonts w:hint="eastAsia" w:ascii="楷体" w:hAnsi="楷体" w:eastAsia="楷体"/>
          <w:color w:val="auto"/>
          <w:sz w:val="28"/>
          <w:szCs w:val="28"/>
        </w:rPr>
        <w:t>年</w:t>
      </w:r>
      <w:r>
        <w:rPr>
          <w:rFonts w:hint="eastAsia" w:ascii="楷体" w:hAnsi="楷体" w:eastAsia="楷体"/>
          <w:color w:val="auto"/>
          <w:sz w:val="28"/>
          <w:szCs w:val="28"/>
          <w:lang w:val="en-US" w:eastAsia="zh-CN"/>
        </w:rPr>
        <w:t>12</w:t>
      </w:r>
      <w:r>
        <w:rPr>
          <w:rFonts w:hint="eastAsia" w:ascii="楷体" w:hAnsi="楷体" w:eastAsia="楷体"/>
          <w:color w:val="auto"/>
          <w:sz w:val="28"/>
          <w:szCs w:val="28"/>
        </w:rPr>
        <w:t>月1</w:t>
      </w:r>
      <w:r>
        <w:rPr>
          <w:rFonts w:hint="eastAsia" w:ascii="楷体" w:hAnsi="楷体" w:eastAsia="楷体"/>
          <w:color w:val="auto"/>
          <w:sz w:val="28"/>
          <w:szCs w:val="28"/>
          <w:lang w:val="en-US" w:eastAsia="zh-CN"/>
        </w:rPr>
        <w:t>0</w:t>
      </w:r>
      <w:r>
        <w:rPr>
          <w:rFonts w:hint="eastAsia" w:ascii="楷体" w:hAnsi="楷体" w:eastAsia="楷体"/>
          <w:color w:val="auto"/>
          <w:sz w:val="28"/>
          <w:szCs w:val="28"/>
        </w:rPr>
        <w:t>日。</w:t>
      </w:r>
    </w:p>
    <w:p>
      <w:pPr>
        <w:snapToGrid w:val="0"/>
        <w:spacing w:line="520" w:lineRule="exact"/>
        <w:ind w:firstLine="560" w:firstLineChars="200"/>
        <w:textAlignment w:val="baseline"/>
        <w:rPr>
          <w:rFonts w:hint="eastAsia" w:ascii="楷体" w:hAnsi="楷体" w:eastAsia="楷体"/>
          <w:color w:val="000000"/>
          <w:sz w:val="28"/>
          <w:szCs w:val="28"/>
        </w:rPr>
      </w:pPr>
      <w:r>
        <w:rPr>
          <w:rFonts w:hint="eastAsia" w:ascii="楷体" w:hAnsi="楷体" w:eastAsia="楷体"/>
          <w:color w:val="000000"/>
          <w:sz w:val="28"/>
          <w:szCs w:val="28"/>
        </w:rPr>
        <w:t>（三）投资情况</w:t>
      </w:r>
    </w:p>
    <w:p>
      <w:pPr>
        <w:spacing w:line="520" w:lineRule="exact"/>
        <w:ind w:firstLine="560" w:firstLineChars="200"/>
        <w:textAlignment w:val="baseline"/>
        <w:rPr>
          <w:rFonts w:hint="eastAsia" w:ascii="楷体" w:hAnsi="楷体" w:eastAsia="楷体"/>
          <w:color w:val="auto"/>
          <w:sz w:val="28"/>
          <w:szCs w:val="28"/>
        </w:rPr>
      </w:pPr>
      <w:r>
        <w:rPr>
          <w:rFonts w:hint="eastAsia" w:ascii="楷体" w:hAnsi="楷体" w:eastAsia="楷体"/>
          <w:color w:val="auto"/>
          <w:sz w:val="28"/>
          <w:szCs w:val="28"/>
        </w:rPr>
        <w:t>项目本期实际总投资17</w:t>
      </w:r>
      <w:r>
        <w:rPr>
          <w:rFonts w:hint="eastAsia" w:ascii="楷体" w:hAnsi="楷体" w:eastAsia="楷体"/>
          <w:color w:val="auto"/>
          <w:sz w:val="28"/>
          <w:szCs w:val="28"/>
          <w:lang w:val="en-US" w:eastAsia="zh-CN"/>
        </w:rPr>
        <w:t>100</w:t>
      </w:r>
      <w:r>
        <w:rPr>
          <w:rFonts w:hint="eastAsia" w:ascii="楷体" w:hAnsi="楷体" w:eastAsia="楷体"/>
          <w:color w:val="auto"/>
          <w:sz w:val="28"/>
          <w:szCs w:val="28"/>
        </w:rPr>
        <w:t>万元，实际环保投</w:t>
      </w:r>
      <w:r>
        <w:rPr>
          <w:rFonts w:hint="eastAsia" w:ascii="楷体" w:hAnsi="楷体" w:eastAsia="楷体"/>
          <w:color w:val="auto"/>
          <w:sz w:val="28"/>
          <w:szCs w:val="28"/>
          <w:lang w:val="en-US" w:eastAsia="zh-CN"/>
        </w:rPr>
        <w:t>42</w:t>
      </w:r>
      <w:r>
        <w:rPr>
          <w:rFonts w:hint="eastAsia" w:ascii="楷体" w:hAnsi="楷体" w:eastAsia="楷体"/>
          <w:color w:val="auto"/>
          <w:sz w:val="28"/>
          <w:szCs w:val="28"/>
        </w:rPr>
        <w:t>万元，所占比例为</w:t>
      </w:r>
      <w:r>
        <w:rPr>
          <w:rFonts w:hint="eastAsia" w:ascii="楷体" w:hAnsi="楷体" w:eastAsia="楷体"/>
          <w:color w:val="auto"/>
          <w:sz w:val="28"/>
          <w:szCs w:val="28"/>
          <w:lang w:val="en-US" w:eastAsia="zh-CN"/>
        </w:rPr>
        <w:t>0.24</w:t>
      </w:r>
      <w:r>
        <w:rPr>
          <w:rFonts w:hint="eastAsia" w:ascii="楷体" w:hAnsi="楷体" w:eastAsia="楷体"/>
          <w:color w:val="auto"/>
          <w:sz w:val="28"/>
          <w:szCs w:val="28"/>
        </w:rPr>
        <w:t>%。</w:t>
      </w:r>
    </w:p>
    <w:p>
      <w:pPr>
        <w:spacing w:line="520" w:lineRule="exact"/>
        <w:ind w:firstLine="560" w:firstLineChars="200"/>
        <w:textAlignment w:val="baseline"/>
        <w:rPr>
          <w:rFonts w:hint="eastAsia" w:ascii="楷体" w:hAnsi="楷体" w:eastAsia="楷体"/>
          <w:color w:val="000000"/>
          <w:sz w:val="28"/>
          <w:szCs w:val="28"/>
        </w:rPr>
      </w:pPr>
      <w:r>
        <w:rPr>
          <w:rFonts w:hint="eastAsia" w:ascii="楷体" w:hAnsi="楷体" w:eastAsia="楷体"/>
          <w:color w:val="000000"/>
          <w:sz w:val="28"/>
          <w:szCs w:val="28"/>
        </w:rPr>
        <w:t>（四）验收范围</w:t>
      </w:r>
    </w:p>
    <w:p>
      <w:pPr>
        <w:spacing w:line="520" w:lineRule="exact"/>
        <w:ind w:firstLine="560" w:firstLineChars="200"/>
        <w:textAlignment w:val="baseline"/>
        <w:rPr>
          <w:rFonts w:hint="eastAsia" w:ascii="楷体" w:hAnsi="楷体" w:eastAsia="楷体"/>
          <w:color w:val="000000"/>
          <w:kern w:val="0"/>
          <w:sz w:val="28"/>
          <w:szCs w:val="28"/>
        </w:rPr>
      </w:pPr>
      <w:r>
        <w:rPr>
          <w:rFonts w:hint="eastAsia" w:ascii="楷体" w:hAnsi="楷体" w:eastAsia="楷体"/>
          <w:color w:val="000000"/>
          <w:sz w:val="28"/>
          <w:szCs w:val="28"/>
        </w:rPr>
        <w:t>阶段性验收。本次验收范围为宁国市弘嘉金属表面处理有限公司已阶段性建成的整体搬迁及扩建项目中的</w:t>
      </w:r>
      <w:r>
        <w:rPr>
          <w:rFonts w:hint="eastAsia" w:ascii="楷体" w:hAnsi="楷体" w:eastAsia="楷体" w:cs="宋体"/>
          <w:kern w:val="0"/>
          <w:sz w:val="28"/>
          <w:szCs w:val="28"/>
        </w:rPr>
        <w:t>2#厂房1条</w:t>
      </w:r>
      <w:r>
        <w:rPr>
          <w:rFonts w:hint="eastAsia" w:ascii="楷体" w:hAnsi="楷体" w:eastAsia="楷体"/>
          <w:sz w:val="28"/>
          <w:szCs w:val="28"/>
          <w:lang w:val="en-US" w:eastAsia="zh-CN"/>
        </w:rPr>
        <w:t>酸</w:t>
      </w:r>
      <w:r>
        <w:rPr>
          <w:rFonts w:hint="eastAsia" w:ascii="楷体" w:hAnsi="楷体" w:eastAsia="楷体"/>
          <w:sz w:val="28"/>
          <w:szCs w:val="28"/>
        </w:rPr>
        <w:t>性镀锌镍挂镀生产线</w:t>
      </w:r>
      <w:r>
        <w:rPr>
          <w:rFonts w:hint="eastAsia" w:ascii="楷体" w:hAnsi="楷体" w:eastAsia="楷体"/>
          <w:color w:val="000000"/>
          <w:kern w:val="0"/>
          <w:sz w:val="28"/>
          <w:szCs w:val="28"/>
        </w:rPr>
        <w:t>。</w:t>
      </w:r>
    </w:p>
    <w:p>
      <w:pPr>
        <w:spacing w:line="520" w:lineRule="exact"/>
        <w:ind w:firstLine="560" w:firstLineChars="200"/>
        <w:textAlignment w:val="baseline"/>
        <w:rPr>
          <w:rFonts w:hint="eastAsia" w:ascii="楷体" w:hAnsi="楷体" w:eastAsia="楷体"/>
          <w:color w:val="000000"/>
          <w:kern w:val="0"/>
          <w:sz w:val="28"/>
          <w:szCs w:val="28"/>
        </w:rPr>
      </w:pPr>
      <w:r>
        <w:rPr>
          <w:rFonts w:hint="eastAsia" w:ascii="楷体" w:hAnsi="楷体" w:eastAsia="楷体"/>
          <w:color w:val="000000"/>
          <w:kern w:val="0"/>
          <w:sz w:val="28"/>
          <w:szCs w:val="28"/>
        </w:rPr>
        <w:t>项目1#厂房中</w:t>
      </w:r>
      <w:r>
        <w:rPr>
          <w:rFonts w:hint="eastAsia" w:ascii="楷体" w:hAnsi="楷体" w:eastAsia="楷体"/>
          <w:sz w:val="28"/>
          <w:szCs w:val="28"/>
        </w:rPr>
        <w:t>酸性滚镀锌生产线和阳极氧化生产线等2条生产线</w:t>
      </w:r>
      <w:r>
        <w:rPr>
          <w:rFonts w:hint="eastAsia" w:ascii="楷体" w:hAnsi="楷体" w:eastAsia="楷体"/>
          <w:color w:val="000000"/>
          <w:kern w:val="0"/>
          <w:sz w:val="28"/>
          <w:szCs w:val="28"/>
        </w:rPr>
        <w:t>未建设，不在本次验收范围内。</w:t>
      </w:r>
    </w:p>
    <w:p>
      <w:pPr>
        <w:spacing w:line="520" w:lineRule="exact"/>
        <w:ind w:firstLine="560" w:firstLineChars="200"/>
        <w:textAlignment w:val="baseline"/>
        <w:rPr>
          <w:rFonts w:hint="eastAsia" w:ascii="楷体" w:hAnsi="楷体" w:eastAsia="楷体"/>
          <w:color w:val="000000"/>
          <w:kern w:val="0"/>
          <w:sz w:val="28"/>
          <w:szCs w:val="28"/>
        </w:rPr>
      </w:pPr>
    </w:p>
    <w:p>
      <w:pPr>
        <w:spacing w:line="520" w:lineRule="exact"/>
        <w:ind w:firstLine="560" w:firstLineChars="200"/>
        <w:textAlignment w:val="baseline"/>
        <w:rPr>
          <w:rFonts w:hint="eastAsia" w:ascii="楷体" w:hAnsi="楷体" w:eastAsia="楷体"/>
          <w:color w:val="000000"/>
          <w:sz w:val="28"/>
          <w:szCs w:val="28"/>
        </w:rPr>
      </w:pPr>
      <w:r>
        <w:rPr>
          <w:rFonts w:hint="eastAsia" w:ascii="楷体" w:hAnsi="楷体" w:eastAsia="楷体"/>
          <w:color w:val="000000"/>
          <w:sz w:val="28"/>
          <w:szCs w:val="28"/>
        </w:rPr>
        <w:t>二、项目变动情况</w:t>
      </w:r>
    </w:p>
    <w:p>
      <w:pPr>
        <w:autoSpaceDE w:val="0"/>
        <w:autoSpaceDN w:val="0"/>
        <w:adjustRightInd w:val="0"/>
        <w:spacing w:line="52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与环评申报阶段对照，变动情况如下：</w:t>
      </w:r>
    </w:p>
    <w:p>
      <w:pPr>
        <w:autoSpaceDE w:val="0"/>
        <w:autoSpaceDN w:val="0"/>
        <w:adjustRightInd w:val="0"/>
        <w:spacing w:line="520" w:lineRule="exact"/>
        <w:ind w:firstLine="560" w:firstLineChars="200"/>
        <w:rPr>
          <w:rFonts w:hint="eastAsia" w:ascii="楷体" w:hAnsi="楷体" w:eastAsia="楷体"/>
          <w:color w:val="000000"/>
          <w:sz w:val="28"/>
          <w:szCs w:val="28"/>
        </w:rPr>
      </w:pPr>
      <w:r>
        <w:rPr>
          <w:rFonts w:hint="eastAsia" w:ascii="楷体" w:hAnsi="楷体" w:eastAsia="楷体"/>
          <w:sz w:val="28"/>
          <w:szCs w:val="28"/>
        </w:rPr>
        <w:t>1.主要生产设备</w:t>
      </w:r>
      <w:r>
        <w:rPr>
          <w:rFonts w:hint="eastAsia" w:ascii="楷体" w:hAnsi="楷体" w:eastAsia="楷体"/>
          <w:kern w:val="0"/>
          <w:sz w:val="28"/>
          <w:szCs w:val="28"/>
        </w:rPr>
        <w:t>见验收监测报告中表3-4，其中，</w:t>
      </w:r>
      <w:r>
        <w:rPr>
          <w:rFonts w:hint="eastAsia" w:ascii="楷体" w:hAnsi="楷体" w:eastAsia="楷体"/>
          <w:kern w:val="0"/>
          <w:sz w:val="28"/>
          <w:szCs w:val="28"/>
          <w:lang w:val="en-US" w:eastAsia="zh-CN"/>
        </w:rPr>
        <w:t>化学除油槽</w:t>
      </w:r>
      <w:r>
        <w:rPr>
          <w:rFonts w:hint="eastAsia" w:ascii="楷体" w:hAnsi="楷体" w:eastAsia="楷体"/>
          <w:kern w:val="0"/>
          <w:sz w:val="28"/>
          <w:szCs w:val="28"/>
        </w:rPr>
        <w:t>增加</w:t>
      </w:r>
      <w:r>
        <w:rPr>
          <w:rFonts w:hint="eastAsia" w:ascii="楷体" w:hAnsi="楷体" w:eastAsia="楷体"/>
          <w:kern w:val="0"/>
          <w:sz w:val="28"/>
          <w:szCs w:val="28"/>
          <w:lang w:val="en-US" w:eastAsia="zh-CN"/>
        </w:rPr>
        <w:t>3</w:t>
      </w:r>
      <w:r>
        <w:rPr>
          <w:rFonts w:hint="eastAsia" w:ascii="楷体" w:hAnsi="楷体" w:eastAsia="楷体"/>
          <w:kern w:val="0"/>
          <w:sz w:val="28"/>
          <w:szCs w:val="28"/>
        </w:rPr>
        <w:t>只</w:t>
      </w:r>
      <w:r>
        <w:rPr>
          <w:rFonts w:hint="eastAsia" w:ascii="楷体" w:hAnsi="楷体" w:eastAsia="楷体"/>
          <w:kern w:val="0"/>
          <w:sz w:val="28"/>
          <w:szCs w:val="28"/>
          <w:lang w:val="en-US" w:eastAsia="zh-CN"/>
        </w:rPr>
        <w:t>，钝化</w:t>
      </w:r>
      <w:r>
        <w:rPr>
          <w:rFonts w:hint="eastAsia" w:ascii="楷体" w:hAnsi="楷体" w:eastAsia="楷体"/>
          <w:kern w:val="0"/>
          <w:sz w:val="28"/>
          <w:szCs w:val="28"/>
        </w:rPr>
        <w:t>槽增加1只、封闭槽增加</w:t>
      </w:r>
      <w:r>
        <w:rPr>
          <w:rFonts w:hint="eastAsia" w:ascii="楷体" w:hAnsi="楷体" w:eastAsia="楷体"/>
          <w:kern w:val="0"/>
          <w:sz w:val="28"/>
          <w:szCs w:val="28"/>
          <w:lang w:val="en-US" w:eastAsia="zh-CN"/>
        </w:rPr>
        <w:t>1</w:t>
      </w:r>
      <w:r>
        <w:rPr>
          <w:rFonts w:hint="eastAsia" w:ascii="楷体" w:hAnsi="楷体" w:eastAsia="楷体"/>
          <w:kern w:val="0"/>
          <w:sz w:val="28"/>
          <w:szCs w:val="28"/>
        </w:rPr>
        <w:t>只、单水洗/双联水洗/热水洗槽增加</w:t>
      </w:r>
      <w:r>
        <w:rPr>
          <w:rFonts w:hint="eastAsia" w:ascii="楷体" w:hAnsi="楷体" w:eastAsia="楷体"/>
          <w:kern w:val="0"/>
          <w:sz w:val="28"/>
          <w:szCs w:val="28"/>
          <w:lang w:val="en-US" w:eastAsia="zh-CN"/>
        </w:rPr>
        <w:t>1</w:t>
      </w:r>
      <w:r>
        <w:rPr>
          <w:rFonts w:hint="eastAsia" w:ascii="楷体" w:hAnsi="楷体" w:eastAsia="楷体"/>
          <w:kern w:val="0"/>
          <w:sz w:val="28"/>
          <w:szCs w:val="28"/>
        </w:rPr>
        <w:t>只、自动添加装置增加</w:t>
      </w:r>
      <w:r>
        <w:rPr>
          <w:rFonts w:hint="eastAsia" w:ascii="楷体" w:hAnsi="楷体" w:eastAsia="楷体"/>
          <w:kern w:val="0"/>
          <w:sz w:val="28"/>
          <w:szCs w:val="28"/>
          <w:lang w:val="en-US" w:eastAsia="zh-CN"/>
        </w:rPr>
        <w:t>6</w:t>
      </w:r>
      <w:r>
        <w:rPr>
          <w:rFonts w:hint="eastAsia" w:ascii="楷体" w:hAnsi="楷体" w:eastAsia="楷体"/>
          <w:kern w:val="0"/>
          <w:sz w:val="28"/>
          <w:szCs w:val="28"/>
        </w:rPr>
        <w:t>套、电解锌用整流器增加</w:t>
      </w:r>
      <w:r>
        <w:rPr>
          <w:rFonts w:hint="eastAsia" w:ascii="楷体" w:hAnsi="楷体" w:eastAsia="楷体"/>
          <w:kern w:val="0"/>
          <w:sz w:val="28"/>
          <w:szCs w:val="28"/>
          <w:lang w:val="en-US" w:eastAsia="zh-CN"/>
        </w:rPr>
        <w:t>1</w:t>
      </w:r>
      <w:r>
        <w:rPr>
          <w:rFonts w:hint="eastAsia" w:ascii="楷体" w:hAnsi="楷体" w:eastAsia="楷体"/>
          <w:kern w:val="0"/>
          <w:sz w:val="28"/>
          <w:szCs w:val="28"/>
        </w:rPr>
        <w:t>台、过滤循环系统增加</w:t>
      </w:r>
      <w:r>
        <w:rPr>
          <w:rFonts w:hint="eastAsia" w:ascii="楷体" w:hAnsi="楷体" w:eastAsia="楷体"/>
          <w:kern w:val="0"/>
          <w:sz w:val="28"/>
          <w:szCs w:val="28"/>
          <w:lang w:val="en-US" w:eastAsia="zh-CN"/>
        </w:rPr>
        <w:t>8</w:t>
      </w:r>
      <w:r>
        <w:rPr>
          <w:rFonts w:hint="eastAsia" w:ascii="楷体" w:hAnsi="楷体" w:eastAsia="楷体"/>
          <w:kern w:val="0"/>
          <w:sz w:val="28"/>
          <w:szCs w:val="28"/>
        </w:rPr>
        <w:t>套，电解除油槽减少1只、电解除油整流器减少1台</w:t>
      </w:r>
      <w:r>
        <w:rPr>
          <w:rFonts w:hint="eastAsia" w:ascii="楷体" w:hAnsi="楷体" w:eastAsia="楷体"/>
          <w:sz w:val="28"/>
          <w:szCs w:val="28"/>
        </w:rPr>
        <w:t>；主要原辅材料及能源消耗见验收监测报告中的表3-3</w:t>
      </w:r>
      <w:r>
        <w:rPr>
          <w:rFonts w:hint="eastAsia" w:ascii="楷体" w:hAnsi="楷体" w:eastAsia="楷体"/>
          <w:color w:val="000000"/>
          <w:sz w:val="28"/>
          <w:szCs w:val="28"/>
        </w:rPr>
        <w:t>；</w:t>
      </w:r>
    </w:p>
    <w:p>
      <w:pPr>
        <w:autoSpaceDE w:val="0"/>
        <w:autoSpaceDN w:val="0"/>
        <w:adjustRightInd w:val="0"/>
        <w:spacing w:line="520" w:lineRule="exact"/>
        <w:ind w:firstLine="560" w:firstLineChars="200"/>
        <w:rPr>
          <w:rFonts w:hint="eastAsia" w:ascii="楷体" w:hAnsi="楷体" w:eastAsia="楷体"/>
          <w:sz w:val="28"/>
          <w:szCs w:val="28"/>
        </w:rPr>
      </w:pPr>
      <w:r>
        <w:rPr>
          <w:rFonts w:hint="eastAsia" w:ascii="楷体" w:hAnsi="楷体" w:eastAsia="楷体"/>
          <w:sz w:val="28"/>
          <w:szCs w:val="28"/>
        </w:rPr>
        <w:t>2.公司自建1座危废库，占地面积约为20m</w:t>
      </w:r>
      <w:r>
        <w:rPr>
          <w:rFonts w:hint="eastAsia" w:ascii="楷体" w:hAnsi="楷体" w:eastAsia="楷体"/>
          <w:sz w:val="28"/>
          <w:szCs w:val="28"/>
          <w:vertAlign w:val="superscript"/>
        </w:rPr>
        <w:t>2</w:t>
      </w:r>
      <w:r>
        <w:rPr>
          <w:rFonts w:hint="eastAsia" w:ascii="楷体" w:hAnsi="楷体" w:eastAsia="楷体"/>
          <w:sz w:val="28"/>
          <w:szCs w:val="28"/>
        </w:rPr>
        <w:t>。</w:t>
      </w:r>
    </w:p>
    <w:p>
      <w:pPr>
        <w:autoSpaceDE w:val="0"/>
        <w:autoSpaceDN w:val="0"/>
        <w:adjustRightInd w:val="0"/>
        <w:spacing w:line="520" w:lineRule="exact"/>
        <w:ind w:firstLine="560" w:firstLineChars="200"/>
        <w:rPr>
          <w:rFonts w:hint="eastAsia" w:ascii="楷体" w:hAnsi="楷体" w:eastAsia="楷体"/>
          <w:snapToGrid w:val="0"/>
          <w:kern w:val="18"/>
          <w:sz w:val="28"/>
          <w:szCs w:val="28"/>
        </w:rPr>
      </w:pPr>
      <w:r>
        <w:rPr>
          <w:rFonts w:hint="eastAsia" w:ascii="楷体" w:hAnsi="楷体" w:eastAsia="楷体"/>
          <w:color w:val="000000"/>
          <w:sz w:val="28"/>
          <w:szCs w:val="28"/>
        </w:rPr>
        <w:t>其它建设内容与环评阶段基本一致</w:t>
      </w:r>
      <w:r>
        <w:rPr>
          <w:rFonts w:hint="eastAsia" w:ascii="楷体" w:hAnsi="楷体" w:eastAsia="楷体" w:cs="仿宋"/>
          <w:color w:val="000000"/>
          <w:sz w:val="28"/>
          <w:szCs w:val="28"/>
        </w:rPr>
        <w:t>。</w:t>
      </w:r>
    </w:p>
    <w:p>
      <w:pPr>
        <w:spacing w:line="520" w:lineRule="exact"/>
        <w:textAlignment w:val="baseline"/>
        <w:rPr>
          <w:rFonts w:hint="eastAsia" w:ascii="楷体" w:hAnsi="楷体" w:eastAsia="楷体"/>
          <w:color w:val="000000"/>
          <w:sz w:val="28"/>
          <w:szCs w:val="28"/>
        </w:rPr>
      </w:pPr>
    </w:p>
    <w:p>
      <w:pPr>
        <w:spacing w:line="520" w:lineRule="exact"/>
        <w:ind w:firstLine="480"/>
        <w:textAlignment w:val="baseline"/>
        <w:rPr>
          <w:rFonts w:hint="eastAsia" w:ascii="楷体" w:hAnsi="楷体" w:eastAsia="楷体"/>
          <w:color w:val="000000"/>
          <w:sz w:val="28"/>
          <w:szCs w:val="28"/>
        </w:rPr>
      </w:pPr>
      <w:r>
        <w:rPr>
          <w:rFonts w:hint="eastAsia" w:ascii="楷体" w:hAnsi="楷体" w:eastAsia="楷体"/>
          <w:color w:val="000000"/>
          <w:sz w:val="28"/>
          <w:szCs w:val="28"/>
        </w:rPr>
        <w:t>三、验收监测结果及现场检查情况</w:t>
      </w:r>
    </w:p>
    <w:p>
      <w:pPr>
        <w:spacing w:line="520" w:lineRule="exact"/>
        <w:ind w:firstLine="560" w:firstLineChars="200"/>
        <w:textAlignment w:val="baseline"/>
        <w:rPr>
          <w:rFonts w:hint="eastAsia" w:ascii="楷体" w:hAnsi="楷体" w:eastAsia="楷体"/>
          <w:color w:val="000000"/>
          <w:sz w:val="28"/>
          <w:szCs w:val="28"/>
        </w:rPr>
      </w:pPr>
      <w:r>
        <w:rPr>
          <w:rFonts w:hint="eastAsia" w:ascii="楷体" w:hAnsi="楷体" w:eastAsia="楷体"/>
          <w:sz w:val="28"/>
          <w:szCs w:val="28"/>
        </w:rPr>
        <w:t>宁国市浚成环境检测有限公司编制的《宁国市弘嘉金属表面处理有限公司</w:t>
      </w:r>
      <w:r>
        <w:rPr>
          <w:rFonts w:hint="eastAsia" w:ascii="楷体" w:hAnsi="楷体" w:eastAsia="楷体"/>
          <w:color w:val="000000"/>
          <w:sz w:val="28"/>
          <w:szCs w:val="28"/>
        </w:rPr>
        <w:t>整体搬迁及扩建项目竣工</w:t>
      </w:r>
      <w:r>
        <w:rPr>
          <w:rFonts w:hint="eastAsia" w:ascii="楷体" w:hAnsi="楷体" w:eastAsia="楷体"/>
          <w:sz w:val="28"/>
          <w:szCs w:val="28"/>
        </w:rPr>
        <w:t>环境保护</w:t>
      </w:r>
      <w:r>
        <w:rPr>
          <w:rFonts w:hint="eastAsia" w:ascii="楷体" w:hAnsi="楷体" w:eastAsia="楷体"/>
          <w:color w:val="000000"/>
          <w:sz w:val="28"/>
          <w:szCs w:val="28"/>
        </w:rPr>
        <w:t>阶段性</w:t>
      </w:r>
      <w:r>
        <w:rPr>
          <w:rFonts w:hint="eastAsia" w:ascii="楷体" w:hAnsi="楷体" w:eastAsia="楷体"/>
          <w:sz w:val="28"/>
          <w:szCs w:val="28"/>
        </w:rPr>
        <w:t>验收监测报告》检测结果（检测单位为宁国市浚成环境检测有限公司，检测报告编号：2023JCJCWTQ0</w:t>
      </w:r>
      <w:r>
        <w:rPr>
          <w:rFonts w:hint="eastAsia" w:ascii="楷体" w:hAnsi="楷体" w:eastAsia="楷体"/>
          <w:sz w:val="28"/>
          <w:szCs w:val="28"/>
          <w:lang w:val="en-US" w:eastAsia="zh-CN"/>
        </w:rPr>
        <w:t>5</w:t>
      </w:r>
      <w:r>
        <w:rPr>
          <w:rFonts w:hint="eastAsia" w:ascii="楷体" w:hAnsi="楷体" w:eastAsia="楷体"/>
          <w:sz w:val="28"/>
          <w:szCs w:val="28"/>
        </w:rPr>
        <w:t>1</w:t>
      </w:r>
      <w:r>
        <w:rPr>
          <w:rFonts w:hint="eastAsia" w:ascii="楷体" w:hAnsi="楷体" w:eastAsia="楷体"/>
          <w:sz w:val="28"/>
          <w:szCs w:val="28"/>
          <w:lang w:val="en-US" w:eastAsia="zh-CN"/>
        </w:rPr>
        <w:t>1</w:t>
      </w:r>
      <w:r>
        <w:rPr>
          <w:rFonts w:hint="eastAsia" w:ascii="楷体" w:hAnsi="楷体" w:eastAsia="楷体"/>
          <w:sz w:val="28"/>
          <w:szCs w:val="28"/>
        </w:rPr>
        <w:t>-</w:t>
      </w:r>
      <w:r>
        <w:rPr>
          <w:rFonts w:hint="eastAsia" w:ascii="楷体" w:hAnsi="楷体" w:eastAsia="楷体"/>
          <w:sz w:val="28"/>
          <w:szCs w:val="28"/>
          <w:lang w:val="en-US" w:eastAsia="zh-CN"/>
        </w:rPr>
        <w:t>2</w:t>
      </w:r>
      <w:bookmarkStart w:id="0" w:name="_GoBack"/>
      <w:bookmarkEnd w:id="0"/>
      <w:r>
        <w:rPr>
          <w:rFonts w:hint="eastAsia" w:ascii="楷体" w:hAnsi="楷体" w:eastAsia="楷体"/>
          <w:color w:val="000000"/>
          <w:sz w:val="28"/>
          <w:szCs w:val="28"/>
        </w:rPr>
        <w:t>）</w:t>
      </w:r>
      <w:r>
        <w:rPr>
          <w:rFonts w:hint="eastAsia" w:ascii="楷体" w:hAnsi="楷体" w:eastAsia="楷体"/>
          <w:sz w:val="28"/>
          <w:szCs w:val="28"/>
        </w:rPr>
        <w:t>和现场检查情况表明：</w:t>
      </w:r>
    </w:p>
    <w:p>
      <w:pPr>
        <w:spacing w:line="520" w:lineRule="exact"/>
        <w:ind w:firstLine="560" w:firstLineChars="200"/>
        <w:rPr>
          <w:rFonts w:hint="eastAsia" w:ascii="楷体" w:hAnsi="楷体" w:eastAsia="楷体"/>
          <w:color w:val="000000"/>
          <w:kern w:val="0"/>
          <w:sz w:val="28"/>
          <w:szCs w:val="28"/>
        </w:rPr>
      </w:pPr>
      <w:r>
        <w:rPr>
          <w:rFonts w:hint="eastAsia" w:ascii="楷体" w:hAnsi="楷体" w:eastAsia="楷体"/>
          <w:color w:val="000000"/>
          <w:sz w:val="28"/>
          <w:szCs w:val="28"/>
        </w:rPr>
        <w:t>废气。本项目废气主要来自酸洗过程中产生的盐酸雾,经全封闭收集由侧吸顶吸引至碱喷淋塔净化处理后，通过15m高排气筒（DA009）排放</w:t>
      </w:r>
      <w:r>
        <w:rPr>
          <w:rFonts w:hint="eastAsia" w:ascii="楷体" w:hAnsi="楷体" w:eastAsia="楷体"/>
          <w:sz w:val="28"/>
          <w:szCs w:val="28"/>
        </w:rPr>
        <w:t>；强化车间通风措施。</w:t>
      </w:r>
      <w:r>
        <w:rPr>
          <w:rFonts w:hint="eastAsia" w:ascii="楷体" w:hAnsi="楷体" w:eastAsia="楷体"/>
          <w:color w:val="000000"/>
          <w:sz w:val="28"/>
          <w:szCs w:val="28"/>
        </w:rPr>
        <w:t>经监测，废气外排分别满足《电镀污染物排放标准》(GB21900-2008)表5中新建企业大气污染物排放限值、《大气污染物综合排放标准》（GB16297-1996）中无组织排放监控浓度限值</w:t>
      </w:r>
      <w:r>
        <w:rPr>
          <w:rFonts w:hint="eastAsia" w:ascii="楷体" w:hAnsi="楷体" w:eastAsia="楷体"/>
          <w:color w:val="000000"/>
          <w:kern w:val="0"/>
          <w:sz w:val="28"/>
          <w:szCs w:val="28"/>
        </w:rPr>
        <w:t>。</w:t>
      </w:r>
    </w:p>
    <w:p>
      <w:pPr>
        <w:spacing w:line="52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废水。厂区已实行雨污分流、清污分流、分质处理、综合利用，本项目排水主要来自脱脂废液、酸洗废液、三价铬钝化废液以及水洗废水等电镀生产废水和生活污水。</w:t>
      </w:r>
      <w:r>
        <w:rPr>
          <w:rFonts w:hint="eastAsia" w:ascii="楷体" w:hAnsi="楷体" w:eastAsia="楷体"/>
          <w:sz w:val="28"/>
          <w:szCs w:val="28"/>
        </w:rPr>
        <w:t>其中，电镀生产废水经收集后均引至电镀中心现有污水处理设施处理后</w:t>
      </w:r>
      <w:r>
        <w:rPr>
          <w:rFonts w:hint="eastAsia" w:ascii="楷体" w:hAnsi="楷体" w:eastAsia="楷体"/>
          <w:color w:val="000000"/>
          <w:sz w:val="28"/>
          <w:szCs w:val="28"/>
        </w:rPr>
        <w:t>，汇同经化粪池收集的生活污水、纯水制备系统浓水达接管标准后</w:t>
      </w:r>
      <w:r>
        <w:rPr>
          <w:rFonts w:hint="eastAsia" w:ascii="楷体" w:hAnsi="楷体" w:eastAsia="楷体"/>
          <w:sz w:val="28"/>
          <w:szCs w:val="28"/>
        </w:rPr>
        <w:t>，通过市政污水管网纳入宁国经济技术开发区污水处理厂集中处理</w:t>
      </w:r>
      <w:r>
        <w:rPr>
          <w:rFonts w:hint="eastAsia" w:ascii="楷体" w:hAnsi="楷体" w:eastAsia="楷体" w:cs="宋体"/>
          <w:sz w:val="28"/>
          <w:szCs w:val="28"/>
        </w:rPr>
        <w:t>、达标排放</w:t>
      </w:r>
      <w:r>
        <w:rPr>
          <w:rFonts w:hint="eastAsia" w:ascii="楷体" w:hAnsi="楷体" w:eastAsia="楷体"/>
          <w:color w:val="000000"/>
          <w:sz w:val="28"/>
          <w:szCs w:val="28"/>
        </w:rPr>
        <w:t>。经监测，污废水外排满足《电镀污染物排放标准》（GB21900-2008）表2中限值标准和污水处理厂接管要求</w:t>
      </w:r>
      <w:r>
        <w:rPr>
          <w:rFonts w:hint="eastAsia" w:ascii="楷体" w:hAnsi="楷体" w:eastAsia="楷体"/>
          <w:color w:val="000000"/>
          <w:kern w:val="0"/>
          <w:sz w:val="28"/>
          <w:szCs w:val="28"/>
        </w:rPr>
        <w:t>。</w:t>
      </w:r>
    </w:p>
    <w:p>
      <w:pPr>
        <w:spacing w:line="520" w:lineRule="exact"/>
        <w:ind w:firstLine="480"/>
        <w:textAlignment w:val="baseline"/>
        <w:rPr>
          <w:rFonts w:hint="eastAsia" w:ascii="楷体" w:hAnsi="楷体" w:eastAsia="楷体"/>
          <w:color w:val="000000"/>
          <w:sz w:val="28"/>
          <w:szCs w:val="28"/>
        </w:rPr>
      </w:pPr>
      <w:r>
        <w:rPr>
          <w:rFonts w:hint="eastAsia" w:ascii="楷体" w:hAnsi="楷体" w:eastAsia="楷体"/>
          <w:color w:val="000000"/>
          <w:sz w:val="28"/>
          <w:szCs w:val="28"/>
        </w:rPr>
        <w:t>噪声。本项目噪声主要来自</w:t>
      </w:r>
      <w:r>
        <w:rPr>
          <w:rFonts w:hint="eastAsia" w:ascii="楷体" w:hAnsi="楷体" w:eastAsia="楷体"/>
          <w:sz w:val="28"/>
          <w:szCs w:val="28"/>
        </w:rPr>
        <w:t>各类生产</w:t>
      </w:r>
      <w:r>
        <w:rPr>
          <w:rFonts w:hint="eastAsia" w:ascii="楷体" w:hAnsi="楷体" w:eastAsia="楷体"/>
          <w:color w:val="000000"/>
          <w:sz w:val="28"/>
          <w:szCs w:val="28"/>
        </w:rPr>
        <w:t>设备及风机等，均针对性地采取合理、可行的隔声、减震措施。经监测，噪声外排分别满足《工业企业厂界环境噪声排放标准》（GB12348-2008）中3类标准限值。</w:t>
      </w:r>
    </w:p>
    <w:p>
      <w:pPr>
        <w:pStyle w:val="4"/>
        <w:spacing w:line="520" w:lineRule="exact"/>
        <w:ind w:firstLine="560" w:firstLineChars="200"/>
        <w:textAlignment w:val="baseline"/>
        <w:rPr>
          <w:rFonts w:hint="eastAsia" w:ascii="楷体" w:hAnsi="楷体" w:eastAsia="楷体"/>
          <w:color w:val="000000"/>
          <w:szCs w:val="28"/>
        </w:rPr>
      </w:pPr>
      <w:r>
        <w:rPr>
          <w:rFonts w:hint="eastAsia" w:ascii="楷体" w:hAnsi="楷体" w:eastAsia="楷体"/>
          <w:color w:val="000000"/>
          <w:szCs w:val="28"/>
        </w:rPr>
        <w:t>固体废物。项目产生的固废主要包括</w:t>
      </w:r>
      <w:r>
        <w:rPr>
          <w:rFonts w:ascii="楷体" w:hAnsi="楷体" w:eastAsia="楷体"/>
        </w:rPr>
        <w:t>废槽液</w:t>
      </w:r>
      <w:r>
        <w:rPr>
          <w:rFonts w:hint="eastAsia" w:ascii="楷体" w:hAnsi="楷体" w:eastAsia="楷体"/>
        </w:rPr>
        <w:t>、除油槽油水分离废油泥、化学品废包装袋、废钝化液再生树脂、废槽液过滤芯、纯水制备废树脂</w:t>
      </w:r>
      <w:r>
        <w:rPr>
          <w:rFonts w:hint="eastAsia" w:ascii="楷体" w:hAnsi="楷体" w:eastAsia="楷体"/>
          <w:color w:val="000000"/>
          <w:szCs w:val="28"/>
        </w:rPr>
        <w:t>和生活垃圾。其中，</w:t>
      </w:r>
      <w:r>
        <w:rPr>
          <w:rFonts w:ascii="楷体" w:hAnsi="楷体" w:eastAsia="楷体"/>
        </w:rPr>
        <w:t>废槽液</w:t>
      </w:r>
      <w:r>
        <w:rPr>
          <w:rFonts w:hint="eastAsia" w:ascii="楷体" w:hAnsi="楷体" w:eastAsia="楷体"/>
        </w:rPr>
        <w:t>、除油槽油水分离废油泥、化学品废包装袋、废钝化液再生树脂、废槽液过滤芯</w:t>
      </w:r>
      <w:r>
        <w:rPr>
          <w:rFonts w:hint="eastAsia" w:ascii="楷体" w:hAnsi="楷体" w:eastAsia="楷体"/>
          <w:color w:val="000000"/>
          <w:szCs w:val="28"/>
        </w:rPr>
        <w:t>等危险废物委托有相应资质的单位妥善处理处置，公司建有独立危险废物</w:t>
      </w:r>
      <w:r>
        <w:rPr>
          <w:rFonts w:hint="eastAsia" w:ascii="楷体" w:hAnsi="楷体" w:eastAsia="楷体"/>
          <w:szCs w:val="28"/>
        </w:rPr>
        <w:t>暂存场所</w:t>
      </w:r>
      <w:r>
        <w:rPr>
          <w:rFonts w:hint="eastAsia" w:ascii="楷体" w:hAnsi="楷体" w:eastAsia="楷体"/>
          <w:color w:val="000000"/>
          <w:szCs w:val="28"/>
        </w:rPr>
        <w:t>；</w:t>
      </w:r>
      <w:r>
        <w:rPr>
          <w:rFonts w:hint="eastAsia" w:ascii="楷体" w:hAnsi="楷体" w:eastAsia="楷体"/>
        </w:rPr>
        <w:t>纯水制备废树脂收集后外售综合利用；</w:t>
      </w:r>
      <w:r>
        <w:rPr>
          <w:rFonts w:hint="eastAsia" w:ascii="楷体" w:hAnsi="楷体" w:eastAsia="楷体"/>
          <w:color w:val="000000"/>
          <w:szCs w:val="28"/>
        </w:rPr>
        <w:t>生活垃圾集中收集后交由环卫部门统一清运。</w:t>
      </w:r>
    </w:p>
    <w:p>
      <w:pPr>
        <w:pStyle w:val="4"/>
        <w:spacing w:line="460" w:lineRule="exact"/>
        <w:ind w:firstLine="560" w:firstLineChars="200"/>
        <w:textAlignment w:val="baseline"/>
        <w:rPr>
          <w:rFonts w:hint="eastAsia" w:ascii="楷体" w:hAnsi="楷体" w:eastAsia="楷体"/>
          <w:color w:val="auto"/>
        </w:rPr>
      </w:pPr>
      <w:r>
        <w:rPr>
          <w:rFonts w:hint="eastAsia" w:ascii="楷体" w:hAnsi="楷体" w:eastAsia="楷体"/>
          <w:color w:val="auto"/>
        </w:rPr>
        <w:t>本项目设置了环境防护距离。经查验，该范围内无居民居住区、医院、学校和食品加工厂等敏感环境保护目标，满足环境防护距离要求。</w:t>
      </w:r>
    </w:p>
    <w:p>
      <w:pPr>
        <w:pStyle w:val="4"/>
        <w:spacing w:line="520" w:lineRule="exact"/>
        <w:textAlignment w:val="baseline"/>
        <w:rPr>
          <w:rFonts w:hint="eastAsia" w:ascii="楷体" w:hAnsi="楷体" w:eastAsia="楷体"/>
          <w:color w:val="000000"/>
          <w:szCs w:val="28"/>
        </w:rPr>
      </w:pPr>
    </w:p>
    <w:p>
      <w:pPr>
        <w:pStyle w:val="26"/>
        <w:shd w:val="clear" w:color="auto" w:fill="FFFFFF"/>
        <w:snapToGrid w:val="0"/>
        <w:spacing w:before="0" w:beforeAutospacing="0" w:after="0" w:afterAutospacing="0" w:line="520" w:lineRule="exact"/>
        <w:ind w:firstLine="560" w:firstLineChars="200"/>
        <w:textAlignment w:val="baseline"/>
        <w:rPr>
          <w:rFonts w:hint="eastAsia" w:ascii="楷体" w:hAnsi="楷体" w:eastAsia="楷体"/>
          <w:color w:val="000000"/>
          <w:sz w:val="28"/>
          <w:szCs w:val="28"/>
        </w:rPr>
      </w:pPr>
      <w:r>
        <w:rPr>
          <w:rFonts w:hint="eastAsia" w:ascii="楷体" w:hAnsi="楷体" w:eastAsia="楷体"/>
          <w:color w:val="000000"/>
          <w:sz w:val="28"/>
          <w:szCs w:val="28"/>
        </w:rPr>
        <w:t>四、验收结论</w:t>
      </w:r>
    </w:p>
    <w:p>
      <w:pPr>
        <w:spacing w:line="520" w:lineRule="exact"/>
        <w:ind w:firstLine="560" w:firstLineChars="200"/>
        <w:textAlignment w:val="baseline"/>
        <w:rPr>
          <w:rFonts w:hint="eastAsia" w:ascii="楷体" w:hAnsi="楷体" w:eastAsia="楷体"/>
          <w:color w:val="000000"/>
          <w:sz w:val="28"/>
          <w:szCs w:val="28"/>
        </w:rPr>
      </w:pPr>
      <w:r>
        <w:rPr>
          <w:rFonts w:hint="eastAsia" w:ascii="楷体" w:hAnsi="楷体" w:eastAsia="楷体"/>
          <w:color w:val="000000"/>
          <w:sz w:val="28"/>
          <w:szCs w:val="28"/>
        </w:rPr>
        <w:t>宁国市弘嘉金属表面处理有限公司整体搬迁及扩建项目</w:t>
      </w:r>
      <w:r>
        <w:rPr>
          <w:rFonts w:hint="eastAsia" w:ascii="楷体" w:hAnsi="楷体" w:eastAsia="楷体"/>
          <w:bCs/>
          <w:color w:val="000000"/>
          <w:sz w:val="28"/>
          <w:szCs w:val="28"/>
        </w:rPr>
        <w:t>前期</w:t>
      </w:r>
      <w:r>
        <w:rPr>
          <w:rFonts w:hint="eastAsia" w:ascii="楷体" w:hAnsi="楷体" w:eastAsia="楷体"/>
          <w:color w:val="000000"/>
          <w:sz w:val="28"/>
          <w:szCs w:val="28"/>
        </w:rPr>
        <w:t>环保审查、审批手续齐全。项目本期已按照环评文件及批复要求逐项落实环保设施措施并同步运行或使用，具备阶段性竣工环境保护验收条件。验收组认为，本项目阶段性竣工环境保护验收合格。</w:t>
      </w:r>
    </w:p>
    <w:p>
      <w:pPr>
        <w:spacing w:line="520" w:lineRule="exact"/>
        <w:ind w:firstLine="560" w:firstLineChars="200"/>
        <w:textAlignment w:val="baseline"/>
        <w:rPr>
          <w:rFonts w:hint="eastAsia" w:ascii="楷体" w:hAnsi="楷体" w:eastAsia="楷体"/>
          <w:color w:val="000000"/>
          <w:sz w:val="28"/>
          <w:szCs w:val="28"/>
        </w:rPr>
      </w:pPr>
    </w:p>
    <w:p>
      <w:pPr>
        <w:adjustRightInd w:val="0"/>
        <w:spacing w:line="520" w:lineRule="exact"/>
        <w:ind w:firstLine="560" w:firstLineChars="200"/>
        <w:textAlignment w:val="baseline"/>
        <w:rPr>
          <w:rFonts w:hint="eastAsia" w:ascii="楷体" w:hAnsi="楷体" w:eastAsia="楷体"/>
          <w:color w:val="000000"/>
          <w:kern w:val="0"/>
          <w:sz w:val="28"/>
          <w:szCs w:val="28"/>
        </w:rPr>
      </w:pPr>
      <w:r>
        <w:rPr>
          <w:rFonts w:hint="eastAsia" w:ascii="楷体" w:hAnsi="楷体" w:eastAsia="楷体"/>
          <w:color w:val="000000"/>
          <w:kern w:val="0"/>
          <w:sz w:val="28"/>
          <w:szCs w:val="28"/>
        </w:rPr>
        <w:t>五、后续要求</w:t>
      </w:r>
    </w:p>
    <w:p>
      <w:pPr>
        <w:tabs>
          <w:tab w:val="left" w:pos="1834"/>
        </w:tabs>
        <w:spacing w:line="520" w:lineRule="exact"/>
        <w:ind w:firstLine="560"/>
        <w:textAlignment w:val="baseline"/>
        <w:rPr>
          <w:rFonts w:hint="eastAsia" w:ascii="楷体" w:hAnsi="楷体" w:eastAsia="楷体"/>
          <w:color w:val="000000"/>
          <w:sz w:val="28"/>
          <w:szCs w:val="28"/>
        </w:rPr>
      </w:pPr>
      <w:r>
        <w:rPr>
          <w:rFonts w:hint="eastAsia" w:ascii="楷体" w:hAnsi="楷体" w:eastAsia="楷体"/>
          <w:color w:val="000000"/>
          <w:sz w:val="28"/>
          <w:szCs w:val="28"/>
        </w:rPr>
        <w:t xml:space="preserve">1.加强电镀工序各类废气收集、净化设施维护保养和现场环境管理，确保废气污染物稳定达标排放；完善危险废物和一般工业固废暂存场所建设工作，适时清运危险废物并建立去向台账，严格按照国家规定执行危废转移申报联单制度。 </w:t>
      </w:r>
    </w:p>
    <w:p>
      <w:pPr>
        <w:tabs>
          <w:tab w:val="left" w:pos="1834"/>
        </w:tabs>
        <w:spacing w:line="520" w:lineRule="exact"/>
        <w:ind w:firstLine="560"/>
        <w:textAlignment w:val="baseline"/>
        <w:rPr>
          <w:rFonts w:hint="eastAsia" w:ascii="楷体" w:hAnsi="楷体" w:eastAsia="楷体"/>
          <w:color w:val="000000"/>
          <w:sz w:val="28"/>
          <w:szCs w:val="28"/>
        </w:rPr>
      </w:pPr>
      <w:r>
        <w:rPr>
          <w:rFonts w:hint="eastAsia" w:ascii="楷体" w:hAnsi="楷体" w:eastAsia="楷体"/>
          <w:color w:val="000000"/>
          <w:sz w:val="28"/>
          <w:szCs w:val="28"/>
        </w:rPr>
        <w:t>2.厂区严格实行雨污分流。生产废水依托电镀中心现有污水处理设施处理达接管标准后，通过市政污水管网纳入宁国经济技术开发区污水处理厂集中</w:t>
      </w:r>
      <w:r>
        <w:rPr>
          <w:rFonts w:hint="eastAsia" w:ascii="楷体" w:hAnsi="楷体" w:eastAsia="楷体" w:cs="宋体"/>
          <w:sz w:val="28"/>
          <w:szCs w:val="28"/>
        </w:rPr>
        <w:t>处理、达标排放</w:t>
      </w:r>
      <w:r>
        <w:rPr>
          <w:rFonts w:hint="eastAsia" w:ascii="楷体" w:hAnsi="楷体" w:eastAsia="楷体"/>
          <w:color w:val="000000"/>
          <w:sz w:val="28"/>
          <w:szCs w:val="28"/>
        </w:rPr>
        <w:t>。</w:t>
      </w:r>
    </w:p>
    <w:p>
      <w:pPr>
        <w:tabs>
          <w:tab w:val="left" w:pos="1834"/>
        </w:tabs>
        <w:spacing w:line="520" w:lineRule="exact"/>
        <w:ind w:firstLine="560"/>
        <w:textAlignment w:val="baseline"/>
        <w:rPr>
          <w:rFonts w:hint="eastAsia" w:ascii="楷体" w:hAnsi="楷体" w:eastAsia="楷体"/>
          <w:sz w:val="28"/>
          <w:szCs w:val="28"/>
        </w:rPr>
      </w:pPr>
      <w:r>
        <w:rPr>
          <w:rFonts w:hint="eastAsia" w:ascii="楷体" w:hAnsi="楷体" w:eastAsia="楷体"/>
          <w:color w:val="000000"/>
          <w:sz w:val="28"/>
          <w:szCs w:val="28"/>
        </w:rPr>
        <w:t>3.提高全员环境保护意识，完善精细化环境管理工作计划及制度；定期对厂区雨污管网、车间内外地面进行环境清理，持续改善环境</w:t>
      </w:r>
      <w:r>
        <w:rPr>
          <w:rFonts w:hint="eastAsia" w:ascii="楷体" w:hAnsi="楷体" w:eastAsia="楷体"/>
          <w:sz w:val="28"/>
          <w:szCs w:val="28"/>
        </w:rPr>
        <w:t>。</w:t>
      </w:r>
    </w:p>
    <w:p>
      <w:pPr>
        <w:tabs>
          <w:tab w:val="left" w:pos="1834"/>
        </w:tabs>
        <w:spacing w:line="520" w:lineRule="exact"/>
        <w:ind w:firstLine="560"/>
        <w:textAlignment w:val="baseline"/>
        <w:rPr>
          <w:rFonts w:hint="eastAsia" w:ascii="楷体" w:hAnsi="楷体" w:eastAsia="楷体"/>
          <w:sz w:val="28"/>
          <w:szCs w:val="28"/>
        </w:rPr>
      </w:pPr>
    </w:p>
    <w:p>
      <w:pPr>
        <w:adjustRightInd w:val="0"/>
        <w:spacing w:line="520" w:lineRule="exact"/>
        <w:ind w:firstLine="560" w:firstLineChars="200"/>
        <w:textAlignment w:val="baseline"/>
        <w:rPr>
          <w:rFonts w:hint="eastAsia" w:ascii="楷体" w:hAnsi="楷体" w:eastAsia="楷体"/>
          <w:color w:val="000000"/>
          <w:sz w:val="28"/>
          <w:szCs w:val="28"/>
        </w:rPr>
      </w:pPr>
      <w:r>
        <w:rPr>
          <w:rFonts w:hint="eastAsia" w:ascii="楷体" w:hAnsi="楷体" w:eastAsia="楷体"/>
          <w:color w:val="000000"/>
          <w:sz w:val="28"/>
          <w:szCs w:val="28"/>
        </w:rPr>
        <w:t xml:space="preserve">                                宁国市弘嘉金属表面处理有限公司</w:t>
      </w:r>
    </w:p>
    <w:p>
      <w:pPr>
        <w:adjustRightInd w:val="0"/>
        <w:spacing w:line="520" w:lineRule="exact"/>
        <w:ind w:firstLine="6160" w:firstLineChars="2200"/>
        <w:textAlignment w:val="baseline"/>
        <w:rPr>
          <w:rFonts w:hint="eastAsia" w:ascii="楷体" w:hAnsi="楷体" w:eastAsia="楷体"/>
          <w:color w:val="000000"/>
          <w:sz w:val="28"/>
          <w:szCs w:val="28"/>
        </w:rPr>
      </w:pPr>
      <w:r>
        <w:rPr>
          <w:rFonts w:hint="eastAsia" w:ascii="楷体" w:hAnsi="楷体" w:eastAsia="楷体"/>
          <w:color w:val="000000"/>
          <w:sz w:val="28"/>
          <w:szCs w:val="28"/>
        </w:rPr>
        <w:t xml:space="preserve">2023年5月28日 </w:t>
      </w:r>
    </w:p>
    <w:sectPr>
      <w:footerReference r:id="rId3" w:type="default"/>
      <w:footerReference r:id="rId4" w:type="even"/>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3"/>
      <w:lvlText w:val="%1.%2.%3"/>
      <w:lvlJc w:val="left"/>
      <w:pPr>
        <w:tabs>
          <w:tab w:val="left" w:pos="1080"/>
        </w:tabs>
        <w:ind w:left="108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8"/>
    <w:multiLevelType w:val="multilevel"/>
    <w:tmpl w:val="00000008"/>
    <w:lvl w:ilvl="0" w:tentative="0">
      <w:start w:val="1"/>
      <w:numFmt w:val="decimal"/>
      <w:pStyle w:val="27"/>
      <w:lvlText w:val="(%1)"/>
      <w:lvlJc w:val="left"/>
      <w:pPr>
        <w:ind w:left="988" w:hanging="4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ZmM1MzI4NDBhMTRjZjdkNjgyYjEzZDAzZjhmNzcifQ=="/>
  </w:docVars>
  <w:rsids>
    <w:rsidRoot w:val="00172A27"/>
    <w:rsid w:val="00001D83"/>
    <w:rsid w:val="000040AF"/>
    <w:rsid w:val="00006F94"/>
    <w:rsid w:val="00012A2F"/>
    <w:rsid w:val="00013264"/>
    <w:rsid w:val="00016960"/>
    <w:rsid w:val="00017018"/>
    <w:rsid w:val="00017529"/>
    <w:rsid w:val="00023B44"/>
    <w:rsid w:val="00027FB6"/>
    <w:rsid w:val="00031469"/>
    <w:rsid w:val="0003185C"/>
    <w:rsid w:val="00032B30"/>
    <w:rsid w:val="00036525"/>
    <w:rsid w:val="00040882"/>
    <w:rsid w:val="00046C90"/>
    <w:rsid w:val="00050B84"/>
    <w:rsid w:val="00052486"/>
    <w:rsid w:val="00053D27"/>
    <w:rsid w:val="00053ED6"/>
    <w:rsid w:val="00055CCD"/>
    <w:rsid w:val="00057A95"/>
    <w:rsid w:val="00060D8B"/>
    <w:rsid w:val="000634F1"/>
    <w:rsid w:val="000663CF"/>
    <w:rsid w:val="00070B06"/>
    <w:rsid w:val="000819F6"/>
    <w:rsid w:val="00083F5D"/>
    <w:rsid w:val="00091018"/>
    <w:rsid w:val="000A7F7C"/>
    <w:rsid w:val="000B2823"/>
    <w:rsid w:val="000C046D"/>
    <w:rsid w:val="000C1EEE"/>
    <w:rsid w:val="000C45B8"/>
    <w:rsid w:val="000C534B"/>
    <w:rsid w:val="000D1CFD"/>
    <w:rsid w:val="000D3D60"/>
    <w:rsid w:val="000D4F2C"/>
    <w:rsid w:val="000E0B18"/>
    <w:rsid w:val="000E27B9"/>
    <w:rsid w:val="000F416F"/>
    <w:rsid w:val="000F4833"/>
    <w:rsid w:val="000F49FB"/>
    <w:rsid w:val="00100F72"/>
    <w:rsid w:val="0010125A"/>
    <w:rsid w:val="00105161"/>
    <w:rsid w:val="00114CD5"/>
    <w:rsid w:val="00121441"/>
    <w:rsid w:val="00121755"/>
    <w:rsid w:val="0012294C"/>
    <w:rsid w:val="00133172"/>
    <w:rsid w:val="001342B6"/>
    <w:rsid w:val="00136244"/>
    <w:rsid w:val="001403DD"/>
    <w:rsid w:val="0014093A"/>
    <w:rsid w:val="00146611"/>
    <w:rsid w:val="00151BA0"/>
    <w:rsid w:val="0015516F"/>
    <w:rsid w:val="001614EA"/>
    <w:rsid w:val="00161602"/>
    <w:rsid w:val="001627E2"/>
    <w:rsid w:val="00165B67"/>
    <w:rsid w:val="00170645"/>
    <w:rsid w:val="00171C0E"/>
    <w:rsid w:val="0017253D"/>
    <w:rsid w:val="00173469"/>
    <w:rsid w:val="001734F1"/>
    <w:rsid w:val="00176C7C"/>
    <w:rsid w:val="00181491"/>
    <w:rsid w:val="001816B3"/>
    <w:rsid w:val="0018307A"/>
    <w:rsid w:val="001868B6"/>
    <w:rsid w:val="00190BC8"/>
    <w:rsid w:val="001926E8"/>
    <w:rsid w:val="001B408C"/>
    <w:rsid w:val="001C30AE"/>
    <w:rsid w:val="001C3E5C"/>
    <w:rsid w:val="001C4BC3"/>
    <w:rsid w:val="001C4D1A"/>
    <w:rsid w:val="001D42EA"/>
    <w:rsid w:val="001E1522"/>
    <w:rsid w:val="001E21FD"/>
    <w:rsid w:val="001E74A5"/>
    <w:rsid w:val="001F0C17"/>
    <w:rsid w:val="001F2788"/>
    <w:rsid w:val="001F6F21"/>
    <w:rsid w:val="001F710E"/>
    <w:rsid w:val="002037F4"/>
    <w:rsid w:val="00204285"/>
    <w:rsid w:val="00204673"/>
    <w:rsid w:val="00205687"/>
    <w:rsid w:val="00205827"/>
    <w:rsid w:val="00207F13"/>
    <w:rsid w:val="00221250"/>
    <w:rsid w:val="0023356E"/>
    <w:rsid w:val="00233E6E"/>
    <w:rsid w:val="00256739"/>
    <w:rsid w:val="002638A1"/>
    <w:rsid w:val="00264712"/>
    <w:rsid w:val="00265661"/>
    <w:rsid w:val="0026721D"/>
    <w:rsid w:val="002703B3"/>
    <w:rsid w:val="00270B30"/>
    <w:rsid w:val="00271162"/>
    <w:rsid w:val="00274D2F"/>
    <w:rsid w:val="002808C3"/>
    <w:rsid w:val="00282F14"/>
    <w:rsid w:val="00284A61"/>
    <w:rsid w:val="00287EE5"/>
    <w:rsid w:val="00290F1C"/>
    <w:rsid w:val="00293D4C"/>
    <w:rsid w:val="00294D27"/>
    <w:rsid w:val="002A36F6"/>
    <w:rsid w:val="002A3A79"/>
    <w:rsid w:val="002B78FD"/>
    <w:rsid w:val="002C158E"/>
    <w:rsid w:val="002D15FC"/>
    <w:rsid w:val="002E448D"/>
    <w:rsid w:val="002E4622"/>
    <w:rsid w:val="002E568C"/>
    <w:rsid w:val="002E629B"/>
    <w:rsid w:val="002F3B8D"/>
    <w:rsid w:val="002F713A"/>
    <w:rsid w:val="003016B5"/>
    <w:rsid w:val="00302BA2"/>
    <w:rsid w:val="003058F4"/>
    <w:rsid w:val="00310785"/>
    <w:rsid w:val="00320107"/>
    <w:rsid w:val="00320642"/>
    <w:rsid w:val="003206C0"/>
    <w:rsid w:val="003244C6"/>
    <w:rsid w:val="00324513"/>
    <w:rsid w:val="00325C3F"/>
    <w:rsid w:val="003334D1"/>
    <w:rsid w:val="00334743"/>
    <w:rsid w:val="00337A1D"/>
    <w:rsid w:val="00337C00"/>
    <w:rsid w:val="00340600"/>
    <w:rsid w:val="003414AE"/>
    <w:rsid w:val="00341543"/>
    <w:rsid w:val="003462E0"/>
    <w:rsid w:val="00346E01"/>
    <w:rsid w:val="00347A29"/>
    <w:rsid w:val="003612C7"/>
    <w:rsid w:val="003619B3"/>
    <w:rsid w:val="00364F61"/>
    <w:rsid w:val="003778E8"/>
    <w:rsid w:val="00381BA8"/>
    <w:rsid w:val="00384E38"/>
    <w:rsid w:val="00384EF9"/>
    <w:rsid w:val="00386A64"/>
    <w:rsid w:val="00387BFC"/>
    <w:rsid w:val="00393F4C"/>
    <w:rsid w:val="0039588A"/>
    <w:rsid w:val="003A0C0B"/>
    <w:rsid w:val="003A3104"/>
    <w:rsid w:val="003A7DC2"/>
    <w:rsid w:val="003B16A9"/>
    <w:rsid w:val="003B2D50"/>
    <w:rsid w:val="003C0B8D"/>
    <w:rsid w:val="003C0E0B"/>
    <w:rsid w:val="003D40F4"/>
    <w:rsid w:val="003E1A5E"/>
    <w:rsid w:val="003E2503"/>
    <w:rsid w:val="003E6808"/>
    <w:rsid w:val="003F5DFA"/>
    <w:rsid w:val="003F6161"/>
    <w:rsid w:val="004039E8"/>
    <w:rsid w:val="00403BB0"/>
    <w:rsid w:val="00406AC1"/>
    <w:rsid w:val="00412FF3"/>
    <w:rsid w:val="00420B4B"/>
    <w:rsid w:val="00423A98"/>
    <w:rsid w:val="004276B7"/>
    <w:rsid w:val="00435D54"/>
    <w:rsid w:val="0044080E"/>
    <w:rsid w:val="00441B88"/>
    <w:rsid w:val="004450C0"/>
    <w:rsid w:val="00450B52"/>
    <w:rsid w:val="00451632"/>
    <w:rsid w:val="00455FD9"/>
    <w:rsid w:val="00455FDB"/>
    <w:rsid w:val="004601B7"/>
    <w:rsid w:val="004674E6"/>
    <w:rsid w:val="0047076B"/>
    <w:rsid w:val="004753B8"/>
    <w:rsid w:val="004867D6"/>
    <w:rsid w:val="00486817"/>
    <w:rsid w:val="00487F4C"/>
    <w:rsid w:val="00492BEB"/>
    <w:rsid w:val="004A2F42"/>
    <w:rsid w:val="004B5F52"/>
    <w:rsid w:val="004C0B07"/>
    <w:rsid w:val="004C456B"/>
    <w:rsid w:val="004D0BC0"/>
    <w:rsid w:val="004D175E"/>
    <w:rsid w:val="004D6E98"/>
    <w:rsid w:val="004E09FA"/>
    <w:rsid w:val="004E0E38"/>
    <w:rsid w:val="004E3246"/>
    <w:rsid w:val="004E7D1E"/>
    <w:rsid w:val="004F051D"/>
    <w:rsid w:val="004F11FB"/>
    <w:rsid w:val="004F1711"/>
    <w:rsid w:val="004F28A1"/>
    <w:rsid w:val="004F4A2B"/>
    <w:rsid w:val="004F69F4"/>
    <w:rsid w:val="00500308"/>
    <w:rsid w:val="005017B8"/>
    <w:rsid w:val="00503EE7"/>
    <w:rsid w:val="0050437F"/>
    <w:rsid w:val="00507092"/>
    <w:rsid w:val="00507D10"/>
    <w:rsid w:val="00511F1D"/>
    <w:rsid w:val="005129AE"/>
    <w:rsid w:val="0051613B"/>
    <w:rsid w:val="0052042C"/>
    <w:rsid w:val="005242DF"/>
    <w:rsid w:val="00537EB4"/>
    <w:rsid w:val="005416CA"/>
    <w:rsid w:val="005431EF"/>
    <w:rsid w:val="00552269"/>
    <w:rsid w:val="00554943"/>
    <w:rsid w:val="00557AB4"/>
    <w:rsid w:val="0056007A"/>
    <w:rsid w:val="00561DFD"/>
    <w:rsid w:val="00562C54"/>
    <w:rsid w:val="00562E3B"/>
    <w:rsid w:val="00563AB9"/>
    <w:rsid w:val="005710D7"/>
    <w:rsid w:val="0057798F"/>
    <w:rsid w:val="00577DE9"/>
    <w:rsid w:val="00581288"/>
    <w:rsid w:val="00582966"/>
    <w:rsid w:val="00584E47"/>
    <w:rsid w:val="00586031"/>
    <w:rsid w:val="005876F5"/>
    <w:rsid w:val="00590383"/>
    <w:rsid w:val="00592AAA"/>
    <w:rsid w:val="005950A5"/>
    <w:rsid w:val="005A49E9"/>
    <w:rsid w:val="005A713F"/>
    <w:rsid w:val="005B002C"/>
    <w:rsid w:val="005B4FDA"/>
    <w:rsid w:val="005C62C5"/>
    <w:rsid w:val="005C6317"/>
    <w:rsid w:val="005D4860"/>
    <w:rsid w:val="005D72BB"/>
    <w:rsid w:val="005E0011"/>
    <w:rsid w:val="005E3675"/>
    <w:rsid w:val="005E54F4"/>
    <w:rsid w:val="005F1DC7"/>
    <w:rsid w:val="006023B0"/>
    <w:rsid w:val="00606939"/>
    <w:rsid w:val="00606DA2"/>
    <w:rsid w:val="00607414"/>
    <w:rsid w:val="006119F0"/>
    <w:rsid w:val="00612C2E"/>
    <w:rsid w:val="00613168"/>
    <w:rsid w:val="00614EDF"/>
    <w:rsid w:val="006320D3"/>
    <w:rsid w:val="006336E3"/>
    <w:rsid w:val="00641F67"/>
    <w:rsid w:val="006428CD"/>
    <w:rsid w:val="00646BD9"/>
    <w:rsid w:val="006505FA"/>
    <w:rsid w:val="0065307A"/>
    <w:rsid w:val="0065329B"/>
    <w:rsid w:val="00655731"/>
    <w:rsid w:val="00660539"/>
    <w:rsid w:val="006611E8"/>
    <w:rsid w:val="0066373C"/>
    <w:rsid w:val="006640E3"/>
    <w:rsid w:val="00673072"/>
    <w:rsid w:val="00675CC4"/>
    <w:rsid w:val="00677240"/>
    <w:rsid w:val="0069146A"/>
    <w:rsid w:val="006978AA"/>
    <w:rsid w:val="006A0BA5"/>
    <w:rsid w:val="006A123A"/>
    <w:rsid w:val="006A3FFD"/>
    <w:rsid w:val="006A6311"/>
    <w:rsid w:val="006B26F2"/>
    <w:rsid w:val="006B2F97"/>
    <w:rsid w:val="006C53AD"/>
    <w:rsid w:val="006D75ED"/>
    <w:rsid w:val="006E0381"/>
    <w:rsid w:val="006E16C8"/>
    <w:rsid w:val="006E2C72"/>
    <w:rsid w:val="006E3D06"/>
    <w:rsid w:val="006E417D"/>
    <w:rsid w:val="006E616D"/>
    <w:rsid w:val="006E69F3"/>
    <w:rsid w:val="006F723F"/>
    <w:rsid w:val="006F73BA"/>
    <w:rsid w:val="006F7D64"/>
    <w:rsid w:val="007009A1"/>
    <w:rsid w:val="00701154"/>
    <w:rsid w:val="00705BB6"/>
    <w:rsid w:val="00710C28"/>
    <w:rsid w:val="0071614E"/>
    <w:rsid w:val="00720464"/>
    <w:rsid w:val="00722A3F"/>
    <w:rsid w:val="00722C0D"/>
    <w:rsid w:val="00736833"/>
    <w:rsid w:val="0073796F"/>
    <w:rsid w:val="00741441"/>
    <w:rsid w:val="0074292F"/>
    <w:rsid w:val="0074576D"/>
    <w:rsid w:val="007500DC"/>
    <w:rsid w:val="00754B19"/>
    <w:rsid w:val="00765D75"/>
    <w:rsid w:val="007727D3"/>
    <w:rsid w:val="007735C0"/>
    <w:rsid w:val="00773777"/>
    <w:rsid w:val="007757C6"/>
    <w:rsid w:val="00782B99"/>
    <w:rsid w:val="00790442"/>
    <w:rsid w:val="00792A5D"/>
    <w:rsid w:val="0079494B"/>
    <w:rsid w:val="0079545D"/>
    <w:rsid w:val="00797383"/>
    <w:rsid w:val="007A155A"/>
    <w:rsid w:val="007A2A4D"/>
    <w:rsid w:val="007A2D87"/>
    <w:rsid w:val="007B0A7C"/>
    <w:rsid w:val="007B3515"/>
    <w:rsid w:val="007C481D"/>
    <w:rsid w:val="007D6ED8"/>
    <w:rsid w:val="007D702F"/>
    <w:rsid w:val="007D78CC"/>
    <w:rsid w:val="007E1BA0"/>
    <w:rsid w:val="007E284C"/>
    <w:rsid w:val="007E3FEC"/>
    <w:rsid w:val="007E7567"/>
    <w:rsid w:val="007F02EB"/>
    <w:rsid w:val="007F1BC1"/>
    <w:rsid w:val="007F28F8"/>
    <w:rsid w:val="0080203B"/>
    <w:rsid w:val="00804027"/>
    <w:rsid w:val="00805866"/>
    <w:rsid w:val="00806103"/>
    <w:rsid w:val="00810EA1"/>
    <w:rsid w:val="008113D0"/>
    <w:rsid w:val="00822671"/>
    <w:rsid w:val="00823CCC"/>
    <w:rsid w:val="00824534"/>
    <w:rsid w:val="008259B1"/>
    <w:rsid w:val="00850642"/>
    <w:rsid w:val="00852FDA"/>
    <w:rsid w:val="00853B56"/>
    <w:rsid w:val="00855E42"/>
    <w:rsid w:val="0087037B"/>
    <w:rsid w:val="008722BE"/>
    <w:rsid w:val="00872849"/>
    <w:rsid w:val="00873B8B"/>
    <w:rsid w:val="00875474"/>
    <w:rsid w:val="00883B48"/>
    <w:rsid w:val="00890692"/>
    <w:rsid w:val="008909C7"/>
    <w:rsid w:val="00897B4E"/>
    <w:rsid w:val="008A70FA"/>
    <w:rsid w:val="008B0CC5"/>
    <w:rsid w:val="008B208F"/>
    <w:rsid w:val="008B21B9"/>
    <w:rsid w:val="008B6617"/>
    <w:rsid w:val="008C05CB"/>
    <w:rsid w:val="008C25D2"/>
    <w:rsid w:val="008D4FBF"/>
    <w:rsid w:val="008D73EA"/>
    <w:rsid w:val="008E42BF"/>
    <w:rsid w:val="008F04FE"/>
    <w:rsid w:val="008F082E"/>
    <w:rsid w:val="008F4B7C"/>
    <w:rsid w:val="008F4B9D"/>
    <w:rsid w:val="008F4FFE"/>
    <w:rsid w:val="009009E6"/>
    <w:rsid w:val="00900C0F"/>
    <w:rsid w:val="00902026"/>
    <w:rsid w:val="00902FDC"/>
    <w:rsid w:val="009079D8"/>
    <w:rsid w:val="00910587"/>
    <w:rsid w:val="00915189"/>
    <w:rsid w:val="0091726B"/>
    <w:rsid w:val="00921EF8"/>
    <w:rsid w:val="00923302"/>
    <w:rsid w:val="00925703"/>
    <w:rsid w:val="00925C64"/>
    <w:rsid w:val="0093516B"/>
    <w:rsid w:val="00941EAD"/>
    <w:rsid w:val="0094328B"/>
    <w:rsid w:val="009465D3"/>
    <w:rsid w:val="009505DA"/>
    <w:rsid w:val="00950DF9"/>
    <w:rsid w:val="00952E26"/>
    <w:rsid w:val="00955F1E"/>
    <w:rsid w:val="0096058B"/>
    <w:rsid w:val="0096528A"/>
    <w:rsid w:val="00965427"/>
    <w:rsid w:val="00970DD4"/>
    <w:rsid w:val="00971AE6"/>
    <w:rsid w:val="00972D25"/>
    <w:rsid w:val="00974D42"/>
    <w:rsid w:val="009812E7"/>
    <w:rsid w:val="0098379C"/>
    <w:rsid w:val="00987464"/>
    <w:rsid w:val="00987CCB"/>
    <w:rsid w:val="00993561"/>
    <w:rsid w:val="00994FF5"/>
    <w:rsid w:val="00995174"/>
    <w:rsid w:val="009953AC"/>
    <w:rsid w:val="00995AD6"/>
    <w:rsid w:val="00996772"/>
    <w:rsid w:val="009A305D"/>
    <w:rsid w:val="009A3F35"/>
    <w:rsid w:val="009A51C3"/>
    <w:rsid w:val="009A623E"/>
    <w:rsid w:val="009B4B02"/>
    <w:rsid w:val="009B66F6"/>
    <w:rsid w:val="009C0B9C"/>
    <w:rsid w:val="009C18E6"/>
    <w:rsid w:val="009C778F"/>
    <w:rsid w:val="009C7A79"/>
    <w:rsid w:val="009D6A92"/>
    <w:rsid w:val="009E1C00"/>
    <w:rsid w:val="009E47A6"/>
    <w:rsid w:val="009F2A99"/>
    <w:rsid w:val="00A0050E"/>
    <w:rsid w:val="00A043D1"/>
    <w:rsid w:val="00A128E8"/>
    <w:rsid w:val="00A20255"/>
    <w:rsid w:val="00A22691"/>
    <w:rsid w:val="00A24108"/>
    <w:rsid w:val="00A26876"/>
    <w:rsid w:val="00A30090"/>
    <w:rsid w:val="00A360A8"/>
    <w:rsid w:val="00A3627C"/>
    <w:rsid w:val="00A400C1"/>
    <w:rsid w:val="00A43E67"/>
    <w:rsid w:val="00A4450E"/>
    <w:rsid w:val="00A46A62"/>
    <w:rsid w:val="00A50F71"/>
    <w:rsid w:val="00A615BA"/>
    <w:rsid w:val="00A62582"/>
    <w:rsid w:val="00A652B9"/>
    <w:rsid w:val="00A7217F"/>
    <w:rsid w:val="00A72D31"/>
    <w:rsid w:val="00A732B7"/>
    <w:rsid w:val="00A8529A"/>
    <w:rsid w:val="00A875A2"/>
    <w:rsid w:val="00A900E4"/>
    <w:rsid w:val="00A961BC"/>
    <w:rsid w:val="00A97D16"/>
    <w:rsid w:val="00AA1560"/>
    <w:rsid w:val="00AB122A"/>
    <w:rsid w:val="00AC31E5"/>
    <w:rsid w:val="00AC4446"/>
    <w:rsid w:val="00AC5B5C"/>
    <w:rsid w:val="00AC7903"/>
    <w:rsid w:val="00AD07C5"/>
    <w:rsid w:val="00AD0CC7"/>
    <w:rsid w:val="00AD0E42"/>
    <w:rsid w:val="00AD222B"/>
    <w:rsid w:val="00AD3645"/>
    <w:rsid w:val="00AD6419"/>
    <w:rsid w:val="00AE0EB3"/>
    <w:rsid w:val="00AE40BE"/>
    <w:rsid w:val="00AE691F"/>
    <w:rsid w:val="00AF5275"/>
    <w:rsid w:val="00B00E97"/>
    <w:rsid w:val="00B0431D"/>
    <w:rsid w:val="00B121C2"/>
    <w:rsid w:val="00B128C4"/>
    <w:rsid w:val="00B13612"/>
    <w:rsid w:val="00B136D5"/>
    <w:rsid w:val="00B26C28"/>
    <w:rsid w:val="00B27107"/>
    <w:rsid w:val="00B3443B"/>
    <w:rsid w:val="00B40DBC"/>
    <w:rsid w:val="00B42F4D"/>
    <w:rsid w:val="00B4650F"/>
    <w:rsid w:val="00B53A60"/>
    <w:rsid w:val="00B55056"/>
    <w:rsid w:val="00B61A2C"/>
    <w:rsid w:val="00B61A3F"/>
    <w:rsid w:val="00B633C3"/>
    <w:rsid w:val="00B64496"/>
    <w:rsid w:val="00B645F5"/>
    <w:rsid w:val="00B647A9"/>
    <w:rsid w:val="00B703D0"/>
    <w:rsid w:val="00B71F0E"/>
    <w:rsid w:val="00B74E64"/>
    <w:rsid w:val="00B75159"/>
    <w:rsid w:val="00B7727F"/>
    <w:rsid w:val="00B80D0B"/>
    <w:rsid w:val="00B815C0"/>
    <w:rsid w:val="00BA4A48"/>
    <w:rsid w:val="00BB0137"/>
    <w:rsid w:val="00BB39F8"/>
    <w:rsid w:val="00BB409A"/>
    <w:rsid w:val="00BC06DA"/>
    <w:rsid w:val="00BC0922"/>
    <w:rsid w:val="00BC1388"/>
    <w:rsid w:val="00BC2FF1"/>
    <w:rsid w:val="00BC4037"/>
    <w:rsid w:val="00BC44A6"/>
    <w:rsid w:val="00BC4674"/>
    <w:rsid w:val="00BC4F9D"/>
    <w:rsid w:val="00BC56EA"/>
    <w:rsid w:val="00BD7845"/>
    <w:rsid w:val="00BE168A"/>
    <w:rsid w:val="00BE17C8"/>
    <w:rsid w:val="00C00524"/>
    <w:rsid w:val="00C00D78"/>
    <w:rsid w:val="00C0140A"/>
    <w:rsid w:val="00C01D2E"/>
    <w:rsid w:val="00C1224D"/>
    <w:rsid w:val="00C13881"/>
    <w:rsid w:val="00C162B2"/>
    <w:rsid w:val="00C20D1E"/>
    <w:rsid w:val="00C22CB2"/>
    <w:rsid w:val="00C3282C"/>
    <w:rsid w:val="00C40197"/>
    <w:rsid w:val="00C40ECF"/>
    <w:rsid w:val="00C41A7E"/>
    <w:rsid w:val="00C44399"/>
    <w:rsid w:val="00C45039"/>
    <w:rsid w:val="00C46672"/>
    <w:rsid w:val="00C47AE7"/>
    <w:rsid w:val="00C52355"/>
    <w:rsid w:val="00C54649"/>
    <w:rsid w:val="00C5621F"/>
    <w:rsid w:val="00C605CF"/>
    <w:rsid w:val="00C859FE"/>
    <w:rsid w:val="00C92CF3"/>
    <w:rsid w:val="00C96355"/>
    <w:rsid w:val="00CA046E"/>
    <w:rsid w:val="00CA3874"/>
    <w:rsid w:val="00CB41A7"/>
    <w:rsid w:val="00CB72D8"/>
    <w:rsid w:val="00CC0500"/>
    <w:rsid w:val="00CC26EC"/>
    <w:rsid w:val="00CC3B9E"/>
    <w:rsid w:val="00CC43B8"/>
    <w:rsid w:val="00CD0396"/>
    <w:rsid w:val="00CD2712"/>
    <w:rsid w:val="00CD58EC"/>
    <w:rsid w:val="00CD7C85"/>
    <w:rsid w:val="00CE58CC"/>
    <w:rsid w:val="00CE68B9"/>
    <w:rsid w:val="00D02785"/>
    <w:rsid w:val="00D04F5A"/>
    <w:rsid w:val="00D11E03"/>
    <w:rsid w:val="00D12D7D"/>
    <w:rsid w:val="00D15400"/>
    <w:rsid w:val="00D2079A"/>
    <w:rsid w:val="00D3723D"/>
    <w:rsid w:val="00D44E14"/>
    <w:rsid w:val="00D46B45"/>
    <w:rsid w:val="00D61B50"/>
    <w:rsid w:val="00D623D1"/>
    <w:rsid w:val="00D67A10"/>
    <w:rsid w:val="00D754D2"/>
    <w:rsid w:val="00D75941"/>
    <w:rsid w:val="00D85BCC"/>
    <w:rsid w:val="00D90179"/>
    <w:rsid w:val="00D91633"/>
    <w:rsid w:val="00D91CE9"/>
    <w:rsid w:val="00D97F7F"/>
    <w:rsid w:val="00DA0957"/>
    <w:rsid w:val="00DB56A1"/>
    <w:rsid w:val="00DB6FA5"/>
    <w:rsid w:val="00DC3BD0"/>
    <w:rsid w:val="00DC5D1F"/>
    <w:rsid w:val="00DC6824"/>
    <w:rsid w:val="00DD0892"/>
    <w:rsid w:val="00DD4AE2"/>
    <w:rsid w:val="00DD5F91"/>
    <w:rsid w:val="00DE0747"/>
    <w:rsid w:val="00DF27E5"/>
    <w:rsid w:val="00E01778"/>
    <w:rsid w:val="00E06DDE"/>
    <w:rsid w:val="00E07126"/>
    <w:rsid w:val="00E16D6A"/>
    <w:rsid w:val="00E214E1"/>
    <w:rsid w:val="00E22A8C"/>
    <w:rsid w:val="00E2501B"/>
    <w:rsid w:val="00E318B3"/>
    <w:rsid w:val="00E32BB3"/>
    <w:rsid w:val="00E370A7"/>
    <w:rsid w:val="00E43619"/>
    <w:rsid w:val="00E53608"/>
    <w:rsid w:val="00E53760"/>
    <w:rsid w:val="00E63D5E"/>
    <w:rsid w:val="00E80037"/>
    <w:rsid w:val="00E80C05"/>
    <w:rsid w:val="00E80D58"/>
    <w:rsid w:val="00E81495"/>
    <w:rsid w:val="00E83BDC"/>
    <w:rsid w:val="00E93C59"/>
    <w:rsid w:val="00E94A44"/>
    <w:rsid w:val="00E96609"/>
    <w:rsid w:val="00E97B64"/>
    <w:rsid w:val="00EA20CA"/>
    <w:rsid w:val="00EA35B5"/>
    <w:rsid w:val="00EA5637"/>
    <w:rsid w:val="00EA6789"/>
    <w:rsid w:val="00EB1A19"/>
    <w:rsid w:val="00EB712F"/>
    <w:rsid w:val="00EB758C"/>
    <w:rsid w:val="00ED093E"/>
    <w:rsid w:val="00ED29D2"/>
    <w:rsid w:val="00ED5700"/>
    <w:rsid w:val="00EE2069"/>
    <w:rsid w:val="00EF4C86"/>
    <w:rsid w:val="00EF5172"/>
    <w:rsid w:val="00F064DC"/>
    <w:rsid w:val="00F067E2"/>
    <w:rsid w:val="00F06D0D"/>
    <w:rsid w:val="00F12EED"/>
    <w:rsid w:val="00F1600D"/>
    <w:rsid w:val="00F2603D"/>
    <w:rsid w:val="00F27BF4"/>
    <w:rsid w:val="00F366A3"/>
    <w:rsid w:val="00F37263"/>
    <w:rsid w:val="00F4260F"/>
    <w:rsid w:val="00F44363"/>
    <w:rsid w:val="00F45FFA"/>
    <w:rsid w:val="00F469AB"/>
    <w:rsid w:val="00F51EA6"/>
    <w:rsid w:val="00F51F32"/>
    <w:rsid w:val="00F5522B"/>
    <w:rsid w:val="00F564E1"/>
    <w:rsid w:val="00F57B92"/>
    <w:rsid w:val="00F605AC"/>
    <w:rsid w:val="00F62090"/>
    <w:rsid w:val="00F6224F"/>
    <w:rsid w:val="00F6463A"/>
    <w:rsid w:val="00F66557"/>
    <w:rsid w:val="00F76832"/>
    <w:rsid w:val="00F810A2"/>
    <w:rsid w:val="00F8187A"/>
    <w:rsid w:val="00F838A4"/>
    <w:rsid w:val="00F90E2F"/>
    <w:rsid w:val="00F93F5B"/>
    <w:rsid w:val="00F9636D"/>
    <w:rsid w:val="00FA1E19"/>
    <w:rsid w:val="00FA4E67"/>
    <w:rsid w:val="00FB4040"/>
    <w:rsid w:val="00FB5D51"/>
    <w:rsid w:val="00FB70E7"/>
    <w:rsid w:val="00FC60A0"/>
    <w:rsid w:val="00FC7843"/>
    <w:rsid w:val="00FD2269"/>
    <w:rsid w:val="00FD308D"/>
    <w:rsid w:val="00FD4D9D"/>
    <w:rsid w:val="00FD535D"/>
    <w:rsid w:val="00FE5CA2"/>
    <w:rsid w:val="00FE64C7"/>
    <w:rsid w:val="00FE6EDC"/>
    <w:rsid w:val="00FE7586"/>
    <w:rsid w:val="00FF54DF"/>
    <w:rsid w:val="00FF5DC8"/>
    <w:rsid w:val="00FF7A96"/>
    <w:rsid w:val="05BD7DDE"/>
    <w:rsid w:val="0FDC19E8"/>
    <w:rsid w:val="11EB4164"/>
    <w:rsid w:val="15F034B1"/>
    <w:rsid w:val="1D813BCE"/>
    <w:rsid w:val="1E2A6014"/>
    <w:rsid w:val="1F0625DD"/>
    <w:rsid w:val="26E72D5B"/>
    <w:rsid w:val="2D6D7CCB"/>
    <w:rsid w:val="3C9708C1"/>
    <w:rsid w:val="49F70160"/>
    <w:rsid w:val="4AB51FF5"/>
    <w:rsid w:val="604F4E8B"/>
    <w:rsid w:val="60695F4D"/>
    <w:rsid w:val="61703F08"/>
    <w:rsid w:val="6D192AA9"/>
    <w:rsid w:val="6EB72579"/>
    <w:rsid w:val="76DC75E6"/>
    <w:rsid w:val="7F853F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9"/>
    <w:qFormat/>
    <w:uiPriority w:val="0"/>
    <w:pPr>
      <w:keepNext/>
      <w:keepLines/>
      <w:numPr>
        <w:ilvl w:val="2"/>
        <w:numId w:val="1"/>
      </w:numPr>
      <w:tabs>
        <w:tab w:val="clear" w:pos="1080"/>
      </w:tabs>
      <w:adjustRightInd w:val="0"/>
      <w:snapToGrid w:val="0"/>
      <w:spacing w:before="156" w:beforeLines="50" w:beforeAutospacing="0" w:line="360" w:lineRule="auto"/>
      <w:ind w:left="0" w:firstLine="0"/>
      <w:jc w:val="left"/>
      <w:outlineLvl w:val="2"/>
    </w:pPr>
    <w:rPr>
      <w:b/>
      <w:sz w:val="30"/>
    </w:rPr>
  </w:style>
  <w:style w:type="character" w:default="1" w:styleId="16">
    <w:name w:val="Default Paragraph Font"/>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rPr>
      <w:kern w:val="2"/>
      <w:sz w:val="28"/>
    </w:rPr>
  </w:style>
  <w:style w:type="paragraph" w:styleId="5">
    <w:name w:val="annotation text"/>
    <w:basedOn w:val="1"/>
    <w:link w:val="20"/>
    <w:qFormat/>
    <w:uiPriority w:val="0"/>
    <w:pPr>
      <w:widowControl/>
      <w:adjustRightInd w:val="0"/>
      <w:snapToGrid w:val="0"/>
      <w:spacing w:after="200" w:afterLines="0" w:afterAutospacing="0"/>
      <w:jc w:val="left"/>
    </w:pPr>
    <w:rPr>
      <w:rFonts w:ascii="Tahoma" w:hAnsi="Tahoma" w:eastAsia="微软雅黑"/>
      <w:kern w:val="0"/>
      <w:sz w:val="22"/>
    </w:rPr>
  </w:style>
  <w:style w:type="paragraph" w:styleId="6">
    <w:name w:val="Body Text"/>
    <w:basedOn w:val="1"/>
    <w:qFormat/>
    <w:uiPriority w:val="0"/>
    <w:pPr>
      <w:spacing w:line="600" w:lineRule="exact"/>
    </w:pPr>
    <w:rPr>
      <w:kern w:val="2"/>
      <w:sz w:val="28"/>
    </w:rPr>
  </w:style>
  <w:style w:type="paragraph" w:styleId="7">
    <w:name w:val="Body Text Indent"/>
    <w:basedOn w:val="1"/>
    <w:qFormat/>
    <w:uiPriority w:val="0"/>
    <w:pPr>
      <w:spacing w:line="500" w:lineRule="exact"/>
      <w:ind w:firstLine="556"/>
    </w:pPr>
    <w:rPr>
      <w:kern w:val="0"/>
      <w:sz w:val="28"/>
    </w:rPr>
  </w:style>
  <w:style w:type="paragraph" w:styleId="8">
    <w:name w:val="Plain Text"/>
    <w:qFormat/>
    <w:uiPriority w:val="0"/>
    <w:rPr>
      <w:rFonts w:ascii="宋体" w:hAnsi="Courier New" w:eastAsia="宋体" w:cs="Times New Roman"/>
      <w:kern w:val="2"/>
      <w:sz w:val="21"/>
      <w:lang w:val="en-US" w:eastAsia="zh-CN" w:bidi="ar-SA"/>
    </w:rPr>
  </w:style>
  <w:style w:type="paragraph" w:styleId="9">
    <w:name w:val="Balloon Text"/>
    <w:basedOn w:val="1"/>
    <w:link w:val="21"/>
    <w:qFormat/>
    <w:uiPriority w:val="0"/>
    <w:rPr>
      <w:sz w:val="18"/>
    </w:rPr>
  </w:style>
  <w:style w:type="paragraph" w:styleId="10">
    <w:name w:val="footer"/>
    <w:basedOn w:val="1"/>
    <w:link w:val="22"/>
    <w:qFormat/>
    <w:uiPriority w:val="0"/>
    <w:pPr>
      <w:tabs>
        <w:tab w:val="center" w:pos="4153"/>
        <w:tab w:val="right" w:pos="8306"/>
      </w:tabs>
      <w:snapToGrid w:val="0"/>
      <w:jc w:val="left"/>
    </w:pPr>
    <w:rPr>
      <w:sz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2">
    <w:name w:val="footnote text"/>
    <w:basedOn w:val="1"/>
    <w:semiHidden/>
    <w:qFormat/>
    <w:uiPriority w:val="0"/>
    <w:pPr>
      <w:snapToGrid w:val="0"/>
      <w:jc w:val="left"/>
    </w:pPr>
    <w:rPr>
      <w:sz w:val="18"/>
      <w:szCs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4">
    <w:name w:val="annotation subject"/>
    <w:basedOn w:val="5"/>
    <w:next w:val="5"/>
    <w:link w:val="24"/>
    <w:unhideWhenUsed/>
    <w:qFormat/>
    <w:uiPriority w:val="99"/>
    <w:pPr>
      <w:widowControl w:val="0"/>
      <w:adjustRightInd/>
      <w:snapToGrid/>
      <w:spacing w:after="0"/>
    </w:pPr>
    <w:rPr>
      <w:rFonts w:ascii="Times New Roman" w:hAnsi="Times New Roman" w:eastAsia="宋体"/>
      <w:b/>
      <w:bCs/>
      <w:kern w:val="2"/>
      <w:sz w:val="21"/>
    </w:rPr>
  </w:style>
  <w:style w:type="character" w:styleId="17">
    <w:name w:val="page number"/>
    <w:basedOn w:val="16"/>
    <w:qFormat/>
    <w:uiPriority w:val="0"/>
  </w:style>
  <w:style w:type="character" w:styleId="18">
    <w:name w:val="annotation reference"/>
    <w:basedOn w:val="16"/>
    <w:unhideWhenUsed/>
    <w:qFormat/>
    <w:uiPriority w:val="99"/>
    <w:rPr>
      <w:sz w:val="21"/>
      <w:szCs w:val="21"/>
    </w:rPr>
  </w:style>
  <w:style w:type="character" w:customStyle="1" w:styleId="19">
    <w:name w:val="标题 3 Char"/>
    <w:link w:val="3"/>
    <w:qFormat/>
    <w:uiPriority w:val="0"/>
    <w:rPr>
      <w:rFonts w:eastAsia="宋体"/>
      <w:b/>
      <w:kern w:val="2"/>
      <w:sz w:val="30"/>
      <w:lang w:val="en-US" w:eastAsia="zh-CN"/>
    </w:rPr>
  </w:style>
  <w:style w:type="character" w:customStyle="1" w:styleId="20">
    <w:name w:val="批注文字 Char"/>
    <w:link w:val="5"/>
    <w:qFormat/>
    <w:uiPriority w:val="0"/>
    <w:rPr>
      <w:rFonts w:ascii="Tahoma" w:hAnsi="Tahoma" w:eastAsia="微软雅黑"/>
      <w:sz w:val="22"/>
      <w:lang w:val="en-US" w:eastAsia="zh-CN"/>
    </w:rPr>
  </w:style>
  <w:style w:type="character" w:customStyle="1" w:styleId="21">
    <w:name w:val="批注框文本 Char"/>
    <w:link w:val="9"/>
    <w:qFormat/>
    <w:uiPriority w:val="0"/>
    <w:rPr>
      <w:kern w:val="2"/>
      <w:sz w:val="18"/>
    </w:rPr>
  </w:style>
  <w:style w:type="character" w:customStyle="1" w:styleId="22">
    <w:name w:val="页脚 Char"/>
    <w:link w:val="10"/>
    <w:qFormat/>
    <w:uiPriority w:val="0"/>
    <w:rPr>
      <w:kern w:val="2"/>
      <w:sz w:val="18"/>
    </w:rPr>
  </w:style>
  <w:style w:type="character" w:customStyle="1" w:styleId="23">
    <w:name w:val="页眉 Char"/>
    <w:link w:val="11"/>
    <w:qFormat/>
    <w:uiPriority w:val="0"/>
    <w:rPr>
      <w:kern w:val="2"/>
      <w:sz w:val="18"/>
    </w:rPr>
  </w:style>
  <w:style w:type="character" w:customStyle="1" w:styleId="24">
    <w:name w:val="批注主题 Char"/>
    <w:basedOn w:val="20"/>
    <w:link w:val="14"/>
    <w:semiHidden/>
    <w:qFormat/>
    <w:uiPriority w:val="99"/>
    <w:rPr>
      <w:b/>
      <w:bCs/>
      <w:kern w:val="2"/>
      <w:sz w:val="21"/>
    </w:rPr>
  </w:style>
  <w:style w:type="paragraph" w:customStyle="1" w:styleId="25">
    <w:name w:val="默认段落字体 Para Char Char Char Char"/>
    <w:basedOn w:val="1"/>
    <w:qFormat/>
    <w:uiPriority w:val="0"/>
    <w:pPr>
      <w:widowControl/>
      <w:jc w:val="left"/>
    </w:pPr>
    <w:rPr>
      <w:kern w:val="0"/>
    </w:rPr>
  </w:style>
  <w:style w:type="paragraph" w:customStyle="1" w:styleId="26">
    <w:name w:val="p0"/>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7">
    <w:name w:val="List Paragraph"/>
    <w:basedOn w:val="1"/>
    <w:qFormat/>
    <w:uiPriority w:val="0"/>
    <w:pPr>
      <w:numPr>
        <w:ilvl w:val="0"/>
        <w:numId w:val="2"/>
      </w:numPr>
      <w:spacing w:line="360" w:lineRule="auto"/>
      <w:jc w:val="left"/>
    </w:pPr>
    <w:rPr>
      <w:sz w:val="24"/>
    </w:rPr>
  </w:style>
  <w:style w:type="character" w:customStyle="1" w:styleId="28">
    <w:name w:val="A标准格式 Char Char"/>
    <w:link w:val="29"/>
    <w:qFormat/>
    <w:uiPriority w:val="0"/>
    <w:rPr>
      <w:kern w:val="2"/>
      <w:sz w:val="24"/>
      <w:szCs w:val="24"/>
    </w:rPr>
  </w:style>
  <w:style w:type="paragraph" w:customStyle="1" w:styleId="29">
    <w:name w:val="A标准格式"/>
    <w:basedOn w:val="1"/>
    <w:link w:val="28"/>
    <w:qFormat/>
    <w:uiPriority w:val="0"/>
    <w:pPr>
      <w:spacing w:line="440" w:lineRule="exact"/>
      <w:ind w:firstLine="480" w:firstLineChars="200"/>
    </w:pPr>
    <w:rPr>
      <w:sz w:val="24"/>
      <w:szCs w:val="24"/>
    </w:rPr>
  </w:style>
  <w:style w:type="paragraph" w:customStyle="1" w:styleId="30">
    <w:name w:val="表格文字"/>
    <w:basedOn w:val="6"/>
    <w:qFormat/>
    <w:uiPriority w:val="0"/>
    <w:pPr>
      <w:widowControl/>
      <w:adjustRightInd w:val="0"/>
      <w:snapToGrid w:val="0"/>
      <w:spacing w:line="240" w:lineRule="auto"/>
      <w:jc w:val="center"/>
    </w:pPr>
    <w:rPr>
      <w:rFonts w:ascii="宋体" w:hAnsi="宋体"/>
      <w:kern w:val="0"/>
      <w:sz w:val="21"/>
    </w:rPr>
  </w:style>
  <w:style w:type="paragraph" w:customStyle="1" w:styleId="31">
    <w:name w:val="Default"/>
    <w:basedOn w:val="1"/>
    <w:next w:val="12"/>
    <w:qFormat/>
    <w:uiPriority w:val="0"/>
    <w:pPr>
      <w:shd w:val="clear" w:color="auto" w:fill="FFFFFF"/>
      <w:autoSpaceDE w:val="0"/>
      <w:autoSpaceDN w:val="0"/>
      <w:adjustRightInd w:val="0"/>
      <w:spacing w:line="494" w:lineRule="exact"/>
    </w:pPr>
    <w:rPr>
      <w:color w:val="000000"/>
      <w:sz w:val="24"/>
      <w:szCs w:val="24"/>
    </w:rPr>
  </w:style>
  <w:style w:type="paragraph" w:customStyle="1" w:styleId="32">
    <w:name w:val="正文lcc"/>
    <w:basedOn w:val="1"/>
    <w:qFormat/>
    <w:uiPriority w:val="0"/>
    <w:pPr>
      <w:adjustRightInd w:val="0"/>
      <w:snapToGrid w:val="0"/>
      <w:spacing w:line="360" w:lineRule="auto"/>
      <w:ind w:firstLine="480" w:firstLineChars="200"/>
    </w:pPr>
    <w:rPr>
      <w:rFonts w:eastAsia="仿宋"/>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2748</Words>
  <Characters>3001</Characters>
  <Lines>21</Lines>
  <Paragraphs>6</Paragraphs>
  <TotalTime>2</TotalTime>
  <ScaleCrop>false</ScaleCrop>
  <LinksUpToDate>false</LinksUpToDate>
  <CharactersWithSpaces>3035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2021-12-29T05:03:00Z</dcterms:created>
  <dc:creator>zyt</dc:creator>
  <cp:lastModifiedBy>。。。。</cp:lastModifiedBy>
  <cp:lastPrinted>2018-10-26T07:10:00Z</cp:lastPrinted>
  <dcterms:modified xsi:type="dcterms:W3CDTF">2023-06-09T06:04:41Z</dcterms:modified>
  <dc:title>集瑞联合重工股份有限公司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D66967D1AA294C8297A9044735CB9BAA_13</vt:lpwstr>
  </property>
</Properties>
</file>