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48"/>
          <w:szCs w:val="56"/>
          <w:lang w:val="en-US" w:eastAsia="zh-CN"/>
        </w:rPr>
      </w:pPr>
    </w:p>
    <w:p>
      <w:pPr>
        <w:pStyle w:val="4"/>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华文新魏" w:eastAsia="华文新魏"/>
          <w:b/>
          <w:color w:val="000000"/>
          <w:sz w:val="48"/>
          <w:szCs w:val="48"/>
        </w:rPr>
      </w:pPr>
      <w:r>
        <w:rPr>
          <w:rFonts w:hint="eastAsia" w:ascii="华文新魏" w:eastAsia="华文新魏"/>
          <w:b/>
          <w:color w:val="000000"/>
          <w:sz w:val="48"/>
          <w:szCs w:val="48"/>
          <w:lang w:eastAsia="zh-CN"/>
        </w:rPr>
        <w:t>面向国际市场长寿命耐腐蚀回转支承产业化</w:t>
      </w:r>
      <w:r>
        <w:rPr>
          <w:rFonts w:hint="default" w:ascii="华文新魏" w:eastAsia="华文新魏"/>
          <w:b/>
          <w:color w:val="000000"/>
          <w:sz w:val="48"/>
          <w:szCs w:val="48"/>
        </w:rPr>
        <w:t>项目</w:t>
      </w:r>
    </w:p>
    <w:p>
      <w:pPr>
        <w:jc w:val="center"/>
        <w:rPr>
          <w:rFonts w:hint="default" w:ascii="Times New Roman" w:hAnsi="Times New Roman" w:cs="Times New Roman" w:eastAsiaTheme="minorEastAsia"/>
          <w:b/>
          <w:bCs/>
          <w:sz w:val="48"/>
          <w:szCs w:val="56"/>
          <w:lang w:val="en-US" w:eastAsia="zh-CN"/>
        </w:rPr>
      </w:pPr>
      <w:r>
        <w:rPr>
          <w:rFonts w:hint="eastAsia" w:ascii="华文新魏" w:eastAsia="华文新魏"/>
          <w:b/>
          <w:color w:val="000000"/>
          <w:sz w:val="48"/>
          <w:szCs w:val="48"/>
          <w:lang w:eastAsia="zh-CN"/>
        </w:rPr>
        <w:t>竣工环境保护验收监测报告表</w:t>
      </w: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华文新魏" w:cs="Times New Roman"/>
          <w:color w:val="000000"/>
          <w:kern w:val="0"/>
          <w:sz w:val="28"/>
          <w:szCs w:val="28"/>
          <w:lang w:val="en-US" w:eastAsia="zh-CN"/>
        </w:rPr>
      </w:pPr>
      <w:r>
        <w:rPr>
          <w:rFonts w:hint="default" w:ascii="Times New Roman" w:hAnsi="Times New Roman" w:eastAsia="华文新魏" w:cs="Times New Roman"/>
          <w:color w:val="000000"/>
          <w:kern w:val="0"/>
          <w:sz w:val="28"/>
          <w:szCs w:val="28"/>
        </w:rPr>
        <w:t>建设单位</w:t>
      </w:r>
      <w:r>
        <w:rPr>
          <w:rFonts w:hint="default" w:ascii="Times New Roman" w:hAnsi="Times New Roman" w:eastAsia="华文新魏" w:cs="Times New Roman"/>
          <w:color w:val="000000"/>
          <w:kern w:val="0"/>
          <w:sz w:val="28"/>
          <w:szCs w:val="28"/>
          <w:lang w:eastAsia="zh-CN"/>
        </w:rPr>
        <w:t>：</w:t>
      </w:r>
      <w:r>
        <w:rPr>
          <w:rFonts w:hint="eastAsia" w:ascii="Times New Roman" w:hAnsi="Times New Roman" w:eastAsia="华文新魏" w:cs="Times New Roman"/>
          <w:color w:val="000000"/>
          <w:kern w:val="0"/>
          <w:sz w:val="28"/>
          <w:szCs w:val="28"/>
          <w:lang w:eastAsia="zh-CN"/>
        </w:rPr>
        <w:t>安徽省</w:t>
      </w:r>
      <w:r>
        <w:rPr>
          <w:rFonts w:hint="eastAsia" w:ascii="华文新魏" w:eastAsia="华文新魏"/>
          <w:color w:val="000000"/>
          <w:sz w:val="28"/>
          <w:szCs w:val="28"/>
          <w:lang w:eastAsia="zh-CN"/>
        </w:rPr>
        <w:t>宁国顺昌机械有限公司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华文新魏" w:cs="Times New Roman"/>
          <w:b w:val="0"/>
          <w:bCs w:val="0"/>
          <w:color w:val="000000"/>
          <w:kern w:val="0"/>
          <w:sz w:val="28"/>
          <w:szCs w:val="28"/>
        </w:rPr>
      </w:pPr>
      <w:r>
        <w:rPr>
          <w:rFonts w:hint="default" w:ascii="Times New Roman" w:hAnsi="Times New Roman" w:eastAsia="华文新魏" w:cs="Times New Roman"/>
          <w:color w:val="000000"/>
          <w:kern w:val="0"/>
          <w:sz w:val="28"/>
          <w:szCs w:val="28"/>
        </w:rPr>
        <w:t>编制单位</w:t>
      </w:r>
      <w:r>
        <w:rPr>
          <w:rFonts w:hint="default" w:ascii="Times New Roman" w:hAnsi="Times New Roman" w:eastAsia="华文新魏" w:cs="Times New Roman"/>
          <w:color w:val="000000"/>
          <w:kern w:val="0"/>
          <w:sz w:val="28"/>
          <w:szCs w:val="28"/>
          <w:lang w:eastAsia="zh-CN"/>
        </w:rPr>
        <w:t>：</w:t>
      </w:r>
      <w:r>
        <w:rPr>
          <w:rFonts w:hint="default" w:ascii="Times New Roman" w:hAnsi="Times New Roman" w:eastAsia="华文新魏" w:cs="Times New Roman"/>
          <w:b w:val="0"/>
          <w:bCs w:val="0"/>
          <w:color w:val="000000"/>
          <w:kern w:val="0"/>
          <w:sz w:val="28"/>
          <w:szCs w:val="28"/>
        </w:rPr>
        <w:t>宁国</w:t>
      </w:r>
      <w:r>
        <w:rPr>
          <w:rFonts w:hint="default" w:ascii="Times New Roman" w:hAnsi="Times New Roman" w:eastAsia="华文新魏" w:cs="Times New Roman"/>
          <w:b w:val="0"/>
          <w:bCs w:val="0"/>
          <w:color w:val="000000"/>
          <w:kern w:val="0"/>
          <w:sz w:val="28"/>
          <w:szCs w:val="28"/>
          <w:lang w:val="en-US" w:eastAsia="zh-CN"/>
        </w:rPr>
        <w:t>市浚成环境检测</w:t>
      </w:r>
      <w:r>
        <w:rPr>
          <w:rFonts w:hint="default" w:ascii="Times New Roman" w:hAnsi="Times New Roman" w:eastAsia="华文新魏" w:cs="Times New Roman"/>
          <w:b w:val="0"/>
          <w:bCs w:val="0"/>
          <w:color w:val="000000"/>
          <w:kern w:val="0"/>
          <w:sz w:val="28"/>
          <w:szCs w:val="28"/>
        </w:rPr>
        <w:t>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华文新魏" w:cs="Times New Roman"/>
          <w:color w:val="000000"/>
          <w:kern w:val="0"/>
          <w:sz w:val="28"/>
          <w:szCs w:val="28"/>
        </w:rPr>
      </w:pPr>
      <w:r>
        <w:rPr>
          <w:rFonts w:hint="default" w:ascii="Times New Roman" w:hAnsi="Times New Roman" w:eastAsia="华文新魏" w:cs="Times New Roman"/>
          <w:b w:val="0"/>
          <w:bCs w:val="0"/>
          <w:color w:val="000000"/>
          <w:kern w:val="0"/>
          <w:sz w:val="28"/>
          <w:szCs w:val="28"/>
          <w:lang w:eastAsia="zh-CN"/>
        </w:rPr>
        <w:t>编制日期：</w:t>
      </w:r>
      <w:r>
        <w:rPr>
          <w:rFonts w:hint="default" w:ascii="Times New Roman" w:hAnsi="Times New Roman" w:eastAsia="华文新魏" w:cs="Times New Roman"/>
          <w:b w:val="0"/>
          <w:bCs w:val="0"/>
          <w:color w:val="000000"/>
          <w:kern w:val="0"/>
          <w:sz w:val="28"/>
          <w:szCs w:val="28"/>
        </w:rPr>
        <w:t>二〇</w:t>
      </w:r>
      <w:r>
        <w:rPr>
          <w:rFonts w:hint="default" w:ascii="Times New Roman" w:hAnsi="Times New Roman" w:eastAsia="华文新魏" w:cs="Times New Roman"/>
          <w:b w:val="0"/>
          <w:bCs w:val="0"/>
          <w:color w:val="000000"/>
          <w:kern w:val="0"/>
          <w:sz w:val="28"/>
          <w:szCs w:val="28"/>
          <w:lang w:val="en-US" w:eastAsia="zh-CN"/>
        </w:rPr>
        <w:t>二</w:t>
      </w:r>
      <w:r>
        <w:rPr>
          <w:rFonts w:hint="eastAsia" w:ascii="Times New Roman" w:hAnsi="Times New Roman" w:eastAsia="华文新魏" w:cs="Times New Roman"/>
          <w:b w:val="0"/>
          <w:bCs w:val="0"/>
          <w:color w:val="000000"/>
          <w:kern w:val="0"/>
          <w:sz w:val="28"/>
          <w:szCs w:val="28"/>
          <w:lang w:eastAsia="zh-CN"/>
        </w:rPr>
        <w:t>二</w:t>
      </w:r>
      <w:r>
        <w:rPr>
          <w:rFonts w:hint="default" w:ascii="Times New Roman" w:hAnsi="Times New Roman" w:eastAsia="华文新魏" w:cs="Times New Roman"/>
          <w:b w:val="0"/>
          <w:bCs w:val="0"/>
          <w:color w:val="000000"/>
          <w:kern w:val="0"/>
          <w:sz w:val="28"/>
          <w:szCs w:val="28"/>
        </w:rPr>
        <w:t>年</w:t>
      </w:r>
      <w:r>
        <w:rPr>
          <w:rFonts w:hint="eastAsia" w:ascii="Times New Roman" w:hAnsi="Times New Roman" w:eastAsia="华文新魏" w:cs="Times New Roman"/>
          <w:b w:val="0"/>
          <w:bCs w:val="0"/>
          <w:color w:val="000000"/>
          <w:kern w:val="0"/>
          <w:sz w:val="28"/>
          <w:szCs w:val="28"/>
          <w:lang w:eastAsia="zh-CN"/>
        </w:rPr>
        <w:t>三</w:t>
      </w:r>
      <w:r>
        <w:rPr>
          <w:rFonts w:hint="default" w:ascii="Times New Roman" w:hAnsi="Times New Roman" w:eastAsia="华文新魏" w:cs="Times New Roman"/>
          <w:b w:val="0"/>
          <w:bCs w:val="0"/>
          <w:color w:val="000000"/>
          <w:kern w:val="0"/>
          <w:sz w:val="28"/>
          <w:szCs w:val="28"/>
        </w:rPr>
        <w:t>月</w:t>
      </w:r>
    </w:p>
    <w:p>
      <w:pPr>
        <w:tabs>
          <w:tab w:val="left" w:pos="956"/>
        </w:tabs>
        <w:bidi w:val="0"/>
        <w:jc w:val="left"/>
        <w:rPr>
          <w:rFonts w:hint="default" w:ascii="Times New Roman" w:hAnsi="Times New Roman" w:cs="Times New Roman"/>
          <w:lang w:val="en-US" w:eastAsia="zh-CN"/>
        </w:rPr>
      </w:pP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jc w:val="right"/>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建设单位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eastAsia="仿宋_GB2312"/>
          <w:sz w:val="28"/>
          <w:szCs w:val="28"/>
          <w:lang w:eastAsia="zh-CN"/>
        </w:rPr>
        <w:t>李海波</w:t>
      </w:r>
      <w:r>
        <w:rPr>
          <w:rFonts w:hint="default" w:ascii="Times New Roman" w:hAnsi="Times New Roman" w:eastAsia="仿宋_GB2312" w:cs="Times New Roman"/>
          <w:color w:val="000000"/>
          <w:sz w:val="28"/>
          <w:szCs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编制单位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default" w:ascii="Times New Roman" w:hAnsi="Times New Roman" w:eastAsia="仿宋_GB2312" w:cs="Times New Roman"/>
          <w:sz w:val="28"/>
          <w:szCs w:val="28"/>
        </w:rPr>
        <w:t>杨明辉</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val="0"/>
          <w:bCs w:val="0"/>
          <w:color w:val="000000"/>
          <w:sz w:val="28"/>
          <w:lang w:eastAsia="zh-CN"/>
        </w:rPr>
      </w:pPr>
      <w:r>
        <w:rPr>
          <w:rFonts w:hint="eastAsia" w:ascii="Times New Roman" w:hAnsi="Times New Roman" w:eastAsia="仿宋_GB2312" w:cs="Times New Roman"/>
          <w:b/>
          <w:bCs/>
          <w:color w:val="000000"/>
          <w:sz w:val="28"/>
          <w:lang w:eastAsia="zh-CN"/>
        </w:rPr>
        <w:t>项目负责人：</w:t>
      </w:r>
      <w:r>
        <w:rPr>
          <w:rFonts w:hint="eastAsia" w:ascii="Times New Roman" w:hAnsi="Times New Roman" w:eastAsia="仿宋_GB2312" w:cs="Times New Roman"/>
          <w:b w:val="0"/>
          <w:bCs w:val="0"/>
          <w:color w:val="000000"/>
          <w:sz w:val="28"/>
          <w:lang w:eastAsia="zh-CN"/>
        </w:rPr>
        <w:t>徐碧晖</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eastAsia" w:ascii="Times New Roman" w:hAnsi="Times New Roman" w:eastAsia="仿宋_GB2312" w:cs="Times New Roman"/>
          <w:b/>
          <w:bCs/>
          <w:color w:val="000000"/>
          <w:sz w:val="28"/>
          <w:lang w:val="en-US" w:eastAsia="zh-CN"/>
        </w:rPr>
        <w:t>编写人：</w:t>
      </w:r>
      <w:r>
        <w:rPr>
          <w:rFonts w:hint="eastAsia" w:ascii="Times New Roman" w:hAnsi="Times New Roman" w:eastAsia="仿宋_GB2312" w:cs="Times New Roman"/>
          <w:b w:val="0"/>
          <w:bCs w:val="0"/>
          <w:color w:val="000000"/>
          <w:sz w:val="28"/>
          <w:lang w:val="en-US" w:eastAsia="zh-CN"/>
        </w:rPr>
        <w:t xml:space="preserve">兰天俣 </w:t>
      </w:r>
      <w:r>
        <w:rPr>
          <w:rFonts w:hint="default" w:ascii="Times New Roman" w:hAnsi="Times New Roman" w:eastAsia="仿宋_GB2312" w:cs="Times New Roman"/>
          <w:b/>
          <w:bCs/>
          <w:color w:val="000000"/>
          <w:sz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tabs>
          <w:tab w:val="left" w:pos="984"/>
        </w:tabs>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tabs>
          <w:tab w:val="left" w:pos="984"/>
        </w:tabs>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default" w:ascii="Times New Roman" w:hAnsi="Times New Roman" w:eastAsia="仿宋_GB2312" w:cs="Times New Roman"/>
          <w:color w:val="000000"/>
          <w:sz w:val="28"/>
        </w:rPr>
        <w:t xml:space="preserve">建设单位 </w:t>
      </w:r>
      <w:r>
        <w:rPr>
          <w:rFonts w:hint="eastAsia"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（盖章）        编制单位          （盖章）</w:t>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2098"/>
        <w:gridCol w:w="2088"/>
        <w:gridCol w:w="789"/>
        <w:gridCol w:w="757"/>
        <w:gridCol w:w="10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3994"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面向国际市场长寿命耐腐蚀回转支承产业化项目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3994"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安徽省宁国顺昌机械有限公司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3994"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扩建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3994"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eastAsia="宋体" w:cs="Times New Roman"/>
                <w:color w:val="auto"/>
                <w:kern w:val="0"/>
                <w:sz w:val="24"/>
                <w:lang w:eastAsia="zh-CN"/>
              </w:rPr>
              <w:t>宁国</w:t>
            </w:r>
            <w:r>
              <w:rPr>
                <w:rFonts w:hint="eastAsia" w:ascii="Times New Roman" w:hAnsi="Times New Roman" w:eastAsia="宋体" w:cs="Times New Roman"/>
                <w:color w:val="auto"/>
                <w:kern w:val="0"/>
                <w:sz w:val="24"/>
                <w:lang w:eastAsia="zh-CN"/>
              </w:rPr>
              <w:t>市宁阳西路</w:t>
            </w:r>
            <w:r>
              <w:rPr>
                <w:rFonts w:hint="eastAsia" w:ascii="Times New Roman" w:hAnsi="Times New Roman" w:eastAsia="宋体" w:cs="Times New Roman"/>
                <w:color w:val="auto"/>
                <w:kern w:val="0"/>
                <w:sz w:val="24"/>
                <w:lang w:val="en-US" w:eastAsia="zh-CN"/>
              </w:rPr>
              <w:t>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3994"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sz w:val="24"/>
                <w:szCs w:val="24"/>
                <w:lang w:eastAsia="zh-CN"/>
              </w:rPr>
              <w:t>回转支承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3994"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sz w:val="24"/>
                <w:szCs w:val="24"/>
                <w:lang w:eastAsia="zh-CN"/>
              </w:rPr>
              <w:t>年产长寿命耐腐蚀回转支承3000套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3994"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sz w:val="24"/>
                <w:szCs w:val="24"/>
                <w:lang w:eastAsia="zh-CN"/>
              </w:rPr>
              <w:t>年产长寿命耐腐蚀回转支承3000套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12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19</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7</w:t>
            </w:r>
            <w:r>
              <w:rPr>
                <w:rFonts w:hint="default" w:ascii="Times New Roman" w:hAnsi="Times New Roman" w:cs="Times New Roman" w:eastAsiaTheme="minorEastAsia"/>
                <w:sz w:val="24"/>
                <w:szCs w:val="24"/>
                <w:lang w:val="en-US" w:eastAsia="zh-CN"/>
              </w:rPr>
              <w:t>月</w:t>
            </w:r>
          </w:p>
        </w:tc>
        <w:tc>
          <w:tcPr>
            <w:tcW w:w="12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开工建设时间</w:t>
            </w:r>
          </w:p>
        </w:tc>
        <w:tc>
          <w:tcPr>
            <w:tcW w:w="153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19</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10</w:t>
            </w:r>
            <w:r>
              <w:rPr>
                <w:rFonts w:hint="default" w:ascii="Times New Roman" w:hAnsi="Times New Roman" w:cs="Times New Roman" w:eastAsiaTheme="minorEastAsia"/>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12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21</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12</w:t>
            </w:r>
            <w:r>
              <w:rPr>
                <w:rFonts w:hint="default" w:ascii="Times New Roman" w:hAnsi="Times New Roman" w:cs="Times New Roman" w:eastAsiaTheme="minorEastAsia"/>
                <w:sz w:val="24"/>
                <w:szCs w:val="24"/>
                <w:lang w:val="en-US" w:eastAsia="zh-CN"/>
              </w:rPr>
              <w:t>月</w:t>
            </w:r>
          </w:p>
        </w:tc>
        <w:tc>
          <w:tcPr>
            <w:tcW w:w="12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验收现场监测时间</w:t>
            </w:r>
          </w:p>
        </w:tc>
        <w:tc>
          <w:tcPr>
            <w:tcW w:w="153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202</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21~22</w:t>
            </w:r>
            <w:r>
              <w:rPr>
                <w:rFonts w:hint="default" w:ascii="Times New Roman" w:hAnsi="Times New Roman" w:cs="Times New Roman"/>
                <w:sz w:val="24"/>
                <w:szCs w:val="24"/>
                <w:lang w:val="en-US" w:eastAsia="zh-CN"/>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审批部门</w:t>
            </w:r>
          </w:p>
        </w:tc>
        <w:tc>
          <w:tcPr>
            <w:tcW w:w="12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sz w:val="24"/>
                <w:szCs w:val="32"/>
                <w:lang w:eastAsia="zh-CN"/>
              </w:rPr>
              <w:t>宣城市</w:t>
            </w:r>
            <w:r>
              <w:rPr>
                <w:rFonts w:hint="default" w:ascii="Times New Roman" w:hAnsi="Times New Roman" w:cs="Times New Roman"/>
                <w:sz w:val="24"/>
                <w:szCs w:val="32"/>
                <w:lang w:eastAsia="zh-CN"/>
              </w:rPr>
              <w:t>宁国市</w:t>
            </w:r>
            <w:r>
              <w:rPr>
                <w:rFonts w:hint="eastAsia" w:ascii="Times New Roman" w:hAnsi="Times New Roman" w:cs="Times New Roman"/>
                <w:sz w:val="24"/>
                <w:szCs w:val="32"/>
                <w:lang w:eastAsia="zh-CN"/>
              </w:rPr>
              <w:t>生态环境分</w:t>
            </w:r>
            <w:r>
              <w:rPr>
                <w:rFonts w:hint="default" w:ascii="Times New Roman" w:hAnsi="Times New Roman" w:cs="Times New Roman"/>
                <w:sz w:val="24"/>
                <w:szCs w:val="32"/>
                <w:lang w:eastAsia="zh-CN"/>
              </w:rPr>
              <w:t>局</w:t>
            </w:r>
          </w:p>
        </w:tc>
        <w:tc>
          <w:tcPr>
            <w:tcW w:w="12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153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auto"/>
                <w:sz w:val="24"/>
                <w:lang w:eastAsia="zh-CN"/>
              </w:rPr>
              <w:t>江苏新清源环保有限公司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12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安徽省宁国顺昌机械有限公司</w:t>
            </w:r>
          </w:p>
        </w:tc>
        <w:tc>
          <w:tcPr>
            <w:tcW w:w="12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153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安徽省宁国顺昌机械有限公司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12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1055万元</w:t>
            </w:r>
          </w:p>
        </w:tc>
        <w:tc>
          <w:tcPr>
            <w:tcW w:w="12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4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22万元</w:t>
            </w:r>
          </w:p>
        </w:tc>
        <w:tc>
          <w:tcPr>
            <w:tcW w:w="4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6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2.09</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实际总概算</w:t>
            </w:r>
          </w:p>
        </w:tc>
        <w:tc>
          <w:tcPr>
            <w:tcW w:w="123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1055万元</w:t>
            </w:r>
          </w:p>
        </w:tc>
        <w:tc>
          <w:tcPr>
            <w:tcW w:w="12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w:t>
            </w:r>
          </w:p>
        </w:tc>
        <w:tc>
          <w:tcPr>
            <w:tcW w:w="4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22万元</w:t>
            </w:r>
          </w:p>
        </w:tc>
        <w:tc>
          <w:tcPr>
            <w:tcW w:w="4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6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2.09</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3994"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《中华人民共和国环境保护法》，2015.1.1 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《中华人民共和国环境噪声污染防治法》，</w:t>
            </w:r>
            <w:r>
              <w:rPr>
                <w:rFonts w:hint="default" w:ascii="Times New Roman" w:hAnsi="Times New Roman" w:eastAsia="宋体" w:cs="Times New Roman"/>
                <w:color w:val="auto"/>
                <w:sz w:val="24"/>
                <w:szCs w:val="24"/>
                <w:highlight w:val="none"/>
                <w:lang w:eastAsia="zh-CN"/>
              </w:rPr>
              <w:t>2</w:t>
            </w:r>
            <w:r>
              <w:rPr>
                <w:rFonts w:hint="default" w:ascii="Times New Roman" w:hAnsi="Times New Roman" w:eastAsia="宋体" w:cs="Times New Roman"/>
                <w:color w:val="auto"/>
                <w:sz w:val="24"/>
                <w:szCs w:val="24"/>
                <w:highlight w:val="none"/>
                <w:lang w:val="en-US" w:eastAsia="zh-CN"/>
              </w:rPr>
              <w:t>018.12.29修订</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《中华人民共和国水污染防治法》，20</w:t>
            </w:r>
            <w:r>
              <w:rPr>
                <w:rFonts w:hint="default" w:ascii="Times New Roman" w:hAnsi="Times New Roman" w:eastAsia="宋体" w:cs="Times New Roman"/>
                <w:color w:val="auto"/>
                <w:sz w:val="24"/>
                <w:szCs w:val="24"/>
                <w:highlight w:val="none"/>
                <w:lang w:val="en-US" w:eastAsia="zh-CN"/>
              </w:rPr>
              <w:t>17.7.26修订</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《中华人民共和国大气污染防治法》，201</w:t>
            </w:r>
            <w:r>
              <w:rPr>
                <w:rFonts w:hint="default" w:ascii="Times New Roman" w:hAnsi="Times New Roman" w:eastAsia="宋体" w:cs="Times New Roman"/>
                <w:color w:val="auto"/>
                <w:sz w:val="24"/>
                <w:szCs w:val="24"/>
                <w:highlight w:val="none"/>
                <w:lang w:eastAsia="zh-CN"/>
              </w:rPr>
              <w:t>8</w:t>
            </w:r>
            <w:r>
              <w:rPr>
                <w:rFonts w:hint="default" w:ascii="Times New Roman" w:hAnsi="Times New Roman" w:eastAsia="宋体" w:cs="Times New Roman"/>
                <w:color w:val="auto"/>
                <w:sz w:val="24"/>
                <w:szCs w:val="24"/>
                <w:highlight w:val="none"/>
                <w:lang w:val="en-US" w:eastAsia="zh-CN"/>
              </w:rPr>
              <w:t>.10.26</w:t>
            </w:r>
            <w:r>
              <w:rPr>
                <w:rFonts w:hint="default" w:ascii="Times New Roman" w:hAnsi="Times New Roman" w:eastAsia="宋体" w:cs="Times New Roman"/>
                <w:color w:val="auto"/>
                <w:sz w:val="24"/>
                <w:szCs w:val="24"/>
                <w:highlight w:val="none"/>
                <w:lang w:eastAsia="zh-CN"/>
              </w:rPr>
              <w:t>修正</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《中华人民共和国固体废物污染环境防治法》，</w:t>
            </w:r>
            <w:r>
              <w:rPr>
                <w:rFonts w:hint="default" w:ascii="Times New Roman" w:hAnsi="Times New Roman" w:eastAsia="宋体" w:cs="Times New Roman"/>
                <w:color w:val="auto"/>
                <w:sz w:val="24"/>
                <w:szCs w:val="24"/>
                <w:highlight w:val="none"/>
                <w:lang w:val="en-US" w:eastAsia="zh-CN"/>
              </w:rPr>
              <w:t>2020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29</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修订</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《建设项目环境保护管理条例》，中华人民共和国国务院令第682号，2017.10.1试行；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《关于发布&lt;建设项目竣工环境保护验收暂行办法&gt;的公告》，中华人民共和国</w:t>
            </w:r>
            <w:r>
              <w:rPr>
                <w:rFonts w:hint="default" w:ascii="Times New Roman" w:hAnsi="Times New Roman" w:eastAsia="宋体" w:cs="Times New Roman"/>
                <w:color w:val="auto"/>
                <w:sz w:val="24"/>
                <w:szCs w:val="24"/>
                <w:highlight w:val="none"/>
                <w:lang w:val="en-US" w:eastAsia="zh-CN"/>
              </w:rPr>
              <w:t>生态环境</w:t>
            </w:r>
            <w:r>
              <w:rPr>
                <w:rFonts w:hint="default" w:ascii="Times New Roman" w:hAnsi="Times New Roman" w:eastAsia="宋体" w:cs="Times New Roman"/>
                <w:color w:val="auto"/>
                <w:sz w:val="24"/>
                <w:szCs w:val="24"/>
                <w:highlight w:val="none"/>
              </w:rPr>
              <w:t>部，国环规环评</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2017</w:t>
            </w:r>
            <w:r>
              <w:rPr>
                <w:rFonts w:hint="eastAsia" w:ascii="宋体" w:hAnsi="宋体" w:eastAsia="宋体" w:cs="宋体"/>
                <w:sz w:val="24"/>
                <w:szCs w:val="24"/>
                <w:lang w:val="en-US" w:eastAsia="zh-CN"/>
              </w:rPr>
              <w:t>]</w:t>
            </w:r>
            <w:r>
              <w:rPr>
                <w:rFonts w:hint="default" w:ascii="Times New Roman" w:hAnsi="Times New Roman" w:eastAsia="宋体" w:cs="Times New Roman"/>
                <w:color w:val="auto"/>
                <w:sz w:val="24"/>
                <w:szCs w:val="24"/>
                <w:highlight w:val="none"/>
              </w:rPr>
              <w:t>4号，2017年11月20日发布并实施</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8、关于发布</w:t>
            </w:r>
            <w:r>
              <w:rPr>
                <w:rFonts w:hint="default" w:ascii="Times New Roman" w:hAnsi="Times New Roman" w:eastAsia="宋体" w:cs="Times New Roman"/>
                <w:color w:val="auto"/>
                <w:sz w:val="24"/>
                <w:szCs w:val="24"/>
                <w:highlight w:val="none"/>
              </w:rPr>
              <w:t>《建设项目竣工环境保护验收技术指南 污染影响类》</w:t>
            </w:r>
            <w:r>
              <w:rPr>
                <w:rFonts w:hint="default" w:ascii="Times New Roman" w:hAnsi="Times New Roman" w:eastAsia="宋体" w:cs="Times New Roman"/>
                <w:color w:val="auto"/>
                <w:sz w:val="24"/>
                <w:szCs w:val="24"/>
                <w:highlight w:val="none"/>
                <w:lang w:eastAsia="zh-CN"/>
              </w:rPr>
              <w:t>的公告，</w:t>
            </w:r>
            <w:r>
              <w:rPr>
                <w:rFonts w:hint="default" w:ascii="Times New Roman" w:hAnsi="Times New Roman" w:eastAsia="宋体" w:cs="Times New Roman"/>
                <w:color w:val="auto"/>
                <w:sz w:val="24"/>
                <w:szCs w:val="24"/>
                <w:highlight w:val="none"/>
              </w:rPr>
              <w:t>中华人民共和国</w:t>
            </w:r>
            <w:r>
              <w:rPr>
                <w:rFonts w:hint="default" w:ascii="Times New Roman" w:hAnsi="Times New Roman" w:eastAsia="宋体" w:cs="Times New Roman"/>
                <w:color w:val="auto"/>
                <w:sz w:val="24"/>
                <w:szCs w:val="24"/>
                <w:highlight w:val="none"/>
                <w:lang w:eastAsia="zh-CN"/>
              </w:rPr>
              <w:t>生态环境</w:t>
            </w:r>
            <w:r>
              <w:rPr>
                <w:rFonts w:hint="default" w:ascii="Times New Roman" w:hAnsi="Times New Roman" w:eastAsia="宋体" w:cs="Times New Roman"/>
                <w:color w:val="auto"/>
                <w:sz w:val="24"/>
                <w:szCs w:val="24"/>
                <w:highlight w:val="none"/>
              </w:rPr>
              <w:t>部，</w:t>
            </w:r>
            <w:r>
              <w:rPr>
                <w:rFonts w:hint="default" w:ascii="Times New Roman" w:hAnsi="Times New Roman" w:eastAsia="宋体" w:cs="Times New Roman"/>
                <w:color w:val="auto"/>
                <w:sz w:val="24"/>
                <w:szCs w:val="24"/>
                <w:highlight w:val="none"/>
                <w:lang w:eastAsia="zh-CN"/>
              </w:rPr>
              <w:t>公告</w:t>
            </w:r>
            <w:r>
              <w:rPr>
                <w:rFonts w:hint="default" w:ascii="Times New Roman" w:hAnsi="Times New Roman" w:eastAsia="宋体" w:cs="Times New Roman"/>
                <w:color w:val="auto"/>
                <w:sz w:val="24"/>
                <w:szCs w:val="24"/>
                <w:highlight w:val="none"/>
                <w:lang w:val="en-US" w:eastAsia="zh-CN"/>
              </w:rPr>
              <w:t>2018第9</w:t>
            </w:r>
            <w:r>
              <w:rPr>
                <w:rFonts w:hint="default" w:ascii="Times New Roman" w:hAnsi="Times New Roman" w:eastAsia="宋体" w:cs="Times New Roman"/>
                <w:color w:val="auto"/>
                <w:sz w:val="24"/>
                <w:szCs w:val="24"/>
                <w:highlight w:val="none"/>
              </w:rPr>
              <w:t>号，201</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highlight w:val="none"/>
                <w:lang w:eastAsia="zh-CN"/>
              </w:rPr>
              <w:t>印发</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cs="Times New Roman" w:eastAsiaTheme="minorEastAsia"/>
                <w:sz w:val="24"/>
                <w:szCs w:val="24"/>
              </w:rPr>
            </w:pPr>
            <w:r>
              <w:rPr>
                <w:rFonts w:hint="default" w:ascii="Times New Roman" w:hAnsi="Times New Roman" w:eastAsia="宋体" w:cs="Times New Roman"/>
                <w:color w:val="auto"/>
                <w:sz w:val="24"/>
                <w:szCs w:val="24"/>
                <w:highlight w:val="none"/>
                <w:lang w:val="en-US" w:eastAsia="zh-CN"/>
              </w:rPr>
              <w:t>9、</w:t>
            </w:r>
            <w:r>
              <w:rPr>
                <w:rFonts w:hint="eastAsia" w:ascii="Times New Roman" w:hAnsi="Times New Roman" w:cs="Times New Roman"/>
                <w:sz w:val="24"/>
                <w:szCs w:val="24"/>
                <w:lang w:eastAsia="zh-CN"/>
              </w:rPr>
              <w:t>安徽省宁国顺昌机械有限公司面向国际市场长寿命耐腐蚀回转支承产业化项目</w:t>
            </w:r>
            <w:r>
              <w:rPr>
                <w:rFonts w:hint="default" w:ascii="Times New Roman" w:hAnsi="Times New Roman" w:cs="Times New Roman" w:eastAsiaTheme="minorEastAsia"/>
                <w:sz w:val="24"/>
                <w:szCs w:val="24"/>
              </w:rPr>
              <w:t>验收监测竣工环境保护验收的委托书；</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10、</w:t>
            </w:r>
            <w:r>
              <w:rPr>
                <w:rFonts w:hint="eastAsia" w:ascii="Times New Roman" w:hAnsi="Times New Roman" w:cs="Times New Roman"/>
                <w:color w:val="auto"/>
                <w:sz w:val="24"/>
                <w:lang w:eastAsia="zh-CN"/>
              </w:rPr>
              <w:t>江苏新清源环保有限公司</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建设</w:t>
            </w:r>
            <w:r>
              <w:rPr>
                <w:rFonts w:hint="default" w:ascii="Times New Roman" w:hAnsi="Times New Roman" w:cs="Times New Roman" w:eastAsiaTheme="minorEastAsia"/>
                <w:sz w:val="24"/>
                <w:szCs w:val="24"/>
              </w:rPr>
              <w:t>项目环境影响报告表》</w:t>
            </w:r>
            <w:r>
              <w:rPr>
                <w:rFonts w:hint="eastAsia"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20</w:t>
            </w:r>
            <w:r>
              <w:rPr>
                <w:rFonts w:hint="eastAsia" w:ascii="Times New Roman" w:hAnsi="Times New Roman" w:cs="Times New Roman"/>
                <w:sz w:val="24"/>
                <w:szCs w:val="24"/>
                <w:lang w:val="en-US" w:eastAsia="zh-CN"/>
              </w:rPr>
              <w:t>19.7</w:t>
            </w:r>
            <w:r>
              <w:rPr>
                <w:rFonts w:hint="eastAsia"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highlight w:val="none"/>
                <w:lang w:val="en-US" w:eastAsia="zh-CN"/>
              </w:rPr>
              <w:t>11、</w:t>
            </w:r>
            <w:r>
              <w:rPr>
                <w:rFonts w:hint="eastAsia" w:ascii="Times New Roman" w:hAnsi="Times New Roman" w:cs="Times New Roman"/>
                <w:sz w:val="24"/>
                <w:szCs w:val="32"/>
                <w:lang w:eastAsia="zh-CN"/>
              </w:rPr>
              <w:t>宣城市</w:t>
            </w:r>
            <w:r>
              <w:rPr>
                <w:rFonts w:hint="default" w:ascii="Times New Roman" w:hAnsi="Times New Roman" w:cs="Times New Roman"/>
                <w:sz w:val="24"/>
                <w:szCs w:val="32"/>
                <w:lang w:eastAsia="zh-CN"/>
              </w:rPr>
              <w:t>宁国市</w:t>
            </w:r>
            <w:r>
              <w:rPr>
                <w:rFonts w:hint="eastAsia" w:ascii="Times New Roman" w:hAnsi="Times New Roman" w:cs="Times New Roman"/>
                <w:sz w:val="24"/>
                <w:szCs w:val="32"/>
                <w:lang w:eastAsia="zh-CN"/>
              </w:rPr>
              <w:t>生态环境分</w:t>
            </w:r>
            <w:r>
              <w:rPr>
                <w:rFonts w:hint="default" w:ascii="Times New Roman" w:hAnsi="Times New Roman" w:cs="Times New Roman"/>
                <w:sz w:val="24"/>
                <w:szCs w:val="32"/>
                <w:lang w:eastAsia="zh-CN"/>
              </w:rPr>
              <w:t>局</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关于</w:t>
            </w:r>
            <w:r>
              <w:rPr>
                <w:rFonts w:hint="eastAsia" w:ascii="Times New Roman" w:hAnsi="Times New Roman" w:cs="Times New Roman"/>
                <w:sz w:val="24"/>
                <w:szCs w:val="24"/>
                <w:lang w:eastAsia="zh-CN"/>
              </w:rPr>
              <w:t>安徽省宁国顺昌机械有限公司面向国际市场长寿命耐腐蚀回转支承产业化项目</w:t>
            </w:r>
            <w:r>
              <w:rPr>
                <w:rFonts w:hint="default" w:ascii="Times New Roman" w:hAnsi="Times New Roman" w:eastAsia="宋体" w:cs="Times New Roman"/>
                <w:color w:val="000000"/>
                <w:sz w:val="24"/>
                <w:szCs w:val="24"/>
                <w:lang w:val="en-US" w:eastAsia="zh-CN"/>
              </w:rPr>
              <w:t>环境影响报告表</w:t>
            </w:r>
            <w:r>
              <w:rPr>
                <w:rFonts w:hint="eastAsia" w:ascii="Times New Roman" w:hAnsi="Times New Roman" w:eastAsia="宋体" w:cs="Times New Roman"/>
                <w:color w:val="000000"/>
                <w:sz w:val="24"/>
                <w:szCs w:val="24"/>
                <w:lang w:val="en-US" w:eastAsia="zh-CN"/>
              </w:rPr>
              <w:t>的复函</w:t>
            </w:r>
            <w:r>
              <w:rPr>
                <w:rFonts w:hint="default" w:ascii="Times New Roman" w:hAnsi="Times New Roman" w:eastAsia="宋体" w:cs="Times New Roman"/>
                <w:color w:val="000000"/>
                <w:sz w:val="24"/>
                <w:szCs w:val="24"/>
                <w:lang w:val="en-US" w:eastAsia="zh-CN"/>
              </w:rPr>
              <w:t>》</w:t>
            </w:r>
            <w:r>
              <w:rPr>
                <w:rFonts w:hint="eastAsia"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20</w:t>
            </w:r>
            <w:r>
              <w:rPr>
                <w:rFonts w:hint="eastAsia" w:ascii="Times New Roman" w:hAnsi="Times New Roman" w:cs="Times New Roman"/>
                <w:sz w:val="24"/>
                <w:szCs w:val="24"/>
                <w:lang w:val="en-US" w:eastAsia="zh-CN"/>
              </w:rPr>
              <w:t>19</w:t>
            </w:r>
            <w:r>
              <w:rPr>
                <w:rFonts w:hint="eastAsia" w:ascii="Times New Roman" w:hAnsi="Times New Roman" w:cs="Times New Roman" w:eastAsiaTheme="minorEastAsia"/>
                <w:sz w:val="24"/>
                <w:szCs w:val="24"/>
                <w:lang w:val="en-US" w:eastAsia="zh-CN"/>
              </w:rPr>
              <w:t>.</w:t>
            </w:r>
            <w:r>
              <w:rPr>
                <w:rFonts w:hint="eastAsia" w:ascii="Times New Roman" w:hAnsi="Times New Roman" w:cs="Times New Roman"/>
                <w:sz w:val="24"/>
                <w:szCs w:val="24"/>
                <w:lang w:val="en-US" w:eastAsia="zh-CN"/>
              </w:rPr>
              <w:t>9.27</w:t>
            </w:r>
            <w:r>
              <w:rPr>
                <w:rFonts w:hint="eastAsia" w:ascii="Times New Roman" w:hAnsi="Times New Roman" w:cs="Times New Roman" w:eastAsiaTheme="minorEastAsia"/>
                <w:sz w:val="24"/>
                <w:szCs w:val="24"/>
                <w:lang w:eastAsia="zh-CN"/>
              </w:rPr>
              <w:t>）</w:t>
            </w:r>
            <w:r>
              <w:rPr>
                <w:rFonts w:hint="eastAsia" w:ascii="Times New Roman" w:hAnsi="Times New Roman" w:cs="Times New Roman"/>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3994" w:type="pct"/>
            <w:gridSpan w:val="5"/>
            <w:noWrap w:val="0"/>
            <w:vAlign w:val="center"/>
          </w:tcPr>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1、废气排放标准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有机废气</w:t>
            </w:r>
            <w:r>
              <w:rPr>
                <w:rFonts w:hint="default" w:ascii="Times New Roman" w:hAnsi="Times New Roman" w:eastAsia="宋体" w:cs="Times New Roman"/>
                <w:color w:val="auto"/>
                <w:sz w:val="24"/>
                <w:szCs w:val="24"/>
              </w:rPr>
              <w:t>排放</w:t>
            </w:r>
            <w:r>
              <w:rPr>
                <w:rFonts w:hint="default" w:ascii="Times New Roman" w:hAnsi="Times New Roman" w:eastAsia="宋体" w:cs="Times New Roman"/>
                <w:color w:val="auto"/>
                <w:sz w:val="24"/>
                <w:szCs w:val="24"/>
                <w:lang w:eastAsia="zh-CN"/>
              </w:rPr>
              <w:t>参照上海市《大气污染物综合排放标准》（DB31/933-2015）</w:t>
            </w:r>
            <w:r>
              <w:rPr>
                <w:rFonts w:hint="default" w:ascii="Times New Roman" w:hAnsi="Times New Roman" w:eastAsia="宋体" w:cs="Times New Roman"/>
                <w:color w:val="auto"/>
                <w:sz w:val="24"/>
                <w:szCs w:val="24"/>
              </w:rPr>
              <w:t>中</w:t>
            </w:r>
            <w:r>
              <w:rPr>
                <w:rFonts w:hint="default" w:ascii="Times New Roman" w:hAnsi="Times New Roman" w:eastAsia="宋体" w:cs="Times New Roman"/>
                <w:color w:val="auto"/>
                <w:sz w:val="24"/>
                <w:szCs w:val="24"/>
                <w:lang w:eastAsia="zh-CN"/>
              </w:rPr>
              <w:t>相关限值</w:t>
            </w:r>
            <w:r>
              <w:rPr>
                <w:rFonts w:hint="default" w:ascii="Times New Roman" w:hAnsi="Times New Roman" w:eastAsia="宋体" w:cs="Times New Roman"/>
                <w:color w:val="auto"/>
                <w:sz w:val="24"/>
                <w:szCs w:val="24"/>
              </w:rPr>
              <w:t>标准，具体见下表。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表</w:t>
            </w:r>
            <w:r>
              <w:rPr>
                <w:rFonts w:hint="default" w:ascii="Times New Roman" w:hAnsi="Times New Roman" w:cs="Times New Roman"/>
                <w:b/>
                <w:bCs w:val="0"/>
                <w:color w:val="auto"/>
                <w:sz w:val="21"/>
                <w:szCs w:val="21"/>
                <w:lang w:val="en-US" w:eastAsia="zh-CN"/>
              </w:rPr>
              <w:t>1</w:t>
            </w:r>
            <w:r>
              <w:rPr>
                <w:rFonts w:hint="default" w:ascii="Times New Roman" w:hAnsi="Times New Roman" w:cs="Times New Roman"/>
                <w:b/>
                <w:bCs w:val="0"/>
                <w:color w:val="auto"/>
                <w:sz w:val="21"/>
                <w:szCs w:val="21"/>
              </w:rPr>
              <w:t>-</w:t>
            </w:r>
            <w:r>
              <w:rPr>
                <w:rFonts w:hint="default" w:ascii="Times New Roman" w:hAnsi="Times New Roman" w:cs="Times New Roman"/>
                <w:b/>
                <w:bCs w:val="0"/>
                <w:color w:val="auto"/>
                <w:sz w:val="21"/>
                <w:szCs w:val="21"/>
                <w:lang w:val="en-US" w:eastAsia="zh-CN"/>
              </w:rPr>
              <w:t>1 上海市《大气污染物综合排放标准》</w:t>
            </w:r>
          </w:p>
          <w:tbl>
            <w:tblPr>
              <w:tblStyle w:val="1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0"/>
              <w:gridCol w:w="1520"/>
              <w:gridCol w:w="1520"/>
              <w:gridCol w:w="20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162" w:type="pct"/>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污染物</w:t>
                  </w:r>
                </w:p>
              </w:tc>
              <w:tc>
                <w:tcPr>
                  <w:tcW w:w="1162" w:type="pct"/>
                  <w:noWrap w:val="0"/>
                  <w:vAlign w:val="center"/>
                </w:tcPr>
                <w:p>
                  <w:pPr>
                    <w:widowControl/>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rPr>
                    <w:t>最高允许排放浓度（mg/m</w:t>
                  </w:r>
                  <w:r>
                    <w:rPr>
                      <w:rFonts w:hint="default" w:ascii="Times New Roman" w:hAnsi="Times New Roman" w:cs="Times New Roman"/>
                      <w:kern w:val="0"/>
                      <w:szCs w:val="21"/>
                      <w:vertAlign w:val="superscript"/>
                    </w:rPr>
                    <w:t>3</w:t>
                  </w:r>
                  <w:r>
                    <w:rPr>
                      <w:rFonts w:hint="default" w:ascii="Times New Roman" w:hAnsi="Times New Roman" w:cs="Times New Roman"/>
                      <w:kern w:val="0"/>
                      <w:szCs w:val="21"/>
                    </w:rPr>
                    <w:t>）</w:t>
                  </w:r>
                </w:p>
              </w:tc>
              <w:tc>
                <w:tcPr>
                  <w:tcW w:w="1162" w:type="pct"/>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最高允许排放速率（kg/h）</w:t>
                  </w:r>
                </w:p>
              </w:tc>
              <w:tc>
                <w:tcPr>
                  <w:tcW w:w="1511" w:type="pct"/>
                  <w:noWrap w:val="0"/>
                  <w:vAlign w:val="center"/>
                </w:tcPr>
                <w:p>
                  <w:pPr>
                    <w:adjustRightInd w:val="0"/>
                    <w:snapToGrid w:val="0"/>
                    <w:spacing w:line="460" w:lineRule="exact"/>
                    <w:jc w:val="center"/>
                    <w:rPr>
                      <w:rFonts w:hint="default" w:ascii="Times New Roman" w:hAnsi="Times New Roman" w:cs="Times New Roman"/>
                      <w:kern w:val="0"/>
                      <w:szCs w:val="21"/>
                    </w:rPr>
                  </w:pPr>
                  <w:r>
                    <w:rPr>
                      <w:rFonts w:hint="default" w:ascii="Times New Roman" w:hAnsi="Times New Roman" w:cs="Times New Roman"/>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162" w:type="pct"/>
                  <w:noWrap w:val="0"/>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非甲烷总烃</w:t>
                  </w:r>
                </w:p>
              </w:tc>
              <w:tc>
                <w:tcPr>
                  <w:tcW w:w="1162" w:type="pct"/>
                  <w:noWrap w:val="0"/>
                  <w:vAlign w:val="center"/>
                </w:tcPr>
                <w:p>
                  <w:pPr>
                    <w:widowControl/>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70</w:t>
                  </w:r>
                </w:p>
              </w:tc>
              <w:tc>
                <w:tcPr>
                  <w:tcW w:w="1162" w:type="pct"/>
                  <w:noWrap w:val="0"/>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3.0</w:t>
                  </w:r>
                </w:p>
              </w:tc>
              <w:tc>
                <w:tcPr>
                  <w:tcW w:w="1511" w:type="pct"/>
                  <w:noWrap w:val="0"/>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szCs w:val="21"/>
                    </w:rPr>
                    <w:t>上海市《大气污染物综合排放标准》（DB31/933-2015）</w:t>
                  </w:r>
                </w:p>
              </w:tc>
            </w:tr>
          </w:tbl>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14:textFill>
                  <w14:solidFill>
                    <w14:schemeClr w14:val="tx1"/>
                  </w14:solidFill>
                </w14:textFill>
              </w:rPr>
              <w:t>、废</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水</w:t>
            </w:r>
            <w:r>
              <w:rPr>
                <w:rFonts w:hint="default" w:ascii="Times New Roman" w:hAnsi="Times New Roman" w:eastAsia="宋体" w:cs="Times New Roman"/>
                <w:b/>
                <w:bCs/>
                <w:color w:val="000000" w:themeColor="text1"/>
                <w:sz w:val="24"/>
                <w:szCs w:val="24"/>
                <w14:textFill>
                  <w14:solidFill>
                    <w14:schemeClr w14:val="tx1"/>
                  </w14:solidFill>
                </w14:textFill>
              </w:rPr>
              <w:t>排放标准</w:t>
            </w:r>
          </w:p>
          <w:p>
            <w:pPr>
              <w:adjustRightInd w:val="0"/>
              <w:snapToGrid w:val="0"/>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废水</w:t>
            </w:r>
            <w:r>
              <w:rPr>
                <w:rFonts w:hint="default" w:ascii="Times New Roman" w:hAnsi="Times New Roman" w:eastAsia="宋体" w:cs="Times New Roman"/>
                <w:color w:val="auto"/>
                <w:sz w:val="24"/>
                <w:szCs w:val="24"/>
                <w:lang w:eastAsia="zh-CN"/>
              </w:rPr>
              <w:t>排放</w:t>
            </w:r>
            <w:r>
              <w:rPr>
                <w:rFonts w:hint="default" w:ascii="Times New Roman" w:hAnsi="Times New Roman" w:eastAsia="宋体" w:cs="Times New Roman"/>
                <w:bCs/>
                <w:color w:val="auto"/>
                <w:sz w:val="24"/>
                <w:szCs w:val="24"/>
              </w:rPr>
              <w:t>执行</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污水排放标准</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GB8978-1996</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中三级</w:t>
            </w:r>
            <w:r>
              <w:rPr>
                <w:rFonts w:hint="default" w:ascii="Times New Roman" w:hAnsi="Times New Roman" w:eastAsia="宋体" w:cs="Times New Roman"/>
                <w:bCs/>
                <w:color w:val="auto"/>
                <w:sz w:val="24"/>
                <w:szCs w:val="24"/>
                <w:lang w:val="en-US" w:eastAsia="zh-CN"/>
              </w:rPr>
              <w:t>标准</w:t>
            </w:r>
            <w:r>
              <w:rPr>
                <w:rFonts w:hint="eastAsia" w:ascii="Times New Roman" w:hAnsi="Times New Roman" w:eastAsia="宋体" w:cs="Times New Roman"/>
                <w:bCs/>
                <w:color w:val="auto"/>
                <w:sz w:val="24"/>
                <w:szCs w:val="24"/>
                <w:lang w:val="en-US" w:eastAsia="zh-CN"/>
              </w:rPr>
              <w:t>及宁国市</w:t>
            </w:r>
            <w:r>
              <w:rPr>
                <w:rFonts w:hint="eastAsia" w:ascii="Times New Roman" w:hAnsi="Times New Roman" w:eastAsia="宋体" w:cs="Times New Roman"/>
                <w:spacing w:val="-9"/>
                <w:sz w:val="24"/>
                <w:szCs w:val="24"/>
                <w:lang w:eastAsia="zh-CN"/>
              </w:rPr>
              <w:t>南山</w:t>
            </w:r>
            <w:r>
              <w:rPr>
                <w:rFonts w:hint="default" w:ascii="Times New Roman" w:hAnsi="Times New Roman" w:eastAsia="宋体" w:cs="Times New Roman"/>
                <w:spacing w:val="-9"/>
                <w:sz w:val="24"/>
                <w:szCs w:val="24"/>
              </w:rPr>
              <w:t>污水处理厂</w:t>
            </w:r>
            <w:r>
              <w:rPr>
                <w:rFonts w:hint="eastAsia" w:ascii="Times New Roman" w:hAnsi="Times New Roman" w:eastAsia="宋体" w:cs="Times New Roman"/>
                <w:spacing w:val="-9"/>
                <w:sz w:val="24"/>
                <w:szCs w:val="24"/>
                <w:lang w:eastAsia="zh-CN"/>
              </w:rPr>
              <w:t>接管</w:t>
            </w:r>
            <w:r>
              <w:rPr>
                <w:rFonts w:hint="default" w:ascii="Times New Roman" w:hAnsi="Times New Roman" w:eastAsia="宋体" w:cs="Times New Roman"/>
                <w:sz w:val="24"/>
                <w:szCs w:val="24"/>
              </w:rPr>
              <w:t>标准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bCs/>
                <w:color w:val="auto"/>
                <w:sz w:val="24"/>
                <w:szCs w:val="24"/>
              </w:rPr>
              <w:t>具体标准限值见下表：</w:t>
            </w:r>
          </w:p>
          <w:p>
            <w:pPr>
              <w:pStyle w:val="4"/>
              <w:tabs>
                <w:tab w:val="left" w:pos="274"/>
              </w:tabs>
              <w:adjustRightInd w:val="0"/>
              <w:snapToGrid w:val="0"/>
              <w:spacing w:after="0" w:line="360" w:lineRule="auto"/>
              <w:ind w:right="-74"/>
              <w:jc w:val="center"/>
              <w:rPr>
                <w:rFonts w:hint="default" w:ascii="Times New Roman" w:hAnsi="Times New Roman" w:cs="Times New Roman"/>
                <w:b/>
                <w:color w:val="auto"/>
                <w:sz w:val="21"/>
                <w:szCs w:val="21"/>
                <w:lang w:eastAsia="zh-CN"/>
              </w:rPr>
            </w:pPr>
            <w:r>
              <w:rPr>
                <w:rStyle w:val="16"/>
                <w:rFonts w:hint="default" w:ascii="Times New Roman" w:hAnsi="Times New Roman" w:eastAsia="宋体" w:cs="Times New Roman"/>
                <w:b/>
                <w:bCs w:val="0"/>
                <w:sz w:val="21"/>
                <w:szCs w:val="21"/>
                <w:lang w:eastAsia="zh-CN"/>
              </w:rPr>
              <w:t>表</w:t>
            </w:r>
            <w:r>
              <w:rPr>
                <w:rStyle w:val="16"/>
                <w:rFonts w:hint="default" w:ascii="Times New Roman" w:hAnsi="Times New Roman" w:eastAsia="宋体" w:cs="Times New Roman"/>
                <w:b/>
                <w:bCs w:val="0"/>
                <w:sz w:val="21"/>
                <w:szCs w:val="21"/>
                <w:lang w:val="en-US" w:eastAsia="zh-CN"/>
              </w:rPr>
              <w:t>1-</w:t>
            </w:r>
            <w:r>
              <w:rPr>
                <w:rStyle w:val="16"/>
                <w:rFonts w:hint="eastAsia" w:ascii="Times New Roman" w:hAnsi="Times New Roman" w:eastAsia="宋体" w:cs="Times New Roman"/>
                <w:b/>
                <w:bCs w:val="0"/>
                <w:sz w:val="21"/>
                <w:szCs w:val="21"/>
                <w:lang w:val="en-US" w:eastAsia="zh-CN"/>
              </w:rPr>
              <w:t xml:space="preserve">2 </w:t>
            </w:r>
            <w:r>
              <w:rPr>
                <w:rFonts w:hint="eastAsia" w:ascii="Times New Roman" w:hAnsi="Times New Roman" w:eastAsia="宋体" w:cs="Times New Roman"/>
                <w:b/>
                <w:bCs w:val="0"/>
                <w:sz w:val="21"/>
                <w:szCs w:val="21"/>
                <w:lang w:val="en-US" w:eastAsia="zh-CN"/>
              </w:rPr>
              <w:t>废水</w:t>
            </w:r>
            <w:r>
              <w:rPr>
                <w:rFonts w:hint="default" w:ascii="Times New Roman" w:hAnsi="Times New Roman" w:eastAsia="宋体" w:cs="Times New Roman"/>
                <w:b/>
                <w:bCs w:val="0"/>
                <w:color w:val="auto"/>
                <w:sz w:val="21"/>
                <w:szCs w:val="21"/>
                <w:lang w:eastAsia="zh-CN"/>
              </w:rPr>
              <w:t>排放标准</w:t>
            </w:r>
            <w:r>
              <w:rPr>
                <w:rFonts w:hint="eastAsia" w:ascii="Times New Roman" w:hAnsi="Times New Roman" w:eastAsia="宋体" w:cs="Times New Roman"/>
                <w:b/>
                <w:bCs w:val="0"/>
                <w:color w:val="auto"/>
                <w:sz w:val="21"/>
                <w:szCs w:val="21"/>
                <w:lang w:val="en-US" w:eastAsia="zh-CN"/>
              </w:rPr>
              <w:t xml:space="preserve"> </w:t>
            </w:r>
            <w:r>
              <w:rPr>
                <w:rStyle w:val="16"/>
                <w:rFonts w:hint="default" w:ascii="Times New Roman" w:hAnsi="Times New Roman" w:eastAsia="宋体" w:cs="Times New Roman"/>
                <w:b/>
                <w:bCs w:val="0"/>
                <w:sz w:val="21"/>
                <w:szCs w:val="21"/>
              </w:rPr>
              <w:t>单位：mg/L</w:t>
            </w:r>
            <w:r>
              <w:rPr>
                <w:rFonts w:hint="eastAsia" w:ascii="Times New Roman" w:hAnsi="Times New Roman" w:eastAsia="宋体" w:cs="Times New Roman"/>
                <w:b/>
                <w:bCs w:val="0"/>
                <w:color w:val="auto"/>
                <w:sz w:val="21"/>
                <w:szCs w:val="21"/>
                <w:lang w:val="en-US" w:eastAsia="zh-CN"/>
              </w:rPr>
              <w:t xml:space="preserve"> </w:t>
            </w:r>
            <w:r>
              <w:rPr>
                <w:rFonts w:hint="default" w:ascii="Times New Roman" w:hAnsi="Times New Roman" w:cs="Times New Roman"/>
                <w:b/>
                <w:color w:val="auto"/>
                <w:sz w:val="21"/>
                <w:szCs w:val="21"/>
              </w:rPr>
              <w:t>pH除外</w:t>
            </w:r>
            <w:r>
              <w:rPr>
                <w:rFonts w:hint="default" w:ascii="Times New Roman" w:hAnsi="Times New Roman" w:cs="Times New Roman"/>
                <w:b/>
                <w:color w:val="auto"/>
                <w:sz w:val="21"/>
                <w:szCs w:val="21"/>
                <w:lang w:eastAsia="zh-CN"/>
              </w:rPr>
              <w:t>（</w:t>
            </w:r>
            <w:r>
              <w:rPr>
                <w:rFonts w:hint="default" w:ascii="Times New Roman" w:hAnsi="Times New Roman" w:cs="Times New Roman"/>
                <w:b/>
                <w:color w:val="auto"/>
                <w:sz w:val="21"/>
                <w:szCs w:val="21"/>
                <w:lang w:val="en-US" w:eastAsia="zh-CN"/>
              </w:rPr>
              <w:t>无量纲</w:t>
            </w:r>
            <w:r>
              <w:rPr>
                <w:rFonts w:hint="default" w:ascii="Times New Roman" w:hAnsi="Times New Roman" w:cs="Times New Roman"/>
                <w:b/>
                <w:color w:val="auto"/>
                <w:sz w:val="21"/>
                <w:szCs w:val="21"/>
                <w:lang w:eastAsia="zh-CN"/>
              </w:rPr>
              <w:t>）</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861"/>
              <w:gridCol w:w="969"/>
              <w:gridCol w:w="970"/>
              <w:gridCol w:w="970"/>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tcBorders>
                    <w:top w:val="single" w:color="auto" w:sz="12" w:space="0"/>
                    <w:right w:val="single" w:color="auto" w:sz="4" w:space="0"/>
                  </w:tcBorders>
                  <w:vAlign w:val="center"/>
                </w:tcPr>
                <w:p>
                  <w:pPr>
                    <w:adjustRightInd w:val="0"/>
                    <w:snapToGrid w:val="0"/>
                    <w:spacing w:line="240" w:lineRule="auto"/>
                    <w:jc w:val="center"/>
                    <w:rPr>
                      <w:rFonts w:hint="default" w:ascii="Times New Roman" w:hAnsi="Times New Roman" w:cs="Times New Roman"/>
                      <w:vertAlign w:val="baseline"/>
                    </w:rPr>
                  </w:pPr>
                  <w:r>
                    <w:rPr>
                      <w:rFonts w:hint="default" w:ascii="Times New Roman" w:hAnsi="Times New Roman" w:eastAsia="宋体" w:cs="Times New Roman"/>
                      <w:bCs/>
                      <w:color w:val="auto"/>
                      <w:sz w:val="21"/>
                      <w:szCs w:val="21"/>
                    </w:rPr>
                    <w:t>项目</w:t>
                  </w:r>
                </w:p>
              </w:tc>
              <w:tc>
                <w:tcPr>
                  <w:tcW w:w="665" w:type="pct"/>
                  <w:tcBorders>
                    <w:top w:val="single" w:color="auto" w:sz="12"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bCs/>
                      <w:color w:val="auto"/>
                      <w:sz w:val="21"/>
                      <w:szCs w:val="21"/>
                    </w:rPr>
                    <w:t>pH</w:t>
                  </w:r>
                  <w:r>
                    <w:rPr>
                      <w:rFonts w:hint="default" w:ascii="Times New Roman" w:hAnsi="Times New Roman" w:eastAsia="宋体" w:cs="Times New Roman"/>
                      <w:bCs/>
                      <w:color w:val="auto"/>
                      <w:sz w:val="21"/>
                      <w:szCs w:val="21"/>
                      <w:lang w:eastAsia="zh-CN"/>
                    </w:rPr>
                    <w:t>值</w:t>
                  </w:r>
                </w:p>
              </w:tc>
              <w:tc>
                <w:tcPr>
                  <w:tcW w:w="747" w:type="pct"/>
                  <w:tcBorders>
                    <w:top w:val="single" w:color="auto" w:sz="12"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cs="Times New Roman"/>
                      <w:vertAlign w:val="baseline"/>
                    </w:rPr>
                  </w:pPr>
                  <w:r>
                    <w:rPr>
                      <w:rFonts w:hint="default" w:ascii="Times New Roman" w:hAnsi="Times New Roman" w:eastAsia="宋体" w:cs="Times New Roman"/>
                      <w:bCs/>
                      <w:color w:val="auto"/>
                      <w:sz w:val="21"/>
                      <w:szCs w:val="21"/>
                    </w:rPr>
                    <w:t>COD</w:t>
                  </w:r>
                </w:p>
              </w:tc>
              <w:tc>
                <w:tcPr>
                  <w:tcW w:w="747" w:type="pct"/>
                  <w:tcBorders>
                    <w:top w:val="single" w:color="auto" w:sz="12"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bCs/>
                      <w:color w:val="auto"/>
                      <w:sz w:val="21"/>
                      <w:szCs w:val="21"/>
                    </w:rPr>
                    <w:t>BOD</w:t>
                  </w:r>
                  <w:r>
                    <w:rPr>
                      <w:rFonts w:hint="default" w:ascii="Times New Roman" w:hAnsi="Times New Roman" w:eastAsia="宋体" w:cs="Times New Roman"/>
                      <w:bCs/>
                      <w:color w:val="auto"/>
                      <w:sz w:val="21"/>
                      <w:szCs w:val="21"/>
                      <w:vertAlign w:val="subscript"/>
                      <w:lang w:val="en-US" w:eastAsia="zh-CN"/>
                    </w:rPr>
                    <w:t>5</w:t>
                  </w:r>
                </w:p>
              </w:tc>
              <w:tc>
                <w:tcPr>
                  <w:tcW w:w="747" w:type="pct"/>
                  <w:tcBorders>
                    <w:top w:val="single" w:color="auto" w:sz="12" w:space="0"/>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cs="Times New Roman"/>
                      <w:vertAlign w:val="baseline"/>
                    </w:rPr>
                  </w:pPr>
                  <w:r>
                    <w:rPr>
                      <w:rFonts w:hint="default" w:ascii="Times New Roman" w:hAnsi="Times New Roman" w:eastAsia="宋体" w:cs="Times New Roman"/>
                      <w:bCs/>
                      <w:color w:val="auto"/>
                      <w:sz w:val="21"/>
                      <w:szCs w:val="21"/>
                    </w:rPr>
                    <w:t>SS</w:t>
                  </w:r>
                </w:p>
              </w:tc>
              <w:tc>
                <w:tcPr>
                  <w:tcW w:w="747" w:type="pct"/>
                  <w:tcBorders>
                    <w:top w:val="single" w:color="auto" w:sz="12" w:space="0"/>
                    <w:left w:val="single" w:color="auto" w:sz="4" w:space="0"/>
                    <w:right w:val="single" w:color="auto" w:sz="12" w:space="0"/>
                  </w:tcBorders>
                  <w:vAlign w:val="center"/>
                </w:tcPr>
                <w:p>
                  <w:pPr>
                    <w:adjustRightInd w:val="0"/>
                    <w:snapToGrid w:val="0"/>
                    <w:spacing w:line="240" w:lineRule="auto"/>
                    <w:jc w:val="center"/>
                    <w:rPr>
                      <w:rFonts w:hint="default" w:ascii="Times New Roman" w:hAnsi="Times New Roman" w:cs="Times New Roman"/>
                      <w:vertAlign w:val="baseline"/>
                    </w:rPr>
                  </w:pPr>
                  <w:r>
                    <w:rPr>
                      <w:rFonts w:hint="default" w:ascii="Times New Roman" w:hAnsi="Times New Roman" w:eastAsia="宋体" w:cs="Times New Roman"/>
                      <w:bCs/>
                      <w:color w:val="auto"/>
                      <w:sz w:val="21"/>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tcBorders>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cs="Times New Roman"/>
                      <w:vertAlign w:val="baseline"/>
                    </w:rPr>
                  </w:pPr>
                  <w:r>
                    <w:rPr>
                      <w:rFonts w:hint="default" w:ascii="Times New Roman" w:hAnsi="Times New Roman" w:eastAsia="宋体" w:cs="Times New Roman"/>
                      <w:bCs/>
                      <w:color w:val="auto"/>
                      <w:sz w:val="21"/>
                      <w:szCs w:val="21"/>
                      <w:lang w:eastAsia="zh-CN"/>
                    </w:rPr>
                    <w:t>《污水排放标准》（GB8978-1996）三级标准</w:t>
                  </w:r>
                </w:p>
              </w:tc>
              <w:tc>
                <w:tcPr>
                  <w:tcW w:w="665" w:type="pct"/>
                  <w:tcBorders>
                    <w:left w:val="single" w:color="auto" w:sz="4" w:space="0"/>
                    <w:right w:val="single" w:color="auto" w:sz="4" w:space="0"/>
                  </w:tcBorders>
                  <w:vAlign w:val="center"/>
                </w:tcPr>
                <w:p>
                  <w:pPr>
                    <w:pStyle w:val="17"/>
                    <w:spacing w:before="0" w:after="0" w:line="240" w:lineRule="auto"/>
                    <w:jc w:val="center"/>
                    <w:rPr>
                      <w:rFonts w:hint="default" w:ascii="Times New Roman" w:hAnsi="Times New Roman" w:cs="Times New Roman"/>
                      <w:vertAlign w:val="baseline"/>
                    </w:rPr>
                  </w:pPr>
                  <w:r>
                    <w:rPr>
                      <w:rFonts w:hint="default" w:ascii="Times New Roman" w:hAnsi="Times New Roman" w:eastAsia="宋体" w:cs="Times New Roman"/>
                      <w:b w:val="0"/>
                      <w:bCs w:val="0"/>
                      <w:color w:val="auto"/>
                      <w:sz w:val="21"/>
                      <w:szCs w:val="21"/>
                    </w:rPr>
                    <w:t>6-9</w:t>
                  </w:r>
                </w:p>
              </w:tc>
              <w:tc>
                <w:tcPr>
                  <w:tcW w:w="747" w:type="pct"/>
                  <w:tcBorders>
                    <w:left w:val="single" w:color="auto" w:sz="4" w:space="0"/>
                    <w:right w:val="single" w:color="auto" w:sz="4" w:space="0"/>
                  </w:tcBorders>
                  <w:vAlign w:val="center"/>
                </w:tcPr>
                <w:p>
                  <w:pPr>
                    <w:spacing w:line="240" w:lineRule="auto"/>
                    <w:jc w:val="center"/>
                    <w:rPr>
                      <w:rFonts w:hint="default" w:ascii="Times New Roman" w:hAnsi="Times New Roman" w:cs="Times New Roman"/>
                      <w:vertAlign w:val="baseline"/>
                      <w:lang w:val="en-US"/>
                    </w:rPr>
                  </w:pPr>
                  <w:r>
                    <w:rPr>
                      <w:rFonts w:hint="default" w:ascii="Times New Roman" w:hAnsi="Times New Roman" w:eastAsia="宋体" w:cs="Times New Roman"/>
                      <w:b w:val="0"/>
                      <w:bCs w:val="0"/>
                      <w:color w:val="auto"/>
                      <w:sz w:val="21"/>
                      <w:szCs w:val="21"/>
                      <w:lang w:val="en-US" w:eastAsia="zh-CN"/>
                    </w:rPr>
                    <w:t>500</w:t>
                  </w:r>
                </w:p>
              </w:tc>
              <w:tc>
                <w:tcPr>
                  <w:tcW w:w="747" w:type="pct"/>
                  <w:tcBorders>
                    <w:left w:val="single" w:color="auto" w:sz="4" w:space="0"/>
                    <w:right w:val="single" w:color="auto" w:sz="4" w:space="0"/>
                  </w:tcBorders>
                  <w:vAlign w:val="center"/>
                </w:tcPr>
                <w:p>
                  <w:pPr>
                    <w:pStyle w:val="17"/>
                    <w:spacing w:before="0" w:after="0" w:line="240" w:lineRule="auto"/>
                    <w:jc w:val="center"/>
                    <w:rPr>
                      <w:rFonts w:hint="default" w:ascii="Times New Roman" w:hAnsi="Times New Roman" w:cs="Times New Roman"/>
                      <w:vertAlign w:val="baseline"/>
                      <w:lang w:val="en-US"/>
                    </w:rPr>
                  </w:pPr>
                  <w:r>
                    <w:rPr>
                      <w:rFonts w:hint="default" w:ascii="Times New Roman" w:hAnsi="Times New Roman" w:eastAsia="宋体" w:cs="Times New Roman"/>
                      <w:b w:val="0"/>
                      <w:bCs w:val="0"/>
                      <w:color w:val="auto"/>
                      <w:sz w:val="21"/>
                      <w:szCs w:val="21"/>
                      <w:lang w:val="en-US" w:eastAsia="zh-CN"/>
                    </w:rPr>
                    <w:t>300</w:t>
                  </w:r>
                </w:p>
              </w:tc>
              <w:tc>
                <w:tcPr>
                  <w:tcW w:w="747" w:type="pct"/>
                  <w:tcBorders>
                    <w:left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cs="Times New Roman"/>
                      <w:vertAlign w:val="baseline"/>
                      <w:lang w:val="en-US"/>
                    </w:rPr>
                  </w:pPr>
                  <w:r>
                    <w:rPr>
                      <w:rFonts w:hint="default" w:ascii="Times New Roman" w:hAnsi="Times New Roman" w:eastAsia="宋体" w:cs="Times New Roman"/>
                      <w:b w:val="0"/>
                      <w:bCs w:val="0"/>
                      <w:color w:val="auto"/>
                      <w:sz w:val="21"/>
                      <w:szCs w:val="21"/>
                      <w:lang w:val="en-US" w:eastAsia="zh-CN"/>
                    </w:rPr>
                    <w:t>400</w:t>
                  </w:r>
                </w:p>
              </w:tc>
              <w:tc>
                <w:tcPr>
                  <w:tcW w:w="747" w:type="pct"/>
                  <w:tcBorders>
                    <w:left w:val="single" w:color="auto" w:sz="4" w:space="0"/>
                    <w:right w:val="single" w:color="auto" w:sz="12" w:space="0"/>
                  </w:tcBorders>
                  <w:vAlign w:val="center"/>
                </w:tcPr>
                <w:p>
                  <w:pPr>
                    <w:adjustRightInd w:val="0"/>
                    <w:snapToGrid w:val="0"/>
                    <w:spacing w:line="240" w:lineRule="auto"/>
                    <w:jc w:val="center"/>
                    <w:rPr>
                      <w:rFonts w:hint="default" w:ascii="Times New Roman" w:hAnsi="Times New Roman" w:cs="Times New Roman"/>
                      <w:vertAlign w:val="baseline"/>
                      <w:lang w:val="en-US"/>
                    </w:rPr>
                  </w:pPr>
                  <w:r>
                    <w:rPr>
                      <w:rFonts w:hint="default" w:ascii="Times New Roman" w:hAnsi="Times New Roman" w:eastAsia="宋体" w:cs="Times New Roman"/>
                      <w:bCs/>
                      <w:color w:val="auto"/>
                      <w:sz w:val="21"/>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tcBorders>
                    <w:left w:val="single" w:color="auto" w:sz="4" w:space="0"/>
                    <w:bottom w:val="single" w:color="auto" w:sz="12" w:space="0"/>
                    <w:right w:val="single" w:color="auto" w:sz="4" w:space="0"/>
                  </w:tcBorders>
                  <w:vAlign w:val="center"/>
                </w:tcPr>
                <w:p>
                  <w:pPr>
                    <w:adjustRightInd w:val="0"/>
                    <w:snapToGrid w:val="0"/>
                    <w:spacing w:line="240" w:lineRule="auto"/>
                    <w:jc w:val="center"/>
                    <w:rPr>
                      <w:rFonts w:hint="default" w:ascii="Times New Roman" w:hAnsi="Times New Roman" w:cs="Times New Roman"/>
                      <w:vertAlign w:val="baseline"/>
                    </w:rPr>
                  </w:pPr>
                  <w:r>
                    <w:rPr>
                      <w:rFonts w:hint="default" w:ascii="Times New Roman" w:hAnsi="Times New Roman" w:eastAsia="宋体" w:cs="Times New Roman"/>
                      <w:bCs/>
                      <w:color w:val="auto"/>
                      <w:sz w:val="21"/>
                      <w:szCs w:val="21"/>
                      <w:lang w:eastAsia="zh-CN"/>
                    </w:rPr>
                    <w:t>宁国市南山污水处理厂接管标准</w:t>
                  </w:r>
                </w:p>
              </w:tc>
              <w:tc>
                <w:tcPr>
                  <w:tcW w:w="665" w:type="pct"/>
                  <w:tcBorders>
                    <w:left w:val="single" w:color="auto" w:sz="4" w:space="0"/>
                    <w:bottom w:val="single" w:color="auto" w:sz="12" w:space="0"/>
                    <w:right w:val="single" w:color="auto" w:sz="4" w:space="0"/>
                  </w:tcBorders>
                  <w:vAlign w:val="center"/>
                </w:tcPr>
                <w:p>
                  <w:pPr>
                    <w:pStyle w:val="17"/>
                    <w:spacing w:before="0" w:after="0" w:line="240" w:lineRule="auto"/>
                    <w:jc w:val="center"/>
                    <w:rPr>
                      <w:rFonts w:hint="default" w:ascii="Times New Roman" w:hAnsi="Times New Roman" w:cs="Times New Roman"/>
                      <w:vertAlign w:val="baseline"/>
                    </w:rPr>
                  </w:pPr>
                  <w:r>
                    <w:rPr>
                      <w:rFonts w:hint="default" w:ascii="Times New Roman" w:hAnsi="Times New Roman" w:eastAsia="宋体" w:cs="Times New Roman"/>
                      <w:b w:val="0"/>
                      <w:bCs w:val="0"/>
                      <w:color w:val="auto"/>
                      <w:sz w:val="21"/>
                      <w:szCs w:val="21"/>
                    </w:rPr>
                    <w:t>6-9</w:t>
                  </w:r>
                </w:p>
              </w:tc>
              <w:tc>
                <w:tcPr>
                  <w:tcW w:w="747" w:type="pct"/>
                  <w:tcBorders>
                    <w:left w:val="single" w:color="auto" w:sz="4" w:space="0"/>
                    <w:bottom w:val="single" w:color="auto" w:sz="12" w:space="0"/>
                    <w:right w:val="single" w:color="auto" w:sz="4" w:space="0"/>
                  </w:tcBorders>
                  <w:vAlign w:val="center"/>
                </w:tcPr>
                <w:p>
                  <w:pPr>
                    <w:spacing w:line="240" w:lineRule="auto"/>
                    <w:jc w:val="center"/>
                    <w:rPr>
                      <w:rFonts w:hint="default" w:ascii="Times New Roman" w:hAnsi="Times New Roman" w:cs="Times New Roman"/>
                      <w:vertAlign w:val="baseline"/>
                      <w:lang w:val="en-US"/>
                    </w:rPr>
                  </w:pPr>
                  <w:r>
                    <w:rPr>
                      <w:rFonts w:hint="default" w:ascii="Times New Roman" w:hAnsi="Times New Roman" w:eastAsia="宋体" w:cs="Times New Roman"/>
                      <w:b w:val="0"/>
                      <w:bCs w:val="0"/>
                      <w:color w:val="auto"/>
                      <w:sz w:val="21"/>
                      <w:szCs w:val="21"/>
                      <w:lang w:val="en-US" w:eastAsia="zh-CN"/>
                    </w:rPr>
                    <w:t>500</w:t>
                  </w:r>
                </w:p>
              </w:tc>
              <w:tc>
                <w:tcPr>
                  <w:tcW w:w="747" w:type="pct"/>
                  <w:tcBorders>
                    <w:left w:val="single" w:color="auto" w:sz="4" w:space="0"/>
                    <w:bottom w:val="single" w:color="auto" w:sz="12" w:space="0"/>
                    <w:right w:val="single" w:color="auto" w:sz="4" w:space="0"/>
                  </w:tcBorders>
                  <w:vAlign w:val="center"/>
                </w:tcPr>
                <w:p>
                  <w:pPr>
                    <w:pStyle w:val="17"/>
                    <w:spacing w:before="0" w:after="0" w:line="240" w:lineRule="auto"/>
                    <w:jc w:val="center"/>
                    <w:rPr>
                      <w:rFonts w:hint="default" w:ascii="Times New Roman" w:hAnsi="Times New Roman" w:cs="Times New Roman"/>
                      <w:vertAlign w:val="baseline"/>
                      <w:lang w:val="en-US"/>
                    </w:rPr>
                  </w:pPr>
                  <w:r>
                    <w:rPr>
                      <w:rFonts w:hint="default" w:ascii="Times New Roman" w:hAnsi="Times New Roman" w:eastAsia="宋体" w:cs="Times New Roman"/>
                      <w:b w:val="0"/>
                      <w:bCs w:val="0"/>
                      <w:color w:val="auto"/>
                      <w:sz w:val="21"/>
                      <w:szCs w:val="21"/>
                      <w:lang w:val="en-US" w:eastAsia="zh-CN"/>
                    </w:rPr>
                    <w:t>200</w:t>
                  </w:r>
                </w:p>
              </w:tc>
              <w:tc>
                <w:tcPr>
                  <w:tcW w:w="747" w:type="pct"/>
                  <w:tcBorders>
                    <w:left w:val="single" w:color="auto" w:sz="4" w:space="0"/>
                    <w:bottom w:val="single" w:color="auto" w:sz="12" w:space="0"/>
                    <w:right w:val="single" w:color="auto" w:sz="4" w:space="0"/>
                  </w:tcBorders>
                  <w:vAlign w:val="center"/>
                </w:tcPr>
                <w:p>
                  <w:pPr>
                    <w:adjustRightInd w:val="0"/>
                    <w:snapToGrid w:val="0"/>
                    <w:spacing w:line="240" w:lineRule="auto"/>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lang w:val="en-US" w:eastAsia="zh-CN"/>
                    </w:rPr>
                    <w:t>350</w:t>
                  </w:r>
                </w:p>
              </w:tc>
              <w:tc>
                <w:tcPr>
                  <w:tcW w:w="747" w:type="pct"/>
                  <w:tcBorders>
                    <w:left w:val="single" w:color="auto" w:sz="4" w:space="0"/>
                    <w:bottom w:val="single" w:color="auto" w:sz="12" w:space="0"/>
                    <w:right w:val="single" w:color="auto" w:sz="12" w:space="0"/>
                  </w:tcBorders>
                  <w:vAlign w:val="center"/>
                </w:tcPr>
                <w:p>
                  <w:pPr>
                    <w:adjustRightInd w:val="0"/>
                    <w:snapToGrid w:val="0"/>
                    <w:spacing w:line="240" w:lineRule="auto"/>
                    <w:jc w:val="center"/>
                    <w:rPr>
                      <w:rFonts w:hint="default" w:ascii="Times New Roman" w:hAnsi="Times New Roman" w:cs="Times New Roman"/>
                      <w:vertAlign w:val="baseline"/>
                      <w:lang w:val="en-US"/>
                    </w:rPr>
                  </w:pPr>
                  <w:r>
                    <w:rPr>
                      <w:rFonts w:hint="default" w:ascii="Times New Roman" w:hAnsi="Times New Roman" w:eastAsia="宋体" w:cs="Times New Roman"/>
                      <w:bCs/>
                      <w:color w:val="auto"/>
                      <w:sz w:val="21"/>
                      <w:szCs w:val="21"/>
                      <w:lang w:val="en-US" w:eastAsia="zh-CN"/>
                    </w:rPr>
                    <w:t>35</w:t>
                  </w:r>
                </w:p>
              </w:tc>
            </w:tr>
          </w:tbl>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噪声</w:t>
            </w:r>
            <w:r>
              <w:rPr>
                <w:rFonts w:hint="default" w:ascii="Times New Roman" w:hAnsi="Times New Roman" w:eastAsia="宋体" w:cs="Times New Roman"/>
                <w:b/>
                <w:bCs/>
                <w:color w:val="000000"/>
                <w:sz w:val="24"/>
                <w:szCs w:val="24"/>
              </w:rPr>
              <w:t>排放标准</w:t>
            </w:r>
          </w:p>
          <w:p>
            <w:pPr>
              <w:pStyle w:val="2"/>
              <w:pageBreakBefore w:val="0"/>
              <w:widowControl w:val="0"/>
              <w:kinsoku/>
              <w:wordWrap/>
              <w:overflowPunct/>
              <w:topLinePunct w:val="0"/>
              <w:autoSpaceDE/>
              <w:autoSpaceDN/>
              <w:bidi w:val="0"/>
              <w:adjustRightInd w:val="0"/>
              <w:snapToGrid w:val="0"/>
              <w:spacing w:before="0" w:after="0" w:afterLines="0"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color w:val="auto"/>
                <w:sz w:val="24"/>
                <w:lang w:eastAsia="zh-CN"/>
              </w:rPr>
              <w:t>项目运营期</w:t>
            </w:r>
            <w:r>
              <w:rPr>
                <w:color w:val="auto"/>
                <w:sz w:val="24"/>
              </w:rPr>
              <w:t>厂界噪声执行《工业企业厂界环境噪声排放标准》（GB12348-2008）</w:t>
            </w:r>
            <w:r>
              <w:rPr>
                <w:rFonts w:hint="default" w:ascii="Times New Roman" w:hAnsi="Times New Roman" w:cs="Times New Roman"/>
                <w:color w:val="auto"/>
                <w:sz w:val="24"/>
              </w:rPr>
              <w:t>中3类标准</w:t>
            </w:r>
            <w:r>
              <w:rPr>
                <w:rFonts w:hint="default" w:ascii="Times New Roman" w:hAnsi="Times New Roman" w:cs="Times New Roman"/>
                <w:sz w:val="24"/>
                <w:szCs w:val="24"/>
                <w:lang w:val="en-US" w:eastAsia="zh-CN"/>
              </w:rPr>
              <w:t>：</w:t>
            </w:r>
          </w:p>
          <w:p>
            <w:pPr>
              <w:pageBreakBefore w:val="0"/>
              <w:widowControl w:val="0"/>
              <w:numPr>
                <w:ilvl w:val="0"/>
                <w:numId w:val="0"/>
              </w:numPr>
              <w:kinsoku/>
              <w:wordWrap/>
              <w:overflowPunct/>
              <w:topLinePunct w:val="0"/>
              <w:autoSpaceDE/>
              <w:autoSpaceDN/>
              <w:bidi w:val="0"/>
              <w:adjustRightInd w:val="0"/>
              <w:snapToGrid w:val="0"/>
              <w:spacing w:line="360" w:lineRule="auto"/>
              <w:ind w:right="0"/>
              <w:jc w:val="center"/>
              <w:textAlignment w:val="auto"/>
              <w:outlineLvl w:val="9"/>
              <w:rPr>
                <w:rStyle w:val="16"/>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lang w:val="en-US" w:eastAsia="zh-CN"/>
              </w:rPr>
              <w:t xml:space="preserve"> 噪声排放标准</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17"/>
              <w:gridCol w:w="1795"/>
              <w:gridCol w:w="1636"/>
              <w:gridCol w:w="16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1151" w:type="pct"/>
                  <w:vMerge w:val="restar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位置</w:t>
                  </w:r>
                </w:p>
              </w:tc>
              <w:tc>
                <w:tcPr>
                  <w:tcW w:w="1362" w:type="pct"/>
                  <w:vMerge w:val="restar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采用标准</w:t>
                  </w:r>
                </w:p>
              </w:tc>
              <w:tc>
                <w:tcPr>
                  <w:tcW w:w="2485" w:type="pct"/>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标准值[dB（A）]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151" w:type="pct"/>
                  <w:vMerge w:val="continue"/>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362" w:type="pct"/>
                  <w:vMerge w:val="continue"/>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241"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昼间</w:t>
                  </w:r>
                </w:p>
              </w:tc>
              <w:tc>
                <w:tcPr>
                  <w:tcW w:w="1244"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51"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厂界四周</w:t>
                  </w:r>
                </w:p>
              </w:tc>
              <w:tc>
                <w:tcPr>
                  <w:tcW w:w="1362"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类</w:t>
                  </w:r>
                </w:p>
              </w:tc>
              <w:tc>
                <w:tcPr>
                  <w:tcW w:w="1241"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r>
                    <w:rPr>
                      <w:rFonts w:hint="default" w:ascii="Times New Roman" w:hAnsi="Times New Roman" w:cs="Times New Roman"/>
                      <w:sz w:val="21"/>
                      <w:szCs w:val="21"/>
                      <w:lang w:val="en-US" w:eastAsia="zh-CN"/>
                    </w:rPr>
                    <w:t>5</w:t>
                  </w:r>
                </w:p>
              </w:tc>
              <w:tc>
                <w:tcPr>
                  <w:tcW w:w="1244"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r>
                    <w:rPr>
                      <w:rFonts w:hint="default" w:ascii="Times New Roman" w:hAnsi="Times New Roman" w:cs="Times New Roman"/>
                      <w:sz w:val="21"/>
                      <w:szCs w:val="21"/>
                      <w:lang w:val="en-US" w:eastAsia="zh-CN"/>
                    </w:rPr>
                    <w:t>5</w:t>
                  </w:r>
                </w:p>
              </w:tc>
            </w:tr>
          </w:tbl>
          <w:p>
            <w:pPr>
              <w:pStyle w:val="2"/>
              <w:pageBreakBefore w:val="0"/>
              <w:widowControl w:val="0"/>
              <w:kinsoku/>
              <w:wordWrap/>
              <w:overflowPunct/>
              <w:topLinePunct w:val="0"/>
              <w:autoSpaceDE/>
              <w:autoSpaceDN/>
              <w:bidi w:val="0"/>
              <w:adjustRightInd w:val="0"/>
              <w:snapToGrid w:val="0"/>
              <w:spacing w:before="0" w:after="0" w:afterLines="0" w:line="360" w:lineRule="auto"/>
              <w:jc w:val="both"/>
              <w:textAlignment w:val="auto"/>
              <w:rPr>
                <w:rFonts w:hint="default" w:ascii="Times New Roman" w:hAnsi="Times New Roman" w:eastAsia="宋体" w:cs="Times New Roman"/>
                <w:b/>
                <w:bCs w:val="0"/>
                <w:sz w:val="24"/>
                <w:szCs w:val="24"/>
              </w:rPr>
            </w:pPr>
            <w:bookmarkStart w:id="0" w:name="_Toc22086"/>
            <w:r>
              <w:rPr>
                <w:rFonts w:hint="eastAsia" w:cs="Times New Roman"/>
                <w:b/>
                <w:bCs w:val="0"/>
                <w:sz w:val="24"/>
                <w:szCs w:val="24"/>
                <w:lang w:val="en-US" w:eastAsia="zh-CN"/>
              </w:rPr>
              <w:t>4</w:t>
            </w:r>
            <w:r>
              <w:rPr>
                <w:rFonts w:hint="default" w:ascii="Times New Roman" w:hAnsi="Times New Roman" w:eastAsia="宋体" w:cs="Times New Roman"/>
                <w:b/>
                <w:bCs w:val="0"/>
                <w:sz w:val="24"/>
                <w:szCs w:val="24"/>
                <w:lang w:val="en-US" w:eastAsia="zh-CN"/>
              </w:rPr>
              <w:t>、</w:t>
            </w:r>
            <w:r>
              <w:rPr>
                <w:rFonts w:hint="default" w:ascii="Times New Roman" w:hAnsi="Times New Roman" w:eastAsia="宋体" w:cs="Times New Roman"/>
                <w:b/>
                <w:bCs w:val="0"/>
                <w:sz w:val="24"/>
                <w:szCs w:val="24"/>
              </w:rPr>
              <w:t>固体废弃物排放执行标准</w:t>
            </w:r>
            <w:bookmarkEnd w:id="0"/>
          </w:p>
          <w:p>
            <w:pPr>
              <w:adjustRightInd w:val="0"/>
              <w:snapToGrid w:val="0"/>
              <w:spacing w:line="360" w:lineRule="auto"/>
              <w:ind w:firstLine="480" w:firstLineChars="200"/>
              <w:rPr>
                <w:rFonts w:hint="eastAsia"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rPr>
              <w:t>一般工业固体废物处置执行《</w:t>
            </w:r>
            <w:r>
              <w:rPr>
                <w:rFonts w:hint="default" w:ascii="Times New Roman" w:hAnsi="Times New Roman" w:cs="Times New Roman"/>
                <w:color w:val="auto"/>
                <w:kern w:val="2"/>
                <w:sz w:val="24"/>
                <w:szCs w:val="24"/>
                <w:lang w:val="en-US" w:eastAsia="zh-CN" w:bidi="ar-SA"/>
              </w:rPr>
              <w:t>一般工业固体废物贮存</w:t>
            </w:r>
            <w:r>
              <w:rPr>
                <w:rFonts w:hint="eastAsia" w:cs="Times New Roman"/>
                <w:color w:val="auto"/>
                <w:kern w:val="2"/>
                <w:sz w:val="24"/>
                <w:szCs w:val="24"/>
                <w:lang w:val="en-US" w:eastAsia="zh-CN" w:bidi="ar-SA"/>
              </w:rPr>
              <w:t>与填埋</w:t>
            </w:r>
            <w:r>
              <w:rPr>
                <w:rFonts w:hint="default" w:ascii="Times New Roman" w:hAnsi="Times New Roman" w:cs="Times New Roman"/>
                <w:color w:val="auto"/>
                <w:kern w:val="2"/>
                <w:sz w:val="24"/>
                <w:szCs w:val="24"/>
                <w:lang w:val="en-US" w:eastAsia="zh-CN" w:bidi="ar-SA"/>
              </w:rPr>
              <w:t>污染控制标准</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GB18599-20</w:t>
            </w:r>
            <w:r>
              <w:rPr>
                <w:rFonts w:hint="eastAsia" w:ascii="Times New Roman" w:hAnsi="Times New Roman" w:cs="Times New Roman"/>
                <w:color w:val="auto"/>
                <w:sz w:val="24"/>
                <w:lang w:val="en-US" w:eastAsia="zh-CN"/>
              </w:rPr>
              <w:t>20</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szCs w:val="24"/>
              </w:rPr>
              <w:t>要求</w:t>
            </w:r>
            <w:r>
              <w:rPr>
                <w:rFonts w:hint="eastAsia" w:ascii="Times New Roman" w:hAnsi="Times New Roman" w:cs="Times New Roman"/>
                <w:color w:val="auto"/>
                <w:sz w:val="24"/>
                <w:lang w:eastAsia="zh-CN"/>
              </w:rPr>
              <w:t>，危险废物执行《危险废物贮存污染控制标准》（</w:t>
            </w:r>
            <w:r>
              <w:rPr>
                <w:rFonts w:hint="eastAsia" w:ascii="Times New Roman" w:hAnsi="Times New Roman" w:cs="Times New Roman"/>
                <w:color w:val="auto"/>
                <w:sz w:val="24"/>
                <w:lang w:val="en-US" w:eastAsia="zh-CN"/>
              </w:rPr>
              <w:t>GB18597-2001</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szCs w:val="24"/>
              </w:rPr>
              <w:t>及2013年修改单要求</w:t>
            </w:r>
            <w:r>
              <w:rPr>
                <w:rFonts w:hint="default" w:ascii="Times New Roman" w:hAnsi="Times New Roman" w:eastAsia="宋体" w:cs="Times New Roman"/>
                <w:sz w:val="24"/>
                <w:szCs w:val="24"/>
              </w:rPr>
              <w:t>。</w:t>
            </w:r>
          </w:p>
          <w:p>
            <w:pPr>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总量控制建议值</w:t>
            </w:r>
          </w:p>
          <w:p>
            <w:pPr>
              <w:pageBreakBefore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en-US" w:eastAsia="zh-CN"/>
              </w:rPr>
              <w:t xml:space="preserve"> 总量控制标准</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color w:val="auto"/>
                <w:sz w:val="21"/>
                <w:szCs w:val="21"/>
              </w:rPr>
              <w:t>单位: t/a</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25"/>
              <w:gridCol w:w="2218"/>
              <w:gridCol w:w="22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125" w:type="dxa"/>
                  <w:noWrap w:val="0"/>
                  <w:vAlign w:val="center"/>
                </w:tcPr>
                <w:p>
                  <w:pPr>
                    <w:adjustRightInd w:val="0"/>
                    <w:snapToGrid w:val="0"/>
                    <w:spacing w:line="360" w:lineRule="exact"/>
                    <w:ind w:left="-97" w:leftChars="-46" w:right="-120" w:rightChars="-5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218" w:type="dxa"/>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2245" w:type="dxa"/>
                  <w:noWrap w:val="0"/>
                  <w:vAlign w:val="center"/>
                </w:tcPr>
                <w:p>
                  <w:pPr>
                    <w:adjustRightInd w:val="0"/>
                    <w:snapToGrid w:val="0"/>
                    <w:spacing w:line="360" w:lineRule="exact"/>
                    <w:ind w:left="-103" w:leftChars="-49" w:right="-61" w:rightChars="-2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总量建议值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125" w:type="dxa"/>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c>
                <w:tcPr>
                  <w:tcW w:w="2218" w:type="dxa"/>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VOC</w:t>
                  </w:r>
                  <w:r>
                    <w:rPr>
                      <w:rFonts w:hint="eastAsia" w:ascii="Times New Roman" w:hAnsi="Times New Roman" w:eastAsia="宋体" w:cs="Times New Roman"/>
                      <w:color w:val="auto"/>
                      <w:sz w:val="21"/>
                      <w:szCs w:val="21"/>
                      <w:vertAlign w:val="subscript"/>
                      <w:lang w:val="en-US" w:eastAsia="zh-CN"/>
                    </w:rPr>
                    <w:t>s</w:t>
                  </w:r>
                </w:p>
              </w:tc>
              <w:tc>
                <w:tcPr>
                  <w:tcW w:w="2245" w:type="dxa"/>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0.104</w:t>
                  </w:r>
                </w:p>
              </w:tc>
            </w:tr>
          </w:tbl>
          <w:p>
            <w:pPr>
              <w:pageBreakBefore w:val="0"/>
              <w:kinsoku/>
              <w:wordWrap/>
              <w:overflowPunct/>
              <w:topLinePunct w:val="0"/>
              <w:autoSpaceDE/>
              <w:autoSpaceDN/>
              <w:bidi w:val="0"/>
              <w:adjustRightInd w:val="0"/>
              <w:snapToGrid w:val="0"/>
              <w:spacing w:line="520" w:lineRule="exact"/>
              <w:ind w:firstLine="0" w:firstLineChars="0"/>
              <w:jc w:val="both"/>
              <w:textAlignment w:val="auto"/>
              <w:rPr>
                <w:rFonts w:hint="default" w:ascii="Times New Roman" w:hAnsi="Times New Roman" w:eastAsia="宋体" w:cs="Times New Roman"/>
                <w:sz w:val="24"/>
                <w:szCs w:val="24"/>
                <w:lang w:eastAsia="zh-CN"/>
              </w:rPr>
            </w:pPr>
          </w:p>
        </w:tc>
      </w:tr>
    </w:tbl>
    <w:p>
      <w:pPr>
        <w:spacing w:after="0" w:afterLines="0" w:line="360" w:lineRule="auto"/>
        <w:rPr>
          <w:rFonts w:hint="eastAsia" w:eastAsia="仿宋_GB2312"/>
          <w:lang w:eastAsia="zh-CN"/>
        </w:rPr>
      </w:pPr>
      <w:r>
        <w:rPr>
          <w:rFonts w:hint="default" w:ascii="Times New Roman" w:hAnsi="Times New Roman" w:eastAsia="仿宋_GB2312" w:cs="Times New Roman"/>
          <w:color w:val="000000"/>
          <w:sz w:val="21"/>
          <w:szCs w:val="21"/>
        </w:rPr>
        <w:br w:type="page"/>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51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222" w:hRule="atLeast"/>
          <w:jc w:val="center"/>
        </w:trPr>
        <w:tc>
          <w:tcPr>
            <w:tcW w:w="500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一、项目简介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安徽省宁国顺昌机械有限公司成立于1988年，是一家集回转支承、电力配件等机械产品科研、生产、销售为一体的高新技术企业。公司坐落于宁国经济技术开发区南山园区内。公司秉承“科技兴企”的发展方针，不断加强自身科技创新能力，先后参与起草并制订了机械行业JB/T 10839</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eastAsia="zh-CN"/>
              </w:rPr>
              <w:t>2008标准，承担科技部科技型中小企业技术创新基金项目等。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为了企业进一步发展，提高产品市场竞争力，建设单位拟投资1055万元，改扩建生产车间4000</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eastAsia="zh-CN"/>
              </w:rPr>
              <w:t>，购置安装CNC加工中心及滚齿机、铣齿机等国际先进设备11台套。项目建成后，年产长寿命耐腐蚀回转支承3000套，年产值可达960万元，创利税303万元。该项目经宁国经济技术开发区管委会宁开发项[2016]162号文备案，</w:t>
            </w:r>
            <w:r>
              <w:rPr>
                <w:rFonts w:hint="default" w:ascii="Times New Roman" w:hAnsi="Times New Roman" w:eastAsia="宋体" w:cs="Times New Roman"/>
                <w:b w:val="0"/>
                <w:bCs w:val="0"/>
                <w:color w:val="auto"/>
                <w:sz w:val="24"/>
                <w:lang w:eastAsia="zh-CN"/>
              </w:rPr>
              <w:t>项目代码：2101-341862-04-01-706576。</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2"/>
                <w:lang w:eastAsia="zh-CN"/>
              </w:rPr>
            </w:pPr>
            <w:r>
              <w:rPr>
                <w:rFonts w:hint="default" w:ascii="Times New Roman" w:hAnsi="Times New Roman" w:eastAsia="宋体" w:cs="Times New Roman"/>
                <w:b w:val="0"/>
                <w:bCs w:val="0"/>
                <w:color w:val="000000"/>
                <w:sz w:val="24"/>
                <w:szCs w:val="22"/>
                <w:lang w:eastAsia="zh-CN"/>
              </w:rPr>
              <w:t>20</w:t>
            </w:r>
            <w:r>
              <w:rPr>
                <w:rFonts w:hint="default" w:ascii="Times New Roman" w:hAnsi="Times New Roman" w:eastAsia="宋体" w:cs="Times New Roman"/>
                <w:b w:val="0"/>
                <w:bCs w:val="0"/>
                <w:color w:val="000000"/>
                <w:sz w:val="24"/>
                <w:szCs w:val="22"/>
                <w:lang w:val="en-US" w:eastAsia="zh-CN"/>
              </w:rPr>
              <w:t>19</w:t>
            </w:r>
            <w:r>
              <w:rPr>
                <w:rFonts w:hint="default" w:ascii="Times New Roman" w:hAnsi="Times New Roman" w:eastAsia="宋体" w:cs="Times New Roman"/>
                <w:b w:val="0"/>
                <w:bCs w:val="0"/>
                <w:color w:val="000000"/>
                <w:sz w:val="24"/>
                <w:szCs w:val="22"/>
                <w:lang w:eastAsia="zh-CN"/>
              </w:rPr>
              <w:t>年</w:t>
            </w:r>
            <w:r>
              <w:rPr>
                <w:rFonts w:hint="default" w:ascii="Times New Roman" w:hAnsi="Times New Roman" w:eastAsia="宋体" w:cs="Times New Roman"/>
                <w:b w:val="0"/>
                <w:bCs w:val="0"/>
                <w:color w:val="000000"/>
                <w:sz w:val="24"/>
                <w:szCs w:val="22"/>
                <w:lang w:val="en-US" w:eastAsia="zh-CN"/>
              </w:rPr>
              <w:t>7</w:t>
            </w:r>
            <w:r>
              <w:rPr>
                <w:rFonts w:hint="default" w:ascii="Times New Roman" w:hAnsi="Times New Roman" w:eastAsia="宋体" w:cs="Times New Roman"/>
                <w:b w:val="0"/>
                <w:bCs w:val="0"/>
                <w:color w:val="000000"/>
                <w:sz w:val="24"/>
                <w:szCs w:val="22"/>
                <w:lang w:eastAsia="zh-CN"/>
              </w:rPr>
              <w:t>月</w:t>
            </w:r>
            <w:r>
              <w:rPr>
                <w:rFonts w:hint="default" w:ascii="Times New Roman" w:hAnsi="Times New Roman" w:eastAsia="宋体" w:cs="Times New Roman"/>
                <w:b w:val="0"/>
                <w:bCs w:val="0"/>
                <w:color w:val="000000"/>
                <w:sz w:val="24"/>
                <w:szCs w:val="22"/>
                <w:lang w:val="en-US" w:eastAsia="zh-CN"/>
              </w:rPr>
              <w:t>10</w:t>
            </w:r>
            <w:r>
              <w:rPr>
                <w:rFonts w:hint="default" w:ascii="Times New Roman" w:hAnsi="Times New Roman" w:eastAsia="宋体" w:cs="Times New Roman"/>
                <w:b w:val="0"/>
                <w:bCs w:val="0"/>
                <w:color w:val="000000"/>
                <w:sz w:val="24"/>
                <w:szCs w:val="22"/>
                <w:lang w:eastAsia="zh-CN"/>
              </w:rPr>
              <w:t>日</w:t>
            </w:r>
            <w:r>
              <w:rPr>
                <w:rFonts w:hint="default" w:ascii="Times New Roman" w:hAnsi="Times New Roman" w:eastAsia="宋体" w:cs="Times New Roman"/>
                <w:color w:val="auto"/>
                <w:sz w:val="24"/>
                <w:lang w:eastAsia="zh-CN"/>
              </w:rPr>
              <w:t>安徽省宁国顺昌机械有限公司</w:t>
            </w:r>
            <w:r>
              <w:rPr>
                <w:rFonts w:hint="default" w:ascii="Times New Roman" w:hAnsi="Times New Roman" w:eastAsia="宋体" w:cs="Times New Roman"/>
                <w:b w:val="0"/>
                <w:bCs w:val="0"/>
                <w:color w:val="000000"/>
                <w:sz w:val="24"/>
                <w:szCs w:val="22"/>
                <w:lang w:eastAsia="zh-CN"/>
              </w:rPr>
              <w:t>委托</w:t>
            </w:r>
            <w:r>
              <w:rPr>
                <w:rFonts w:hint="default" w:ascii="Times New Roman" w:hAnsi="Times New Roman" w:cs="Times New Roman"/>
                <w:color w:val="auto"/>
                <w:sz w:val="24"/>
                <w:lang w:eastAsia="zh-CN"/>
              </w:rPr>
              <w:t>江苏新清源环保有限公司</w:t>
            </w:r>
            <w:r>
              <w:rPr>
                <w:rFonts w:hint="default" w:ascii="Times New Roman" w:hAnsi="Times New Roman" w:eastAsia="宋体" w:cs="Times New Roman"/>
                <w:b w:val="0"/>
                <w:bCs w:val="0"/>
                <w:color w:val="000000"/>
                <w:sz w:val="24"/>
                <w:szCs w:val="22"/>
                <w:lang w:eastAsia="zh-CN"/>
              </w:rPr>
              <w:t>编制了《</w:t>
            </w:r>
            <w:r>
              <w:rPr>
                <w:rFonts w:hint="default" w:ascii="Times New Roman" w:hAnsi="Times New Roman" w:eastAsia="宋体" w:cs="Times New Roman"/>
                <w:color w:val="auto"/>
                <w:sz w:val="24"/>
                <w:lang w:eastAsia="zh-CN"/>
              </w:rPr>
              <w:t>安徽省宁国顺昌机械有限公司</w:t>
            </w:r>
            <w:r>
              <w:rPr>
                <w:rFonts w:hint="default" w:ascii="Times New Roman" w:hAnsi="Times New Roman" w:cs="Times New Roman"/>
                <w:sz w:val="24"/>
                <w:szCs w:val="24"/>
                <w:lang w:eastAsia="zh-CN"/>
              </w:rPr>
              <w:t>面向国际市场长寿命耐腐蚀回转支承产业化项</w:t>
            </w:r>
            <w:r>
              <w:rPr>
                <w:rFonts w:hint="default" w:ascii="Times New Roman" w:hAnsi="Times New Roman" w:eastAsia="宋体" w:cs="Times New Roman"/>
                <w:b w:val="0"/>
                <w:bCs w:val="0"/>
                <w:color w:val="000000"/>
                <w:sz w:val="24"/>
                <w:szCs w:val="22"/>
                <w:lang w:eastAsia="zh-CN"/>
              </w:rPr>
              <w:t>目环境影响报告表》，20</w:t>
            </w:r>
            <w:r>
              <w:rPr>
                <w:rFonts w:hint="default" w:ascii="Times New Roman" w:hAnsi="Times New Roman" w:eastAsia="宋体" w:cs="Times New Roman"/>
                <w:b w:val="0"/>
                <w:bCs w:val="0"/>
                <w:color w:val="000000"/>
                <w:sz w:val="24"/>
                <w:szCs w:val="22"/>
                <w:lang w:val="en-US" w:eastAsia="zh-CN"/>
              </w:rPr>
              <w:t>19</w:t>
            </w:r>
            <w:r>
              <w:rPr>
                <w:rFonts w:hint="default" w:ascii="Times New Roman" w:hAnsi="Times New Roman" w:eastAsia="宋体" w:cs="Times New Roman"/>
                <w:b w:val="0"/>
                <w:bCs w:val="0"/>
                <w:color w:val="000000"/>
                <w:sz w:val="24"/>
                <w:szCs w:val="22"/>
                <w:lang w:eastAsia="zh-CN"/>
              </w:rPr>
              <w:t>年</w:t>
            </w:r>
            <w:r>
              <w:rPr>
                <w:rFonts w:hint="default" w:ascii="Times New Roman" w:hAnsi="Times New Roman" w:eastAsia="宋体" w:cs="Times New Roman"/>
                <w:b w:val="0"/>
                <w:bCs w:val="0"/>
                <w:color w:val="000000"/>
                <w:sz w:val="24"/>
                <w:szCs w:val="22"/>
                <w:lang w:val="en-US" w:eastAsia="zh-CN"/>
              </w:rPr>
              <w:t>9</w:t>
            </w:r>
            <w:r>
              <w:rPr>
                <w:rFonts w:hint="default" w:ascii="Times New Roman" w:hAnsi="Times New Roman" w:eastAsia="宋体" w:cs="Times New Roman"/>
                <w:b w:val="0"/>
                <w:bCs w:val="0"/>
                <w:color w:val="000000"/>
                <w:sz w:val="24"/>
                <w:szCs w:val="22"/>
                <w:lang w:eastAsia="zh-CN"/>
              </w:rPr>
              <w:t>月</w:t>
            </w:r>
            <w:r>
              <w:rPr>
                <w:rFonts w:hint="default" w:ascii="Times New Roman" w:hAnsi="Times New Roman" w:eastAsia="宋体" w:cs="Times New Roman"/>
                <w:b w:val="0"/>
                <w:bCs w:val="0"/>
                <w:color w:val="000000"/>
                <w:sz w:val="24"/>
                <w:szCs w:val="22"/>
                <w:lang w:val="en-US" w:eastAsia="zh-CN"/>
              </w:rPr>
              <w:t>27</w:t>
            </w:r>
            <w:r>
              <w:rPr>
                <w:rFonts w:hint="default" w:ascii="Times New Roman" w:hAnsi="Times New Roman" w:eastAsia="宋体" w:cs="Times New Roman"/>
                <w:b w:val="0"/>
                <w:bCs w:val="0"/>
                <w:color w:val="000000"/>
                <w:sz w:val="24"/>
                <w:szCs w:val="22"/>
                <w:lang w:eastAsia="zh-CN"/>
              </w:rPr>
              <w:t>日宣城市宁国市生态环境分局对《</w:t>
            </w:r>
            <w:r>
              <w:rPr>
                <w:rFonts w:hint="default" w:ascii="Times New Roman" w:hAnsi="Times New Roman" w:eastAsia="宋体" w:cs="Times New Roman"/>
                <w:color w:val="auto"/>
                <w:sz w:val="24"/>
                <w:lang w:eastAsia="zh-CN"/>
              </w:rPr>
              <w:t>安徽省宁国顺昌机械有限公司</w:t>
            </w:r>
            <w:r>
              <w:rPr>
                <w:rFonts w:hint="default" w:ascii="Times New Roman" w:hAnsi="Times New Roman" w:cs="Times New Roman"/>
                <w:sz w:val="24"/>
                <w:szCs w:val="24"/>
                <w:lang w:eastAsia="zh-CN"/>
              </w:rPr>
              <w:t>面向国际市场长寿命耐腐蚀回转支承产业化项</w:t>
            </w:r>
            <w:r>
              <w:rPr>
                <w:rFonts w:hint="default" w:ascii="Times New Roman" w:hAnsi="Times New Roman" w:eastAsia="宋体" w:cs="Times New Roman"/>
                <w:b w:val="0"/>
                <w:bCs w:val="0"/>
                <w:color w:val="000000"/>
                <w:sz w:val="24"/>
                <w:szCs w:val="22"/>
                <w:lang w:eastAsia="zh-CN"/>
              </w:rPr>
              <w:t>目环境影响报告表》予以批复，同意该项目的建设（批复文号：宁环审批</w:t>
            </w:r>
            <w:r>
              <w:rPr>
                <w:rFonts w:hint="default" w:ascii="Times New Roman" w:hAnsi="Times New Roman" w:eastAsia="宋体" w:cs="Times New Roman"/>
                <w:b w:val="0"/>
                <w:bCs w:val="0"/>
                <w:color w:val="000000"/>
                <w:sz w:val="24"/>
                <w:szCs w:val="22"/>
                <w:lang w:val="en-US" w:eastAsia="zh-CN"/>
              </w:rPr>
              <w:t>[</w:t>
            </w:r>
            <w:r>
              <w:rPr>
                <w:rFonts w:hint="default" w:ascii="Times New Roman" w:hAnsi="Times New Roman" w:eastAsia="宋体" w:cs="Times New Roman"/>
                <w:b w:val="0"/>
                <w:bCs w:val="0"/>
                <w:color w:val="000000"/>
                <w:sz w:val="24"/>
                <w:szCs w:val="22"/>
                <w:lang w:eastAsia="zh-CN"/>
              </w:rPr>
              <w:t>20</w:t>
            </w:r>
            <w:r>
              <w:rPr>
                <w:rFonts w:hint="default" w:ascii="Times New Roman" w:hAnsi="Times New Roman" w:eastAsia="宋体" w:cs="Times New Roman"/>
                <w:b w:val="0"/>
                <w:bCs w:val="0"/>
                <w:color w:val="000000"/>
                <w:sz w:val="24"/>
                <w:szCs w:val="22"/>
                <w:lang w:val="en-US" w:eastAsia="zh-CN"/>
              </w:rPr>
              <w:t>19]119</w:t>
            </w:r>
            <w:r>
              <w:rPr>
                <w:rFonts w:hint="default" w:ascii="Times New Roman" w:hAnsi="Times New Roman" w:eastAsia="宋体" w:cs="Times New Roman"/>
                <w:b w:val="0"/>
                <w:bCs w:val="0"/>
                <w:color w:val="000000"/>
                <w:sz w:val="24"/>
                <w:szCs w:val="22"/>
                <w:lang w:eastAsia="zh-CN"/>
              </w:rPr>
              <w:t>号）。</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2"/>
                <w:lang w:eastAsia="zh-CN"/>
              </w:rPr>
            </w:pPr>
            <w:r>
              <w:rPr>
                <w:rFonts w:hint="default" w:ascii="Times New Roman" w:hAnsi="Times New Roman" w:eastAsia="宋体" w:cs="Times New Roman"/>
                <w:b w:val="0"/>
                <w:bCs w:val="0"/>
                <w:color w:val="000000"/>
                <w:sz w:val="24"/>
                <w:szCs w:val="22"/>
                <w:lang w:eastAsia="zh-CN"/>
              </w:rPr>
              <w:t>依据建设项目竣工环境保护验收暂行办法第四条，“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的规定，202</w:t>
            </w:r>
            <w:r>
              <w:rPr>
                <w:rFonts w:hint="default" w:ascii="Times New Roman" w:hAnsi="Times New Roman" w:eastAsia="宋体" w:cs="Times New Roman"/>
                <w:b w:val="0"/>
                <w:bCs w:val="0"/>
                <w:color w:val="000000"/>
                <w:sz w:val="24"/>
                <w:szCs w:val="22"/>
                <w:lang w:val="en-US" w:eastAsia="zh-CN"/>
              </w:rPr>
              <w:t>2</w:t>
            </w:r>
            <w:r>
              <w:rPr>
                <w:rFonts w:hint="default" w:ascii="Times New Roman" w:hAnsi="Times New Roman" w:eastAsia="宋体" w:cs="Times New Roman"/>
                <w:b w:val="0"/>
                <w:bCs w:val="0"/>
                <w:color w:val="000000"/>
                <w:sz w:val="24"/>
                <w:szCs w:val="22"/>
                <w:lang w:eastAsia="zh-CN"/>
              </w:rPr>
              <w:t>年</w:t>
            </w:r>
            <w:r>
              <w:rPr>
                <w:rFonts w:hint="eastAsia" w:ascii="Times New Roman" w:hAnsi="Times New Roman" w:eastAsia="宋体" w:cs="Times New Roman"/>
                <w:b w:val="0"/>
                <w:bCs w:val="0"/>
                <w:color w:val="000000"/>
                <w:sz w:val="24"/>
                <w:szCs w:val="22"/>
                <w:lang w:val="en-US" w:eastAsia="zh-CN"/>
              </w:rPr>
              <w:t>2</w:t>
            </w:r>
            <w:r>
              <w:rPr>
                <w:rFonts w:hint="default" w:ascii="Times New Roman" w:hAnsi="Times New Roman" w:eastAsia="宋体" w:cs="Times New Roman"/>
                <w:b w:val="0"/>
                <w:bCs w:val="0"/>
                <w:color w:val="000000"/>
                <w:sz w:val="24"/>
                <w:szCs w:val="22"/>
                <w:lang w:eastAsia="zh-CN"/>
              </w:rPr>
              <w:t>月</w:t>
            </w:r>
            <w:r>
              <w:rPr>
                <w:rFonts w:hint="default" w:ascii="Times New Roman" w:hAnsi="Times New Roman" w:eastAsia="宋体" w:cs="Times New Roman"/>
                <w:color w:val="auto"/>
                <w:sz w:val="24"/>
                <w:lang w:eastAsia="zh-CN"/>
              </w:rPr>
              <w:t>安徽省宁国顺昌机械有限公司</w:t>
            </w:r>
            <w:r>
              <w:rPr>
                <w:rFonts w:hint="default" w:ascii="Times New Roman" w:hAnsi="Times New Roman" w:eastAsia="宋体" w:cs="Times New Roman"/>
                <w:b w:val="0"/>
                <w:bCs w:val="0"/>
                <w:color w:val="000000"/>
                <w:sz w:val="24"/>
                <w:szCs w:val="22"/>
                <w:lang w:eastAsia="zh-CN"/>
              </w:rPr>
              <w:t>成立了验收小组，并委托宁国市浚成环境检测有限公司组织</w:t>
            </w:r>
            <w:r>
              <w:rPr>
                <w:rFonts w:hint="default" w:ascii="Times New Roman" w:hAnsi="Times New Roman" w:eastAsia="宋体" w:cs="Times New Roman"/>
                <w:color w:val="auto"/>
                <w:sz w:val="24"/>
                <w:lang w:eastAsia="zh-CN"/>
              </w:rPr>
              <w:t>安徽省宁国顺昌机械有限公司</w:t>
            </w:r>
            <w:r>
              <w:rPr>
                <w:rFonts w:hint="default" w:ascii="Times New Roman" w:hAnsi="Times New Roman" w:eastAsia="宋体" w:cs="Times New Roman"/>
                <w:b w:val="0"/>
                <w:bCs w:val="0"/>
                <w:color w:val="000000"/>
                <w:sz w:val="24"/>
                <w:szCs w:val="22"/>
                <w:lang w:eastAsia="zh-CN"/>
              </w:rPr>
              <w:t>面向国际市场长寿命耐腐蚀回转支承产业化项目竣工环保验收。202</w:t>
            </w:r>
            <w:r>
              <w:rPr>
                <w:rFonts w:hint="default" w:ascii="Times New Roman" w:hAnsi="Times New Roman" w:eastAsia="宋体" w:cs="Times New Roman"/>
                <w:b w:val="0"/>
                <w:bCs w:val="0"/>
                <w:color w:val="000000"/>
                <w:sz w:val="24"/>
                <w:szCs w:val="22"/>
                <w:lang w:val="en-US" w:eastAsia="zh-CN"/>
              </w:rPr>
              <w:t>2</w:t>
            </w:r>
            <w:r>
              <w:rPr>
                <w:rFonts w:hint="default" w:ascii="Times New Roman" w:hAnsi="Times New Roman" w:eastAsia="宋体" w:cs="Times New Roman"/>
                <w:b w:val="0"/>
                <w:bCs w:val="0"/>
                <w:color w:val="000000"/>
                <w:sz w:val="24"/>
                <w:szCs w:val="22"/>
                <w:lang w:eastAsia="zh-CN"/>
              </w:rPr>
              <w:t>年</w:t>
            </w:r>
            <w:r>
              <w:rPr>
                <w:rFonts w:hint="default" w:ascii="Times New Roman" w:hAnsi="Times New Roman" w:eastAsia="宋体" w:cs="Times New Roman"/>
                <w:b w:val="0"/>
                <w:bCs w:val="0"/>
                <w:color w:val="000000"/>
                <w:sz w:val="24"/>
                <w:szCs w:val="22"/>
                <w:lang w:val="en-US" w:eastAsia="zh-CN"/>
              </w:rPr>
              <w:t>2</w:t>
            </w:r>
            <w:r>
              <w:rPr>
                <w:rFonts w:hint="default" w:ascii="Times New Roman" w:hAnsi="Times New Roman" w:eastAsia="宋体" w:cs="Times New Roman"/>
                <w:b w:val="0"/>
                <w:bCs w:val="0"/>
                <w:color w:val="000000"/>
                <w:sz w:val="24"/>
                <w:szCs w:val="22"/>
                <w:lang w:eastAsia="zh-CN"/>
              </w:rPr>
              <w:t>月</w:t>
            </w:r>
            <w:r>
              <w:rPr>
                <w:rFonts w:hint="default" w:ascii="Times New Roman" w:hAnsi="Times New Roman" w:eastAsia="宋体" w:cs="Times New Roman"/>
                <w:b w:val="0"/>
                <w:bCs w:val="0"/>
                <w:color w:val="000000"/>
                <w:sz w:val="24"/>
                <w:szCs w:val="22"/>
                <w:lang w:val="en-US" w:eastAsia="zh-CN"/>
              </w:rPr>
              <w:t>2</w:t>
            </w:r>
            <w:r>
              <w:rPr>
                <w:rFonts w:hint="eastAsia" w:ascii="Times New Roman" w:hAnsi="Times New Roman" w:eastAsia="宋体" w:cs="Times New Roman"/>
                <w:b w:val="0"/>
                <w:bCs w:val="0"/>
                <w:color w:val="000000"/>
                <w:sz w:val="24"/>
                <w:szCs w:val="22"/>
                <w:lang w:val="en-US" w:eastAsia="zh-CN"/>
              </w:rPr>
              <w:t>1</w:t>
            </w:r>
            <w:r>
              <w:rPr>
                <w:rFonts w:hint="default" w:ascii="Times New Roman" w:hAnsi="Times New Roman" w:eastAsia="宋体" w:cs="Times New Roman"/>
                <w:b w:val="0"/>
                <w:bCs w:val="0"/>
                <w:color w:val="000000"/>
                <w:sz w:val="24"/>
                <w:szCs w:val="22"/>
                <w:lang w:val="en-US" w:eastAsia="zh-CN"/>
              </w:rPr>
              <w:t>~2</w:t>
            </w:r>
            <w:r>
              <w:rPr>
                <w:rFonts w:hint="eastAsia" w:ascii="Times New Roman" w:hAnsi="Times New Roman" w:eastAsia="宋体" w:cs="Times New Roman"/>
                <w:b w:val="0"/>
                <w:bCs w:val="0"/>
                <w:color w:val="000000"/>
                <w:sz w:val="24"/>
                <w:szCs w:val="22"/>
                <w:lang w:val="en-US" w:eastAsia="zh-CN"/>
              </w:rPr>
              <w:t>2</w:t>
            </w:r>
            <w:r>
              <w:rPr>
                <w:rFonts w:hint="default" w:ascii="Times New Roman" w:hAnsi="Times New Roman" w:eastAsia="宋体" w:cs="Times New Roman"/>
                <w:b w:val="0"/>
                <w:bCs w:val="0"/>
                <w:color w:val="000000"/>
                <w:sz w:val="24"/>
                <w:szCs w:val="22"/>
                <w:lang w:val="en-US" w:eastAsia="zh-CN"/>
              </w:rPr>
              <w:t>日</w:t>
            </w:r>
            <w:r>
              <w:rPr>
                <w:rFonts w:hint="default" w:ascii="Times New Roman" w:hAnsi="Times New Roman" w:eastAsia="宋体" w:cs="Times New Roman"/>
                <w:b w:val="0"/>
                <w:bCs w:val="0"/>
                <w:color w:val="000000"/>
                <w:sz w:val="24"/>
                <w:szCs w:val="22"/>
                <w:lang w:eastAsia="zh-CN"/>
              </w:rPr>
              <w:t>，宁国市浚成环境检测有限公司组织检测机构对该项目开展现场检测工作，同时调查并核实项目环境保护工作落实情况，并编制完成《</w:t>
            </w:r>
            <w:r>
              <w:rPr>
                <w:rFonts w:hint="default" w:ascii="Times New Roman" w:hAnsi="Times New Roman" w:eastAsia="宋体" w:cs="Times New Roman"/>
                <w:color w:val="auto"/>
                <w:sz w:val="24"/>
                <w:lang w:eastAsia="zh-CN"/>
              </w:rPr>
              <w:t>安徽省宁国顺昌机械有限公司</w:t>
            </w:r>
            <w:r>
              <w:rPr>
                <w:rFonts w:hint="default" w:ascii="Times New Roman" w:hAnsi="Times New Roman" w:cs="Times New Roman"/>
                <w:sz w:val="24"/>
                <w:szCs w:val="24"/>
                <w:lang w:eastAsia="zh-CN"/>
              </w:rPr>
              <w:t>面向国际市场长寿命耐腐蚀回转支承产业化</w:t>
            </w:r>
            <w:r>
              <w:rPr>
                <w:rFonts w:hint="default" w:ascii="Times New Roman" w:hAnsi="Times New Roman" w:eastAsia="宋体" w:cs="Times New Roman"/>
                <w:b w:val="0"/>
                <w:bCs w:val="0"/>
                <w:color w:val="000000"/>
                <w:sz w:val="24"/>
                <w:szCs w:val="22"/>
                <w:lang w:eastAsia="zh-CN"/>
              </w:rPr>
              <w:t>项目竣工环境保护验收监测报告表》。</w:t>
            </w: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二、</w:t>
            </w:r>
            <w:r>
              <w:rPr>
                <w:rFonts w:hint="default" w:ascii="Times New Roman" w:hAnsi="Times New Roman" w:eastAsia="宋体" w:cs="Times New Roman"/>
                <w:b/>
                <w:bCs/>
                <w:sz w:val="24"/>
                <w:szCs w:val="24"/>
              </w:rPr>
              <w:t>工程建设内容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项目主要建设内容为</w:t>
            </w:r>
            <w:r>
              <w:rPr>
                <w:rFonts w:hint="default" w:ascii="Times New Roman" w:hAnsi="Times New Roman" w:eastAsia="宋体" w:cs="Times New Roman"/>
                <w:color w:val="auto"/>
                <w:sz w:val="24"/>
                <w:lang w:eastAsia="zh-CN"/>
              </w:rPr>
              <w:t>年产长寿命耐腐蚀回转支承3000套</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目前</w:t>
            </w:r>
            <w:r>
              <w:rPr>
                <w:rFonts w:hint="default" w:ascii="Times New Roman" w:hAnsi="Times New Roman" w:eastAsia="宋体" w:cs="Times New Roman"/>
                <w:sz w:val="24"/>
                <w:szCs w:val="24"/>
                <w:lang w:eastAsia="zh-CN"/>
              </w:rPr>
              <w:t>项目已基本</w:t>
            </w:r>
            <w:r>
              <w:rPr>
                <w:rFonts w:hint="default" w:ascii="Times New Roman" w:hAnsi="Times New Roman" w:eastAsia="宋体" w:cs="Times New Roman"/>
                <w:sz w:val="24"/>
                <w:szCs w:val="24"/>
              </w:rPr>
              <w:t>建设完成</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项目建设内容见</w:t>
            </w:r>
            <w:r>
              <w:rPr>
                <w:rFonts w:hint="default" w:ascii="Times New Roman" w:hAnsi="Times New Roman" w:eastAsia="宋体" w:cs="Times New Roman"/>
                <w:sz w:val="24"/>
                <w:szCs w:val="24"/>
                <w:lang w:eastAsia="zh-CN"/>
              </w:rPr>
              <w:t>下表</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2-1 项目建设内容</w:t>
            </w:r>
          </w:p>
          <w:tbl>
            <w:tblPr>
              <w:tblStyle w:val="1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973"/>
              <w:gridCol w:w="2968"/>
              <w:gridCol w:w="3016"/>
              <w:gridCol w:w="6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工程名称</w:t>
                  </w:r>
                </w:p>
              </w:tc>
              <w:tc>
                <w:tcPr>
                  <w:tcW w:w="588"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单项工程名称</w:t>
                  </w:r>
                </w:p>
              </w:tc>
              <w:tc>
                <w:tcPr>
                  <w:tcW w:w="1794"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工程内容与规模</w:t>
                  </w:r>
                </w:p>
              </w:tc>
              <w:tc>
                <w:tcPr>
                  <w:tcW w:w="1823"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工程内容与规模</w:t>
                  </w:r>
                </w:p>
              </w:tc>
              <w:tc>
                <w:tcPr>
                  <w:tcW w:w="417"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588" w:type="pct"/>
                  <w:tcBorders>
                    <w:tl2br w:val="nil"/>
                    <w:tr2bl w:val="nil"/>
                  </w:tcBorders>
                  <w:noWrap w:val="0"/>
                  <w:vAlign w:val="center"/>
                </w:tcPr>
                <w:p>
                  <w:pPr>
                    <w:keepNext w:val="0"/>
                    <w:keepLines w:val="0"/>
                    <w:pageBreakBefore w:val="0"/>
                    <w:widowControl w:val="0"/>
                    <w:tabs>
                      <w:tab w:val="left" w:pos="3255"/>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1#厂房</w:t>
                  </w:r>
                </w:p>
              </w:tc>
              <w:tc>
                <w:tcPr>
                  <w:tcW w:w="1794" w:type="pct"/>
                  <w:tcBorders>
                    <w:tl2br w:val="nil"/>
                    <w:tr2bl w:val="nil"/>
                  </w:tcBorders>
                  <w:noWrap w:val="0"/>
                  <w:vAlign w:val="center"/>
                </w:tcPr>
                <w:p>
                  <w:pPr>
                    <w:keepNext w:val="0"/>
                    <w:keepLines w:val="0"/>
                    <w:pageBreakBefore w:val="0"/>
                    <w:widowControl w:val="0"/>
                    <w:tabs>
                      <w:tab w:val="left" w:pos="3255"/>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color w:val="auto"/>
                      <w:szCs w:val="21"/>
                      <w:lang w:val="en-US" w:eastAsia="zh-CN"/>
                    </w:rPr>
                    <w:t>钢结构厂房1栋，建筑面积约4000m</w:t>
                  </w:r>
                  <w:r>
                    <w:rPr>
                      <w:rFonts w:hint="default" w:ascii="Times New Roman" w:hAnsi="Times New Roman" w:cs="Times New Roman"/>
                      <w:color w:val="auto"/>
                      <w:szCs w:val="21"/>
                      <w:vertAlign w:val="superscript"/>
                      <w:lang w:val="en-US" w:eastAsia="zh-CN"/>
                    </w:rPr>
                    <w:t>2</w:t>
                  </w:r>
                  <w:r>
                    <w:rPr>
                      <w:rFonts w:hint="default" w:ascii="Times New Roman" w:hAnsi="Times New Roman" w:cs="Times New Roman"/>
                      <w:color w:val="auto"/>
                      <w:szCs w:val="21"/>
                      <w:lang w:val="en-US" w:eastAsia="zh-CN"/>
                    </w:rPr>
                    <w:t>，回转支承生产车间，购置安装CNC加工中心及滚齿机、铣齿机等国际先进设备</w:t>
                  </w:r>
                  <w:r>
                    <w:rPr>
                      <w:rFonts w:hint="eastAsia" w:ascii="Times New Roman" w:hAnsi="Times New Roman" w:cs="Times New Roman"/>
                      <w:color w:val="auto"/>
                      <w:szCs w:val="21"/>
                      <w:lang w:val="en-US" w:eastAsia="zh-CN"/>
                    </w:rPr>
                    <w:t>，年产长寿命耐腐蚀回转支承3000套</w:t>
                  </w:r>
                  <w:r>
                    <w:rPr>
                      <w:rFonts w:hint="default" w:ascii="Times New Roman" w:hAnsi="Times New Roman" w:cs="Times New Roman"/>
                      <w:color w:val="auto"/>
                      <w:szCs w:val="21"/>
                      <w:lang w:val="en-US" w:eastAsia="zh-CN"/>
                    </w:rPr>
                    <w:t>。</w:t>
                  </w:r>
                </w:p>
              </w:tc>
              <w:tc>
                <w:tcPr>
                  <w:tcW w:w="1823" w:type="pct"/>
                  <w:tcBorders>
                    <w:tl2br w:val="nil"/>
                    <w:tr2bl w:val="nil"/>
                  </w:tcBorders>
                  <w:noWrap w:val="0"/>
                  <w:vAlign w:val="center"/>
                </w:tcPr>
                <w:p>
                  <w:pPr>
                    <w:keepNext w:val="0"/>
                    <w:keepLines w:val="0"/>
                    <w:pageBreakBefore w:val="0"/>
                    <w:widowControl w:val="0"/>
                    <w:tabs>
                      <w:tab w:val="left" w:pos="3255"/>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钢结构厂房1栋，建筑面积约4000m</w:t>
                  </w:r>
                  <w:r>
                    <w:rPr>
                      <w:rFonts w:hint="default" w:ascii="Times New Roman" w:hAnsi="Times New Roman" w:cs="Times New Roman"/>
                      <w:color w:val="auto"/>
                      <w:szCs w:val="21"/>
                      <w:vertAlign w:val="superscript"/>
                      <w:lang w:val="en-US" w:eastAsia="zh-CN"/>
                    </w:rPr>
                    <w:t>2</w:t>
                  </w:r>
                  <w:r>
                    <w:rPr>
                      <w:rFonts w:hint="default" w:ascii="Times New Roman" w:hAnsi="Times New Roman" w:cs="Times New Roman"/>
                      <w:color w:val="auto"/>
                      <w:szCs w:val="21"/>
                      <w:lang w:val="en-US" w:eastAsia="zh-CN"/>
                    </w:rPr>
                    <w:t>，回转支承生产车间，购置安装CNC加工中心及滚齿机、铣齿机等国际先进设备</w:t>
                  </w:r>
                  <w:r>
                    <w:rPr>
                      <w:rFonts w:hint="eastAsia" w:ascii="Times New Roman" w:hAnsi="Times New Roman" w:cs="Times New Roman"/>
                      <w:color w:val="auto"/>
                      <w:szCs w:val="21"/>
                      <w:lang w:val="en-US" w:eastAsia="zh-CN"/>
                    </w:rPr>
                    <w:t>，年产长寿命耐腐蚀回转支承3000套</w:t>
                  </w:r>
                  <w:r>
                    <w:rPr>
                      <w:rFonts w:hint="default" w:ascii="Times New Roman" w:hAnsi="Times New Roman" w:cs="Times New Roman"/>
                      <w:color w:val="auto"/>
                      <w:szCs w:val="21"/>
                      <w:lang w:val="en-US" w:eastAsia="zh-CN"/>
                    </w:rPr>
                    <w:t>。</w:t>
                  </w:r>
                </w:p>
              </w:tc>
              <w:tc>
                <w:tcPr>
                  <w:tcW w:w="4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lang w:eastAsia="zh-CN"/>
                    </w:rPr>
                  </w:pPr>
                  <w:r>
                    <w:rPr>
                      <w:rFonts w:hint="default" w:ascii="Times New Roman" w:hAnsi="Times New Roman" w:cs="Times New Roman"/>
                      <w:lang w:eastAsia="zh-CN"/>
                    </w:rPr>
                    <w:t>辅助工程</w:t>
                  </w:r>
                </w:p>
              </w:tc>
              <w:tc>
                <w:tcPr>
                  <w:tcW w:w="588" w:type="pct"/>
                  <w:tcBorders>
                    <w:tl2br w:val="nil"/>
                    <w:tr2bl w:val="nil"/>
                  </w:tcBorders>
                  <w:noWrap w:val="0"/>
                  <w:vAlign w:val="center"/>
                </w:tcPr>
                <w:p>
                  <w:pPr>
                    <w:tabs>
                      <w:tab w:val="left" w:pos="3255"/>
                    </w:tabs>
                    <w:adjustRightInd w:val="0"/>
                    <w:snapToGrid w:val="0"/>
                    <w:spacing w:line="360" w:lineRule="exact"/>
                    <w:jc w:val="center"/>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color w:val="auto"/>
                      <w:szCs w:val="21"/>
                    </w:rPr>
                    <w:t>办公</w:t>
                  </w:r>
                  <w:r>
                    <w:rPr>
                      <w:rFonts w:hint="default" w:ascii="Times New Roman" w:hAnsi="Times New Roman" w:cs="Times New Roman"/>
                      <w:color w:val="auto"/>
                      <w:szCs w:val="21"/>
                      <w:lang w:eastAsia="zh-CN"/>
                    </w:rPr>
                    <w:t>楼</w:t>
                  </w:r>
                </w:p>
              </w:tc>
              <w:tc>
                <w:tcPr>
                  <w:tcW w:w="1794" w:type="pct"/>
                  <w:tcBorders>
                    <w:tl2br w:val="nil"/>
                    <w:tr2bl w:val="nil"/>
                  </w:tcBorders>
                  <w:noWrap w:val="0"/>
                  <w:vAlign w:val="center"/>
                </w:tcPr>
                <w:p>
                  <w:pPr>
                    <w:tabs>
                      <w:tab w:val="left" w:pos="3255"/>
                    </w:tabs>
                    <w:adjustRightInd w:val="0"/>
                    <w:snapToGrid w:val="0"/>
                    <w:spacing w:line="36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color w:val="auto"/>
                      <w:kern w:val="0"/>
                      <w:szCs w:val="21"/>
                    </w:rPr>
                    <w:t>建筑面积600</w:t>
                  </w:r>
                  <w:r>
                    <w:rPr>
                      <w:rFonts w:hint="default" w:ascii="Times New Roman" w:hAnsi="Times New Roman" w:cs="Times New Roman"/>
                      <w:color w:val="auto"/>
                      <w:kern w:val="0"/>
                      <w:szCs w:val="21"/>
                      <w:lang w:val="en-US" w:eastAsia="zh-CN"/>
                    </w:rPr>
                    <w:t>m</w:t>
                  </w:r>
                  <w:r>
                    <w:rPr>
                      <w:rFonts w:hint="default" w:ascii="Times New Roman" w:hAnsi="Times New Roman" w:cs="Times New Roman"/>
                      <w:color w:val="auto"/>
                      <w:kern w:val="0"/>
                      <w:szCs w:val="21"/>
                      <w:vertAlign w:val="superscript"/>
                      <w:lang w:val="en-US" w:eastAsia="zh-CN"/>
                    </w:rPr>
                    <w:t>2</w:t>
                  </w:r>
                  <w:r>
                    <w:rPr>
                      <w:rFonts w:hint="default" w:ascii="Times New Roman" w:hAnsi="Times New Roman" w:cs="Times New Roman"/>
                      <w:color w:val="auto"/>
                      <w:kern w:val="0"/>
                      <w:szCs w:val="21"/>
                    </w:rPr>
                    <w:t>，用于行政办公、业务接待等</w:t>
                  </w:r>
                  <w:r>
                    <w:rPr>
                      <w:rFonts w:hint="default" w:ascii="Times New Roman" w:hAnsi="Times New Roman" w:cs="Times New Roman"/>
                      <w:color w:val="auto"/>
                      <w:kern w:val="0"/>
                      <w:szCs w:val="21"/>
                      <w:lang w:eastAsia="zh-CN"/>
                    </w:rPr>
                    <w:t>。</w:t>
                  </w:r>
                </w:p>
              </w:tc>
              <w:tc>
                <w:tcPr>
                  <w:tcW w:w="1823" w:type="pct"/>
                  <w:tcBorders>
                    <w:tl2br w:val="nil"/>
                    <w:tr2bl w:val="nil"/>
                  </w:tcBorders>
                  <w:noWrap w:val="0"/>
                  <w:vAlign w:val="center"/>
                </w:tcPr>
                <w:p>
                  <w:pPr>
                    <w:tabs>
                      <w:tab w:val="left" w:pos="3255"/>
                    </w:tabs>
                    <w:adjustRightInd w:val="0"/>
                    <w:snapToGrid w:val="0"/>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0"/>
                      <w:szCs w:val="21"/>
                    </w:rPr>
                    <w:t>位于</w:t>
                  </w:r>
                  <w:r>
                    <w:rPr>
                      <w:rFonts w:hint="default" w:ascii="Times New Roman" w:hAnsi="Times New Roman" w:cs="Times New Roman"/>
                      <w:color w:val="auto"/>
                      <w:kern w:val="0"/>
                      <w:szCs w:val="21"/>
                      <w:lang w:eastAsia="zh-CN"/>
                    </w:rPr>
                    <w:t>厂区</w:t>
                  </w:r>
                  <w:r>
                    <w:rPr>
                      <w:rFonts w:hint="default" w:ascii="Times New Roman" w:hAnsi="Times New Roman" w:cs="Times New Roman"/>
                      <w:color w:val="auto"/>
                      <w:kern w:val="0"/>
                      <w:szCs w:val="21"/>
                      <w:lang w:val="en-US" w:eastAsia="zh-CN"/>
                    </w:rPr>
                    <w:t>北</w:t>
                  </w:r>
                  <w:r>
                    <w:rPr>
                      <w:rFonts w:hint="default" w:ascii="Times New Roman" w:hAnsi="Times New Roman" w:cs="Times New Roman"/>
                      <w:color w:val="auto"/>
                      <w:kern w:val="0"/>
                      <w:szCs w:val="21"/>
                    </w:rPr>
                    <w:t>侧，建筑面积600</w:t>
                  </w:r>
                  <w:r>
                    <w:rPr>
                      <w:rFonts w:hint="default" w:ascii="Times New Roman" w:hAnsi="Times New Roman" w:cs="Times New Roman"/>
                      <w:color w:val="auto"/>
                      <w:kern w:val="0"/>
                      <w:szCs w:val="21"/>
                      <w:lang w:val="en-US" w:eastAsia="zh-CN"/>
                    </w:rPr>
                    <w:t>m</w:t>
                  </w:r>
                  <w:r>
                    <w:rPr>
                      <w:rFonts w:hint="default" w:ascii="Times New Roman" w:hAnsi="Times New Roman" w:cs="Times New Roman"/>
                      <w:color w:val="auto"/>
                      <w:kern w:val="0"/>
                      <w:szCs w:val="21"/>
                      <w:vertAlign w:val="superscript"/>
                      <w:lang w:val="en-US" w:eastAsia="zh-CN"/>
                    </w:rPr>
                    <w:t>2</w:t>
                  </w:r>
                  <w:r>
                    <w:rPr>
                      <w:rFonts w:hint="default" w:ascii="Times New Roman" w:hAnsi="Times New Roman" w:cs="Times New Roman"/>
                      <w:color w:val="auto"/>
                      <w:kern w:val="0"/>
                      <w:szCs w:val="21"/>
                    </w:rPr>
                    <w:t>，用于行政办公、业务接待等</w:t>
                  </w:r>
                  <w:r>
                    <w:rPr>
                      <w:rFonts w:hint="default" w:ascii="Times New Roman" w:hAnsi="Times New Roman" w:cs="Times New Roman"/>
                      <w:color w:val="auto"/>
                      <w:kern w:val="0"/>
                      <w:szCs w:val="21"/>
                      <w:lang w:eastAsia="zh-CN"/>
                    </w:rPr>
                    <w:t>。</w:t>
                  </w:r>
                </w:p>
              </w:tc>
              <w:tc>
                <w:tcPr>
                  <w:tcW w:w="4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lang w:eastAsia="zh-CN"/>
                    </w:rPr>
                  </w:pPr>
                  <w:r>
                    <w:rPr>
                      <w:rFonts w:hint="default" w:ascii="Times New Roman" w:hAnsi="Times New Roman" w:cs="Times New Roman"/>
                      <w:lang w:eastAsia="zh-CN"/>
                    </w:rPr>
                    <w:t>贮运工程</w:t>
                  </w:r>
                </w:p>
              </w:tc>
              <w:tc>
                <w:tcPr>
                  <w:tcW w:w="588" w:type="pct"/>
                  <w:tcBorders>
                    <w:tl2br w:val="nil"/>
                    <w:tr2bl w:val="nil"/>
                  </w:tcBorders>
                  <w:noWrap w:val="0"/>
                  <w:vAlign w:val="center"/>
                </w:tcPr>
                <w:p>
                  <w:pPr>
                    <w:tabs>
                      <w:tab w:val="left" w:pos="3255"/>
                    </w:tabs>
                    <w:adjustRightInd w:val="0"/>
                    <w:snapToGrid w:val="0"/>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color w:val="auto"/>
                      <w:szCs w:val="21"/>
                      <w:lang w:eastAsia="zh-CN"/>
                    </w:rPr>
                    <w:t>仓库</w:t>
                  </w:r>
                </w:p>
              </w:tc>
              <w:tc>
                <w:tcPr>
                  <w:tcW w:w="1794" w:type="pc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0"/>
                      <w:szCs w:val="21"/>
                      <w:lang w:eastAsia="zh-CN"/>
                    </w:rPr>
                    <w:t>分别位于1#和2#厂房旁，建筑面积2200</w:t>
                  </w:r>
                  <w:r>
                    <w:rPr>
                      <w:rFonts w:hint="default" w:ascii="Times New Roman" w:hAnsi="Times New Roman" w:cs="Times New Roman"/>
                      <w:color w:val="auto"/>
                      <w:kern w:val="0"/>
                      <w:szCs w:val="21"/>
                      <w:lang w:val="en-US" w:eastAsia="zh-CN"/>
                    </w:rPr>
                    <w:t>m</w:t>
                  </w:r>
                  <w:r>
                    <w:rPr>
                      <w:rFonts w:hint="default" w:ascii="Times New Roman" w:hAnsi="Times New Roman" w:cs="Times New Roman"/>
                      <w:color w:val="auto"/>
                      <w:kern w:val="0"/>
                      <w:szCs w:val="21"/>
                      <w:vertAlign w:val="superscript"/>
                      <w:lang w:val="en-US" w:eastAsia="zh-CN"/>
                    </w:rPr>
                    <w:t>2</w:t>
                  </w:r>
                  <w:r>
                    <w:rPr>
                      <w:rFonts w:hint="default" w:ascii="Times New Roman" w:hAnsi="Times New Roman" w:cs="Times New Roman"/>
                      <w:color w:val="auto"/>
                      <w:kern w:val="0"/>
                      <w:szCs w:val="21"/>
                      <w:lang w:eastAsia="zh-CN"/>
                    </w:rPr>
                    <w:t>。用于原材料的储存</w:t>
                  </w:r>
                  <w:r>
                    <w:rPr>
                      <w:rFonts w:hint="default" w:ascii="Times New Roman" w:hAnsi="Times New Roman" w:eastAsia="宋体" w:cs="Times New Roman"/>
                      <w:color w:val="auto"/>
                      <w:szCs w:val="21"/>
                      <w:lang w:eastAsia="zh-CN"/>
                    </w:rPr>
                    <w:t>。</w:t>
                  </w:r>
                </w:p>
              </w:tc>
              <w:tc>
                <w:tcPr>
                  <w:tcW w:w="1823" w:type="pc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0"/>
                      <w:szCs w:val="21"/>
                      <w:lang w:eastAsia="zh-CN"/>
                    </w:rPr>
                    <w:t>分别位于1#和2#厂房旁，建筑面积2200</w:t>
                  </w:r>
                  <w:r>
                    <w:rPr>
                      <w:rFonts w:hint="default" w:ascii="Times New Roman" w:hAnsi="Times New Roman" w:cs="Times New Roman"/>
                      <w:color w:val="auto"/>
                      <w:kern w:val="0"/>
                      <w:szCs w:val="21"/>
                      <w:lang w:val="en-US" w:eastAsia="zh-CN"/>
                    </w:rPr>
                    <w:t>m</w:t>
                  </w:r>
                  <w:r>
                    <w:rPr>
                      <w:rFonts w:hint="default" w:ascii="Times New Roman" w:hAnsi="Times New Roman" w:cs="Times New Roman"/>
                      <w:color w:val="auto"/>
                      <w:kern w:val="0"/>
                      <w:szCs w:val="21"/>
                      <w:vertAlign w:val="superscript"/>
                      <w:lang w:val="en-US" w:eastAsia="zh-CN"/>
                    </w:rPr>
                    <w:t>2</w:t>
                  </w:r>
                  <w:r>
                    <w:rPr>
                      <w:rFonts w:hint="default" w:ascii="Times New Roman" w:hAnsi="Times New Roman" w:cs="Times New Roman"/>
                      <w:color w:val="auto"/>
                      <w:kern w:val="0"/>
                      <w:szCs w:val="21"/>
                      <w:lang w:eastAsia="zh-CN"/>
                    </w:rPr>
                    <w:t>。用于原材料的储存</w:t>
                  </w:r>
                  <w:r>
                    <w:rPr>
                      <w:rFonts w:hint="default" w:ascii="Times New Roman" w:hAnsi="Times New Roman" w:eastAsia="宋体" w:cs="Times New Roman"/>
                      <w:color w:val="auto"/>
                      <w:szCs w:val="21"/>
                      <w:lang w:eastAsia="zh-CN"/>
                    </w:rPr>
                    <w:t>。</w:t>
                  </w:r>
                </w:p>
              </w:tc>
              <w:tc>
                <w:tcPr>
                  <w:tcW w:w="4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vMerge w:val="restar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公用工程</w:t>
                  </w: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供电</w:t>
                  </w:r>
                </w:p>
              </w:tc>
              <w:tc>
                <w:tcPr>
                  <w:tcW w:w="17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Cs w:val="21"/>
                    </w:rPr>
                    <w:t>项目用电接自开发区供电线路，年用电量</w:t>
                  </w:r>
                  <w:r>
                    <w:rPr>
                      <w:rFonts w:hint="default" w:ascii="Times New Roman" w:hAnsi="Times New Roman" w:eastAsia="宋体" w:cs="Times New Roman"/>
                      <w:color w:val="auto"/>
                      <w:szCs w:val="21"/>
                      <w:lang w:val="en-US" w:eastAsia="zh-CN"/>
                    </w:rPr>
                    <w:t>1</w:t>
                  </w:r>
                  <w:r>
                    <w:rPr>
                      <w:rFonts w:hint="eastAsia" w:ascii="Times New Roman" w:hAnsi="Times New Roman" w:eastAsia="宋体" w:cs="Times New Roman"/>
                      <w:color w:val="auto"/>
                      <w:szCs w:val="21"/>
                      <w:lang w:val="en-US" w:eastAsia="zh-CN"/>
                    </w:rPr>
                    <w:t>8</w:t>
                  </w:r>
                  <w:r>
                    <w:rPr>
                      <w:rFonts w:hint="default" w:ascii="Times New Roman" w:hAnsi="Times New Roman" w:eastAsia="宋体" w:cs="Times New Roman"/>
                      <w:color w:val="auto"/>
                      <w:szCs w:val="21"/>
                    </w:rPr>
                    <w:t>万kwh。</w:t>
                  </w:r>
                </w:p>
              </w:tc>
              <w:tc>
                <w:tcPr>
                  <w:tcW w:w="18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Cs w:val="21"/>
                    </w:rPr>
                    <w:t>项目用电接自</w:t>
                  </w:r>
                  <w:r>
                    <w:rPr>
                      <w:rFonts w:hint="default" w:ascii="Times New Roman" w:hAnsi="Times New Roman" w:eastAsia="宋体" w:cs="Times New Roman"/>
                      <w:bCs/>
                      <w:color w:val="auto"/>
                      <w:szCs w:val="21"/>
                      <w:lang w:eastAsia="zh-CN"/>
                    </w:rPr>
                    <w:t>市政</w:t>
                  </w:r>
                  <w:r>
                    <w:rPr>
                      <w:rFonts w:hint="default" w:ascii="Times New Roman" w:hAnsi="Times New Roman" w:eastAsia="宋体" w:cs="Times New Roman"/>
                      <w:bCs/>
                      <w:color w:val="auto"/>
                      <w:szCs w:val="21"/>
                    </w:rPr>
                    <w:t>供电线路</w:t>
                  </w:r>
                  <w:r>
                    <w:rPr>
                      <w:rFonts w:hint="default" w:ascii="Times New Roman" w:hAnsi="Times New Roman" w:eastAsia="宋体" w:cs="Times New Roman"/>
                      <w:bCs/>
                      <w:color w:val="auto"/>
                      <w:szCs w:val="21"/>
                      <w:lang w:val="en-US" w:eastAsia="zh-CN"/>
                    </w:rPr>
                    <w:t>，</w:t>
                  </w:r>
                  <w:r>
                    <w:rPr>
                      <w:rFonts w:hint="default" w:ascii="Times New Roman" w:hAnsi="Times New Roman" w:eastAsia="宋体" w:cs="Times New Roman"/>
                      <w:bCs/>
                      <w:color w:val="auto"/>
                      <w:szCs w:val="21"/>
                    </w:rPr>
                    <w:t>年用电量</w:t>
                  </w:r>
                  <w:r>
                    <w:rPr>
                      <w:rFonts w:hint="default" w:ascii="Times New Roman" w:hAnsi="Times New Roman" w:eastAsia="宋体" w:cs="Times New Roman"/>
                      <w:bCs/>
                      <w:color w:val="auto"/>
                      <w:szCs w:val="21"/>
                      <w:lang w:val="en-US" w:eastAsia="zh-CN"/>
                    </w:rPr>
                    <w:t>1</w:t>
                  </w:r>
                  <w:r>
                    <w:rPr>
                      <w:rFonts w:hint="eastAsia" w:ascii="Times New Roman" w:hAnsi="Times New Roman" w:eastAsia="宋体" w:cs="Times New Roman"/>
                      <w:bCs/>
                      <w:color w:val="auto"/>
                      <w:szCs w:val="21"/>
                      <w:lang w:val="en-US" w:eastAsia="zh-CN"/>
                    </w:rPr>
                    <w:t>5</w:t>
                  </w:r>
                  <w:r>
                    <w:rPr>
                      <w:rFonts w:hint="default" w:ascii="Times New Roman" w:hAnsi="Times New Roman" w:eastAsia="宋体" w:cs="Times New Roman"/>
                      <w:bCs/>
                      <w:color w:val="auto"/>
                      <w:szCs w:val="21"/>
                    </w:rPr>
                    <w:t>万</w:t>
                  </w:r>
                  <w:r>
                    <w:rPr>
                      <w:rFonts w:hint="default" w:ascii="Times New Roman" w:hAnsi="Times New Roman" w:eastAsia="宋体" w:cs="Times New Roman"/>
                      <w:bCs/>
                      <w:color w:val="auto"/>
                      <w:szCs w:val="21"/>
                      <w:lang w:val="en-US" w:eastAsia="zh-CN"/>
                    </w:rPr>
                    <w:t>kwh。</w:t>
                  </w:r>
                </w:p>
              </w:tc>
              <w:tc>
                <w:tcPr>
                  <w:tcW w:w="4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基本一致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供</w:t>
                  </w:r>
                  <w:r>
                    <w:rPr>
                      <w:rFonts w:hint="default" w:ascii="Times New Roman" w:hAnsi="Times New Roman" w:eastAsia="宋体" w:cs="Times New Roman"/>
                      <w:sz w:val="21"/>
                      <w:szCs w:val="21"/>
                    </w:rPr>
                    <w:t>水</w:t>
                  </w:r>
                </w:p>
              </w:tc>
              <w:tc>
                <w:tcPr>
                  <w:tcW w:w="17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Cs w:val="21"/>
                    </w:rPr>
                    <w:t>项目用水取自开发区市政供水管网，主要为职工生活用水，年用水量</w:t>
                  </w:r>
                  <w:r>
                    <w:rPr>
                      <w:rFonts w:hint="eastAsia" w:ascii="Times New Roman" w:hAnsi="Times New Roman" w:eastAsia="宋体" w:cs="Times New Roman"/>
                      <w:color w:val="auto"/>
                      <w:szCs w:val="21"/>
                      <w:lang w:val="en-US" w:eastAsia="zh-CN"/>
                    </w:rPr>
                    <w:t>93</w:t>
                  </w:r>
                  <w:r>
                    <w:rPr>
                      <w:rFonts w:hint="default" w:ascii="Times New Roman" w:hAnsi="Times New Roman" w:eastAsia="宋体" w:cs="Times New Roman"/>
                      <w:color w:val="auto"/>
                      <w:szCs w:val="21"/>
                    </w:rPr>
                    <w:t>0m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8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color w:val="auto"/>
                      <w:szCs w:val="21"/>
                    </w:rPr>
                    <w:t>项目用水取自市政供水管网</w:t>
                  </w:r>
                  <w:r>
                    <w:rPr>
                      <w:rFonts w:hint="default" w:ascii="Times New Roman" w:hAnsi="Times New Roman" w:eastAsia="宋体" w:cs="Times New Roman"/>
                      <w:color w:val="auto"/>
                      <w:szCs w:val="21"/>
                      <w:lang w:eastAsia="zh-CN"/>
                    </w:rPr>
                    <w:t>，年用水量</w:t>
                  </w:r>
                  <w:r>
                    <w:rPr>
                      <w:rFonts w:hint="eastAsia" w:ascii="Times New Roman" w:hAnsi="Times New Roman" w:eastAsia="宋体" w:cs="Times New Roman"/>
                      <w:color w:val="auto"/>
                      <w:szCs w:val="21"/>
                      <w:lang w:val="en-US" w:eastAsia="zh-CN"/>
                    </w:rPr>
                    <w:t>945</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eastAsia="zh-CN"/>
                    </w:rPr>
                    <w:t>。</w:t>
                  </w:r>
                </w:p>
              </w:tc>
              <w:tc>
                <w:tcPr>
                  <w:tcW w:w="4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基本一致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5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排水</w:t>
                  </w:r>
                </w:p>
              </w:tc>
              <w:tc>
                <w:tcPr>
                  <w:tcW w:w="17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cs="Times New Roman"/>
                      <w:color w:val="auto"/>
                      <w:sz w:val="21"/>
                      <w:szCs w:val="21"/>
                      <w:lang w:val="en-US" w:eastAsia="zh-CN"/>
                    </w:rPr>
                    <w:t>依托现有雨污管网，雨水收集后排入市政管网；生活污水经化粪池预处理后，通过开发区污水管网排入南山污水处理厂。</w:t>
                  </w:r>
                </w:p>
              </w:tc>
              <w:tc>
                <w:tcPr>
                  <w:tcW w:w="18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lang w:val="en-US" w:eastAsia="zh-CN"/>
                    </w:rPr>
                    <w:t>依托现有雨污管网，雨水收集后排入市政管网；生活污水经化粪池预处理后，通过开发区污水管网排入南山污水处理厂。</w:t>
                  </w:r>
                </w:p>
              </w:tc>
              <w:tc>
                <w:tcPr>
                  <w:tcW w:w="4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vMerge w:val="restar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588"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废气处理</w:t>
                  </w:r>
                </w:p>
              </w:tc>
              <w:tc>
                <w:tcPr>
                  <w:tcW w:w="1794" w:type="pct"/>
                  <w:tcBorders>
                    <w:tl2br w:val="nil"/>
                    <w:tr2bl w:val="nil"/>
                  </w:tcBorders>
                  <w:noWrap w:val="0"/>
                  <w:vAlign w:val="center"/>
                </w:tcPr>
                <w:p>
                  <w:pPr>
                    <w:pStyle w:val="18"/>
                    <w:snapToGrid w:val="0"/>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2"/>
                      <w:sz w:val="21"/>
                      <w:szCs w:val="21"/>
                      <w:lang w:val="en-US" w:eastAsia="zh-CN" w:bidi="ar-SA"/>
                    </w:rPr>
                    <w:t>淬火产生的</w:t>
                  </w:r>
                  <w:r>
                    <w:rPr>
                      <w:rFonts w:hint="eastAsia" w:ascii="Times New Roman" w:hAnsi="Times New Roman" w:cs="Times New Roman"/>
                      <w:color w:val="auto"/>
                      <w:kern w:val="2"/>
                      <w:sz w:val="21"/>
                      <w:szCs w:val="21"/>
                      <w:lang w:val="en-US" w:eastAsia="zh-CN" w:bidi="ar-SA"/>
                    </w:rPr>
                    <w:t>有机废气</w:t>
                  </w:r>
                  <w:r>
                    <w:rPr>
                      <w:rFonts w:hint="default" w:ascii="Times New Roman" w:hAnsi="Times New Roman" w:cs="Times New Roman"/>
                      <w:color w:val="auto"/>
                      <w:kern w:val="2"/>
                      <w:sz w:val="21"/>
                      <w:szCs w:val="21"/>
                      <w:lang w:val="en-US" w:eastAsia="zh-CN" w:bidi="ar-SA"/>
                    </w:rPr>
                    <w:t>经集气罩收集后，通过工业油烟净化器+UV光解+活性炭吸附处理后，15米高排气筒</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DA001</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auto"/>
                      <w:kern w:val="2"/>
                      <w:sz w:val="21"/>
                      <w:szCs w:val="21"/>
                      <w:lang w:val="en-US" w:eastAsia="zh-CN" w:bidi="ar-SA"/>
                    </w:rPr>
                    <w:t>排放</w:t>
                  </w:r>
                  <w:r>
                    <w:rPr>
                      <w:rFonts w:hint="default" w:ascii="Times New Roman" w:hAnsi="Times New Roman" w:cs="Times New Roman"/>
                      <w:color w:val="000000" w:themeColor="text1"/>
                      <w:szCs w:val="21"/>
                      <w:lang w:eastAsia="zh-CN"/>
                      <w14:textFill>
                        <w14:solidFill>
                          <w14:schemeClr w14:val="tx1"/>
                        </w14:solidFill>
                      </w14:textFill>
                    </w:rPr>
                    <w:t>。</w:t>
                  </w:r>
                </w:p>
              </w:tc>
              <w:tc>
                <w:tcPr>
                  <w:tcW w:w="1823" w:type="pct"/>
                  <w:tcBorders>
                    <w:tl2br w:val="nil"/>
                    <w:tr2bl w:val="nil"/>
                  </w:tcBorders>
                  <w:noWrap w:val="0"/>
                  <w:vAlign w:val="center"/>
                </w:tcPr>
                <w:p>
                  <w:pPr>
                    <w:pStyle w:val="18"/>
                    <w:snapToGrid w:val="0"/>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2"/>
                      <w:sz w:val="21"/>
                      <w:szCs w:val="21"/>
                      <w:lang w:val="en-US" w:eastAsia="zh-CN" w:bidi="ar-SA"/>
                    </w:rPr>
                    <w:t>淬火产生的</w:t>
                  </w:r>
                  <w:r>
                    <w:rPr>
                      <w:rFonts w:hint="eastAsia" w:ascii="Times New Roman" w:hAnsi="Times New Roman" w:cs="Times New Roman"/>
                      <w:color w:val="auto"/>
                      <w:kern w:val="2"/>
                      <w:sz w:val="21"/>
                      <w:szCs w:val="21"/>
                      <w:lang w:val="en-US" w:eastAsia="zh-CN" w:bidi="ar-SA"/>
                    </w:rPr>
                    <w:t>有机废气</w:t>
                  </w:r>
                  <w:r>
                    <w:rPr>
                      <w:rFonts w:hint="default" w:ascii="Times New Roman" w:hAnsi="Times New Roman" w:cs="Times New Roman"/>
                      <w:color w:val="auto"/>
                      <w:kern w:val="2"/>
                      <w:sz w:val="21"/>
                      <w:szCs w:val="21"/>
                      <w:lang w:val="en-US" w:eastAsia="zh-CN" w:bidi="ar-SA"/>
                    </w:rPr>
                    <w:t>经集气罩收集后，通过</w:t>
                  </w:r>
                  <w:r>
                    <w:rPr>
                      <w:rFonts w:hint="eastAsia" w:ascii="Times New Roman" w:hAnsi="Times New Roman" w:cs="Times New Roman"/>
                      <w:color w:val="auto"/>
                      <w:kern w:val="2"/>
                      <w:sz w:val="21"/>
                      <w:szCs w:val="21"/>
                      <w:lang w:val="en-US" w:eastAsia="zh-CN" w:bidi="ar-SA"/>
                    </w:rPr>
                    <w:t>两级活性炭</w:t>
                  </w:r>
                  <w:r>
                    <w:rPr>
                      <w:rFonts w:hint="default" w:ascii="Times New Roman" w:hAnsi="Times New Roman" w:cs="Times New Roman"/>
                      <w:color w:val="auto"/>
                      <w:kern w:val="2"/>
                      <w:sz w:val="21"/>
                      <w:szCs w:val="21"/>
                      <w:lang w:val="en-US" w:eastAsia="zh-CN" w:bidi="ar-SA"/>
                    </w:rPr>
                    <w:t>吸附</w:t>
                  </w:r>
                  <w:r>
                    <w:rPr>
                      <w:rFonts w:hint="eastAsia" w:ascii="Times New Roman" w:hAnsi="Times New Roman" w:cs="Times New Roman"/>
                      <w:color w:val="auto"/>
                      <w:kern w:val="2"/>
                      <w:sz w:val="21"/>
                      <w:szCs w:val="21"/>
                      <w:lang w:val="en-US" w:eastAsia="zh-CN" w:bidi="ar-SA"/>
                    </w:rPr>
                    <w:t>装置</w:t>
                  </w:r>
                  <w:r>
                    <w:rPr>
                      <w:rFonts w:hint="default" w:ascii="Times New Roman" w:hAnsi="Times New Roman" w:cs="Times New Roman"/>
                      <w:color w:val="auto"/>
                      <w:kern w:val="2"/>
                      <w:sz w:val="21"/>
                      <w:szCs w:val="21"/>
                      <w:lang w:val="en-US" w:eastAsia="zh-CN" w:bidi="ar-SA"/>
                    </w:rPr>
                    <w:t>处理后，15米高排气筒</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DA001</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auto"/>
                      <w:kern w:val="2"/>
                      <w:sz w:val="21"/>
                      <w:szCs w:val="21"/>
                      <w:lang w:val="en-US" w:eastAsia="zh-CN" w:bidi="ar-SA"/>
                    </w:rPr>
                    <w:t>排放</w:t>
                  </w:r>
                  <w:r>
                    <w:rPr>
                      <w:rFonts w:hint="default" w:ascii="Times New Roman" w:hAnsi="Times New Roman" w:cs="Times New Roman"/>
                      <w:color w:val="000000" w:themeColor="text1"/>
                      <w:szCs w:val="21"/>
                      <w:lang w:eastAsia="zh-CN"/>
                      <w14:textFill>
                        <w14:solidFill>
                          <w14:schemeClr w14:val="tx1"/>
                        </w14:solidFill>
                      </w14:textFill>
                    </w:rPr>
                    <w:t>。</w:t>
                  </w:r>
                </w:p>
              </w:tc>
              <w:tc>
                <w:tcPr>
                  <w:tcW w:w="4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基本</w:t>
                  </w:r>
                  <w:r>
                    <w:rPr>
                      <w:rFonts w:hint="default" w:ascii="Times New Roman" w:hAnsi="Times New Roman" w:eastAsia="宋体" w:cs="Times New Roman"/>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588"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废水处理</w:t>
                  </w:r>
                </w:p>
              </w:tc>
              <w:tc>
                <w:tcPr>
                  <w:tcW w:w="1794" w:type="pct"/>
                  <w:tcBorders>
                    <w:tl2br w:val="nil"/>
                    <w:tr2bl w:val="nil"/>
                  </w:tcBorders>
                  <w:noWrap w:val="0"/>
                  <w:vAlign w:val="center"/>
                </w:tcPr>
                <w:p>
                  <w:pPr>
                    <w:pStyle w:val="18"/>
                    <w:snapToGrid w:val="0"/>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lang w:val="en-US" w:eastAsia="zh-CN"/>
                    </w:rPr>
                    <w:t>生活污水经化粪池预处理后，通过开发区污水管网排入南山污水处理厂。</w:t>
                  </w:r>
                </w:p>
              </w:tc>
              <w:tc>
                <w:tcPr>
                  <w:tcW w:w="1823" w:type="pct"/>
                  <w:tcBorders>
                    <w:tl2br w:val="nil"/>
                    <w:tr2bl w:val="nil"/>
                  </w:tcBorders>
                  <w:noWrap w:val="0"/>
                  <w:vAlign w:val="center"/>
                </w:tcPr>
                <w:p>
                  <w:pPr>
                    <w:pStyle w:val="18"/>
                    <w:snapToGrid w:val="0"/>
                    <w:spacing w:line="360" w:lineRule="exac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lang w:val="en-US" w:eastAsia="zh-CN"/>
                    </w:rPr>
                    <w:t>生活污水经化粪池预处理后，通过开发区污水管网排入南山污水处理厂。</w:t>
                  </w:r>
                </w:p>
              </w:tc>
              <w:tc>
                <w:tcPr>
                  <w:tcW w:w="4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588"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噪声处理</w:t>
                  </w:r>
                </w:p>
              </w:tc>
              <w:tc>
                <w:tcPr>
                  <w:tcW w:w="1794"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rPr>
                    <w:t>噪声较大的设备采取减振，隔声措施。</w:t>
                  </w:r>
                </w:p>
              </w:tc>
              <w:tc>
                <w:tcPr>
                  <w:tcW w:w="1823"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选用低噪声设备，</w:t>
                  </w:r>
                  <w:r>
                    <w:rPr>
                      <w:rFonts w:hint="default" w:ascii="Times New Roman" w:hAnsi="Times New Roman" w:cs="Times New Roman"/>
                      <w:color w:val="000000" w:themeColor="text1"/>
                      <w:sz w:val="21"/>
                      <w:szCs w:val="21"/>
                      <w14:textFill>
                        <w14:solidFill>
                          <w14:schemeClr w14:val="tx1"/>
                        </w14:solidFill>
                      </w14:textFill>
                    </w:rPr>
                    <w:t>采</w:t>
                  </w:r>
                  <w:r>
                    <w:rPr>
                      <w:rFonts w:hint="default" w:ascii="Times New Roman" w:hAnsi="Times New Roman" w:cs="Times New Roman"/>
                      <w:color w:val="000000" w:themeColor="text1"/>
                      <w:sz w:val="21"/>
                      <w:szCs w:val="21"/>
                      <w:lang w:eastAsia="zh-CN"/>
                      <w14:textFill>
                        <w14:solidFill>
                          <w14:schemeClr w14:val="tx1"/>
                        </w14:solidFill>
                      </w14:textFill>
                    </w:rPr>
                    <w:t>用基础减振、</w:t>
                  </w:r>
                  <w:r>
                    <w:rPr>
                      <w:rFonts w:hint="default" w:ascii="Times New Roman" w:hAnsi="Times New Roman" w:cs="Times New Roman"/>
                      <w:color w:val="000000" w:themeColor="text1"/>
                      <w:sz w:val="21"/>
                      <w:szCs w:val="21"/>
                      <w14:textFill>
                        <w14:solidFill>
                          <w14:schemeClr w14:val="tx1"/>
                        </w14:solidFill>
                      </w14:textFill>
                    </w:rPr>
                    <w:t>隔声</w:t>
                  </w:r>
                  <w:r>
                    <w:rPr>
                      <w:rFonts w:hint="default" w:ascii="Times New Roman" w:hAnsi="Times New Roman" w:cs="Times New Roman"/>
                      <w:color w:val="000000" w:themeColor="text1"/>
                      <w:sz w:val="21"/>
                      <w:szCs w:val="21"/>
                      <w:lang w:eastAsia="zh-CN"/>
                      <w14:textFill>
                        <w14:solidFill>
                          <w14:schemeClr w14:val="tx1"/>
                        </w14:solidFill>
                      </w14:textFill>
                    </w:rPr>
                    <w:t>等</w:t>
                  </w:r>
                  <w:r>
                    <w:rPr>
                      <w:rFonts w:hint="default" w:ascii="Times New Roman" w:hAnsi="Times New Roman" w:cs="Times New Roman"/>
                      <w:color w:val="000000" w:themeColor="text1"/>
                      <w:sz w:val="21"/>
                      <w:szCs w:val="21"/>
                      <w14:textFill>
                        <w14:solidFill>
                          <w14:schemeClr w14:val="tx1"/>
                        </w14:solidFill>
                      </w14:textFill>
                    </w:rPr>
                    <w:t>措施。</w:t>
                  </w:r>
                </w:p>
              </w:tc>
              <w:tc>
                <w:tcPr>
                  <w:tcW w:w="4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588"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固废处理</w:t>
                  </w:r>
                </w:p>
              </w:tc>
              <w:tc>
                <w:tcPr>
                  <w:tcW w:w="1794"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0"/>
                      <w:szCs w:val="21"/>
                      <w:highlight w:val="none"/>
                      <w:lang w:eastAsia="zh-CN"/>
                    </w:rPr>
                    <w:t>一般固废储存场所依托现固废储存场所，位于仓库内约20</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vertAlign w:val="superscript"/>
                      <w:lang w:val="en-US" w:eastAsia="zh-CN"/>
                    </w:rPr>
                    <w:t>2</w:t>
                  </w:r>
                  <w:r>
                    <w:rPr>
                      <w:rFonts w:hint="default" w:ascii="Times New Roman" w:hAnsi="Times New Roman" w:cs="Times New Roman"/>
                      <w:color w:val="auto"/>
                      <w:kern w:val="0"/>
                      <w:szCs w:val="21"/>
                      <w:highlight w:val="none"/>
                      <w:lang w:eastAsia="zh-CN"/>
                    </w:rPr>
                    <w:t>；新建30</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vertAlign w:val="superscript"/>
                      <w:lang w:val="en-US" w:eastAsia="zh-CN"/>
                    </w:rPr>
                    <w:t>2</w:t>
                  </w:r>
                  <w:r>
                    <w:rPr>
                      <w:rFonts w:hint="default" w:ascii="Times New Roman" w:hAnsi="Times New Roman" w:cs="Times New Roman"/>
                      <w:color w:val="auto"/>
                      <w:kern w:val="0"/>
                      <w:szCs w:val="21"/>
                      <w:highlight w:val="none"/>
                      <w:lang w:eastAsia="zh-CN"/>
                    </w:rPr>
                    <w:t>危废库，危废暂存于危废库。设置垃圾箱若干等。</w:t>
                  </w:r>
                </w:p>
              </w:tc>
              <w:tc>
                <w:tcPr>
                  <w:tcW w:w="1823"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themeColor="text1"/>
                      <w:sz w:val="21"/>
                      <w:szCs w:val="21"/>
                      <w:lang w:eastAsia="zh-CN"/>
                      <w14:textFill>
                        <w14:solidFill>
                          <w14:schemeClr w14:val="tx1"/>
                        </w14:solidFill>
                      </w14:textFill>
                    </w:rPr>
                    <w:t>设置</w:t>
                  </w:r>
                  <w:r>
                    <w:rPr>
                      <w:rFonts w:hint="default" w:ascii="Times New Roman" w:hAnsi="Times New Roman" w:cs="Times New Roman"/>
                      <w:bCs/>
                      <w:color w:val="000000" w:themeColor="text1"/>
                      <w:sz w:val="21"/>
                      <w:szCs w:val="21"/>
                      <w14:textFill>
                        <w14:solidFill>
                          <w14:schemeClr w14:val="tx1"/>
                        </w14:solidFill>
                      </w14:textFill>
                    </w:rPr>
                    <w:t>一般固废</w:t>
                  </w:r>
                  <w:r>
                    <w:rPr>
                      <w:rFonts w:hint="default" w:ascii="Times New Roman" w:hAnsi="Times New Roman" w:cs="Times New Roman"/>
                      <w:bCs/>
                      <w:color w:val="000000" w:themeColor="text1"/>
                      <w:sz w:val="21"/>
                      <w:szCs w:val="21"/>
                      <w:lang w:eastAsia="zh-CN"/>
                      <w14:textFill>
                        <w14:solidFill>
                          <w14:schemeClr w14:val="tx1"/>
                        </w14:solidFill>
                      </w14:textFill>
                    </w:rPr>
                    <w:t>暂存间，位于生产</w:t>
                  </w:r>
                  <w:r>
                    <w:rPr>
                      <w:rFonts w:hint="default" w:ascii="Times New Roman" w:hAnsi="Times New Roman" w:cs="Times New Roman"/>
                      <w:bCs/>
                      <w:color w:val="000000" w:themeColor="text1"/>
                      <w:sz w:val="21"/>
                      <w:szCs w:val="21"/>
                      <w:lang w:val="en-US" w:eastAsia="zh-CN"/>
                      <w14:textFill>
                        <w14:solidFill>
                          <w14:schemeClr w14:val="tx1"/>
                        </w14:solidFill>
                      </w14:textFill>
                    </w:rPr>
                    <w:t>车间南侧，面积20</w:t>
                  </w:r>
                  <w:r>
                    <w:rPr>
                      <w:rFonts w:hint="default" w:ascii="Times New Roman" w:hAnsi="Times New Roman" w:eastAsia="宋体" w:cs="Times New Roman"/>
                      <w:bCs/>
                      <w:color w:val="auto"/>
                      <w:szCs w:val="21"/>
                      <w:lang w:val="en-US" w:eastAsia="zh-CN"/>
                    </w:rPr>
                    <w:t>m</w:t>
                  </w:r>
                  <w:r>
                    <w:rPr>
                      <w:rFonts w:hint="default" w:ascii="Times New Roman" w:hAnsi="Times New Roman" w:eastAsia="宋体" w:cs="Times New Roman"/>
                      <w:bCs/>
                      <w:color w:val="auto"/>
                      <w:szCs w:val="21"/>
                      <w:vertAlign w:val="superscript"/>
                      <w:lang w:val="en-US" w:eastAsia="zh-CN"/>
                    </w:rPr>
                    <w:t>2</w:t>
                  </w:r>
                  <w:r>
                    <w:rPr>
                      <w:rFonts w:hint="default" w:ascii="Times New Roman" w:hAnsi="Times New Roman" w:cs="Times New Roman"/>
                      <w:bCs/>
                      <w:color w:val="auto"/>
                      <w:sz w:val="21"/>
                      <w:szCs w:val="21"/>
                      <w:lang w:val="en-US" w:eastAsia="zh-CN"/>
                    </w:rPr>
                    <w:t>；</w:t>
                  </w:r>
                  <w:r>
                    <w:rPr>
                      <w:rFonts w:hint="default" w:ascii="Times New Roman" w:hAnsi="Times New Roman" w:cs="Times New Roman"/>
                      <w:bCs/>
                      <w:color w:val="000000" w:themeColor="text1"/>
                      <w:sz w:val="21"/>
                      <w:szCs w:val="21"/>
                      <w14:textFill>
                        <w14:solidFill>
                          <w14:schemeClr w14:val="tx1"/>
                        </w14:solidFill>
                      </w14:textFill>
                    </w:rPr>
                    <w:t>危废</w:t>
                  </w:r>
                  <w:r>
                    <w:rPr>
                      <w:rFonts w:hint="default" w:ascii="Times New Roman" w:hAnsi="Times New Roman" w:cs="Times New Roman"/>
                      <w:bCs/>
                      <w:color w:val="000000" w:themeColor="text1"/>
                      <w:sz w:val="21"/>
                      <w:szCs w:val="21"/>
                      <w:lang w:eastAsia="zh-CN"/>
                      <w14:textFill>
                        <w14:solidFill>
                          <w14:schemeClr w14:val="tx1"/>
                        </w14:solidFill>
                      </w14:textFill>
                    </w:rPr>
                    <w:t>暂存</w:t>
                  </w:r>
                  <w:r>
                    <w:rPr>
                      <w:rFonts w:hint="default" w:ascii="Times New Roman" w:hAnsi="Times New Roman" w:cs="Times New Roman"/>
                      <w:bCs/>
                      <w:color w:val="000000" w:themeColor="text1"/>
                      <w:sz w:val="21"/>
                      <w:szCs w:val="21"/>
                      <w14:textFill>
                        <w14:solidFill>
                          <w14:schemeClr w14:val="tx1"/>
                        </w14:solidFill>
                      </w14:textFill>
                    </w:rPr>
                    <w:t>间</w:t>
                  </w:r>
                  <w:r>
                    <w:rPr>
                      <w:rFonts w:hint="default" w:ascii="Times New Roman" w:hAnsi="Times New Roman" w:cs="Times New Roman"/>
                      <w:bCs/>
                      <w:color w:val="000000" w:themeColor="text1"/>
                      <w:sz w:val="21"/>
                      <w:szCs w:val="21"/>
                      <w:lang w:eastAsia="zh-CN"/>
                      <w14:textFill>
                        <w14:solidFill>
                          <w14:schemeClr w14:val="tx1"/>
                        </w14:solidFill>
                      </w14:textFill>
                    </w:rPr>
                    <w:t>位于</w:t>
                  </w:r>
                  <w:r>
                    <w:rPr>
                      <w:rFonts w:hint="default" w:ascii="Times New Roman" w:hAnsi="Times New Roman" w:cs="Times New Roman"/>
                      <w:bCs/>
                      <w:color w:val="000000" w:themeColor="text1"/>
                      <w:sz w:val="21"/>
                      <w:szCs w:val="21"/>
                      <w:lang w:val="en-US" w:eastAsia="zh-CN"/>
                      <w14:textFill>
                        <w14:solidFill>
                          <w14:schemeClr w14:val="tx1"/>
                        </w14:solidFill>
                      </w14:textFill>
                    </w:rPr>
                    <w:t>生产车间南侧，面积约10</w:t>
                  </w:r>
                  <w:r>
                    <w:rPr>
                      <w:rFonts w:hint="default" w:ascii="Times New Roman" w:hAnsi="Times New Roman" w:eastAsia="宋体" w:cs="Times New Roman"/>
                      <w:bCs/>
                      <w:color w:val="auto"/>
                      <w:szCs w:val="21"/>
                      <w:lang w:val="en-US" w:eastAsia="zh-CN"/>
                    </w:rPr>
                    <w:t>m</w:t>
                  </w:r>
                  <w:r>
                    <w:rPr>
                      <w:rFonts w:hint="default" w:ascii="Times New Roman" w:hAnsi="Times New Roman" w:eastAsia="宋体" w:cs="Times New Roman"/>
                      <w:bCs/>
                      <w:color w:val="auto"/>
                      <w:szCs w:val="21"/>
                      <w:vertAlign w:val="superscript"/>
                      <w:lang w:val="en-US" w:eastAsia="zh-CN"/>
                    </w:rPr>
                    <w:t>2</w:t>
                  </w:r>
                  <w:r>
                    <w:rPr>
                      <w:rFonts w:hint="default" w:ascii="Times New Roman" w:hAnsi="Times New Roman" w:cs="Times New Roman"/>
                      <w:bCs/>
                      <w:color w:val="000000" w:themeColor="text1"/>
                      <w:sz w:val="21"/>
                      <w:szCs w:val="21"/>
                      <w14:textFill>
                        <w14:solidFill>
                          <w14:schemeClr w14:val="tx1"/>
                        </w14:solidFill>
                      </w14:textFill>
                    </w:rPr>
                    <w:t>；</w:t>
                  </w:r>
                  <w:r>
                    <w:rPr>
                      <w:rFonts w:hint="default" w:ascii="Times New Roman" w:hAnsi="Times New Roman" w:cs="Times New Roman"/>
                      <w:bCs/>
                      <w:color w:val="000000" w:themeColor="text1"/>
                      <w:sz w:val="21"/>
                      <w:szCs w:val="21"/>
                      <w:lang w:eastAsia="zh-CN"/>
                      <w14:textFill>
                        <w14:solidFill>
                          <w14:schemeClr w14:val="tx1"/>
                        </w14:solidFill>
                      </w14:textFill>
                    </w:rPr>
                    <w:t>生活垃圾</w:t>
                  </w:r>
                  <w:r>
                    <w:rPr>
                      <w:rFonts w:hint="default" w:ascii="Times New Roman" w:hAnsi="Times New Roman" w:cs="Times New Roman"/>
                      <w:bCs/>
                      <w:color w:val="000000" w:themeColor="text1"/>
                      <w:sz w:val="21"/>
                      <w:szCs w:val="21"/>
                      <w14:textFill>
                        <w14:solidFill>
                          <w14:schemeClr w14:val="tx1"/>
                        </w14:solidFill>
                      </w14:textFill>
                    </w:rPr>
                    <w:t>设置垃圾</w:t>
                  </w:r>
                  <w:r>
                    <w:rPr>
                      <w:rFonts w:hint="default" w:ascii="Times New Roman" w:hAnsi="Times New Roman" w:cs="Times New Roman"/>
                      <w:bCs/>
                      <w:color w:val="000000" w:themeColor="text1"/>
                      <w:sz w:val="21"/>
                      <w:szCs w:val="21"/>
                      <w:lang w:eastAsia="zh-CN"/>
                      <w14:textFill>
                        <w14:solidFill>
                          <w14:schemeClr w14:val="tx1"/>
                        </w14:solidFill>
                      </w14:textFill>
                    </w:rPr>
                    <w:t>桶集中收集，</w:t>
                  </w:r>
                  <w:r>
                    <w:rPr>
                      <w:rFonts w:hint="default" w:ascii="Times New Roman" w:hAnsi="Times New Roman" w:cs="Times New Roman"/>
                      <w:sz w:val="21"/>
                      <w:szCs w:val="21"/>
                    </w:rPr>
                    <w:t>由环卫部门清运</w:t>
                  </w:r>
                  <w:r>
                    <w:rPr>
                      <w:rFonts w:hint="default" w:ascii="Times New Roman" w:hAnsi="Times New Roman" w:cs="Times New Roman"/>
                      <w:bCs/>
                      <w:color w:val="000000" w:themeColor="text1"/>
                      <w:sz w:val="21"/>
                      <w:szCs w:val="21"/>
                      <w14:textFill>
                        <w14:solidFill>
                          <w14:schemeClr w14:val="tx1"/>
                        </w14:solidFill>
                      </w14:textFill>
                    </w:rPr>
                    <w:t>。</w:t>
                  </w:r>
                </w:p>
              </w:tc>
              <w:tc>
                <w:tcPr>
                  <w:tcW w:w="4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基本一致</w:t>
                  </w:r>
                </w:p>
              </w:tc>
            </w:tr>
          </w:tbl>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三、项目变动情况</w:t>
            </w:r>
            <w:r>
              <w:rPr>
                <w:rFonts w:hint="default" w:ascii="Times New Roman" w:hAnsi="Times New Roman" w:eastAsia="宋体" w:cs="Times New Roman"/>
                <w:sz w:val="24"/>
                <w:szCs w:val="24"/>
                <w:lang w:val="en-US" w:eastAsia="zh-CN"/>
              </w:rPr>
              <w:t xml:space="preserve"> </w:t>
            </w:r>
          </w:p>
          <w:tbl>
            <w:tblPr>
              <w:tblStyle w:val="13"/>
              <w:tblW w:w="5000"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60"/>
              <w:gridCol w:w="2108"/>
              <w:gridCol w:w="2084"/>
              <w:gridCol w:w="19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6"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项目</w:t>
                  </w:r>
                </w:p>
              </w:tc>
              <w:tc>
                <w:tcPr>
                  <w:tcW w:w="2112"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 w:val="21"/>
                      <w:szCs w:val="21"/>
                      <w:vertAlign w:val="baseline"/>
                      <w:lang w:eastAsia="zh-CN"/>
                    </w:rPr>
                    <w:t>环评情况</w:t>
                  </w:r>
                </w:p>
              </w:tc>
              <w:tc>
                <w:tcPr>
                  <w:tcW w:w="2088"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实际建设情况</w:t>
                  </w:r>
                </w:p>
              </w:tc>
              <w:tc>
                <w:tcPr>
                  <w:tcW w:w="1927"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是否属于重大变动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6"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建设项目开发、使用功能发生变化。</w:t>
                  </w:r>
                </w:p>
              </w:tc>
              <w:tc>
                <w:tcPr>
                  <w:tcW w:w="2112"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kern w:val="0"/>
                      <w:sz w:val="21"/>
                      <w:szCs w:val="21"/>
                      <w:lang w:eastAsia="zh-CN"/>
                    </w:rPr>
                    <w:t>项目选址于宁国经济技术开发区宁阳西路2号。</w:t>
                  </w:r>
                </w:p>
              </w:tc>
              <w:tc>
                <w:tcPr>
                  <w:tcW w:w="2088"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项目选址于宁国经济技术开发区宁阳西路2号。</w:t>
                  </w:r>
                </w:p>
              </w:tc>
              <w:tc>
                <w:tcPr>
                  <w:tcW w:w="1927"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6"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w:t>
                  </w:r>
                  <w:r>
                    <w:rPr>
                      <w:rFonts w:hint="default" w:ascii="Times New Roman" w:hAnsi="Times New Roman" w:eastAsia="宋体" w:cs="Times New Roman"/>
                      <w:sz w:val="21"/>
                      <w:szCs w:val="21"/>
                      <w:vertAlign w:val="baseline"/>
                      <w:lang w:val="en-US" w:eastAsia="zh-CN"/>
                    </w:rPr>
                    <w:t>30%及以上。</w:t>
                  </w:r>
                </w:p>
              </w:tc>
              <w:tc>
                <w:tcPr>
                  <w:tcW w:w="2112"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建设内容年产长寿命耐腐蚀回转支承3000套</w:t>
                  </w:r>
                  <w:r>
                    <w:rPr>
                      <w:rFonts w:hint="default" w:ascii="Times New Roman" w:hAnsi="Times New Roman" w:eastAsia="宋体" w:cs="Times New Roman"/>
                      <w:spacing w:val="-10"/>
                      <w:sz w:val="21"/>
                      <w:szCs w:val="21"/>
                      <w:lang w:eastAsia="zh-CN"/>
                    </w:rPr>
                    <w:t>。</w:t>
                  </w:r>
                </w:p>
              </w:tc>
              <w:tc>
                <w:tcPr>
                  <w:tcW w:w="2088"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目前实际建设内容年产长寿命耐腐蚀回转支承3000套</w:t>
                  </w:r>
                  <w:r>
                    <w:rPr>
                      <w:rFonts w:hint="default" w:ascii="Times New Roman" w:hAnsi="Times New Roman" w:eastAsia="宋体" w:cs="Times New Roman"/>
                      <w:spacing w:val="-10"/>
                      <w:sz w:val="21"/>
                      <w:szCs w:val="21"/>
                      <w:lang w:eastAsia="zh-CN"/>
                    </w:rPr>
                    <w:t>。</w:t>
                  </w:r>
                </w:p>
              </w:tc>
              <w:tc>
                <w:tcPr>
                  <w:tcW w:w="1927"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6"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生产、处置或储存能力增大，导致废水第一类污染物排放量增加。</w:t>
                  </w:r>
                </w:p>
              </w:tc>
              <w:tc>
                <w:tcPr>
                  <w:tcW w:w="2112"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不产生废水第一类污染物。</w:t>
                  </w:r>
                </w:p>
              </w:tc>
              <w:tc>
                <w:tcPr>
                  <w:tcW w:w="2088"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不产生废水第一类污染物。</w:t>
                  </w:r>
                </w:p>
              </w:tc>
              <w:tc>
                <w:tcPr>
                  <w:tcW w:w="1927"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6"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位于达标区的建设项目生产、处置或储存能力增大，导致污染物排放量增加10%及以上</w:t>
                  </w:r>
                  <w:r>
                    <w:rPr>
                      <w:rFonts w:hint="default" w:ascii="Times New Roman" w:hAnsi="Times New Roman" w:eastAsia="宋体" w:cs="Times New Roman"/>
                      <w:sz w:val="21"/>
                      <w:szCs w:val="21"/>
                      <w:vertAlign w:val="baseline"/>
                      <w:lang w:eastAsia="zh-CN"/>
                    </w:rPr>
                    <w:t>。</w:t>
                  </w:r>
                </w:p>
              </w:tc>
              <w:tc>
                <w:tcPr>
                  <w:tcW w:w="2112"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建设内容年产长寿命耐腐蚀回转支承3000套</w:t>
                  </w:r>
                  <w:r>
                    <w:rPr>
                      <w:rFonts w:hint="default" w:ascii="Times New Roman" w:hAnsi="Times New Roman" w:eastAsia="宋体" w:cs="Times New Roman"/>
                      <w:spacing w:val="-10"/>
                      <w:sz w:val="21"/>
                      <w:szCs w:val="21"/>
                      <w:lang w:eastAsia="zh-CN"/>
                    </w:rPr>
                    <w:t>。</w:t>
                  </w:r>
                </w:p>
              </w:tc>
              <w:tc>
                <w:tcPr>
                  <w:tcW w:w="2088"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目前实际建设内容年产长寿命耐腐蚀回转支承3000套</w:t>
                  </w:r>
                  <w:r>
                    <w:rPr>
                      <w:rFonts w:hint="default" w:ascii="Times New Roman" w:hAnsi="Times New Roman" w:eastAsia="宋体" w:cs="Times New Roman"/>
                      <w:spacing w:val="-10"/>
                      <w:sz w:val="21"/>
                      <w:szCs w:val="21"/>
                      <w:lang w:eastAsia="zh-CN"/>
                    </w:rPr>
                    <w:t>。</w:t>
                  </w:r>
                </w:p>
              </w:tc>
              <w:tc>
                <w:tcPr>
                  <w:tcW w:w="1927"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6"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在原厂址附近调整（包括总平面布置变化）导致环境防护距离范围变化且新增敏感点。</w:t>
                  </w:r>
                </w:p>
              </w:tc>
              <w:tc>
                <w:tcPr>
                  <w:tcW w:w="21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环境防护距离范围</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变化且</w:t>
                  </w:r>
                  <w:r>
                    <w:rPr>
                      <w:rFonts w:hint="default" w:ascii="Times New Roman" w:hAnsi="Times New Roman" w:eastAsia="宋体" w:cs="Times New Roman"/>
                      <w:sz w:val="21"/>
                      <w:szCs w:val="21"/>
                      <w:vertAlign w:val="baseline"/>
                      <w:lang w:eastAsia="zh-CN"/>
                    </w:rPr>
                    <w:t>未</w:t>
                  </w:r>
                  <w:r>
                    <w:rPr>
                      <w:rFonts w:hint="default" w:ascii="Times New Roman" w:hAnsi="Times New Roman" w:eastAsia="宋体" w:cs="Times New Roman"/>
                      <w:sz w:val="21"/>
                      <w:szCs w:val="21"/>
                      <w:vertAlign w:val="baseline"/>
                    </w:rPr>
                    <w:t>新增敏感点</w:t>
                  </w:r>
                  <w:r>
                    <w:rPr>
                      <w:rFonts w:hint="default" w:ascii="Times New Roman" w:hAnsi="Times New Roman" w:eastAsia="宋体" w:cs="Times New Roman"/>
                      <w:sz w:val="21"/>
                      <w:szCs w:val="21"/>
                      <w:vertAlign w:val="baseline"/>
                      <w:lang w:eastAsia="zh-CN"/>
                    </w:rPr>
                    <w:t>。</w:t>
                  </w:r>
                </w:p>
              </w:tc>
              <w:tc>
                <w:tcPr>
                  <w:tcW w:w="208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rPr>
                    <w:t>环境防护距离范围</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变化且</w:t>
                  </w:r>
                  <w:r>
                    <w:rPr>
                      <w:rFonts w:hint="default" w:ascii="Times New Roman" w:hAnsi="Times New Roman" w:eastAsia="宋体" w:cs="Times New Roman"/>
                      <w:sz w:val="21"/>
                      <w:szCs w:val="21"/>
                      <w:vertAlign w:val="baseline"/>
                      <w:lang w:eastAsia="zh-CN"/>
                    </w:rPr>
                    <w:t>未</w:t>
                  </w:r>
                  <w:r>
                    <w:rPr>
                      <w:rFonts w:hint="default" w:ascii="Times New Roman" w:hAnsi="Times New Roman" w:eastAsia="宋体" w:cs="Times New Roman"/>
                      <w:sz w:val="21"/>
                      <w:szCs w:val="21"/>
                      <w:vertAlign w:val="baseline"/>
                    </w:rPr>
                    <w:t>新增敏感点</w:t>
                  </w:r>
                  <w:r>
                    <w:rPr>
                      <w:rFonts w:hint="default" w:ascii="Times New Roman" w:hAnsi="Times New Roman" w:eastAsia="宋体" w:cs="Times New Roman"/>
                      <w:sz w:val="21"/>
                      <w:szCs w:val="21"/>
                      <w:vertAlign w:val="baseline"/>
                      <w:lang w:eastAsia="zh-CN"/>
                    </w:rPr>
                    <w:t>。</w:t>
                  </w:r>
                </w:p>
              </w:tc>
              <w:tc>
                <w:tcPr>
                  <w:tcW w:w="1927"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6"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新增产品品种或生产工艺（含主要生产装置、设备及配套设施）、主要原辅材料、燃料变化，导致以下情形之一：（1</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rPr>
                    <w:t>新增排放污染物种类的（毒性、挥发性降低的除外）；（2</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rPr>
                    <w:t>位于环境质量不达标区的建设项目相应污染物排放量增加的；（3</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rPr>
                    <w:t>废水第一类污染物排放量增加的；（4</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rPr>
                    <w:t>其他污染物排放量增加10%及以上</w:t>
                  </w:r>
                  <w:r>
                    <w:rPr>
                      <w:rFonts w:hint="default" w:ascii="Times New Roman" w:hAnsi="Times New Roman" w:eastAsia="宋体" w:cs="Times New Roman"/>
                      <w:sz w:val="21"/>
                      <w:szCs w:val="21"/>
                      <w:vertAlign w:val="baseline"/>
                      <w:lang w:eastAsia="zh-CN"/>
                    </w:rPr>
                    <w:t>。</w:t>
                  </w:r>
                </w:p>
              </w:tc>
              <w:tc>
                <w:tcPr>
                  <w:tcW w:w="2112"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未新增</w:t>
                  </w:r>
                  <w:r>
                    <w:rPr>
                      <w:rFonts w:hint="default" w:ascii="Times New Roman" w:hAnsi="Times New Roman" w:eastAsia="宋体" w:cs="Times New Roman"/>
                      <w:sz w:val="21"/>
                      <w:szCs w:val="21"/>
                      <w:vertAlign w:val="baseline"/>
                    </w:rPr>
                    <w:t>产品品种或生产工艺</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rPr>
                    <w:t>主要原辅材料、燃料</w:t>
                  </w:r>
                  <w:r>
                    <w:rPr>
                      <w:rFonts w:hint="default" w:ascii="Times New Roman" w:hAnsi="Times New Roman" w:eastAsia="宋体" w:cs="Times New Roman"/>
                      <w:sz w:val="21"/>
                      <w:szCs w:val="21"/>
                      <w:vertAlign w:val="baseline"/>
                      <w:lang w:eastAsia="zh-CN"/>
                    </w:rPr>
                    <w:t>未</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88"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vertAlign w:val="baseline"/>
                      <w:lang w:val="en-US" w:eastAsia="zh-CN"/>
                    </w:rPr>
                    <w:t>未新增</w:t>
                  </w:r>
                  <w:r>
                    <w:rPr>
                      <w:rFonts w:hint="default" w:ascii="Times New Roman" w:hAnsi="Times New Roman" w:eastAsia="宋体" w:cs="Times New Roman"/>
                      <w:sz w:val="21"/>
                      <w:szCs w:val="21"/>
                      <w:vertAlign w:val="baseline"/>
                    </w:rPr>
                    <w:t>产品品种或生产工艺</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rPr>
                    <w:t>主要原辅材料、燃料</w:t>
                  </w:r>
                  <w:r>
                    <w:rPr>
                      <w:rFonts w:hint="default" w:ascii="Times New Roman" w:hAnsi="Times New Roman" w:eastAsia="宋体" w:cs="Times New Roman"/>
                      <w:sz w:val="21"/>
                      <w:szCs w:val="21"/>
                      <w:vertAlign w:val="baseline"/>
                      <w:lang w:eastAsia="zh-CN"/>
                    </w:rPr>
                    <w:t>未</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1927"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6"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物料运输、装卸、贮存方式变化，导致大气污染物无组织排放量增加10%及以上</w:t>
                  </w:r>
                  <w:r>
                    <w:rPr>
                      <w:rFonts w:hint="default" w:ascii="Times New Roman" w:hAnsi="Times New Roman" w:eastAsia="宋体" w:cs="Times New Roman"/>
                      <w:sz w:val="21"/>
                      <w:szCs w:val="21"/>
                      <w:vertAlign w:val="baseline"/>
                      <w:lang w:eastAsia="zh-CN"/>
                    </w:rPr>
                    <w:t>。</w:t>
                  </w:r>
                </w:p>
              </w:tc>
              <w:tc>
                <w:tcPr>
                  <w:tcW w:w="2112"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未发生</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88"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未发生</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1927"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6"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废气、废水污染防治措施变化，导致第6条中所列情形之一（废气无组织排放改为有组织排放、污染防治措施强化或改进的除外）或大气污染物无组织排放量增加10%及以上。</w:t>
                  </w:r>
                </w:p>
              </w:tc>
              <w:tc>
                <w:tcPr>
                  <w:tcW w:w="2112"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sz w:val="21"/>
                      <w:szCs w:val="21"/>
                      <w:lang w:val="en-US" w:eastAsia="zh-CN"/>
                    </w:rPr>
                    <w:t>生活污水经化粪池处理后排入宁国市南山污水处理厂进行处理</w:t>
                  </w:r>
                  <w:r>
                    <w:rPr>
                      <w:rFonts w:hint="default" w:ascii="Times New Roman" w:hAnsi="Times New Roman" w:cs="Times New Roman"/>
                      <w:bCs/>
                      <w:color w:val="auto"/>
                      <w:sz w:val="21"/>
                      <w:szCs w:val="21"/>
                      <w:lang w:eastAsia="zh-CN"/>
                    </w:rPr>
                    <w:t>。</w:t>
                  </w:r>
                  <w:r>
                    <w:rPr>
                      <w:rFonts w:hint="default" w:ascii="Times New Roman" w:hAnsi="Times New Roman" w:cs="Times New Roman"/>
                      <w:color w:val="auto"/>
                      <w:kern w:val="2"/>
                      <w:sz w:val="21"/>
                      <w:szCs w:val="21"/>
                      <w:lang w:val="en-US" w:eastAsia="zh-CN" w:bidi="ar-SA"/>
                    </w:rPr>
                    <w:t>淬火产生的</w:t>
                  </w:r>
                  <w:r>
                    <w:rPr>
                      <w:rFonts w:hint="eastAsia" w:ascii="Times New Roman" w:hAnsi="Times New Roman" w:cs="Times New Roman"/>
                      <w:color w:val="auto"/>
                      <w:kern w:val="2"/>
                      <w:sz w:val="21"/>
                      <w:szCs w:val="21"/>
                      <w:lang w:val="en-US" w:eastAsia="zh-CN" w:bidi="ar-SA"/>
                    </w:rPr>
                    <w:t>有机废气</w:t>
                  </w:r>
                  <w:r>
                    <w:rPr>
                      <w:rFonts w:hint="default" w:ascii="Times New Roman" w:hAnsi="Times New Roman" w:cs="Times New Roman"/>
                      <w:color w:val="auto"/>
                      <w:kern w:val="2"/>
                      <w:sz w:val="21"/>
                      <w:szCs w:val="21"/>
                      <w:lang w:val="en-US" w:eastAsia="zh-CN" w:bidi="ar-SA"/>
                    </w:rPr>
                    <w:t>经集气罩收集后，通过工业油烟净化器+UV光解+活性炭吸附处理后，15米高排气筒</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DA001</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auto"/>
                      <w:kern w:val="2"/>
                      <w:sz w:val="21"/>
                      <w:szCs w:val="21"/>
                      <w:lang w:val="en-US" w:eastAsia="zh-CN" w:bidi="ar-SA"/>
                    </w:rPr>
                    <w:t>排放</w:t>
                  </w:r>
                  <w:r>
                    <w:rPr>
                      <w:rFonts w:hint="default" w:ascii="Times New Roman" w:hAnsi="Times New Roman" w:cs="Times New Roman"/>
                      <w:color w:val="000000" w:themeColor="text1"/>
                      <w:szCs w:val="21"/>
                      <w:lang w:eastAsia="zh-CN"/>
                      <w14:textFill>
                        <w14:solidFill>
                          <w14:schemeClr w14:val="tx1"/>
                        </w14:solidFill>
                      </w14:textFill>
                    </w:rPr>
                    <w:t>。</w:t>
                  </w:r>
                </w:p>
              </w:tc>
              <w:tc>
                <w:tcPr>
                  <w:tcW w:w="208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ind w:right="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color w:val="auto"/>
                      <w:sz w:val="21"/>
                      <w:szCs w:val="21"/>
                      <w:lang w:val="en-US" w:eastAsia="zh-CN"/>
                    </w:rPr>
                    <w:t>生活污水经化粪池处理后排入宁国市南山污水处理厂进行处理</w:t>
                  </w:r>
                  <w:r>
                    <w:rPr>
                      <w:rFonts w:hint="default" w:ascii="Times New Roman" w:hAnsi="Times New Roman" w:cs="Times New Roman"/>
                      <w:bCs/>
                      <w:color w:val="auto"/>
                      <w:sz w:val="21"/>
                      <w:szCs w:val="21"/>
                      <w:lang w:eastAsia="zh-CN"/>
                    </w:rPr>
                    <w:t>。淬火产生的</w:t>
                  </w:r>
                  <w:r>
                    <w:rPr>
                      <w:rFonts w:hint="eastAsia" w:ascii="Times New Roman" w:hAnsi="Times New Roman" w:cs="Times New Roman"/>
                      <w:bCs/>
                      <w:color w:val="auto"/>
                      <w:sz w:val="21"/>
                      <w:szCs w:val="21"/>
                      <w:lang w:eastAsia="zh-CN"/>
                    </w:rPr>
                    <w:t>有机废气</w:t>
                  </w:r>
                  <w:r>
                    <w:rPr>
                      <w:rFonts w:hint="default" w:ascii="Times New Roman" w:hAnsi="Times New Roman" w:cs="Times New Roman"/>
                      <w:bCs/>
                      <w:color w:val="auto"/>
                      <w:sz w:val="21"/>
                      <w:szCs w:val="21"/>
                      <w:lang w:eastAsia="zh-CN"/>
                    </w:rPr>
                    <w:t>经集气罩收集后，通过两级活性炭吸附装置处理后，15米高排气筒（DA001）排放。</w:t>
                  </w:r>
                </w:p>
              </w:tc>
              <w:tc>
                <w:tcPr>
                  <w:tcW w:w="1927"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不属于重大变动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6"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新增废水直接排放口；废水由间接排放改为直接排放；废水直接排放口位置变化，导致不利环境影响加重。</w:t>
                  </w:r>
                </w:p>
              </w:tc>
              <w:tc>
                <w:tcPr>
                  <w:tcW w:w="2112"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sz w:val="21"/>
                      <w:szCs w:val="21"/>
                      <w:lang w:val="en-US" w:eastAsia="zh-CN"/>
                    </w:rPr>
                    <w:t>生活污水经化粪池处理后排入宁国市</w:t>
                  </w:r>
                  <w:r>
                    <w:rPr>
                      <w:rFonts w:hint="eastAsia" w:ascii="Times New Roman" w:hAnsi="Times New Roman" w:cs="Times New Roman"/>
                      <w:color w:val="auto"/>
                      <w:sz w:val="21"/>
                      <w:szCs w:val="21"/>
                      <w:lang w:val="en-US" w:eastAsia="zh-CN"/>
                    </w:rPr>
                    <w:t>南山</w:t>
                  </w:r>
                  <w:r>
                    <w:rPr>
                      <w:rFonts w:hint="default" w:ascii="Times New Roman" w:hAnsi="Times New Roman" w:cs="Times New Roman"/>
                      <w:color w:val="auto"/>
                      <w:sz w:val="21"/>
                      <w:szCs w:val="21"/>
                      <w:lang w:val="en-US" w:eastAsia="zh-CN"/>
                    </w:rPr>
                    <w:t>污水处理厂进行处理。</w:t>
                  </w:r>
                </w:p>
              </w:tc>
              <w:tc>
                <w:tcPr>
                  <w:tcW w:w="2088"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color w:val="auto"/>
                      <w:sz w:val="21"/>
                      <w:szCs w:val="21"/>
                      <w:lang w:val="en-US" w:eastAsia="zh-CN"/>
                    </w:rPr>
                    <w:t>生活污水经化粪池处理后排入宁国市</w:t>
                  </w:r>
                  <w:r>
                    <w:rPr>
                      <w:rFonts w:hint="eastAsia" w:ascii="Times New Roman" w:hAnsi="Times New Roman" w:cs="Times New Roman"/>
                      <w:color w:val="auto"/>
                      <w:sz w:val="21"/>
                      <w:szCs w:val="21"/>
                      <w:lang w:val="en-US" w:eastAsia="zh-CN"/>
                    </w:rPr>
                    <w:t>南山</w:t>
                  </w:r>
                  <w:r>
                    <w:rPr>
                      <w:rFonts w:hint="default" w:ascii="Times New Roman" w:hAnsi="Times New Roman" w:cs="Times New Roman"/>
                      <w:color w:val="auto"/>
                      <w:sz w:val="21"/>
                      <w:szCs w:val="21"/>
                      <w:lang w:val="en-US" w:eastAsia="zh-CN"/>
                    </w:rPr>
                    <w:t>污水处理厂进行处理。</w:t>
                  </w:r>
                </w:p>
              </w:tc>
              <w:tc>
                <w:tcPr>
                  <w:tcW w:w="1927"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6"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新增废气主要排放口。（废气无组织排放改为有组织排放的除外）；主要排放口排气筒高度降低10%及以上</w:t>
                  </w:r>
                  <w:r>
                    <w:rPr>
                      <w:rFonts w:hint="default" w:ascii="Times New Roman" w:hAnsi="Times New Roman" w:eastAsia="宋体" w:cs="Times New Roman"/>
                      <w:sz w:val="21"/>
                      <w:szCs w:val="21"/>
                      <w:vertAlign w:val="baseline"/>
                      <w:lang w:eastAsia="zh-CN"/>
                    </w:rPr>
                    <w:t>。</w:t>
                  </w:r>
                </w:p>
              </w:tc>
              <w:tc>
                <w:tcPr>
                  <w:tcW w:w="2112"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kern w:val="2"/>
                      <w:sz w:val="21"/>
                      <w:szCs w:val="21"/>
                      <w:lang w:val="en-US" w:eastAsia="zh-CN" w:bidi="ar-SA"/>
                    </w:rPr>
                    <w:t>淬火产生的</w:t>
                  </w:r>
                  <w:r>
                    <w:rPr>
                      <w:rFonts w:hint="eastAsia" w:ascii="Times New Roman" w:hAnsi="Times New Roman" w:cs="Times New Roman"/>
                      <w:color w:val="auto"/>
                      <w:kern w:val="2"/>
                      <w:sz w:val="21"/>
                      <w:szCs w:val="21"/>
                      <w:lang w:val="en-US" w:eastAsia="zh-CN" w:bidi="ar-SA"/>
                    </w:rPr>
                    <w:t>有机废气</w:t>
                  </w:r>
                  <w:r>
                    <w:rPr>
                      <w:rFonts w:hint="default" w:ascii="Times New Roman" w:hAnsi="Times New Roman" w:cs="Times New Roman"/>
                      <w:color w:val="auto"/>
                      <w:kern w:val="2"/>
                      <w:sz w:val="21"/>
                      <w:szCs w:val="21"/>
                      <w:lang w:val="en-US" w:eastAsia="zh-CN" w:bidi="ar-SA"/>
                    </w:rPr>
                    <w:t>经集气罩收集后，通过工业油烟净化器+UV光解+活性炭吸附处理后，15米高排气筒</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DA001</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auto"/>
                      <w:kern w:val="2"/>
                      <w:sz w:val="21"/>
                      <w:szCs w:val="21"/>
                      <w:lang w:val="en-US" w:eastAsia="zh-CN" w:bidi="ar-SA"/>
                    </w:rPr>
                    <w:t>排放</w:t>
                  </w:r>
                  <w:r>
                    <w:rPr>
                      <w:rFonts w:hint="default" w:ascii="Times New Roman" w:hAnsi="Times New Roman" w:cs="Times New Roman"/>
                      <w:color w:val="000000" w:themeColor="text1"/>
                      <w:szCs w:val="21"/>
                      <w:lang w:eastAsia="zh-CN"/>
                      <w14:textFill>
                        <w14:solidFill>
                          <w14:schemeClr w14:val="tx1"/>
                        </w14:solidFill>
                      </w14:textFill>
                    </w:rPr>
                    <w:t>。</w:t>
                  </w:r>
                </w:p>
              </w:tc>
              <w:tc>
                <w:tcPr>
                  <w:tcW w:w="2088"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bCs/>
                      <w:color w:val="auto"/>
                      <w:sz w:val="21"/>
                      <w:szCs w:val="21"/>
                      <w:lang w:eastAsia="zh-CN"/>
                    </w:rPr>
                    <w:t>淬火产生的</w:t>
                  </w:r>
                  <w:r>
                    <w:rPr>
                      <w:rFonts w:hint="eastAsia" w:ascii="Times New Roman" w:hAnsi="Times New Roman" w:cs="Times New Roman"/>
                      <w:bCs/>
                      <w:color w:val="auto"/>
                      <w:sz w:val="21"/>
                      <w:szCs w:val="21"/>
                      <w:lang w:eastAsia="zh-CN"/>
                    </w:rPr>
                    <w:t>有机废气</w:t>
                  </w:r>
                  <w:r>
                    <w:rPr>
                      <w:rFonts w:hint="default" w:ascii="Times New Roman" w:hAnsi="Times New Roman" w:cs="Times New Roman"/>
                      <w:bCs/>
                      <w:color w:val="auto"/>
                      <w:sz w:val="21"/>
                      <w:szCs w:val="21"/>
                      <w:lang w:eastAsia="zh-CN"/>
                    </w:rPr>
                    <w:t>经集气罩收集后，通过两级活性炭吸附装置处理后，15米高排气筒（DA001）排放。</w:t>
                  </w:r>
                </w:p>
              </w:tc>
              <w:tc>
                <w:tcPr>
                  <w:tcW w:w="1927"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不属于重大变动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6"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噪声、土壤或地下水污染防治措施变化，导致不利环境影响加重。</w:t>
                  </w:r>
                </w:p>
              </w:tc>
              <w:tc>
                <w:tcPr>
                  <w:tcW w:w="2112"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8"/>
                      <w:sz w:val="21"/>
                      <w:szCs w:val="21"/>
                    </w:rPr>
                    <w:t>选用低噪声设备，采取隔声、减</w:t>
                  </w:r>
                  <w:r>
                    <w:rPr>
                      <w:rFonts w:hint="default" w:ascii="Times New Roman" w:hAnsi="Times New Roman" w:eastAsia="宋体" w:cs="Times New Roman"/>
                      <w:sz w:val="21"/>
                      <w:szCs w:val="21"/>
                    </w:rPr>
                    <w:t>振等措施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危废间基础必须防渗，防渗层为2毫米厚高密度聚乙烯，渗透系数≤10</w:t>
                  </w:r>
                  <w:r>
                    <w:rPr>
                      <w:rFonts w:hint="default" w:ascii="Times New Roman" w:hAnsi="Times New Roman" w:eastAsia="宋体" w:cs="Times New Roman"/>
                      <w:position w:val="7"/>
                      <w:sz w:val="21"/>
                      <w:szCs w:val="21"/>
                      <w:vertAlign w:val="superscript"/>
                    </w:rPr>
                    <w:t>-10</w:t>
                  </w:r>
                  <w:r>
                    <w:rPr>
                      <w:rFonts w:hint="default" w:ascii="Times New Roman" w:hAnsi="Times New Roman" w:eastAsia="宋体" w:cs="Times New Roman"/>
                      <w:sz w:val="21"/>
                      <w:szCs w:val="21"/>
                    </w:rPr>
                    <w:t>厘米/秒等。</w:t>
                  </w:r>
                </w:p>
              </w:tc>
              <w:tc>
                <w:tcPr>
                  <w:tcW w:w="2088"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8"/>
                      <w:sz w:val="21"/>
                      <w:szCs w:val="21"/>
                    </w:rPr>
                    <w:t>选用低噪声设备，采取隔声、减</w:t>
                  </w:r>
                  <w:r>
                    <w:rPr>
                      <w:rFonts w:hint="default" w:ascii="Times New Roman" w:hAnsi="Times New Roman" w:eastAsia="宋体" w:cs="Times New Roman"/>
                      <w:sz w:val="21"/>
                      <w:szCs w:val="21"/>
                    </w:rPr>
                    <w:t>振等措施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危废间基础必须防渗，防渗层为2毫米厚高密度聚乙烯，渗透系数≤10</w:t>
                  </w:r>
                  <w:r>
                    <w:rPr>
                      <w:rFonts w:hint="default" w:ascii="Times New Roman" w:hAnsi="Times New Roman" w:eastAsia="宋体" w:cs="Times New Roman"/>
                      <w:position w:val="7"/>
                      <w:sz w:val="21"/>
                      <w:szCs w:val="21"/>
                      <w:vertAlign w:val="superscript"/>
                    </w:rPr>
                    <w:t>-10</w:t>
                  </w:r>
                  <w:r>
                    <w:rPr>
                      <w:rFonts w:hint="default" w:ascii="Times New Roman" w:hAnsi="Times New Roman" w:eastAsia="宋体" w:cs="Times New Roman"/>
                      <w:sz w:val="21"/>
                      <w:szCs w:val="21"/>
                    </w:rPr>
                    <w:t>厘米/秒等。</w:t>
                  </w:r>
                </w:p>
              </w:tc>
              <w:tc>
                <w:tcPr>
                  <w:tcW w:w="1927"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6"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固体废物利用处置方式由委托外单位利用处置改为自行利用处置的（自行利用处置设施单独开展环境影响评价的除外）；固体废物自行处置方式变化，导致不利环境影响加重。</w:t>
                  </w:r>
                </w:p>
              </w:tc>
              <w:tc>
                <w:tcPr>
                  <w:tcW w:w="2112"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 w:val="21"/>
                      <w:szCs w:val="21"/>
                      <w:lang w:eastAsia="zh-CN"/>
                    </w:rPr>
                    <w:t>项目产生的固废主要包括一般固废、危险废物及生活垃圾。一般固废有</w:t>
                  </w:r>
                  <w:r>
                    <w:rPr>
                      <w:rFonts w:hint="default" w:ascii="Times New Roman" w:hAnsi="Times New Roman" w:cs="Times New Roman"/>
                      <w:sz w:val="21"/>
                      <w:szCs w:val="21"/>
                      <w:lang w:val="en-US" w:eastAsia="zh-CN"/>
                    </w:rPr>
                    <w:t>金属边角料</w:t>
                  </w:r>
                  <w:r>
                    <w:rPr>
                      <w:rFonts w:hint="default" w:ascii="Times New Roman" w:hAnsi="Times New Roman" w:cs="Times New Roman"/>
                      <w:sz w:val="21"/>
                      <w:szCs w:val="21"/>
                      <w:lang w:eastAsia="zh-CN"/>
                    </w:rPr>
                    <w:t>，集中收集后外售再利用。危险废物有废淬火</w:t>
                  </w:r>
                  <w:r>
                    <w:rPr>
                      <w:rFonts w:hint="eastAsia" w:ascii="Times New Roman" w:hAnsi="Times New Roman" w:cs="Times New Roman"/>
                      <w:sz w:val="21"/>
                      <w:szCs w:val="21"/>
                      <w:lang w:eastAsia="zh-CN"/>
                    </w:rPr>
                    <w:t>液</w:t>
                  </w:r>
                  <w:r>
                    <w:rPr>
                      <w:rFonts w:hint="default" w:ascii="Times New Roman" w:hAnsi="Times New Roman" w:cs="Times New Roman"/>
                      <w:sz w:val="21"/>
                      <w:szCs w:val="21"/>
                      <w:lang w:eastAsia="zh-CN"/>
                    </w:rPr>
                    <w:t>、废切削液</w:t>
                  </w:r>
                  <w:r>
                    <w:rPr>
                      <w:rFonts w:hint="eastAsia" w:ascii="Times New Roman" w:hAnsi="Times New Roman" w:cs="Times New Roman"/>
                      <w:sz w:val="21"/>
                      <w:szCs w:val="21"/>
                      <w:lang w:eastAsia="zh-CN"/>
                    </w:rPr>
                    <w:t>、废活性炭</w:t>
                  </w:r>
                  <w:r>
                    <w:rPr>
                      <w:rFonts w:hint="default" w:ascii="Times New Roman" w:hAnsi="Times New Roman" w:cs="Times New Roman"/>
                      <w:sz w:val="21"/>
                      <w:szCs w:val="21"/>
                      <w:lang w:eastAsia="zh-CN"/>
                    </w:rPr>
                    <w:t>，收集后暂存于危废库中，委托有资质单位处置。</w:t>
                  </w:r>
                  <w:r>
                    <w:rPr>
                      <w:rFonts w:hint="default" w:ascii="Times New Roman" w:hAnsi="Times New Roman" w:cs="Times New Roman"/>
                      <w:sz w:val="21"/>
                      <w:szCs w:val="21"/>
                    </w:rPr>
                    <w:t>生活垃圾收集后由环卫部门</w:t>
                  </w:r>
                  <w:r>
                    <w:rPr>
                      <w:rFonts w:hint="default" w:ascii="Times New Roman" w:hAnsi="Times New Roman" w:cs="Times New Roman"/>
                      <w:sz w:val="21"/>
                      <w:szCs w:val="21"/>
                      <w:lang w:eastAsia="zh-CN"/>
                    </w:rPr>
                    <w:t>统一</w:t>
                  </w:r>
                  <w:r>
                    <w:rPr>
                      <w:rFonts w:hint="default" w:ascii="Times New Roman" w:hAnsi="Times New Roman" w:cs="Times New Roman"/>
                      <w:sz w:val="21"/>
                      <w:szCs w:val="21"/>
                    </w:rPr>
                    <w:t>清运。</w:t>
                  </w:r>
                </w:p>
              </w:tc>
              <w:tc>
                <w:tcPr>
                  <w:tcW w:w="2088"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lang w:eastAsia="zh-CN"/>
                    </w:rPr>
                    <w:t>项目产生的固废主要包括一般固废、危险废物及生活垃圾。一般固废有</w:t>
                  </w:r>
                  <w:r>
                    <w:rPr>
                      <w:rFonts w:hint="default" w:ascii="Times New Roman" w:hAnsi="Times New Roman" w:cs="Times New Roman"/>
                      <w:sz w:val="21"/>
                      <w:szCs w:val="21"/>
                      <w:lang w:val="en-US" w:eastAsia="zh-CN"/>
                    </w:rPr>
                    <w:t>金属边角料</w:t>
                  </w:r>
                  <w:r>
                    <w:rPr>
                      <w:rFonts w:hint="default" w:ascii="Times New Roman" w:hAnsi="Times New Roman" w:cs="Times New Roman"/>
                      <w:sz w:val="21"/>
                      <w:szCs w:val="21"/>
                      <w:lang w:eastAsia="zh-CN"/>
                    </w:rPr>
                    <w:t>，集中收集后外售再利用。危险废物有废切削液</w:t>
                  </w:r>
                  <w:r>
                    <w:rPr>
                      <w:rFonts w:hint="eastAsia" w:ascii="Times New Roman" w:hAnsi="Times New Roman" w:cs="Times New Roman"/>
                      <w:sz w:val="21"/>
                      <w:szCs w:val="21"/>
                      <w:lang w:eastAsia="zh-CN"/>
                    </w:rPr>
                    <w:t>、废活性炭</w:t>
                  </w:r>
                  <w:r>
                    <w:rPr>
                      <w:rFonts w:hint="default" w:ascii="Times New Roman" w:hAnsi="Times New Roman" w:cs="Times New Roman"/>
                      <w:sz w:val="21"/>
                      <w:szCs w:val="21"/>
                      <w:lang w:eastAsia="zh-CN"/>
                    </w:rPr>
                    <w:t>，收集后暂存于危废库中，委托有资质单位处置。</w:t>
                  </w:r>
                  <w:r>
                    <w:rPr>
                      <w:rFonts w:hint="default" w:ascii="Times New Roman" w:hAnsi="Times New Roman" w:cs="Times New Roman"/>
                      <w:sz w:val="21"/>
                      <w:szCs w:val="21"/>
                    </w:rPr>
                    <w:t>生活垃圾收集后由环卫部门</w:t>
                  </w:r>
                  <w:r>
                    <w:rPr>
                      <w:rFonts w:hint="default" w:ascii="Times New Roman" w:hAnsi="Times New Roman" w:cs="Times New Roman"/>
                      <w:sz w:val="21"/>
                      <w:szCs w:val="21"/>
                      <w:lang w:eastAsia="zh-CN"/>
                    </w:rPr>
                    <w:t>统一</w:t>
                  </w:r>
                  <w:r>
                    <w:rPr>
                      <w:rFonts w:hint="default" w:ascii="Times New Roman" w:hAnsi="Times New Roman" w:cs="Times New Roman"/>
                      <w:sz w:val="21"/>
                      <w:szCs w:val="21"/>
                    </w:rPr>
                    <w:t>清运。</w:t>
                  </w:r>
                </w:p>
              </w:tc>
              <w:tc>
                <w:tcPr>
                  <w:tcW w:w="1927"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6"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事故废水暂存能力或拦截设施变化，导致环境风险防范能力弱化或降低。</w:t>
                  </w:r>
                </w:p>
              </w:tc>
              <w:tc>
                <w:tcPr>
                  <w:tcW w:w="2112"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事故废水暂存能力或拦截设施无变化。</w:t>
                  </w:r>
                </w:p>
              </w:tc>
              <w:tc>
                <w:tcPr>
                  <w:tcW w:w="2088"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事故废水暂存能力或拦截设施无变化。</w:t>
                  </w:r>
                </w:p>
              </w:tc>
              <w:tc>
                <w:tcPr>
                  <w:tcW w:w="1927" w:type="dxa"/>
                  <w:tcBorders>
                    <w:tl2br w:val="nil"/>
                    <w:tr2bl w:val="nil"/>
                  </w:tcBorders>
                  <w:vAlign w:val="center"/>
                </w:tcPr>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bl>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val="0"/>
                <w:bCs w:val="0"/>
                <w:sz w:val="24"/>
                <w:szCs w:val="24"/>
                <w:lang w:val="en-US" w:eastAsia="zh-CN"/>
              </w:rPr>
              <w:t>对照中华人民共和国生态环境部关于印发《污染影响类建设项目重大变动清单（试行）》的通知（环办环评函[2020]688</w:t>
            </w:r>
            <w:r>
              <w:rPr>
                <w:rFonts w:hint="default" w:ascii="Times New Roman" w:hAnsi="Times New Roman" w:eastAsia="宋体" w:cs="Times New Roman"/>
                <w:sz w:val="24"/>
                <w:szCs w:val="24"/>
                <w:lang w:eastAsia="zh-CN"/>
              </w:rPr>
              <w:t>号</w:t>
            </w:r>
            <w:r>
              <w:rPr>
                <w:rFonts w:hint="default" w:ascii="Times New Roman" w:hAnsi="Times New Roman" w:cs="Times New Roman"/>
                <w:b w:val="0"/>
                <w:bCs w:val="0"/>
                <w:sz w:val="24"/>
                <w:szCs w:val="24"/>
                <w:lang w:val="en-US" w:eastAsia="zh-CN"/>
              </w:rPr>
              <w:t>），本项目无重大变化。</w:t>
            </w:r>
          </w:p>
          <w:p>
            <w:pPr>
              <w:pStyle w:val="4"/>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四、原辅材料消耗及水平衡：</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1、原辅材料及能源消耗</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表4-1 项目主要原辅材料、能源及其用量一览表</w:t>
            </w:r>
          </w:p>
          <w:tbl>
            <w:tblPr>
              <w:tblStyle w:val="1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57"/>
              <w:gridCol w:w="1657"/>
              <w:gridCol w:w="1657"/>
              <w:gridCol w:w="1657"/>
              <w:gridCol w:w="16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12" w:space="0"/>
                    <w:left w:val="single" w:color="auto" w:sz="0"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999" w:type="pct"/>
                  <w:tcBorders>
                    <w:top w:val="single" w:color="auto" w:sz="12" w:space="0"/>
                    <w:left w:val="single" w:color="auto" w:sz="4" w:space="0"/>
                    <w:bottom w:val="single" w:color="auto" w:sz="4" w:space="0"/>
                    <w:right w:val="single" w:color="auto" w:sz="4" w:space="0"/>
                  </w:tcBorders>
                  <w:noWrap w:val="0"/>
                  <w:vAlign w:val="center"/>
                </w:tcPr>
                <w:p>
                  <w:pPr>
                    <w:pStyle w:val="19"/>
                    <w:widowControl w:val="0"/>
                    <w:adjustRightInd w:val="0"/>
                    <w:snapToGrid w:val="0"/>
                    <w:spacing w:before="0" w:after="0"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999"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999"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环评用量</w:t>
                  </w:r>
                </w:p>
              </w:tc>
              <w:tc>
                <w:tcPr>
                  <w:tcW w:w="1001" w:type="pct"/>
                  <w:tcBorders>
                    <w:top w:val="single" w:color="auto" w:sz="12"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实际用</w:t>
                  </w:r>
                  <w:r>
                    <w:rPr>
                      <w:rFonts w:hint="default" w:ascii="Times New Roman" w:hAnsi="Times New Roman" w:eastAsia="宋体" w:cs="Times New Roman"/>
                      <w:sz w:val="21"/>
                      <w:szCs w:val="21"/>
                    </w:rPr>
                    <w:t>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回转支承毛坯</w:t>
                  </w:r>
                </w:p>
              </w:tc>
              <w:tc>
                <w:tcPr>
                  <w:tcW w:w="99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color w:val="auto"/>
                      <w:kern w:val="0"/>
                      <w:sz w:val="21"/>
                      <w:szCs w:val="21"/>
                      <w:lang w:val="en-US" w:eastAsia="zh-CN"/>
                    </w:rPr>
                    <w:t>套/年</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3075</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w:t>
                  </w: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滚动体</w:t>
                  </w:r>
                </w:p>
              </w:tc>
              <w:tc>
                <w:tcPr>
                  <w:tcW w:w="99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lang w:val="en-US" w:eastAsia="zh-CN"/>
                    </w:rPr>
                    <w:t>套/年</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3075</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w:t>
                  </w: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隔离块</w:t>
                  </w:r>
                </w:p>
              </w:tc>
              <w:tc>
                <w:tcPr>
                  <w:tcW w:w="99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lang w:val="en-US" w:eastAsia="zh-CN"/>
                    </w:rPr>
                    <w:t>套/年</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3075</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w:t>
                  </w: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橡胶密封条</w:t>
                  </w:r>
                </w:p>
              </w:tc>
              <w:tc>
                <w:tcPr>
                  <w:tcW w:w="99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套/年</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3075</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suppressLineNumbers w:val="0"/>
                    <w:jc w:val="center"/>
                    <w:textAlignment w:val="bottom"/>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w:t>
                  </w: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润滑油</w:t>
                  </w:r>
                </w:p>
              </w:tc>
              <w:tc>
                <w:tcPr>
                  <w:tcW w:w="99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t</w:t>
                  </w:r>
                  <w:r>
                    <w:rPr>
                      <w:rFonts w:hint="default" w:ascii="Times New Roman" w:hAnsi="Times New Roman" w:eastAsia="宋体" w:cs="Times New Roman"/>
                      <w:color w:val="auto"/>
                      <w:kern w:val="0"/>
                      <w:sz w:val="21"/>
                      <w:szCs w:val="21"/>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0.15</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w:t>
                  </w: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切削液</w:t>
                  </w:r>
                </w:p>
              </w:tc>
              <w:tc>
                <w:tcPr>
                  <w:tcW w:w="99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t</w:t>
                  </w:r>
                  <w:r>
                    <w:rPr>
                      <w:rFonts w:hint="default" w:ascii="Times New Roman" w:hAnsi="Times New Roman" w:eastAsia="宋体" w:cs="Times New Roman"/>
                      <w:color w:val="auto"/>
                      <w:kern w:val="0"/>
                      <w:sz w:val="21"/>
                      <w:szCs w:val="21"/>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4.61</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suppressLineNumbers w:val="0"/>
                    <w:jc w:val="center"/>
                    <w:textAlignment w:val="bottom"/>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w:t>
                  </w: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淬火液</w:t>
                  </w:r>
                </w:p>
              </w:tc>
              <w:tc>
                <w:tcPr>
                  <w:tcW w:w="99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t</w:t>
                  </w:r>
                  <w:r>
                    <w:rPr>
                      <w:rFonts w:hint="default" w:ascii="Times New Roman" w:hAnsi="Times New Roman" w:eastAsia="宋体" w:cs="Times New Roman"/>
                      <w:color w:val="auto"/>
                      <w:kern w:val="0"/>
                      <w:sz w:val="21"/>
                      <w:szCs w:val="21"/>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0.92</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suppressLineNumbers w:val="0"/>
                    <w:jc w:val="center"/>
                    <w:textAlignment w:val="bottom"/>
                    <w:rPr>
                      <w:rFonts w:hint="default" w:ascii="Times New Roman" w:hAnsi="Times New Roman" w:cs="Times New Roman"/>
                      <w:color w:val="auto"/>
                      <w:sz w:val="21"/>
                      <w:szCs w:val="21"/>
                      <w:lang w:val="en-US" w:eastAsia="zh-CN"/>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水</w:t>
                  </w:r>
                </w:p>
              </w:tc>
              <w:tc>
                <w:tcPr>
                  <w:tcW w:w="99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仿宋" w:cs="Times New Roman"/>
                      <w:sz w:val="21"/>
                      <w:szCs w:val="21"/>
                      <w:lang w:val="en-US" w:eastAsia="zh-CN"/>
                    </w:rPr>
                    <w:t>m</w:t>
                  </w:r>
                  <w:r>
                    <w:rPr>
                      <w:rFonts w:hint="default" w:ascii="Times New Roman" w:hAnsi="Times New Roman" w:eastAsia="仿宋" w:cs="Times New Roman"/>
                      <w:sz w:val="21"/>
                      <w:szCs w:val="21"/>
                      <w:vertAlign w:val="superscript"/>
                      <w:lang w:val="en-US" w:eastAsia="zh-CN"/>
                    </w:rPr>
                    <w:t>3</w:t>
                  </w:r>
                  <w:r>
                    <w:rPr>
                      <w:rFonts w:hint="default" w:ascii="Times New Roman" w:hAnsi="Times New Roman" w:cs="Times New Roman"/>
                      <w:sz w:val="21"/>
                      <w:szCs w:val="21"/>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930</w:t>
                  </w:r>
                </w:p>
              </w:tc>
              <w:tc>
                <w:tcPr>
                  <w:tcW w:w="1001"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945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12" w:space="0"/>
                    <w:right w:val="single" w:color="auto" w:sz="4" w:space="0"/>
                  </w:tcBorders>
                  <w:noWrap w:val="0"/>
                  <w:vAlign w:val="center"/>
                </w:tcPr>
                <w:p>
                  <w:pPr>
                    <w:widowControl/>
                    <w:adjustRightInd w:val="0"/>
                    <w:snapToGrid w:val="0"/>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999"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电</w:t>
                  </w:r>
                </w:p>
              </w:tc>
              <w:tc>
                <w:tcPr>
                  <w:tcW w:w="999" w:type="pct"/>
                  <w:tcBorders>
                    <w:top w:val="single" w:color="auto" w:sz="4" w:space="0"/>
                    <w:left w:val="single" w:color="auto" w:sz="4" w:space="0"/>
                    <w:bottom w:val="single" w:color="auto" w:sz="12" w:space="0"/>
                    <w:right w:val="single" w:color="auto" w:sz="4" w:space="0"/>
                  </w:tcBorders>
                  <w:noWrap w:val="0"/>
                  <w:vAlign w:val="center"/>
                </w:tcPr>
                <w:p>
                  <w:pPr>
                    <w:spacing w:line="36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kwh/a</w:t>
                  </w:r>
                </w:p>
              </w:tc>
              <w:tc>
                <w:tcPr>
                  <w:tcW w:w="999"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80000</w:t>
                  </w:r>
                </w:p>
              </w:tc>
              <w:tc>
                <w:tcPr>
                  <w:tcW w:w="1001" w:type="pct"/>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15</w:t>
                  </w:r>
                  <w:r>
                    <w:rPr>
                      <w:rFonts w:hint="default" w:ascii="Times New Roman" w:hAnsi="Times New Roman" w:cs="Times New Roman"/>
                      <w:color w:val="000000" w:themeColor="text1"/>
                      <w:sz w:val="21"/>
                      <w:szCs w:val="21"/>
                      <w:lang w:val="en-US" w:eastAsia="zh-CN"/>
                      <w14:textFill>
                        <w14:solidFill>
                          <w14:schemeClr w14:val="tx1"/>
                        </w14:solidFill>
                      </w14:textFill>
                    </w:rPr>
                    <w:t>0000</w:t>
                  </w:r>
                </w:p>
              </w:tc>
            </w:tr>
          </w:tbl>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2、主要生产设备</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表4-2 项目主要生产设备一览表</w:t>
            </w:r>
          </w:p>
          <w:tbl>
            <w:tblPr>
              <w:tblStyle w:val="12"/>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683"/>
              <w:gridCol w:w="2169"/>
              <w:gridCol w:w="2816"/>
              <w:gridCol w:w="1312"/>
              <w:gridCol w:w="132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411" w:type="pct"/>
                  <w:tcBorders>
                    <w:left w:val="single" w:color="auto" w:sz="0"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序号</w:t>
                  </w:r>
                </w:p>
              </w:tc>
              <w:tc>
                <w:tcPr>
                  <w:tcW w:w="1306" w:type="pct"/>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设备名称</w:t>
                  </w:r>
                </w:p>
              </w:tc>
              <w:tc>
                <w:tcPr>
                  <w:tcW w:w="1696" w:type="pct"/>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规格</w:t>
                  </w:r>
                  <w:r>
                    <w:rPr>
                      <w:rFonts w:hint="default" w:ascii="Times New Roman" w:hAnsi="Times New Roman" w:eastAsia="宋体" w:cs="Times New Roman"/>
                      <w:color w:val="000000" w:themeColor="text1"/>
                      <w:sz w:val="21"/>
                      <w:szCs w:val="21"/>
                      <w14:textFill>
                        <w14:solidFill>
                          <w14:schemeClr w14:val="tx1"/>
                        </w14:solidFill>
                      </w14:textFill>
                    </w:rPr>
                    <w:t>型号</w:t>
                  </w:r>
                </w:p>
              </w:tc>
              <w:tc>
                <w:tcPr>
                  <w:tcW w:w="790" w:type="pct"/>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环评</w:t>
                  </w:r>
                  <w:r>
                    <w:rPr>
                      <w:rFonts w:hint="default" w:ascii="Times New Roman" w:hAnsi="Times New Roman" w:eastAsia="宋体" w:cs="Times New Roman"/>
                      <w:color w:val="000000" w:themeColor="text1"/>
                      <w:sz w:val="21"/>
                      <w:szCs w:val="21"/>
                      <w14:textFill>
                        <w14:solidFill>
                          <w14:schemeClr w14:val="tx1"/>
                        </w14:solidFill>
                      </w14:textFill>
                    </w:rPr>
                    <w:t>数量（台）</w:t>
                  </w:r>
                </w:p>
              </w:tc>
              <w:tc>
                <w:tcPr>
                  <w:tcW w:w="795" w:type="pct"/>
                  <w:tcBorders>
                    <w:left w:val="single" w:color="000000" w:sz="4" w:space="0"/>
                    <w:bottom w:val="single" w:color="000000" w:sz="4" w:space="0"/>
                    <w:right w:val="single" w:color="000000" w:sz="12" w:space="0"/>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实际</w:t>
                  </w:r>
                  <w:r>
                    <w:rPr>
                      <w:rFonts w:hint="default" w:ascii="Times New Roman" w:hAnsi="Times New Roman" w:eastAsia="宋体" w:cs="Times New Roman"/>
                      <w:color w:val="000000" w:themeColor="text1"/>
                      <w:sz w:val="21"/>
                      <w:szCs w:val="21"/>
                      <w14:textFill>
                        <w14:solidFill>
                          <w14:schemeClr w14:val="tx1"/>
                        </w14:solidFill>
                      </w14:textFill>
                    </w:rPr>
                    <w:t>数量（台）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3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立式车床</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C5225</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2</w:t>
                  </w:r>
                </w:p>
              </w:tc>
              <w:tc>
                <w:tcPr>
                  <w:tcW w:w="795" w:type="pct"/>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3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i w:val="0"/>
                      <w:color w:val="auto"/>
                      <w:kern w:val="0"/>
                      <w:sz w:val="21"/>
                      <w:szCs w:val="21"/>
                      <w:u w:val="none"/>
                      <w:lang w:val="en-US" w:eastAsia="zh-CN" w:bidi="ar"/>
                    </w:rPr>
                    <w:t>卧式车床</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CW61100</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color w:val="auto"/>
                      <w:kern w:val="0"/>
                      <w:sz w:val="21"/>
                      <w:szCs w:val="21"/>
                      <w:u w:val="none"/>
                      <w:lang w:val="en-US" w:eastAsia="zh-CN" w:bidi="ar"/>
                    </w:rPr>
                    <w:t>2</w:t>
                  </w:r>
                </w:p>
              </w:tc>
              <w:tc>
                <w:tcPr>
                  <w:tcW w:w="795" w:type="pct"/>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color w:val="auto"/>
                      <w:kern w:val="0"/>
                      <w:sz w:val="21"/>
                      <w:szCs w:val="21"/>
                      <w:u w:val="none"/>
                      <w:lang w:val="en-US" w:eastAsia="zh-CN" w:bidi="ar"/>
                    </w:rPr>
                    <w:t>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3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数控钻床</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GD160</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3</w:t>
                  </w:r>
                </w:p>
              </w:tc>
              <w:tc>
                <w:tcPr>
                  <w:tcW w:w="795" w:type="pct"/>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3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淬火数控机床</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GCK13400</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4</w:t>
                  </w:r>
                </w:p>
              </w:tc>
              <w:tc>
                <w:tcPr>
                  <w:tcW w:w="795" w:type="pct"/>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i w:val="0"/>
                      <w:color w:val="auto"/>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3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滚齿机</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Y31125</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2</w:t>
                  </w:r>
                </w:p>
              </w:tc>
              <w:tc>
                <w:tcPr>
                  <w:tcW w:w="795" w:type="pct"/>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3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插齿机</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Y5180、Y51125、YK51160</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4</w:t>
                  </w:r>
                </w:p>
              </w:tc>
              <w:tc>
                <w:tcPr>
                  <w:tcW w:w="795" w:type="pct"/>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3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高速铣齿机</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YK84250</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2</w:t>
                  </w:r>
                </w:p>
              </w:tc>
              <w:tc>
                <w:tcPr>
                  <w:tcW w:w="795" w:type="pct"/>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3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热处理回火炉</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TZ4000</w:t>
                  </w:r>
                </w:p>
              </w:tc>
              <w:tc>
                <w:tcPr>
                  <w:tcW w:w="7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2</w:t>
                  </w:r>
                </w:p>
              </w:tc>
              <w:tc>
                <w:tcPr>
                  <w:tcW w:w="795" w:type="pct"/>
                  <w:tcBorders>
                    <w:top w:val="single" w:color="000000" w:sz="4" w:space="0"/>
                    <w:left w:val="single" w:color="000000" w:sz="4" w:space="0"/>
                    <w:bottom w:val="single" w:color="000000" w:sz="4" w:space="0"/>
                    <w:right w:val="single" w:color="000000" w:sz="12"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i w:val="0"/>
                      <w:color w:val="auto"/>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1" w:type="pct"/>
                  <w:tcBorders>
                    <w:top w:val="single" w:color="000000" w:sz="4" w:space="0"/>
                    <w:left w:val="single" w:color="000000" w:sz="4" w:space="0"/>
                    <w:bottom w:val="single" w:color="000000" w:sz="12" w:space="0"/>
                    <w:right w:val="single" w:color="000000" w:sz="4" w:space="0"/>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1306" w:type="pct"/>
                  <w:tcBorders>
                    <w:top w:val="single" w:color="000000" w:sz="4" w:space="0"/>
                    <w:left w:val="single" w:color="000000" w:sz="4" w:space="0"/>
                    <w:bottom w:val="single" w:color="000000" w:sz="12"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叉车</w:t>
                  </w:r>
                </w:p>
              </w:tc>
              <w:tc>
                <w:tcPr>
                  <w:tcW w:w="1696" w:type="pct"/>
                  <w:tcBorders>
                    <w:top w:val="single" w:color="000000" w:sz="4" w:space="0"/>
                    <w:left w:val="single" w:color="000000" w:sz="4" w:space="0"/>
                    <w:bottom w:val="single" w:color="000000" w:sz="12"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7T</w:t>
                  </w:r>
                </w:p>
              </w:tc>
              <w:tc>
                <w:tcPr>
                  <w:tcW w:w="790" w:type="pct"/>
                  <w:tcBorders>
                    <w:top w:val="single" w:color="000000" w:sz="4" w:space="0"/>
                    <w:left w:val="single" w:color="000000" w:sz="4" w:space="0"/>
                    <w:bottom w:val="single" w:color="000000" w:sz="12"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1</w:t>
                  </w:r>
                </w:p>
              </w:tc>
              <w:tc>
                <w:tcPr>
                  <w:tcW w:w="795" w:type="pct"/>
                  <w:tcBorders>
                    <w:top w:val="single" w:color="000000" w:sz="4" w:space="0"/>
                    <w:left w:val="single" w:color="000000" w:sz="4" w:space="0"/>
                    <w:bottom w:val="single" w:color="000000" w:sz="12" w:space="0"/>
                    <w:right w:val="single" w:color="000000" w:sz="12" w:space="0"/>
                  </w:tcBorders>
                  <w:noWrap w:val="0"/>
                  <w:vAlign w:val="center"/>
                </w:tcPr>
                <w:p>
                  <w:pPr>
                    <w:keepNext w:val="0"/>
                    <w:keepLines w:val="0"/>
                    <w:pageBreakBefore w:val="0"/>
                    <w:widowControl/>
                    <w:suppressLineNumbers w:val="0"/>
                    <w:kinsoku/>
                    <w:wordWrap/>
                    <w:overflowPunct/>
                    <w:topLinePunct w:val="0"/>
                    <w:autoSpaceDE/>
                    <w:autoSpaceDN/>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auto"/>
                      <w:kern w:val="0"/>
                      <w:sz w:val="21"/>
                      <w:szCs w:val="21"/>
                      <w:u w:val="none"/>
                      <w:lang w:val="en-US" w:eastAsia="zh-CN" w:bidi="ar"/>
                    </w:rPr>
                    <w:t>1</w:t>
                  </w:r>
                </w:p>
              </w:tc>
            </w:tr>
          </w:tbl>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3、产品方案</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表4-3 项目产品方案一览表</w:t>
            </w:r>
          </w:p>
          <w:tbl>
            <w:tblPr>
              <w:tblStyle w:val="12"/>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1420"/>
              <w:gridCol w:w="1601"/>
              <w:gridCol w:w="2641"/>
              <w:gridCol w:w="264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67" w:hRule="atLeast"/>
                <w:jc w:val="center"/>
              </w:trPr>
              <w:tc>
                <w:tcPr>
                  <w:tcW w:w="855" w:type="pct"/>
                  <w:tcBorders>
                    <w:left w:val="single" w:color="auto" w:sz="0"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序号</w:t>
                  </w:r>
                </w:p>
              </w:tc>
              <w:tc>
                <w:tcPr>
                  <w:tcW w:w="964" w:type="pct"/>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产品名称</w:t>
                  </w:r>
                </w:p>
              </w:tc>
              <w:tc>
                <w:tcPr>
                  <w:tcW w:w="1590" w:type="pct"/>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lang w:eastAsia="zh-CN"/>
                    </w:rPr>
                    <w:t>环评</w:t>
                  </w:r>
                  <w:r>
                    <w:rPr>
                      <w:rFonts w:hint="default" w:ascii="Times New Roman" w:hAnsi="Times New Roman" w:eastAsia="宋体" w:cs="Times New Roman"/>
                      <w:bCs/>
                      <w:color w:val="auto"/>
                      <w:szCs w:val="21"/>
                    </w:rPr>
                    <w:t>年产量</w:t>
                  </w:r>
                  <w:r>
                    <w:rPr>
                      <w:rFonts w:hint="default" w:ascii="Times New Roman" w:hAnsi="Times New Roman" w:eastAsia="宋体" w:cs="Times New Roman"/>
                      <w:bCs/>
                      <w:color w:val="auto"/>
                      <w:szCs w:val="21"/>
                      <w:lang w:eastAsia="zh-CN"/>
                    </w:rPr>
                    <w:t>（</w:t>
                  </w:r>
                  <w:r>
                    <w:rPr>
                      <w:rFonts w:hint="default" w:ascii="Times New Roman" w:hAnsi="Times New Roman" w:eastAsia="宋体" w:cs="Times New Roman"/>
                      <w:bCs/>
                      <w:color w:val="auto"/>
                      <w:kern w:val="0"/>
                      <w:sz w:val="21"/>
                      <w:szCs w:val="21"/>
                      <w:lang w:val="en-US" w:eastAsia="zh-CN"/>
                    </w:rPr>
                    <w:t>套/年）</w:t>
                  </w:r>
                </w:p>
              </w:tc>
              <w:tc>
                <w:tcPr>
                  <w:tcW w:w="1590" w:type="pct"/>
                  <w:tcBorders>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eastAsia="zh-CN"/>
                    </w:rPr>
                    <w:t>实际年产量（</w:t>
                  </w:r>
                  <w:r>
                    <w:rPr>
                      <w:rFonts w:hint="default" w:ascii="Times New Roman" w:hAnsi="Times New Roman" w:eastAsia="宋体" w:cs="Times New Roman"/>
                      <w:bCs/>
                      <w:color w:val="auto"/>
                      <w:kern w:val="0"/>
                      <w:sz w:val="21"/>
                      <w:szCs w:val="21"/>
                      <w:lang w:val="en-US" w:eastAsia="zh-CN"/>
                    </w:rPr>
                    <w:t>套/年）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67" w:hRule="atLeast"/>
                <w:jc w:val="center"/>
              </w:trPr>
              <w:tc>
                <w:tcPr>
                  <w:tcW w:w="855" w:type="pct"/>
                  <w:tcBorders>
                    <w:top w:val="single" w:color="000000" w:sz="4" w:space="0"/>
                    <w:left w:val="single" w:color="000000" w:sz="4" w:space="0"/>
                    <w:bottom w:val="single" w:color="000000" w:sz="12"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default" w:ascii="Times New Roman" w:hAnsi="Times New Roman" w:eastAsia="宋体" w:cs="Times New Roman"/>
                      <w:bCs/>
                      <w:color w:val="auto"/>
                      <w:szCs w:val="21"/>
                      <w:lang w:val="en-US" w:eastAsia="zh-CN"/>
                    </w:rPr>
                    <w:t>1</w:t>
                  </w:r>
                </w:p>
              </w:tc>
              <w:tc>
                <w:tcPr>
                  <w:tcW w:w="964" w:type="pct"/>
                  <w:tcBorders>
                    <w:top w:val="single" w:color="000000" w:sz="4" w:space="0"/>
                    <w:left w:val="single" w:color="000000" w:sz="4" w:space="0"/>
                    <w:bottom w:val="single" w:color="000000" w:sz="12" w:space="0"/>
                    <w:right w:val="single" w:color="000000" w:sz="4" w:space="0"/>
                  </w:tcBorders>
                  <w:noWrap w:val="0"/>
                  <w:vAlign w:val="center"/>
                </w:tcPr>
                <w:p>
                  <w:pPr>
                    <w:spacing w:line="400" w:lineRule="exact"/>
                    <w:jc w:val="center"/>
                    <w:rPr>
                      <w:rFonts w:hint="default" w:ascii="Times New Roman" w:hAnsi="Times New Roman" w:cs="Times New Roman"/>
                      <w:lang w:val="en-US" w:eastAsia="zh-CN"/>
                    </w:rPr>
                  </w:pPr>
                  <w:r>
                    <w:rPr>
                      <w:rFonts w:hint="default" w:ascii="Times New Roman" w:hAnsi="Times New Roman" w:cs="Times New Roman"/>
                      <w:color w:val="auto"/>
                      <w:lang w:eastAsia="zh-CN"/>
                    </w:rPr>
                    <w:t>回转支承</w:t>
                  </w:r>
                </w:p>
              </w:tc>
              <w:tc>
                <w:tcPr>
                  <w:tcW w:w="1590" w:type="pct"/>
                  <w:tcBorders>
                    <w:top w:val="single" w:color="000000" w:sz="4" w:space="0"/>
                    <w:left w:val="single" w:color="000000" w:sz="4" w:space="0"/>
                    <w:bottom w:val="single" w:color="000000" w:sz="12"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eastAsia" w:ascii="Times New Roman" w:hAnsi="Times New Roman" w:cs="Times New Roman"/>
                      <w:bCs/>
                      <w:color w:val="auto"/>
                      <w:szCs w:val="21"/>
                      <w:lang w:val="en-US" w:eastAsia="zh-CN"/>
                    </w:rPr>
                    <w:t>3</w:t>
                  </w:r>
                  <w:r>
                    <w:rPr>
                      <w:rFonts w:hint="default" w:ascii="Times New Roman" w:hAnsi="Times New Roman" w:cs="Times New Roman"/>
                      <w:bCs/>
                      <w:color w:val="auto"/>
                      <w:szCs w:val="21"/>
                      <w:lang w:val="en-US" w:eastAsia="zh-CN"/>
                    </w:rPr>
                    <w:t>000</w:t>
                  </w:r>
                </w:p>
              </w:tc>
              <w:tc>
                <w:tcPr>
                  <w:tcW w:w="1590" w:type="pct"/>
                  <w:tcBorders>
                    <w:top w:val="single" w:color="000000" w:sz="4" w:space="0"/>
                    <w:left w:val="single" w:color="000000" w:sz="4" w:space="0"/>
                    <w:bottom w:val="single" w:color="000000" w:sz="12"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3</w:t>
                  </w:r>
                  <w:r>
                    <w:rPr>
                      <w:rFonts w:hint="default" w:ascii="Times New Roman" w:hAnsi="Times New Roman" w:cs="Times New Roman"/>
                      <w:bCs/>
                      <w:color w:val="auto"/>
                      <w:szCs w:val="21"/>
                      <w:lang w:val="en-US" w:eastAsia="zh-CN"/>
                    </w:rPr>
                    <w:t>000</w:t>
                  </w:r>
                </w:p>
              </w:tc>
            </w:tr>
          </w:tbl>
          <w:p>
            <w:pPr>
              <w:pStyle w:val="4"/>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4、水平衡</w:t>
            </w:r>
          </w:p>
          <w:p>
            <w:pPr>
              <w:adjustRightInd w:val="0"/>
              <w:snapToGrid w:val="0"/>
              <w:spacing w:line="520" w:lineRule="exact"/>
              <w:ind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本项目</w:t>
            </w:r>
            <w:r>
              <w:rPr>
                <w:rFonts w:hint="eastAsia" w:ascii="Times New Roman" w:hAnsi="Times New Roman" w:cs="Times New Roman"/>
                <w:color w:val="000000" w:themeColor="text1"/>
                <w:sz w:val="24"/>
                <w:szCs w:val="24"/>
                <w:lang w:eastAsia="zh-CN"/>
                <w14:textFill>
                  <w14:solidFill>
                    <w14:schemeClr w14:val="tx1"/>
                  </w14:solidFill>
                </w14:textFill>
              </w:rPr>
              <w:t>不设食堂，不提供员工食宿，</w:t>
            </w:r>
            <w:r>
              <w:rPr>
                <w:rFonts w:hint="default" w:ascii="Times New Roman" w:hAnsi="Times New Roman" w:cs="Times New Roman"/>
                <w:color w:val="000000" w:themeColor="text1"/>
                <w:sz w:val="24"/>
                <w:lang w:eastAsia="zh-CN"/>
                <w14:textFill>
                  <w14:solidFill>
                    <w14:schemeClr w14:val="tx1"/>
                  </w14:solidFill>
                </w14:textFill>
              </w:rPr>
              <w:t>用水主要</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职工</w:t>
            </w:r>
            <w:r>
              <w:rPr>
                <w:rFonts w:hint="default" w:ascii="Times New Roman" w:hAnsi="Times New Roman" w:cs="Times New Roman"/>
                <w:color w:val="000000" w:themeColor="text1"/>
                <w:sz w:val="24"/>
                <w:szCs w:val="24"/>
                <w:lang w:eastAsia="zh-CN"/>
                <w14:textFill>
                  <w14:solidFill>
                    <w14:schemeClr w14:val="tx1"/>
                  </w14:solidFill>
                </w14:textFill>
              </w:rPr>
              <w:t>生活用水，</w:t>
            </w:r>
            <w:r>
              <w:rPr>
                <w:rFonts w:hint="eastAsia" w:ascii="Times New Roman" w:hAnsi="Times New Roman" w:cs="Times New Roman"/>
                <w:color w:val="000000" w:themeColor="text1"/>
                <w:sz w:val="24"/>
                <w:szCs w:val="24"/>
                <w:lang w:eastAsia="zh-CN"/>
                <w14:textFill>
                  <w14:solidFill>
                    <w14:schemeClr w14:val="tx1"/>
                  </w14:solidFill>
                </w14:textFill>
              </w:rPr>
              <w:t>本项目员工为</w:t>
            </w:r>
            <w:r>
              <w:rPr>
                <w:rFonts w:hint="eastAsia" w:ascii="Times New Roman" w:hAnsi="Times New Roman" w:cs="Times New Roman"/>
                <w:color w:val="000000" w:themeColor="text1"/>
                <w:sz w:val="24"/>
                <w:szCs w:val="24"/>
                <w:lang w:val="en-US" w:eastAsia="zh-CN"/>
                <w14:textFill>
                  <w14:solidFill>
                    <w14:schemeClr w14:val="tx1"/>
                  </w14:solidFill>
                </w14:textFill>
              </w:rPr>
              <w:t>70人，年工作300天，新鲜水</w:t>
            </w:r>
            <w:r>
              <w:rPr>
                <w:rFonts w:hint="default" w:ascii="Times New Roman" w:hAnsi="Times New Roman" w:cs="Times New Roman"/>
                <w:color w:val="000000" w:themeColor="text1"/>
                <w:sz w:val="24"/>
                <w:szCs w:val="24"/>
                <w:lang w:eastAsia="zh-CN"/>
                <w14:textFill>
                  <w14:solidFill>
                    <w14:schemeClr w14:val="tx1"/>
                  </w14:solidFill>
                </w14:textFill>
              </w:rPr>
              <w:t>用量为</w:t>
            </w:r>
            <w:r>
              <w:rPr>
                <w:rFonts w:hint="eastAsia" w:ascii="Times New Roman" w:hAnsi="Times New Roman" w:cs="Times New Roman"/>
                <w:color w:val="000000" w:themeColor="text1"/>
                <w:sz w:val="24"/>
                <w:szCs w:val="24"/>
                <w:lang w:val="en-US" w:eastAsia="zh-CN"/>
                <w14:textFill>
                  <w14:solidFill>
                    <w14:schemeClr w14:val="tx1"/>
                  </w14:solidFill>
                </w14:textFill>
              </w:rPr>
              <w:t>1050</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/a</w:t>
            </w:r>
            <w:r>
              <w:rPr>
                <w:rFonts w:hint="eastAsia" w:ascii="Times New Roman" w:hAnsi="Times New Roman" w:cs="Times New Roman"/>
                <w:color w:val="000000" w:themeColor="text1"/>
                <w:sz w:val="24"/>
                <w:szCs w:val="24"/>
                <w:lang w:val="en-US" w:eastAsia="zh-CN"/>
                <w14:textFill>
                  <w14:solidFill>
                    <w14:schemeClr w14:val="tx1"/>
                  </w14:solidFill>
                </w14:textFill>
              </w:rPr>
              <w:t>（3.5</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/d</w:t>
            </w:r>
            <w:r>
              <w:rPr>
                <w:rFonts w:hint="eastAsia" w:ascii="Times New Roman" w:hAnsi="Times New Roman" w:cs="Times New Roman"/>
                <w:color w:val="000000" w:themeColor="text1"/>
                <w:sz w:val="24"/>
                <w:szCs w:val="24"/>
                <w:lang w:val="en-US" w:eastAsia="zh-CN"/>
                <w14:textFill>
                  <w14:solidFill>
                    <w14:schemeClr w14:val="tx1"/>
                  </w14:solidFill>
                </w14:textFill>
              </w:rPr>
              <w:t>），排污系数为0.9，</w:t>
            </w:r>
            <w:r>
              <w:rPr>
                <w:rFonts w:hint="eastAsia" w:ascii="Times New Roman" w:hAnsi="Times New Roman" w:cs="Times New Roman"/>
                <w:color w:val="000000" w:themeColor="text1"/>
                <w:sz w:val="24"/>
                <w:lang w:eastAsia="zh-CN"/>
                <w14:textFill>
                  <w14:solidFill>
                    <w14:schemeClr w14:val="tx1"/>
                  </w14:solidFill>
                </w14:textFill>
              </w:rPr>
              <w:t>生活污水</w:t>
            </w:r>
            <w:r>
              <w:rPr>
                <w:rFonts w:hint="default" w:ascii="Times New Roman" w:hAnsi="Times New Roman" w:cs="Times New Roman"/>
                <w:color w:val="000000" w:themeColor="text1"/>
                <w:sz w:val="24"/>
                <w:lang w:eastAsia="zh-CN"/>
                <w14:textFill>
                  <w14:solidFill>
                    <w14:schemeClr w14:val="tx1"/>
                  </w14:solidFill>
                </w14:textFill>
              </w:rPr>
              <w:t>排放</w:t>
            </w:r>
            <w:r>
              <w:rPr>
                <w:rFonts w:hint="default" w:ascii="Times New Roman" w:hAnsi="Times New Roman" w:cs="Times New Roman"/>
                <w:color w:val="000000" w:themeColor="text1"/>
                <w:sz w:val="24"/>
                <w14:textFill>
                  <w14:solidFill>
                    <w14:schemeClr w14:val="tx1"/>
                  </w14:solidFill>
                </w14:textFill>
              </w:rPr>
              <w:t>量</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val="en-US" w:eastAsia="zh-CN"/>
                <w14:textFill>
                  <w14:solidFill>
                    <w14:schemeClr w14:val="tx1"/>
                  </w14:solidFill>
                </w14:textFill>
              </w:rPr>
              <w:t>945</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/a（</w:t>
            </w:r>
            <w:r>
              <w:rPr>
                <w:rFonts w:hint="eastAsia" w:ascii="Times New Roman" w:hAnsi="Times New Roman" w:cs="Times New Roman"/>
                <w:color w:val="000000" w:themeColor="text1"/>
                <w:sz w:val="24"/>
                <w:lang w:val="en-US" w:eastAsia="zh-CN"/>
                <w14:textFill>
                  <w14:solidFill>
                    <w14:schemeClr w14:val="tx1"/>
                  </w14:solidFill>
                </w14:textFill>
              </w:rPr>
              <w:t>3.15</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/d）。</w:t>
            </w:r>
            <w:r>
              <w:rPr>
                <w:rFonts w:hint="default" w:ascii="Times New Roman" w:hAnsi="Times New Roman" w:cs="Times New Roman"/>
                <w:color w:val="000000" w:themeColor="text1"/>
                <w:sz w:val="24"/>
                <w:szCs w:val="24"/>
                <w:lang w:eastAsia="zh-CN"/>
                <w14:textFill>
                  <w14:solidFill>
                    <w14:schemeClr w14:val="tx1"/>
                  </w14:solidFill>
                </w14:textFill>
              </w:rPr>
              <w:t>产生的</w:t>
            </w:r>
            <w:r>
              <w:rPr>
                <w:rFonts w:hint="eastAsia" w:ascii="Times New Roman" w:hAnsi="Times New Roman" w:cs="Times New Roman"/>
                <w:color w:val="000000" w:themeColor="text1"/>
                <w:sz w:val="24"/>
                <w:szCs w:val="24"/>
                <w:lang w:eastAsia="zh-CN"/>
                <w14:textFill>
                  <w14:solidFill>
                    <w14:schemeClr w14:val="tx1"/>
                  </w14:solidFill>
                </w14:textFill>
              </w:rPr>
              <w:t>生活</w:t>
            </w:r>
            <w:r>
              <w:rPr>
                <w:rFonts w:hint="default" w:ascii="Times New Roman" w:hAnsi="Times New Roman" w:cs="Times New Roman"/>
                <w:color w:val="000000" w:themeColor="text1"/>
                <w:sz w:val="24"/>
                <w:szCs w:val="24"/>
                <w:lang w:eastAsia="zh-CN"/>
                <w14:textFill>
                  <w14:solidFill>
                    <w14:schemeClr w14:val="tx1"/>
                  </w14:solidFill>
                </w14:textFill>
              </w:rPr>
              <w:t>污水</w:t>
            </w:r>
            <w:r>
              <w:rPr>
                <w:rFonts w:hint="default" w:ascii="Times New Roman" w:hAnsi="Times New Roman" w:eastAsia="宋体" w:cs="Times New Roman"/>
                <w:color w:val="000000" w:themeColor="text1"/>
                <w:sz w:val="24"/>
                <w:szCs w:val="24"/>
                <w:lang w:eastAsia="zh-CN"/>
                <w14:textFill>
                  <w14:solidFill>
                    <w14:schemeClr w14:val="tx1"/>
                  </w14:solidFill>
                </w14:textFill>
              </w:rPr>
              <w:t>经化粪池预处理后，通过污水管网</w:t>
            </w:r>
            <w:r>
              <w:rPr>
                <w:rFonts w:hint="default" w:ascii="Times New Roman" w:hAnsi="Times New Roman" w:cs="Times New Roman"/>
                <w:bCs/>
                <w:color w:val="000000" w:themeColor="text1"/>
                <w:sz w:val="24"/>
                <w:lang w:eastAsia="zh-CN"/>
                <w14:textFill>
                  <w14:solidFill>
                    <w14:schemeClr w14:val="tx1"/>
                  </w14:solidFill>
                </w14:textFill>
              </w:rPr>
              <w:t>排入宁国市南山污水处理厂处理达标后，排入中津河</w:t>
            </w:r>
            <w:r>
              <w:rPr>
                <w:rFonts w:hint="default" w:ascii="Times New Roman" w:hAnsi="Times New Roman" w:cs="Times New Roman"/>
                <w:b w:val="0"/>
                <w:bCs w:val="0"/>
                <w:color w:val="000000" w:themeColor="text1"/>
                <w:sz w:val="24"/>
                <w:szCs w:val="24"/>
                <w:lang w:eastAsia="zh-CN"/>
                <w14:textFill>
                  <w14:solidFill>
                    <w14:schemeClr w14:val="tx1"/>
                  </w14:solidFill>
                </w14:textFill>
              </w:rPr>
              <w:t>。</w:t>
            </w:r>
          </w:p>
          <w:p>
            <w:pPr>
              <w:spacing w:before="62" w:beforeLines="20" w:line="360" w:lineRule="auto"/>
              <w:jc w:val="center"/>
              <w:rPr>
                <w:rFonts w:hint="default" w:ascii="Times New Roman" w:hAnsi="Times New Roman" w:cs="Times New Roman" w:eastAsiaTheme="minorEastAsia"/>
                <w:lang w:eastAsia="zh-CN"/>
              </w:rPr>
            </w:pPr>
            <w:r>
              <w:drawing>
                <wp:inline distT="0" distB="0" distL="114300" distR="114300">
                  <wp:extent cx="5067300" cy="1323975"/>
                  <wp:effectExtent l="0" t="0" r="0"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5067300" cy="1323975"/>
                          </a:xfrm>
                          <a:prstGeom prst="rect">
                            <a:avLst/>
                          </a:prstGeom>
                          <a:noFill/>
                          <a:ln>
                            <a:noFill/>
                          </a:ln>
                        </pic:spPr>
                      </pic:pic>
                    </a:graphicData>
                  </a:graphic>
                </wp:inline>
              </w:drawing>
            </w:r>
          </w:p>
          <w:p>
            <w:pPr>
              <w:spacing w:before="62" w:beforeLines="20" w:line="360" w:lineRule="auto"/>
              <w:jc w:val="center"/>
              <w:rPr>
                <w:rFonts w:hint="default" w:ascii="Times New Roman" w:hAnsi="Times New Roman" w:cs="Times New Roman"/>
                <w:lang w:val="en-US" w:eastAsia="zh-CN"/>
              </w:rPr>
            </w:pPr>
            <w:r>
              <w:rPr>
                <w:rFonts w:hint="default" w:ascii="Times New Roman" w:hAnsi="Times New Roman" w:eastAsia="宋体" w:cs="Times New Roman"/>
                <w:b/>
                <w:bCs/>
                <w:color w:val="000000"/>
                <w:kern w:val="2"/>
                <w:sz w:val="21"/>
                <w:szCs w:val="21"/>
                <w:lang w:val="en-US" w:eastAsia="zh-CN" w:bidi="ar-SA"/>
              </w:rPr>
              <w:t>图4-1 项目水平衡图 单位：m</w:t>
            </w:r>
            <w:r>
              <w:rPr>
                <w:rFonts w:hint="eastAsia" w:ascii="Times New Roman" w:hAnsi="Times New Roman" w:eastAsia="宋体" w:cs="Times New Roman"/>
                <w:b/>
                <w:bCs/>
                <w:color w:val="000000"/>
                <w:kern w:val="2"/>
                <w:sz w:val="21"/>
                <w:szCs w:val="21"/>
                <w:vertAlign w:val="superscript"/>
                <w:lang w:val="en-US" w:eastAsia="zh-CN" w:bidi="ar-SA"/>
              </w:rPr>
              <w:t>3</w:t>
            </w:r>
            <w:r>
              <w:rPr>
                <w:rFonts w:hint="default" w:ascii="Times New Roman" w:hAnsi="Times New Roman" w:eastAsia="宋体" w:cs="Times New Roman"/>
                <w:b/>
                <w:bCs/>
                <w:color w:val="000000"/>
                <w:kern w:val="2"/>
                <w:sz w:val="21"/>
                <w:szCs w:val="21"/>
                <w:lang w:val="en-US" w:eastAsia="zh-CN" w:bidi="ar-SA"/>
              </w:rPr>
              <w:t>/d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19" w:hRule="atLeast"/>
          <w:jc w:val="center"/>
        </w:trPr>
        <w:tc>
          <w:tcPr>
            <w:tcW w:w="5000" w:type="pct"/>
            <w:tcBorders>
              <w:tl2br w:val="nil"/>
              <w:tr2bl w:val="nil"/>
            </w:tcBorders>
            <w:noWrap w:val="0"/>
            <w:vAlign w:val="top"/>
          </w:tcPr>
          <w:p>
            <w:pPr>
              <w:pStyle w:val="4"/>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五、主要工艺流程及产污环节</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rPr>
              <w:t>生产工艺流程简述：</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eastAsia="zh-CN"/>
              </w:rPr>
              <w:t>本项目建设内容为回转支承</w:t>
            </w:r>
            <w:r>
              <w:rPr>
                <w:rFonts w:hint="default" w:ascii="Times New Roman" w:hAnsi="Times New Roman" w:cs="Times New Roman"/>
                <w:color w:val="auto"/>
                <w:sz w:val="24"/>
                <w:szCs w:val="24"/>
                <w:lang w:eastAsia="zh-CN"/>
              </w:rPr>
              <w:t>生产</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eastAsia="zh-CN"/>
              </w:rPr>
              <w:t>工艺流程简单，具体如下</w:t>
            </w:r>
            <w:r>
              <w:rPr>
                <w:rFonts w:hint="default" w:ascii="Times New Roman" w:hAnsi="Times New Roman" w:cs="Times New Roman"/>
                <w:b w:val="0"/>
                <w:bCs w:val="0"/>
                <w:color w:val="auto"/>
                <w:sz w:val="24"/>
                <w:szCs w:val="24"/>
              </w:rPr>
              <w:t>：</w:t>
            </w:r>
          </w:p>
          <w:p>
            <w:pPr>
              <w:pStyle w:val="20"/>
              <w:spacing w:before="156" w:beforeLines="50" w:after="156" w:afterLines="50" w:line="360" w:lineRule="auto"/>
              <w:ind w:firstLine="0"/>
              <w:jc w:val="center"/>
              <w:rPr>
                <w:rFonts w:hint="eastAsia" w:ascii="Times New Roman" w:hAnsi="Times New Roman" w:cs="Times New Roman" w:eastAsiaTheme="minorEastAsia"/>
                <w:sz w:val="21"/>
                <w:lang w:eastAsia="zh-CN"/>
              </w:rPr>
            </w:pPr>
            <w:bookmarkStart w:id="1" w:name="_Toc32731"/>
            <w:bookmarkStart w:id="2" w:name="_Toc19598"/>
            <w:r>
              <w:rPr>
                <w:rFonts w:hint="eastAsia" w:ascii="Times New Roman" w:hAnsi="Times New Roman" w:cs="Times New Roman" w:eastAsiaTheme="minorEastAsia"/>
                <w:sz w:val="21"/>
                <w:lang w:eastAsia="zh-CN"/>
              </w:rPr>
              <w:drawing>
                <wp:inline distT="0" distB="0" distL="114300" distR="114300">
                  <wp:extent cx="3594100" cy="5092700"/>
                  <wp:effectExtent l="0" t="0" r="6350" b="12700"/>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
                          <pic:cNvPicPr>
                            <a:picLocks noChangeAspect="1"/>
                          </pic:cNvPicPr>
                        </pic:nvPicPr>
                        <pic:blipFill>
                          <a:blip r:embed="rId8"/>
                          <a:srcRect l="12270" t="6690" r="10566"/>
                          <a:stretch>
                            <a:fillRect/>
                          </a:stretch>
                        </pic:blipFill>
                        <pic:spPr>
                          <a:xfrm>
                            <a:off x="0" y="0"/>
                            <a:ext cx="3594100" cy="5092700"/>
                          </a:xfrm>
                          <a:prstGeom prst="rect">
                            <a:avLst/>
                          </a:prstGeom>
                        </pic:spPr>
                      </pic:pic>
                    </a:graphicData>
                  </a:graphic>
                </wp:inline>
              </w:drawing>
            </w:r>
          </w:p>
          <w:p>
            <w:pPr>
              <w:pStyle w:val="20"/>
              <w:keepNext w:val="0"/>
              <w:keepLines w:val="0"/>
              <w:pageBreakBefore w:val="0"/>
              <w:widowControl w:val="0"/>
              <w:kinsoku/>
              <w:wordWrap/>
              <w:overflowPunct/>
              <w:topLinePunct w:val="0"/>
              <w:autoSpaceDE/>
              <w:autoSpaceDN/>
              <w:bidi w:val="0"/>
              <w:adjustRightInd w:val="0"/>
              <w:snapToGrid/>
              <w:spacing w:line="360" w:lineRule="auto"/>
              <w:ind w:firstLine="0"/>
              <w:jc w:val="center"/>
              <w:textAlignment w:val="baseline"/>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G</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废气，N</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噪声，</w:t>
            </w:r>
            <w:r>
              <w:rPr>
                <w:rFonts w:hint="default" w:ascii="Times New Roman" w:hAnsi="Times New Roman" w:cs="Times New Roman"/>
                <w:color w:val="auto"/>
                <w:sz w:val="24"/>
                <w:szCs w:val="24"/>
                <w:lang w:val="en-US" w:eastAsia="zh-CN"/>
              </w:rPr>
              <w:t>S：固废</w:t>
            </w:r>
          </w:p>
          <w:p>
            <w:pPr>
              <w:pStyle w:val="20"/>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图</w:t>
            </w:r>
            <w:r>
              <w:rPr>
                <w:rFonts w:hint="default" w:ascii="Times New Roman" w:hAnsi="Times New Roman" w:cs="Times New Roman"/>
                <w:b/>
                <w:bCs/>
                <w:color w:val="auto"/>
                <w:sz w:val="21"/>
                <w:szCs w:val="21"/>
                <w:lang w:val="en-US" w:eastAsia="zh-CN"/>
              </w:rPr>
              <w:t xml:space="preserve">5-1 </w:t>
            </w:r>
            <w:r>
              <w:rPr>
                <w:rFonts w:hint="eastAsia" w:ascii="Times New Roman" w:hAnsi="Times New Roman" w:cs="Times New Roman"/>
                <w:b/>
                <w:bCs/>
                <w:color w:val="auto"/>
                <w:sz w:val="21"/>
                <w:szCs w:val="21"/>
                <w:lang w:eastAsia="zh-CN"/>
              </w:rPr>
              <w:t>回转支承</w:t>
            </w:r>
            <w:r>
              <w:rPr>
                <w:rFonts w:hint="default" w:ascii="Times New Roman" w:hAnsi="Times New Roman" w:cs="Times New Roman"/>
                <w:b/>
                <w:bCs/>
                <w:color w:val="auto"/>
                <w:sz w:val="21"/>
                <w:szCs w:val="21"/>
                <w:lang w:val="en-US" w:eastAsia="zh-CN"/>
              </w:rPr>
              <w:t>生产工艺流程及产污节点</w:t>
            </w:r>
            <w:r>
              <w:rPr>
                <w:rFonts w:hint="default" w:ascii="Times New Roman" w:hAnsi="Times New Roman" w:cs="Times New Roman"/>
                <w:b/>
                <w:bCs/>
                <w:color w:val="auto"/>
                <w:sz w:val="21"/>
                <w:szCs w:val="21"/>
              </w:rPr>
              <w:t>图</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default" w:ascii="Times New Roman" w:hAnsi="Times New Roman" w:eastAsia="宋体" w:cs="Times New Roman"/>
                <w:b w:val="0"/>
                <w:color w:val="auto"/>
                <w:sz w:val="24"/>
                <w:szCs w:val="24"/>
                <w:lang w:eastAsia="zh-CN"/>
              </w:rPr>
            </w:pPr>
            <w:r>
              <w:rPr>
                <w:rFonts w:hint="default" w:ascii="Times New Roman" w:hAnsi="Times New Roman" w:eastAsia="宋体" w:cs="Times New Roman"/>
                <w:b/>
                <w:bCs/>
                <w:color w:val="auto"/>
                <w:sz w:val="24"/>
                <w:szCs w:val="24"/>
              </w:rPr>
              <w:t>工艺流程及产污节点</w:t>
            </w:r>
            <w:r>
              <w:rPr>
                <w:rFonts w:hint="default" w:ascii="Times New Roman" w:hAnsi="Times New Roman" w:eastAsia="宋体" w:cs="Times New Roman"/>
                <w:b/>
                <w:bCs/>
                <w:color w:val="auto"/>
                <w:sz w:val="24"/>
                <w:szCs w:val="24"/>
                <w:lang w:eastAsia="zh-CN"/>
              </w:rPr>
              <w:t>简述：</w:t>
            </w:r>
          </w:p>
          <w:bookmarkEnd w:id="1"/>
          <w:bookmarkEnd w:id="2"/>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r>
              <w:rPr>
                <w:rFonts w:hint="default" w:ascii="Times New Roman" w:hAnsi="Times New Roman" w:cs="Times New Roman"/>
                <w:b w:val="0"/>
                <w:bCs/>
                <w:color w:val="000000" w:themeColor="text1"/>
                <w:sz w:val="24"/>
                <w:szCs w:val="24"/>
                <w:lang w:val="en-US" w:eastAsia="zh-CN"/>
                <w14:textFill>
                  <w14:solidFill>
                    <w14:schemeClr w14:val="tx1"/>
                  </w14:solidFill>
                </w14:textFill>
              </w:rPr>
              <w:t>锻件检验：对外购的半成品进行检验，检验合格的产品进行后续加工，检验不合格的产品退回供应商；</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r>
              <w:rPr>
                <w:rFonts w:hint="default" w:ascii="Times New Roman" w:hAnsi="Times New Roman" w:cs="Times New Roman"/>
                <w:b w:val="0"/>
                <w:bCs/>
                <w:color w:val="000000" w:themeColor="text1"/>
                <w:sz w:val="24"/>
                <w:szCs w:val="24"/>
                <w:lang w:val="en-US" w:eastAsia="zh-CN"/>
                <w14:textFill>
                  <w14:solidFill>
                    <w14:schemeClr w14:val="tx1"/>
                  </w14:solidFill>
                </w14:textFill>
              </w:rPr>
              <w:t>车削、钻孔：对检验合格的半成品进行车削、钻孔，本工序会产生金属边角料（S）；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r>
              <w:rPr>
                <w:rFonts w:hint="default" w:ascii="Times New Roman" w:hAnsi="Times New Roman" w:cs="Times New Roman"/>
                <w:b w:val="0"/>
                <w:bCs/>
                <w:color w:val="000000" w:themeColor="text1"/>
                <w:sz w:val="24"/>
                <w:szCs w:val="24"/>
                <w:lang w:val="en-US" w:eastAsia="zh-CN"/>
                <w14:textFill>
                  <w14:solidFill>
                    <w14:schemeClr w14:val="tx1"/>
                  </w14:solidFill>
                </w14:textFill>
              </w:rPr>
              <w:t>热处理：对初步加工的工件进行淬火处理，以提高工件的刚性、硬度、耐磨性、疲劳强度一级韧性等。淬火是将</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工件</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加热保温后，在水、油或其它无机盐、有机水溶液等淬冷介质中快速冷却，本项目淬火在淬火机床中进行。本项目淬火介质采用</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水基</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淬火</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液，淬火过程中无工业油烟产生，仅产生有机废气，经集气罩收集，通过两级活性炭吸附装置处理后，由15米高排气筒（DA001）排放</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。本工序会产生淬火挥发的有机废气（G）及</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废活性炭</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（S）；</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000000" w:themeColor="text1"/>
                <w:sz w:val="24"/>
                <w:szCs w:val="24"/>
                <w:lang w:eastAsia="zh-CN"/>
                <w14:textFill>
                  <w14:solidFill>
                    <w14:schemeClr w14:val="tx1"/>
                  </w14:solidFill>
                </w14:textFill>
              </w:rPr>
            </w:pPr>
            <w:r>
              <w:rPr>
                <w:rFonts w:hint="default" w:ascii="Times New Roman" w:hAnsi="Times New Roman" w:cs="Times New Roman"/>
                <w:b w:val="0"/>
                <w:bCs/>
                <w:color w:val="000000" w:themeColor="text1"/>
                <w:sz w:val="24"/>
                <w:szCs w:val="24"/>
                <w:lang w:val="en-US" w:eastAsia="zh-CN"/>
                <w14:textFill>
                  <w14:solidFill>
                    <w14:schemeClr w14:val="tx1"/>
                  </w14:solidFill>
                </w14:textFill>
              </w:rPr>
              <w:t>磨削加工：对热处理完成后的产品通过磨床进行打磨，</w:t>
            </w:r>
            <w:r>
              <w:rPr>
                <w:rFonts w:hint="default" w:ascii="Times New Roman" w:hAnsi="Times New Roman" w:cs="Times New Roman"/>
                <w:b w:val="0"/>
                <w:bCs/>
                <w:color w:val="000000" w:themeColor="text1"/>
                <w:sz w:val="24"/>
                <w:szCs w:val="24"/>
                <w14:textFill>
                  <w14:solidFill>
                    <w14:schemeClr w14:val="tx1"/>
                  </w14:solidFill>
                </w14:textFill>
              </w:rPr>
              <w:t>打磨过程使用切削液润滑，无粉尘废气产生</w:t>
            </w:r>
            <w:r>
              <w:rPr>
                <w:rFonts w:hint="default" w:ascii="Times New Roman" w:hAnsi="Times New Roman" w:cs="Times New Roman"/>
                <w:b w:val="0"/>
                <w:bCs/>
                <w:color w:val="000000" w:themeColor="text1"/>
                <w:sz w:val="24"/>
                <w:szCs w:val="24"/>
                <w:lang w:eastAsia="zh-CN"/>
                <w14:textFill>
                  <w14:solidFill>
                    <w14:schemeClr w14:val="tx1"/>
                  </w14:solidFill>
                </w14:textFill>
              </w:rPr>
              <w:t>，本工序会产生废切削液（</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S</w:t>
            </w:r>
            <w:r>
              <w:rPr>
                <w:rFonts w:hint="default" w:ascii="Times New Roman" w:hAnsi="Times New Roman" w:cs="Times New Roman"/>
                <w:b w:val="0"/>
                <w:bCs/>
                <w:color w:val="000000" w:themeColor="text1"/>
                <w:sz w:val="24"/>
                <w:szCs w:val="24"/>
                <w:lang w:eastAsia="zh-CN"/>
                <w14:textFill>
                  <w14:solidFill>
                    <w14:schemeClr w14:val="tx1"/>
                  </w14:solidFill>
                </w14:textFill>
              </w:rPr>
              <w:t>）；</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color w:val="000000" w:themeColor="text1"/>
                <w:sz w:val="24"/>
                <w:szCs w:val="24"/>
                <w:lang w:eastAsia="zh-CN"/>
                <w14:textFill>
                  <w14:solidFill>
                    <w14:schemeClr w14:val="tx1"/>
                  </w14:solidFill>
                </w14:textFill>
              </w:rPr>
            </w:pPr>
            <w:r>
              <w:rPr>
                <w:rFonts w:hint="default" w:ascii="Times New Roman" w:hAnsi="Times New Roman" w:cs="Times New Roman"/>
                <w:b w:val="0"/>
                <w:bCs/>
                <w:color w:val="000000" w:themeColor="text1"/>
                <w:sz w:val="24"/>
                <w:szCs w:val="24"/>
                <w:lang w:eastAsia="zh-CN"/>
                <w14:textFill>
                  <w14:solidFill>
                    <w14:schemeClr w14:val="tx1"/>
                  </w14:solidFill>
                </w14:textFill>
              </w:rPr>
              <w:t>滚齿加工：使用滚齿机对工件进行切齿加工，本工序会产生金属边角料（</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S</w:t>
            </w:r>
            <w:r>
              <w:rPr>
                <w:rFonts w:hint="default" w:ascii="Times New Roman" w:hAnsi="Times New Roman" w:cs="Times New Roman"/>
                <w:b w:val="0"/>
                <w:bCs/>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b w:val="0"/>
                <w:bCs/>
                <w:color w:val="000000" w:themeColor="text1"/>
                <w:sz w:val="24"/>
                <w:szCs w:val="24"/>
                <w:lang w:eastAsia="zh-CN"/>
                <w14:textFill>
                  <w14:solidFill>
                    <w14:schemeClr w14:val="tx1"/>
                  </w14:solidFill>
                </w14:textFill>
              </w:rPr>
              <w:t>齿形加工：对切齿完成后的产品根据需要进行进一步加工，本工序会产生金属边角料（</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S</w:t>
            </w:r>
            <w:r>
              <w:rPr>
                <w:rFonts w:hint="default" w:ascii="Times New Roman" w:hAnsi="Times New Roman"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sz w:val="24"/>
                <w:lang w:eastAsia="zh-CN"/>
                <w14:textFill>
                  <w14:solidFill>
                    <w14:schemeClr w14:val="tx1"/>
                  </w14:solidFill>
                </w14:textFill>
              </w:rPr>
              <w:t>。</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sz w:val="21"/>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70528" behindDoc="0" locked="0" layoutInCell="1" allowOverlap="1">
                <wp:simplePos x="0" y="0"/>
                <wp:positionH relativeFrom="column">
                  <wp:posOffset>4101465</wp:posOffset>
                </wp:positionH>
                <wp:positionV relativeFrom="paragraph">
                  <wp:posOffset>2045970</wp:posOffset>
                </wp:positionV>
                <wp:extent cx="273050" cy="158115"/>
                <wp:effectExtent l="79375" t="27940" r="86360" b="41910"/>
                <wp:wrapNone/>
                <wp:docPr id="2" name="平行四边形 2"/>
                <wp:cNvGraphicFramePr/>
                <a:graphic xmlns:a="http://schemas.openxmlformats.org/drawingml/2006/main">
                  <a:graphicData uri="http://schemas.microsoft.com/office/word/2010/wordprocessingShape">
                    <wps:wsp>
                      <wps:cNvSpPr/>
                      <wps:spPr>
                        <a:xfrm rot="13740000">
                          <a:off x="4802505" y="3611245"/>
                          <a:ext cx="273050" cy="158115"/>
                        </a:xfrm>
                        <a:prstGeom prst="parallelogram">
                          <a:avLst>
                            <a:gd name="adj" fmla="val 0"/>
                          </a:avLst>
                        </a:prstGeom>
                        <a:solidFill>
                          <a:srgbClr val="FF0000">
                            <a:alpha val="3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FF0000"/>
                                <w:sz w:val="18"/>
                                <w:szCs w:val="18"/>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margin-left:322.95pt;margin-top:161.1pt;height:12.45pt;width:21.5pt;rotation:-8585216f;z-index:251670528;v-text-anchor:middle;mso-width-relative:page;mso-height-relative:page;" fillcolor="#FF0000" filled="t" stroked="t" coordsize="21600,21600" o:gfxdata="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9JQko2AAAAAsBAAAPAAAAAAAA&#10;AAEAIAAAACIAAABkcnMvZG93bnJldi54bWxQSwECFAAUAAAACACHTuJAHiX9qb0CAAB0BQAADgAA&#10;AAAAAAABACAAAAAnAQAAZHJzL2Uyb0RvYy54bWxQSwUGAAAAAAYABgBZAQAAVgYAAAAA&#10;" adj="0">
                <v:fill on="t" opacity="19660f" focussize="0,0"/>
                <v:stroke weight="1pt" color="#FF0000 [3204]" miterlimit="8" joinstyle="miter"/>
                <v:imagedata o:title=""/>
                <o:lock v:ext="edit" aspectratio="f"/>
                <v:textbox>
                  <w:txbxContent>
                    <w:p>
                      <w:pPr>
                        <w:jc w:val="center"/>
                        <w:rPr>
                          <w:rFonts w:hint="eastAsia" w:eastAsiaTheme="minorEastAsia"/>
                          <w:color w:val="FF0000"/>
                          <w:sz w:val="18"/>
                          <w:szCs w:val="18"/>
                          <w:lang w:eastAsia="zh-CN"/>
                        </w:rPr>
                      </w:pP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4668520</wp:posOffset>
                </wp:positionH>
                <wp:positionV relativeFrom="paragraph">
                  <wp:posOffset>2038985</wp:posOffset>
                </wp:positionV>
                <wp:extent cx="766445" cy="366395"/>
                <wp:effectExtent l="0" t="0" r="0" b="0"/>
                <wp:wrapNone/>
                <wp:docPr id="4" name="文本框 4"/>
                <wp:cNvGraphicFramePr/>
                <a:graphic xmlns:a="http://schemas.openxmlformats.org/drawingml/2006/main">
                  <a:graphicData uri="http://schemas.microsoft.com/office/word/2010/wordprocessingShape">
                    <wps:wsp>
                      <wps:cNvSpPr txBox="1"/>
                      <wps:spPr>
                        <a:xfrm>
                          <a:off x="5167630" y="3563620"/>
                          <a:ext cx="766445"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4"/>
                                <w:szCs w:val="24"/>
                                <w:lang w:eastAsia="zh-CN"/>
                              </w:rPr>
                            </w:pPr>
                            <w:r>
                              <w:rPr>
                                <w:rFonts w:hint="eastAsia"/>
                                <w:b/>
                                <w:bCs/>
                                <w:color w:val="FF0000"/>
                                <w:sz w:val="24"/>
                                <w:szCs w:val="24"/>
                                <w:lang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6pt;margin-top:160.55pt;height:28.85pt;width:60.35pt;z-index:251671552;mso-width-relative:page;mso-height-relative:page;" filled="f" stroked="f" coordsize="21600,21600" o:gfxdata="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1vR3h3AAAAAsBAAAPAAAAAAAA&#10;AAEAIAAAACIAAABkcnMvZG93bnJldi54bWxQSwECFAAUAAAACACHTuJAuubYvkcCAABxBAAADgAA&#10;AAAAAAABACAAAAArAQAAZHJzL2Uyb0RvYy54bWxQSwUGAAAAAAYABgBZAQAA5AUAAAAA&#10;">
                <v:fill on="f" focussize="0,0"/>
                <v:stroke on="f" weight="0.5pt"/>
                <v:imagedata o:title=""/>
                <o:lock v:ext="edit" aspectratio="f"/>
                <v:textbox>
                  <w:txbxContent>
                    <w:p>
                      <w:pPr>
                        <w:rPr>
                          <w:rFonts w:hint="eastAsia" w:eastAsiaTheme="minorEastAsia"/>
                          <w:b/>
                          <w:bCs/>
                          <w:color w:val="FF0000"/>
                          <w:sz w:val="24"/>
                          <w:szCs w:val="24"/>
                          <w:lang w:eastAsia="zh-CN"/>
                        </w:rPr>
                      </w:pPr>
                      <w:r>
                        <w:rPr>
                          <w:rFonts w:hint="eastAsia"/>
                          <w:b/>
                          <w:bCs/>
                          <w:color w:val="FF0000"/>
                          <w:sz w:val="24"/>
                          <w:szCs w:val="24"/>
                          <w:lang w:eastAsia="zh-CN"/>
                        </w:rPr>
                        <w:t>本项目</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4412615</wp:posOffset>
                </wp:positionH>
                <wp:positionV relativeFrom="paragraph">
                  <wp:posOffset>2170430</wp:posOffset>
                </wp:positionV>
                <wp:extent cx="356870" cy="7620"/>
                <wp:effectExtent l="0" t="47625" r="5080" b="59055"/>
                <wp:wrapNone/>
                <wp:docPr id="14" name="直接箭头连接符 14"/>
                <wp:cNvGraphicFramePr/>
                <a:graphic xmlns:a="http://schemas.openxmlformats.org/drawingml/2006/main">
                  <a:graphicData uri="http://schemas.microsoft.com/office/word/2010/wordprocessingShape">
                    <wps:wsp>
                      <wps:cNvCnPr/>
                      <wps:spPr>
                        <a:xfrm flipH="1" flipV="1">
                          <a:off x="5262880" y="3870325"/>
                          <a:ext cx="356870" cy="76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47.45pt;margin-top:170.9pt;height:0.6pt;width:28.1pt;z-index:251673600;mso-width-relative:page;mso-height-relative:page;" filled="f" stroked="t" coordsize="21600,21600" o:gfxdata="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cR&#10;aCPZAAAACwEAAA8AAAAAAAAAAQAgAAAAIgAAAGRycy9kb3ducmV2LnhtbFBLAQIUABQAAAAIAIdO&#10;4kBH5WTVIgIAAAIEAAAOAAAAAAAAAAEAIAAAACgBAABkcnMvZTJvRG9jLnhtbFBLBQYAAAAABgAG&#10;AFkBAAC8BQAAAAA=&#10;">
                <v:fill on="f" focussize="0,0"/>
                <v:stroke weight="0.5pt" color="#FF0000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3578860</wp:posOffset>
                </wp:positionH>
                <wp:positionV relativeFrom="paragraph">
                  <wp:posOffset>4178935</wp:posOffset>
                </wp:positionV>
                <wp:extent cx="1960245" cy="301625"/>
                <wp:effectExtent l="4445" t="4445" r="16510" b="17780"/>
                <wp:wrapNone/>
                <wp:docPr id="5" name="文本框 5"/>
                <wp:cNvGraphicFramePr/>
                <a:graphic xmlns:a="http://schemas.openxmlformats.org/drawingml/2006/main">
                  <a:graphicData uri="http://schemas.microsoft.com/office/word/2010/wordprocessingShape">
                    <wps:wsp>
                      <wps:cNvSpPr txBox="1"/>
                      <wps:spPr>
                        <a:xfrm>
                          <a:off x="0" y="0"/>
                          <a:ext cx="1960245"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图5-2 </w:t>
                            </w:r>
                            <w:r>
                              <w:rPr>
                                <w:rFonts w:hint="eastAsia"/>
                                <w:b/>
                                <w:bCs/>
                                <w:sz w:val="21"/>
                                <w:szCs w:val="21"/>
                                <w:lang w:val="en-US" w:eastAsia="zh-CN"/>
                              </w:rPr>
                              <w:t>项目地理位置图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8pt;margin-top:329.05pt;height:23.75pt;width:154.35pt;z-index:251660288;mso-width-relative:page;mso-height-relative:page;" fillcolor="#FFFFFF [3201]" filled="t" stroked="t" coordsize="21600,21600" o:gfxdata="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tAhxjcAAAACwEAAA8AAAAAAAAAAQAgAAAAIgAAAGRycy9kb3ducmV2LnhtbFBL&#10;AQIUABQAAAAIAIdO4kAZ+2EnZAIAANUEAAAOAAAAAAAAAAEAIAAAACsBAABkcnMvZTJvRG9jLnht&#10;bFBLBQYAAAAABgAGAFkBAAABBgAAAAA=&#10;">
                <v:fill on="t" focussize="0,0"/>
                <v:stroke weight="0.5pt" color="#000000 [3204]" opacity="0f" joinstyle="round"/>
                <v:imagedata o:title=""/>
                <o:lock v:ext="edit" aspectratio="f"/>
                <v:textbox>
                  <w:txbxContent>
                    <w:p>
                      <w:pPr>
                        <w:numPr>
                          <w:ilvl w:val="0"/>
                          <w:numId w:val="0"/>
                        </w:numPr>
                        <w:rPr>
                          <w:rFonts w:hint="eastAsia"/>
                          <w:b/>
                          <w:bCs/>
                          <w:sz w:val="21"/>
                          <w:szCs w:val="21"/>
                          <w:lang w:val="en-US" w:eastAsia="zh-CN"/>
                        </w:rPr>
                      </w:pPr>
                      <w:r>
                        <w:rPr>
                          <w:rFonts w:hint="eastAsia" w:ascii="Times New Roman" w:hAnsi="Times New Roman" w:eastAsia="宋体" w:cs="Times New Roman"/>
                          <w:b/>
                          <w:bCs/>
                          <w:color w:val="000000"/>
                          <w:kern w:val="2"/>
                          <w:sz w:val="21"/>
                          <w:szCs w:val="21"/>
                          <w:lang w:val="en-US" w:eastAsia="zh-CN" w:bidi="ar-SA"/>
                        </w:rPr>
                        <w:t xml:space="preserve">图5-2 </w:t>
                      </w:r>
                      <w:r>
                        <w:rPr>
                          <w:rFonts w:hint="eastAsia"/>
                          <w:b/>
                          <w:bCs/>
                          <w:sz w:val="21"/>
                          <w:szCs w:val="21"/>
                          <w:lang w:val="en-US" w:eastAsia="zh-CN"/>
                        </w:rPr>
                        <w:t>项目地理位置图</w:t>
                      </w:r>
                    </w:p>
                    <w:p/>
                  </w:txbxContent>
                </v:textbox>
              </v:shape>
            </w:pict>
          </mc:Fallback>
        </mc:AlternateContent>
      </w:r>
      <w:r>
        <w:rPr>
          <w:rFonts w:hint="eastAsia" w:eastAsiaTheme="minorEastAsia"/>
          <w:sz w:val="21"/>
          <w:lang w:eastAsia="zh-CN"/>
        </w:rPr>
        <w:drawing>
          <wp:inline distT="0" distB="0" distL="114300" distR="114300">
            <wp:extent cx="8411845" cy="4043680"/>
            <wp:effectExtent l="0" t="0" r="8255" b="13970"/>
            <wp:docPr id="109" name="图片 109" descr="E:\顺昌\1111.png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E:\顺昌\1111.png1111"/>
                    <pic:cNvPicPr>
                      <a:picLocks noChangeAspect="1"/>
                    </pic:cNvPicPr>
                  </pic:nvPicPr>
                  <pic:blipFill>
                    <a:blip r:embed="rId9"/>
                    <a:srcRect/>
                    <a:stretch>
                      <a:fillRect/>
                    </a:stretch>
                  </pic:blipFill>
                  <pic:spPr>
                    <a:xfrm>
                      <a:off x="0" y="0"/>
                      <a:ext cx="8411845" cy="4043680"/>
                    </a:xfrm>
                    <a:prstGeom prst="rect">
                      <a:avLst/>
                    </a:prstGeom>
                  </pic:spPr>
                </pic:pic>
              </a:graphicData>
            </a:graphic>
          </wp:inline>
        </w:drawing>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1" w:hRule="atLeast"/>
          <w:jc w:val="center"/>
        </w:trPr>
        <w:tc>
          <w:tcPr>
            <w:tcW w:w="5000" w:type="pct"/>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六、主要污染源、污染物处理和排放</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、废气</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本项目</w:t>
            </w:r>
            <w:r>
              <w:rPr>
                <w:rFonts w:hint="eastAsia" w:ascii="Times New Roman" w:hAnsi="Times New Roman" w:cs="Times New Roman"/>
                <w:sz w:val="24"/>
                <w:szCs w:val="24"/>
                <w:lang w:val="en-US" w:eastAsia="zh-CN"/>
              </w:rPr>
              <w:t>废气为淬火</w:t>
            </w:r>
            <w:r>
              <w:rPr>
                <w:rFonts w:hint="default" w:ascii="Times New Roman" w:hAnsi="Times New Roman" w:cs="Times New Roman"/>
                <w:sz w:val="24"/>
                <w:szCs w:val="24"/>
                <w:lang w:eastAsia="zh-CN"/>
              </w:rPr>
              <w:t>产生的</w:t>
            </w:r>
            <w:r>
              <w:rPr>
                <w:rFonts w:hint="eastAsia" w:ascii="Times New Roman" w:hAnsi="Times New Roman" w:cs="Times New Roman"/>
                <w:sz w:val="24"/>
                <w:szCs w:val="24"/>
                <w:lang w:eastAsia="zh-CN"/>
              </w:rPr>
              <w:t>有机</w:t>
            </w:r>
            <w:r>
              <w:rPr>
                <w:rFonts w:hint="default" w:ascii="Times New Roman" w:hAnsi="Times New Roman" w:cs="Times New Roman"/>
                <w:sz w:val="24"/>
                <w:szCs w:val="24"/>
              </w:rPr>
              <w:t>废气</w:t>
            </w:r>
            <w:r>
              <w:rPr>
                <w:rFonts w:hint="eastAsia" w:ascii="Times New Roman" w:hAnsi="Times New Roman" w:cs="Times New Roman"/>
                <w:sz w:val="24"/>
                <w:szCs w:val="24"/>
                <w:lang w:eastAsia="zh-CN"/>
              </w:rPr>
              <w:t>，</w:t>
            </w:r>
            <w:r>
              <w:rPr>
                <w:rFonts w:hint="default" w:ascii="Times New Roman" w:hAnsi="Times New Roman" w:cs="Times New Roman"/>
                <w:sz w:val="24"/>
                <w:szCs w:val="24"/>
                <w:lang w:val="en-US" w:eastAsia="zh-CN"/>
              </w:rPr>
              <w:t>主要污染物为</w:t>
            </w:r>
            <w:r>
              <w:rPr>
                <w:rFonts w:hint="eastAsia" w:ascii="Times New Roman" w:hAnsi="Times New Roman" w:cs="Times New Roman"/>
                <w:sz w:val="24"/>
                <w:szCs w:val="24"/>
                <w:lang w:val="en-US" w:eastAsia="zh-CN"/>
              </w:rPr>
              <w:t>VOCs</w:t>
            </w:r>
            <w:r>
              <w:rPr>
                <w:rFonts w:hint="default"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eastAsiaTheme="minorEastAsia"/>
                <w:sz w:val="24"/>
                <w:szCs w:val="24"/>
                <w:lang w:eastAsia="zh-CN"/>
              </w:rPr>
            </w:pPr>
            <w:r>
              <w:rPr>
                <w:rFonts w:hint="default" w:ascii="Times New Roman" w:hAnsi="Times New Roman" w:cs="Times New Roman"/>
                <w:sz w:val="24"/>
                <w:szCs w:val="24"/>
                <w:lang w:val="en-US" w:eastAsia="zh-CN"/>
              </w:rPr>
              <w:t>有组织废气：</w:t>
            </w:r>
            <w:r>
              <w:rPr>
                <w:rFonts w:hint="eastAsia" w:ascii="Times New Roman" w:hAnsi="Times New Roman" w:cs="Times New Roman"/>
                <w:sz w:val="24"/>
                <w:szCs w:val="24"/>
                <w:lang w:val="en-US" w:eastAsia="zh-CN"/>
              </w:rPr>
              <w:t>本项目有少量工件需要淬火处理，</w:t>
            </w:r>
            <w:r>
              <w:rPr>
                <w:rFonts w:hint="default" w:ascii="Times New Roman" w:hAnsi="Times New Roman" w:cs="Times New Roman"/>
                <w:sz w:val="24"/>
                <w:szCs w:val="24"/>
              </w:rPr>
              <w:t>淬火是将工件加热保温后，在水、油或其它无机盐、有机水溶液等淬冷介质中快速冷却，本项目淬火在淬火机床中进行</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淬火介质</w:t>
            </w:r>
            <w:r>
              <w:rPr>
                <w:rFonts w:hint="eastAsia" w:ascii="Times New Roman" w:hAnsi="Times New Roman" w:cs="Times New Roman"/>
                <w:sz w:val="24"/>
                <w:szCs w:val="24"/>
                <w:lang w:eastAsia="zh-CN"/>
              </w:rPr>
              <w:t>由环评中淬火油改为</w:t>
            </w:r>
            <w:r>
              <w:rPr>
                <w:rFonts w:hint="default" w:ascii="Times New Roman" w:hAnsi="Times New Roman" w:cs="Times New Roman"/>
                <w:sz w:val="24"/>
                <w:szCs w:val="24"/>
              </w:rPr>
              <w:t>采用水基淬火液，淬火过程中无工业油烟产生，仅产生有机废气，经集气罩收集后，通过两级活性炭吸附装置处理后，通过15米高排气筒（DA001）排放。</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无组织废气：</w:t>
            </w:r>
            <w:r>
              <w:rPr>
                <w:rFonts w:hint="eastAsia" w:ascii="Times New Roman" w:hAnsi="Times New Roman" w:cs="Times New Roman"/>
                <w:sz w:val="24"/>
                <w:szCs w:val="24"/>
                <w:lang w:val="en-US" w:eastAsia="zh-CN"/>
              </w:rPr>
              <w:t>淬火机床</w:t>
            </w:r>
            <w:r>
              <w:rPr>
                <w:rFonts w:hint="eastAsia" w:ascii="Times New Roman" w:hAnsi="Times New Roman" w:cs="Times New Roman"/>
                <w:sz w:val="24"/>
                <w:szCs w:val="24"/>
                <w:lang w:eastAsia="zh-CN"/>
              </w:rPr>
              <w:t>上方设置集气罩，三面设置软帘，在工位处敞开，收集效率为</w:t>
            </w:r>
            <w:r>
              <w:rPr>
                <w:rFonts w:hint="eastAsia" w:ascii="Times New Roman" w:hAnsi="Times New Roman" w:cs="Times New Roman"/>
                <w:sz w:val="24"/>
                <w:szCs w:val="24"/>
                <w:lang w:val="en-US" w:eastAsia="zh-CN"/>
              </w:rPr>
              <w:t>80%</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建设单位加强</w:t>
            </w:r>
            <w:r>
              <w:rPr>
                <w:rFonts w:hint="eastAsia" w:ascii="Times New Roman" w:hAnsi="Times New Roman" w:cs="Times New Roman"/>
                <w:sz w:val="24"/>
                <w:szCs w:val="24"/>
                <w:lang w:val="en-US" w:eastAsia="zh-CN"/>
              </w:rPr>
              <w:t>车间通风，</w:t>
            </w:r>
            <w:r>
              <w:rPr>
                <w:rFonts w:hint="default" w:ascii="Times New Roman" w:hAnsi="Times New Roman" w:cs="Times New Roman"/>
                <w:sz w:val="24"/>
                <w:szCs w:val="24"/>
                <w:lang w:val="en-US" w:eastAsia="zh-CN"/>
              </w:rPr>
              <w:t>经采取适当措施后，项目排放的无组织废气可满足相关限值标准，对环境影响不大。</w:t>
            </w:r>
          </w:p>
          <w:p>
            <w:pPr>
              <w:keepNext w:val="0"/>
              <w:keepLines w:val="0"/>
              <w:pageBreakBefore w:val="0"/>
              <w:widowControl w:val="0"/>
              <w:kinsoku/>
              <w:wordWrap/>
              <w:overflowPunct/>
              <w:topLinePunct w:val="0"/>
              <w:autoSpaceDE/>
              <w:autoSpaceDN/>
              <w:bidi w:val="0"/>
              <w:spacing w:line="360" w:lineRule="auto"/>
              <w:ind w:right="0" w:rightChars="0"/>
              <w:jc w:val="center"/>
              <w:textAlignment w:val="auto"/>
              <w:outlineLvl w:val="9"/>
              <w:rPr>
                <w:rFonts w:hint="default"/>
                <w:lang w:val="en-US" w:eastAsia="zh-CN"/>
              </w:rPr>
            </w:pPr>
            <w:r>
              <w:rPr>
                <w:rFonts w:hint="default"/>
                <w:lang w:val="en-US" w:eastAsia="zh-CN"/>
              </w:rPr>
              <w:drawing>
                <wp:inline distT="0" distB="0" distL="114300" distR="114300">
                  <wp:extent cx="3352165" cy="5250815"/>
                  <wp:effectExtent l="0" t="0" r="635" b="6985"/>
                  <wp:docPr id="36" name="图片 36" descr="95ed5e4fa01ca40883763dea2c1b3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95ed5e4fa01ca40883763dea2c1b3c2"/>
                          <pic:cNvPicPr>
                            <a:picLocks noChangeAspect="1"/>
                          </pic:cNvPicPr>
                        </pic:nvPicPr>
                        <pic:blipFill>
                          <a:blip r:embed="rId10"/>
                          <a:srcRect r="52096"/>
                          <a:stretch>
                            <a:fillRect/>
                          </a:stretch>
                        </pic:blipFill>
                        <pic:spPr>
                          <a:xfrm>
                            <a:off x="0" y="0"/>
                            <a:ext cx="3352165" cy="5250815"/>
                          </a:xfrm>
                          <a:prstGeom prst="rect">
                            <a:avLst/>
                          </a:prstGeom>
                        </pic:spPr>
                      </pic:pic>
                    </a:graphicData>
                  </a:graphic>
                </wp:inline>
              </w:drawing>
            </w:r>
          </w:p>
          <w:p>
            <w:pPr>
              <w:numPr>
                <w:ilvl w:val="0"/>
                <w:numId w:val="0"/>
              </w:numPr>
              <w:jc w:val="center"/>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图6-1</w:t>
            </w:r>
            <w:r>
              <w:rPr>
                <w:rFonts w:hint="eastAsia" w:ascii="Times New Roman" w:hAnsi="Times New Roman" w:eastAsia="宋体" w:cs="Times New Roman"/>
                <w:b/>
                <w:bCs/>
                <w:sz w:val="21"/>
                <w:szCs w:val="21"/>
                <w:lang w:val="en-US" w:eastAsia="zh-CN"/>
              </w:rPr>
              <w:t xml:space="preserve"> 淬火机床</w:t>
            </w:r>
          </w:p>
          <w:p>
            <w:pPr>
              <w:numPr>
                <w:ilvl w:val="0"/>
                <w:numId w:val="0"/>
              </w:numPr>
              <w:jc w:val="center"/>
              <w:rPr>
                <w:rFonts w:hint="default"/>
                <w:sz w:val="21"/>
                <w:szCs w:val="21"/>
                <w:lang w:val="en-US" w:eastAsia="zh-CN"/>
              </w:rPr>
            </w:pPr>
            <w:r>
              <w:rPr>
                <w:rFonts w:hint="default"/>
                <w:sz w:val="21"/>
                <w:szCs w:val="21"/>
                <w:lang w:val="en-US" w:eastAsia="zh-CN"/>
              </w:rPr>
              <w:drawing>
                <wp:inline distT="0" distB="0" distL="114300" distR="114300">
                  <wp:extent cx="5494020" cy="4504690"/>
                  <wp:effectExtent l="0" t="0" r="11430" b="10160"/>
                  <wp:docPr id="37" name="图片 37" descr="c9167de7084088d21ee01e89825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9167de7084088d21ee01e898251456"/>
                          <pic:cNvPicPr>
                            <a:picLocks noChangeAspect="1"/>
                          </pic:cNvPicPr>
                        </pic:nvPicPr>
                        <pic:blipFill>
                          <a:blip r:embed="rId11"/>
                          <a:srcRect r="31377"/>
                          <a:stretch>
                            <a:fillRect/>
                          </a:stretch>
                        </pic:blipFill>
                        <pic:spPr>
                          <a:xfrm>
                            <a:off x="0" y="0"/>
                            <a:ext cx="5494020" cy="4504690"/>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sz w:val="24"/>
                <w:szCs w:val="24"/>
                <w:lang w:val="en-US" w:eastAsia="zh-CN"/>
              </w:rPr>
            </w:pPr>
            <w:r>
              <w:rPr>
                <w:rFonts w:hint="default" w:ascii="Times New Roman" w:hAnsi="Times New Roman" w:eastAsia="宋体" w:cs="Times New Roman"/>
                <w:b/>
                <w:bCs/>
                <w:sz w:val="21"/>
                <w:szCs w:val="21"/>
                <w:lang w:val="en-US" w:eastAsia="zh-CN"/>
              </w:rPr>
              <w:t>图6-</w:t>
            </w:r>
            <w:r>
              <w:rPr>
                <w:rFonts w:hint="eastAsia" w:ascii="Times New Roman" w:hAnsi="Times New Roman" w:eastAsia="宋体" w:cs="Times New Roman"/>
                <w:b/>
                <w:bCs/>
                <w:sz w:val="21"/>
                <w:szCs w:val="21"/>
                <w:lang w:val="en-US" w:eastAsia="zh-CN"/>
              </w:rPr>
              <w:t>2 淬火废气排气筒</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rPr>
              <w:t>本项目</w:t>
            </w:r>
            <w:r>
              <w:rPr>
                <w:rFonts w:hint="default" w:ascii="Times New Roman" w:hAnsi="Times New Roman" w:cs="Times New Roman"/>
                <w:sz w:val="24"/>
                <w:szCs w:val="24"/>
                <w:lang w:eastAsia="zh-CN"/>
              </w:rPr>
              <w:t>产生的废水主要为</w:t>
            </w:r>
            <w:r>
              <w:rPr>
                <w:rFonts w:hint="eastAsia" w:ascii="Times New Roman" w:hAnsi="Times New Roman" w:cs="Times New Roman"/>
                <w:sz w:val="24"/>
                <w:szCs w:val="24"/>
                <w:lang w:eastAsia="zh-CN"/>
              </w:rPr>
              <w:t>职工</w:t>
            </w:r>
            <w:r>
              <w:rPr>
                <w:rFonts w:hint="default" w:ascii="Times New Roman" w:hAnsi="Times New Roman" w:cs="Times New Roman"/>
                <w:sz w:val="24"/>
                <w:szCs w:val="24"/>
                <w:lang w:eastAsia="zh-CN"/>
              </w:rPr>
              <w:t>生活</w:t>
            </w:r>
            <w:r>
              <w:rPr>
                <w:rFonts w:hint="eastAsia" w:ascii="Times New Roman" w:hAnsi="Times New Roman" w:cs="Times New Roman"/>
                <w:sz w:val="24"/>
                <w:szCs w:val="24"/>
                <w:lang w:eastAsia="zh-CN"/>
              </w:rPr>
              <w:t>污</w:t>
            </w:r>
            <w:r>
              <w:rPr>
                <w:rFonts w:hint="default" w:ascii="Times New Roman" w:hAnsi="Times New Roman" w:cs="Times New Roman"/>
                <w:sz w:val="24"/>
                <w:szCs w:val="24"/>
                <w:lang w:eastAsia="zh-CN"/>
              </w:rPr>
              <w:t>水，</w:t>
            </w:r>
            <w:r>
              <w:rPr>
                <w:rFonts w:hint="default" w:ascii="Times New Roman" w:hAnsi="Times New Roman" w:cs="Times New Roman"/>
                <w:sz w:val="24"/>
                <w:szCs w:val="24"/>
                <w:lang w:val="en-US" w:eastAsia="zh-CN"/>
              </w:rPr>
              <w:t>主要污染物为SS、COD</w:t>
            </w:r>
            <w:r>
              <w:rPr>
                <w:rFonts w:hint="default" w:ascii="Times New Roman" w:hAnsi="Times New Roman" w:cs="Times New Roman"/>
                <w:sz w:val="24"/>
                <w:szCs w:val="24"/>
                <w:vertAlign w:val="subscript"/>
                <w:lang w:val="en-US" w:eastAsia="zh-CN"/>
              </w:rPr>
              <w:t>cr</w:t>
            </w:r>
            <w:r>
              <w:rPr>
                <w:rFonts w:hint="default" w:ascii="Times New Roman" w:hAnsi="Times New Roman" w:cs="Times New Roman"/>
                <w:sz w:val="24"/>
                <w:szCs w:val="24"/>
                <w:lang w:val="en-US" w:eastAsia="zh-CN"/>
              </w:rPr>
              <w:t>、BOD</w:t>
            </w:r>
            <w:r>
              <w:rPr>
                <w:rFonts w:hint="default" w:ascii="Times New Roman" w:hAnsi="Times New Roman" w:cs="Times New Roman"/>
                <w:sz w:val="24"/>
                <w:szCs w:val="24"/>
                <w:vertAlign w:val="subscript"/>
                <w:lang w:val="en-US" w:eastAsia="zh-CN"/>
              </w:rPr>
              <w:t>5</w:t>
            </w:r>
            <w:r>
              <w:rPr>
                <w:rFonts w:hint="default" w:ascii="Times New Roman" w:hAnsi="Times New Roman" w:cs="Times New Roman"/>
                <w:sz w:val="24"/>
                <w:szCs w:val="24"/>
                <w:lang w:val="en-US" w:eastAsia="zh-CN"/>
              </w:rPr>
              <w:t>、NH</w:t>
            </w:r>
            <w:r>
              <w:rPr>
                <w:rFonts w:hint="default" w:ascii="Times New Roman" w:hAnsi="Times New Roman" w:cs="Times New Roman"/>
                <w:sz w:val="24"/>
                <w:szCs w:val="24"/>
                <w:vertAlign w:val="subscript"/>
                <w:lang w:val="en-US" w:eastAsia="zh-CN"/>
              </w:rPr>
              <w:t>3</w:t>
            </w:r>
            <w:r>
              <w:rPr>
                <w:rFonts w:hint="default" w:ascii="Times New Roman" w:hAnsi="Times New Roman" w:cs="Times New Roman"/>
                <w:sz w:val="24"/>
                <w:szCs w:val="24"/>
                <w:lang w:val="en-US" w:eastAsia="zh-CN"/>
              </w:rPr>
              <w:t>-N。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w:t>
            </w:r>
            <w:r>
              <w:rPr>
                <w:rFonts w:hint="default" w:ascii="Times New Roman" w:hAnsi="Times New Roman" w:cs="Times New Roman"/>
                <w:sz w:val="24"/>
                <w:szCs w:val="24"/>
                <w:lang w:eastAsia="zh-CN"/>
              </w:rPr>
              <w:t>产生的废水通过化粪池处理后，经污水管网排入宁国市</w:t>
            </w:r>
            <w:r>
              <w:rPr>
                <w:rFonts w:hint="eastAsia" w:ascii="Times New Roman" w:hAnsi="Times New Roman" w:cs="Times New Roman"/>
                <w:sz w:val="24"/>
                <w:szCs w:val="24"/>
                <w:lang w:eastAsia="zh-CN"/>
              </w:rPr>
              <w:t>南山</w:t>
            </w:r>
            <w:r>
              <w:rPr>
                <w:rFonts w:hint="default" w:ascii="Times New Roman" w:hAnsi="Times New Roman" w:cs="Times New Roman"/>
                <w:sz w:val="24"/>
                <w:szCs w:val="24"/>
                <w:lang w:eastAsia="zh-CN"/>
              </w:rPr>
              <w:t>污水处理厂处理，达标后排入</w:t>
            </w:r>
            <w:r>
              <w:rPr>
                <w:rFonts w:hint="eastAsia" w:ascii="Times New Roman" w:hAnsi="Times New Roman" w:cs="Times New Roman"/>
                <w:sz w:val="24"/>
                <w:szCs w:val="24"/>
                <w:lang w:eastAsia="zh-CN"/>
              </w:rPr>
              <w:t>中津河</w:t>
            </w:r>
            <w:r>
              <w:rPr>
                <w:rFonts w:hint="default" w:ascii="Times New Roman" w:hAnsi="Times New Roman" w:cs="Times New Roman"/>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3、噪声</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项目噪声主要来自于</w:t>
            </w:r>
            <w:r>
              <w:rPr>
                <w:rFonts w:hint="eastAsia" w:ascii="Times New Roman" w:hAnsi="Times New Roman" w:eastAsia="宋体" w:cs="Times New Roman"/>
                <w:sz w:val="24"/>
                <w:szCs w:val="24"/>
                <w:lang w:eastAsia="zh-CN"/>
              </w:rPr>
              <w:t>生产车间内车床</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eastAsia="zh-CN"/>
              </w:rPr>
              <w:t>钻床</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eastAsia="zh-CN"/>
              </w:rPr>
              <w:t>滚齿机、铣齿机</w:t>
            </w:r>
            <w:r>
              <w:rPr>
                <w:rFonts w:hint="default" w:ascii="Times New Roman" w:hAnsi="Times New Roman" w:eastAsia="宋体" w:cs="Times New Roman"/>
                <w:sz w:val="24"/>
                <w:szCs w:val="24"/>
                <w:lang w:eastAsia="zh-CN"/>
              </w:rPr>
              <w:t>等设备</w:t>
            </w:r>
            <w:r>
              <w:rPr>
                <w:rFonts w:hint="default" w:ascii="Times New Roman" w:hAnsi="Times New Roman" w:eastAsia="宋体" w:cs="Times New Roman"/>
                <w:sz w:val="24"/>
                <w:szCs w:val="24"/>
              </w:rPr>
              <w:t>运行</w:t>
            </w:r>
            <w:r>
              <w:rPr>
                <w:rFonts w:hint="default" w:ascii="Times New Roman" w:hAnsi="Times New Roman" w:eastAsia="宋体" w:cs="Times New Roman"/>
                <w:sz w:val="24"/>
                <w:szCs w:val="24"/>
                <w:lang w:eastAsia="zh-CN"/>
              </w:rPr>
              <w:t>过程中</w:t>
            </w:r>
            <w:r>
              <w:rPr>
                <w:rFonts w:hint="default" w:ascii="Times New Roman" w:hAnsi="Times New Roman" w:eastAsia="宋体" w:cs="Times New Roman"/>
                <w:sz w:val="24"/>
                <w:szCs w:val="24"/>
              </w:rPr>
              <w:t>产生的噪声</w:t>
            </w:r>
            <w:r>
              <w:rPr>
                <w:rFonts w:hint="default" w:ascii="Times New Roman" w:hAnsi="Times New Roman" w:eastAsia="宋体" w:cs="Times New Roman"/>
                <w:sz w:val="24"/>
                <w:szCs w:val="24"/>
                <w:lang w:val="en-US" w:eastAsia="zh-CN"/>
              </w:rPr>
              <w:t>，采取减震、隔声措施，并合理布置设备位置降低噪声对环境的影响。</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4、固废</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sz w:val="24"/>
                <w:szCs w:val="24"/>
              </w:rPr>
            </w:pPr>
            <w:r>
              <w:rPr>
                <w:rFonts w:hint="default"/>
                <w:sz w:val="24"/>
                <w:szCs w:val="24"/>
                <w:lang w:eastAsia="zh-CN"/>
              </w:rPr>
              <w:t>项目产生的固废主要包括一般固废、危险废物及生活垃圾</w:t>
            </w:r>
            <w:r>
              <w:rPr>
                <w:rFonts w:hint="eastAsia"/>
                <w:sz w:val="24"/>
                <w:szCs w:val="24"/>
                <w:lang w:eastAsia="zh-CN"/>
              </w:rPr>
              <w:t>。</w:t>
            </w:r>
            <w:r>
              <w:rPr>
                <w:rFonts w:hint="default" w:ascii="Times New Roman" w:hAnsi="Times New Roman" w:cs="Times New Roman"/>
                <w:sz w:val="24"/>
                <w:szCs w:val="24"/>
                <w:lang w:eastAsia="zh-CN"/>
              </w:rPr>
              <w:t>一般固废有</w:t>
            </w:r>
            <w:r>
              <w:rPr>
                <w:rFonts w:hint="eastAsia" w:ascii="Times New Roman" w:hAnsi="Times New Roman" w:cs="Times New Roman"/>
                <w:sz w:val="24"/>
                <w:szCs w:val="24"/>
                <w:lang w:val="en-US" w:eastAsia="zh-CN"/>
              </w:rPr>
              <w:t>金属</w:t>
            </w:r>
            <w:r>
              <w:rPr>
                <w:rFonts w:hint="default" w:ascii="Times New Roman" w:hAnsi="Times New Roman" w:cs="Times New Roman"/>
                <w:sz w:val="24"/>
                <w:szCs w:val="24"/>
                <w:lang w:val="en-US" w:eastAsia="zh-CN"/>
              </w:rPr>
              <w:t>边角料</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集中</w:t>
            </w:r>
            <w:r>
              <w:rPr>
                <w:rFonts w:hint="default" w:ascii="Times New Roman" w:hAnsi="Times New Roman" w:cs="Times New Roman"/>
                <w:sz w:val="24"/>
                <w:szCs w:val="24"/>
                <w:lang w:eastAsia="zh-CN"/>
              </w:rPr>
              <w:t>收集后</w:t>
            </w:r>
            <w:r>
              <w:rPr>
                <w:rFonts w:hint="eastAsia" w:ascii="Times New Roman" w:hAnsi="Times New Roman" w:cs="Times New Roman"/>
                <w:sz w:val="24"/>
                <w:szCs w:val="24"/>
                <w:lang w:eastAsia="zh-CN"/>
              </w:rPr>
              <w:t>外售给其他公司利用</w:t>
            </w:r>
            <w:r>
              <w:rPr>
                <w:rFonts w:hint="default" w:ascii="Times New Roman" w:hAnsi="Times New Roman" w:cs="Times New Roman"/>
                <w:sz w:val="24"/>
                <w:szCs w:val="24"/>
                <w:lang w:eastAsia="zh-CN"/>
              </w:rPr>
              <w:t>。危险废物有</w:t>
            </w:r>
            <w:r>
              <w:rPr>
                <w:rFonts w:hint="eastAsia" w:ascii="Times New Roman" w:hAnsi="Times New Roman" w:cs="Times New Roman"/>
                <w:sz w:val="24"/>
                <w:szCs w:val="24"/>
                <w:lang w:eastAsia="zh-CN"/>
              </w:rPr>
              <w:t>废活性炭、废切削液</w:t>
            </w:r>
            <w:r>
              <w:rPr>
                <w:rFonts w:hint="default" w:ascii="Times New Roman" w:hAnsi="Times New Roman" w:cs="Times New Roman"/>
                <w:sz w:val="24"/>
                <w:szCs w:val="24"/>
                <w:lang w:eastAsia="zh-CN"/>
              </w:rPr>
              <w:t>，暂未产生实际发生量</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收集后暂存于危废库中，委托有资质单位处置。</w:t>
            </w:r>
            <w:r>
              <w:rPr>
                <w:rFonts w:hint="default" w:ascii="Times New Roman" w:hAnsi="Times New Roman" w:cs="Times New Roman"/>
                <w:sz w:val="24"/>
                <w:szCs w:val="24"/>
              </w:rPr>
              <w:t>生活垃圾收集后由环卫部</w:t>
            </w:r>
            <w:r>
              <w:rPr>
                <w:sz w:val="24"/>
                <w:szCs w:val="24"/>
              </w:rPr>
              <w:t>门</w:t>
            </w:r>
            <w:r>
              <w:rPr>
                <w:rFonts w:hint="eastAsia"/>
                <w:sz w:val="24"/>
                <w:szCs w:val="24"/>
                <w:lang w:eastAsia="zh-CN"/>
              </w:rPr>
              <w:t>统一</w:t>
            </w:r>
            <w:r>
              <w:rPr>
                <w:sz w:val="24"/>
                <w:szCs w:val="24"/>
              </w:rPr>
              <w:t>清运。</w:t>
            </w:r>
            <w:r>
              <w:rPr>
                <w:rFonts w:hint="eastAsia"/>
                <w:sz w:val="24"/>
                <w:szCs w:val="24"/>
              </w:rPr>
              <w:t>项目产生的固废经采取以上措施后，</w:t>
            </w:r>
            <w:r>
              <w:rPr>
                <w:sz w:val="24"/>
                <w:szCs w:val="24"/>
              </w:rPr>
              <w:t>所有废弃物全部做到资源化无害化处理，</w:t>
            </w:r>
            <w:r>
              <w:rPr>
                <w:rFonts w:hint="eastAsia"/>
                <w:sz w:val="24"/>
                <w:szCs w:val="24"/>
                <w:lang w:eastAsia="zh-CN"/>
              </w:rPr>
              <w:t>不会</w:t>
            </w:r>
            <w:r>
              <w:rPr>
                <w:sz w:val="24"/>
                <w:szCs w:val="24"/>
              </w:rPr>
              <w:t>对周围环境</w:t>
            </w:r>
            <w:r>
              <w:rPr>
                <w:rFonts w:hint="eastAsia"/>
                <w:sz w:val="24"/>
                <w:szCs w:val="24"/>
                <w:lang w:eastAsia="zh-CN"/>
              </w:rPr>
              <w:t>产生</w:t>
            </w:r>
            <w:r>
              <w:rPr>
                <w:sz w:val="24"/>
                <w:szCs w:val="24"/>
              </w:rPr>
              <w:t>影响。</w:t>
            </w:r>
          </w:p>
          <w:p>
            <w:pPr>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表6-1 项目固体废物产生及处理情况表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1744"/>
              <w:gridCol w:w="1744"/>
              <w:gridCol w:w="1744"/>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tcBorders>
                    <w:top w:val="single" w:color="auto" w:sz="12" w:space="0"/>
                    <w:right w:val="single" w:color="auto"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序号</w:t>
                  </w:r>
                </w:p>
              </w:tc>
              <w:tc>
                <w:tcPr>
                  <w:tcW w:w="999" w:type="pct"/>
                  <w:tcBorders>
                    <w:top w:val="single" w:color="auto" w:sz="12" w:space="0"/>
                    <w:left w:val="single" w:color="auto" w:sz="4" w:space="0"/>
                    <w:right w:val="single" w:color="auto"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名称</w:t>
                  </w:r>
                </w:p>
              </w:tc>
              <w:tc>
                <w:tcPr>
                  <w:tcW w:w="999" w:type="pct"/>
                  <w:tcBorders>
                    <w:top w:val="single" w:color="auto" w:sz="12"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已</w:t>
                  </w:r>
                  <w:r>
                    <w:rPr>
                      <w:rFonts w:hint="default" w:ascii="Times New Roman" w:hAnsi="Times New Roman" w:eastAsia="宋体" w:cs="Times New Roman"/>
                      <w:sz w:val="21"/>
                      <w:szCs w:val="21"/>
                      <w:lang w:eastAsia="zh-CN"/>
                    </w:rPr>
                    <w:t>产生量（</w:t>
                  </w:r>
                  <w:r>
                    <w:rPr>
                      <w:rFonts w:hint="default" w:ascii="Times New Roman" w:hAnsi="Times New Roman" w:eastAsia="宋体" w:cs="Times New Roman"/>
                      <w:sz w:val="21"/>
                      <w:szCs w:val="21"/>
                      <w:lang w:val="en-US" w:eastAsia="zh-CN"/>
                    </w:rPr>
                    <w:t>t</w:t>
                  </w:r>
                  <w:r>
                    <w:rPr>
                      <w:rFonts w:hint="default" w:ascii="Times New Roman" w:hAnsi="Times New Roman" w:eastAsia="宋体" w:cs="Times New Roman"/>
                      <w:sz w:val="21"/>
                      <w:szCs w:val="21"/>
                      <w:lang w:eastAsia="zh-CN"/>
                    </w:rPr>
                    <w:t>）</w:t>
                  </w:r>
                </w:p>
              </w:tc>
              <w:tc>
                <w:tcPr>
                  <w:tcW w:w="999" w:type="pct"/>
                  <w:tcBorders>
                    <w:top w:val="single" w:color="auto" w:sz="12"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年产生量（</w:t>
                  </w:r>
                  <w:r>
                    <w:rPr>
                      <w:rFonts w:hint="eastAsia" w:ascii="Times New Roman" w:hAnsi="Times New Roman" w:eastAsia="宋体" w:cs="Times New Roman"/>
                      <w:sz w:val="21"/>
                      <w:szCs w:val="21"/>
                      <w:lang w:val="en-US" w:eastAsia="zh-CN"/>
                    </w:rPr>
                    <w:t>t/a</w:t>
                  </w:r>
                  <w:r>
                    <w:rPr>
                      <w:rFonts w:hint="eastAsia" w:ascii="Times New Roman" w:hAnsi="Times New Roman" w:eastAsia="宋体" w:cs="Times New Roman"/>
                      <w:sz w:val="21"/>
                      <w:szCs w:val="21"/>
                      <w:lang w:eastAsia="zh-CN"/>
                    </w:rPr>
                    <w:t>）</w:t>
                  </w:r>
                </w:p>
              </w:tc>
              <w:tc>
                <w:tcPr>
                  <w:tcW w:w="1000" w:type="pct"/>
                  <w:tcBorders>
                    <w:top w:val="single" w:color="auto" w:sz="12" w:space="0"/>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tcBorders>
                    <w:left w:val="single" w:color="auto" w:sz="4" w:space="0"/>
                    <w:right w:val="single" w:color="auto"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999" w:type="pct"/>
                  <w:tcBorders>
                    <w:left w:val="single" w:color="auto" w:sz="4" w:space="0"/>
                    <w:right w:val="single" w:color="auto"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金属</w:t>
                  </w:r>
                  <w:r>
                    <w:rPr>
                      <w:rFonts w:hint="default" w:ascii="Times New Roman" w:hAnsi="Times New Roman" w:eastAsia="宋体" w:cs="Times New Roman"/>
                      <w:sz w:val="21"/>
                      <w:szCs w:val="21"/>
                      <w:lang w:val="en-US" w:eastAsia="zh-CN"/>
                    </w:rPr>
                    <w:t>边角料</w:t>
                  </w:r>
                </w:p>
              </w:tc>
              <w:tc>
                <w:tcPr>
                  <w:tcW w:w="999"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999"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000" w:type="pct"/>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集中收集后外售给其他公司利用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tcBorders>
                    <w:left w:val="single" w:color="auto" w:sz="4" w:space="0"/>
                    <w:right w:val="single" w:color="auto"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999" w:type="pct"/>
                  <w:tcBorders>
                    <w:left w:val="single" w:color="auto" w:sz="4" w:space="0"/>
                    <w:right w:val="single" w:color="auto"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废切削液</w:t>
                  </w:r>
                </w:p>
              </w:tc>
              <w:tc>
                <w:tcPr>
                  <w:tcW w:w="999"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未产生</w:t>
                  </w:r>
                </w:p>
              </w:tc>
              <w:tc>
                <w:tcPr>
                  <w:tcW w:w="999"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w:t>
                  </w:r>
                </w:p>
              </w:tc>
              <w:tc>
                <w:tcPr>
                  <w:tcW w:w="1000" w:type="pct"/>
                  <w:vMerge w:val="restart"/>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tcBorders>
                    <w:left w:val="single" w:color="auto" w:sz="4" w:space="0"/>
                    <w:right w:val="single" w:color="auto"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999" w:type="pct"/>
                  <w:tcBorders>
                    <w:left w:val="single" w:color="auto" w:sz="4" w:space="0"/>
                    <w:right w:val="single" w:color="auto"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right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废活性炭</w:t>
                  </w:r>
                </w:p>
              </w:tc>
              <w:tc>
                <w:tcPr>
                  <w:tcW w:w="999"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未产生</w:t>
                  </w:r>
                </w:p>
              </w:tc>
              <w:tc>
                <w:tcPr>
                  <w:tcW w:w="999" w:type="pc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3.3</w:t>
                  </w:r>
                </w:p>
              </w:tc>
              <w:tc>
                <w:tcPr>
                  <w:tcW w:w="1000" w:type="pct"/>
                  <w:vMerge w:val="continue"/>
                  <w:tcBorders>
                    <w:left w:val="single" w:color="auto" w:sz="4"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tcBorders>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999" w:type="pct"/>
                  <w:tcBorders>
                    <w:left w:val="single" w:color="auto" w:sz="4" w:space="0"/>
                    <w:bottom w:val="single" w:color="auto" w:sz="12" w:space="0"/>
                    <w:right w:val="single" w:color="auto"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right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生活垃圾</w:t>
                  </w:r>
                </w:p>
              </w:tc>
              <w:tc>
                <w:tcPr>
                  <w:tcW w:w="999" w:type="pct"/>
                  <w:tcBorders>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w:t>
                  </w:r>
                </w:p>
              </w:tc>
              <w:tc>
                <w:tcPr>
                  <w:tcW w:w="999" w:type="pct"/>
                  <w:tcBorders>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000" w:type="pct"/>
                  <w:tcBorders>
                    <w:left w:val="single" w:color="auto" w:sz="4" w:space="0"/>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环卫部门统一清运</w:t>
                  </w:r>
                </w:p>
              </w:tc>
            </w:tr>
          </w:tbl>
          <w:p>
            <w:pPr>
              <w:pStyle w:val="4"/>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eastAsiaTheme="minorEastAsia"/>
                <w:sz w:val="24"/>
                <w:szCs w:val="24"/>
                <w:lang w:eastAsia="zh-CN"/>
              </w:rPr>
            </w:pPr>
          </w:p>
          <w:p>
            <w:pPr>
              <w:pStyle w:val="4"/>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329555" cy="3880485"/>
                  <wp:effectExtent l="0" t="0" r="4445" b="5715"/>
                  <wp:docPr id="38" name="图片 38" descr="a634467a40391eeeaae85da1485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634467a40391eeeaae85da1485f100"/>
                          <pic:cNvPicPr>
                            <a:picLocks noChangeAspect="1"/>
                          </pic:cNvPicPr>
                        </pic:nvPicPr>
                        <pic:blipFill>
                          <a:blip r:embed="rId12"/>
                          <a:srcRect l="16079" b="18569"/>
                          <a:stretch>
                            <a:fillRect/>
                          </a:stretch>
                        </pic:blipFill>
                        <pic:spPr>
                          <a:xfrm>
                            <a:off x="0" y="0"/>
                            <a:ext cx="5329555" cy="3880485"/>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sz w:val="24"/>
                <w:szCs w:val="24"/>
                <w:lang w:val="en-US" w:eastAsia="zh-CN"/>
              </w:rPr>
            </w:pPr>
            <w:r>
              <w:rPr>
                <w:rFonts w:hint="default" w:ascii="Times New Roman" w:hAnsi="Times New Roman" w:eastAsia="宋体" w:cs="Times New Roman"/>
                <w:b/>
                <w:bCs/>
                <w:sz w:val="21"/>
                <w:szCs w:val="21"/>
                <w:lang w:val="en-US" w:eastAsia="zh-CN"/>
              </w:rPr>
              <w:t>图6-</w:t>
            </w:r>
            <w:r>
              <w:rPr>
                <w:rFonts w:hint="eastAsia" w:ascii="Times New Roman" w:hAnsi="Times New Roman" w:eastAsia="宋体" w:cs="Times New Roman"/>
                <w:b/>
                <w:bCs/>
                <w:sz w:val="21"/>
                <w:szCs w:val="21"/>
                <w:lang w:val="en-US" w:eastAsia="zh-CN"/>
              </w:rPr>
              <w:t>2 一般固废堆放区域</w:t>
            </w:r>
          </w:p>
          <w:p>
            <w:pPr>
              <w:jc w:val="center"/>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drawing>
                <wp:inline distT="0" distB="0" distL="114300" distR="114300">
                  <wp:extent cx="5541010" cy="4154170"/>
                  <wp:effectExtent l="0" t="0" r="2540" b="17780"/>
                  <wp:docPr id="6" name="图片 6" descr="8ed2dcf71385dc95a7402dc4c7af5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ed2dcf71385dc95a7402dc4c7af5e2"/>
                          <pic:cNvPicPr>
                            <a:picLocks noChangeAspect="1"/>
                          </pic:cNvPicPr>
                        </pic:nvPicPr>
                        <pic:blipFill>
                          <a:blip r:embed="rId13"/>
                          <a:stretch>
                            <a:fillRect/>
                          </a:stretch>
                        </pic:blipFill>
                        <pic:spPr>
                          <a:xfrm>
                            <a:off x="0" y="0"/>
                            <a:ext cx="5541010" cy="4154170"/>
                          </a:xfrm>
                          <a:prstGeom prst="rect">
                            <a:avLst/>
                          </a:prstGeom>
                        </pic:spPr>
                      </pic:pic>
                    </a:graphicData>
                  </a:graphic>
                </wp:inline>
              </w:drawing>
            </w:r>
          </w:p>
          <w:p>
            <w:pPr>
              <w:jc w:val="center"/>
              <w:rPr>
                <w:sz w:val="21"/>
                <w:szCs w:val="21"/>
              </w:rPr>
            </w:pPr>
            <w:r>
              <w:rPr>
                <w:rFonts w:hint="eastAsia" w:ascii="Times New Roman" w:hAnsi="Times New Roman" w:eastAsia="宋体" w:cs="Times New Roman"/>
                <w:b/>
                <w:bCs/>
                <w:color w:val="000000"/>
                <w:kern w:val="2"/>
                <w:sz w:val="21"/>
                <w:szCs w:val="21"/>
                <w:lang w:val="en-US" w:eastAsia="zh-CN" w:bidi="ar-SA"/>
              </w:rPr>
              <w:t xml:space="preserve">图6-3 </w:t>
            </w:r>
            <w:r>
              <w:rPr>
                <w:rFonts w:hint="eastAsia"/>
                <w:b/>
                <w:bCs/>
                <w:sz w:val="21"/>
                <w:szCs w:val="21"/>
                <w:lang w:val="en-US" w:eastAsia="zh-CN"/>
              </w:rPr>
              <w:t>危废库</w:t>
            </w:r>
          </w:p>
          <w:p>
            <w:pPr>
              <w:pStyle w:val="9"/>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卫生防护距离</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在本项目用地场界外设置50米环境防护距离。根据现场调查，项目厂界周边100m范围内无居民、学校、医院等环境敏感点，能够满足环境防护距离的要求。同时在本项目环境防护距离范围内，不得规划建设诸如机关、学校、医院、养老院、居民区等环境空气要求较高的项目。</w:t>
            </w:r>
          </w:p>
          <w:p>
            <w:pPr>
              <w:pStyle w:val="5"/>
              <w:rPr>
                <w:rFonts w:hint="default" w:ascii="Times New Roman" w:hAnsi="Times New Roman" w:cs="Times New Roman"/>
                <w:lang w:val="en-US" w:eastAsia="zh-CN"/>
              </w:rPr>
            </w:pP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pPr>
        <w:jc w:val="center"/>
      </w:pPr>
      <w:r>
        <w:rPr>
          <w:sz w:val="21"/>
        </w:rPr>
        <mc:AlternateContent>
          <mc:Choice Requires="wps">
            <w:drawing>
              <wp:anchor distT="0" distB="0" distL="114300" distR="114300" simplePos="0" relativeHeight="251668480" behindDoc="0" locked="0" layoutInCell="1" allowOverlap="1">
                <wp:simplePos x="0" y="0"/>
                <wp:positionH relativeFrom="column">
                  <wp:posOffset>4580255</wp:posOffset>
                </wp:positionH>
                <wp:positionV relativeFrom="paragraph">
                  <wp:posOffset>3822065</wp:posOffset>
                </wp:positionV>
                <wp:extent cx="198755" cy="222250"/>
                <wp:effectExtent l="4445" t="4445" r="6350" b="20955"/>
                <wp:wrapNone/>
                <wp:docPr id="34" name="任意多边形 34"/>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360.65pt;margin-top:300.95pt;height:17.5pt;width:15.65pt;z-index:251668480;mso-width-relative:page;mso-height-relative:page;" fillcolor="#FF0000" filled="t" stroked="t" coordsize="21600,21600" o:gfxdata="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KSZcN3ZAAAACwEAAA8AAAAAAAAAAQAgAAAAIgAAAGRycy9kb3ducmV2Lnht&#10;bFBLAQIUABQAAAAIAIdO4kDUsJHETgMAAFQJAAAOAAAAAAAAAAEAIAAAACgBAABkcnMvZTJvRG9j&#10;LnhtbFBLBQYAAAAABgAGAFkBAADo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drawing>
          <wp:anchor distT="0" distB="0" distL="114300" distR="114300" simplePos="0" relativeHeight="251675648" behindDoc="0" locked="0" layoutInCell="1" allowOverlap="1">
            <wp:simplePos x="0" y="0"/>
            <wp:positionH relativeFrom="column">
              <wp:posOffset>6746240</wp:posOffset>
            </wp:positionH>
            <wp:positionV relativeFrom="paragraph">
              <wp:posOffset>262255</wp:posOffset>
            </wp:positionV>
            <wp:extent cx="763270" cy="848360"/>
            <wp:effectExtent l="0" t="0" r="17780" b="8890"/>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4"/>
                    <a:stretch>
                      <a:fillRect/>
                    </a:stretch>
                  </pic:blipFill>
                  <pic:spPr>
                    <a:xfrm>
                      <a:off x="0" y="0"/>
                      <a:ext cx="763270" cy="848360"/>
                    </a:xfrm>
                    <a:prstGeom prst="rect">
                      <a:avLst/>
                    </a:prstGeom>
                    <a:noFill/>
                    <a:ln>
                      <a:noFill/>
                    </a:ln>
                  </pic:spPr>
                </pic:pic>
              </a:graphicData>
            </a:graphic>
          </wp:anchor>
        </w:drawing>
      </w:r>
      <w:r>
        <w:rPr>
          <w:sz w:val="21"/>
        </w:rPr>
        <mc:AlternateContent>
          <mc:Choice Requires="wps">
            <w:drawing>
              <wp:anchor distT="0" distB="0" distL="114300" distR="114300" simplePos="0" relativeHeight="251666432" behindDoc="0" locked="0" layoutInCell="1" allowOverlap="1">
                <wp:simplePos x="0" y="0"/>
                <wp:positionH relativeFrom="column">
                  <wp:posOffset>2746375</wp:posOffset>
                </wp:positionH>
                <wp:positionV relativeFrom="paragraph">
                  <wp:posOffset>1273175</wp:posOffset>
                </wp:positionV>
                <wp:extent cx="198755" cy="222250"/>
                <wp:effectExtent l="4445" t="4445" r="6350" b="20955"/>
                <wp:wrapNone/>
                <wp:docPr id="45" name="任意多边形 45"/>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216.25pt;margin-top:100.25pt;height:17.5pt;width:15.65pt;z-index:251666432;mso-width-relative:page;mso-height-relative:page;" fillcolor="#FF0000" filled="t" stroked="t" coordsize="21600,21600" o:gfxdata="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Aw6LcK2AAAAAsBAAAPAAAAAAAAAAEAIAAAACIAAABkcnMvZG93bnJldi54bWxQ&#10;SwECFAAUAAAACACHTuJAC+srsk0DAABUCQAADgAAAAAAAAABACAAAAAnAQAAZHJzL2Uyb0RvYy54&#10;bWxQSwUGAAAAAAYABgBZAQAA5gY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5803265</wp:posOffset>
                </wp:positionH>
                <wp:positionV relativeFrom="paragraph">
                  <wp:posOffset>3056890</wp:posOffset>
                </wp:positionV>
                <wp:extent cx="190500" cy="182245"/>
                <wp:effectExtent l="19685" t="20955" r="37465" b="25400"/>
                <wp:wrapNone/>
                <wp:docPr id="7" name="五角星 7"/>
                <wp:cNvGraphicFramePr/>
                <a:graphic xmlns:a="http://schemas.openxmlformats.org/drawingml/2006/main">
                  <a:graphicData uri="http://schemas.microsoft.com/office/word/2010/wordprocessingShape">
                    <wps:wsp>
                      <wps:cNvSpPr/>
                      <wps:spPr>
                        <a:xfrm>
                          <a:off x="0" y="0"/>
                          <a:ext cx="190500" cy="18224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56.95pt;margin-top:240.7pt;height:14.35pt;width:15pt;z-index:251659264;v-text-anchor:middle;mso-width-relative:page;mso-height-relative:page;" fillcolor="#FF0000" filled="t" stroked="t" coordsize="190500,182245" o:gfxdata="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CQ/A/bAAAACwEAAA8AAAAAAAAAAQAgAAAA&#10;IgAAAGRycy9kb3ducmV2LnhtbFBLAQIUABQAAAAIAIdO4kDnN78vegIAAAIFAAAOAAAAAAAAAAEA&#10;IAAAACoBAABkcnMvZTJvRG9jLnhtbFBLBQYAAAAABgAGAFkBAAAWBgAAAAA=&#10;" path="m0,69611l72764,69611,95250,0,117735,69611,190499,69611,131631,112633,154117,182244,95250,139221,36382,182244,58868,112633xe">
                <v:path textboxrect="0,0,190500,182245" o:connectlocs="95250,0;0,69611;36382,182244;154117,182244;190499,69611" o:connectangles="247,164,82,82,0"/>
                <v:fill on="t" focussize="0,0"/>
                <v:stroke weight="1pt" color="#FF0000 [3204]"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3835400</wp:posOffset>
                </wp:positionH>
                <wp:positionV relativeFrom="paragraph">
                  <wp:posOffset>2750185</wp:posOffset>
                </wp:positionV>
                <wp:extent cx="142875" cy="142875"/>
                <wp:effectExtent l="7620" t="10795" r="20955" b="17780"/>
                <wp:wrapNone/>
                <wp:docPr id="47" name="流程图: 摘录 4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02pt;margin-top:216.55pt;height:11.25pt;width:11.25pt;z-index:251663360;mso-width-relative:page;mso-height-relative:page;" fillcolor="#FF0000" filled="t" stroked="t" coordsize="21600,21600" o:gfxdata="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uaOR3AAAAAsB&#10;AAAPAAAAAAAAAAEAIAAAACIAAABkcnMvZG93bnJldi54bWxQSwECFAAUAAAACACHTuJAI9JQGR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5116830</wp:posOffset>
                </wp:positionH>
                <wp:positionV relativeFrom="paragraph">
                  <wp:posOffset>1828800</wp:posOffset>
                </wp:positionV>
                <wp:extent cx="142875" cy="142875"/>
                <wp:effectExtent l="7620" t="10795" r="20955" b="17780"/>
                <wp:wrapNone/>
                <wp:docPr id="42" name="流程图: 摘录 42"/>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402.9pt;margin-top:144pt;height:11.25pt;width:11.25pt;z-index:251662336;mso-width-relative:page;mso-height-relative:page;" fillcolor="#FF0000" filled="t" stroked="t" coordsize="21600,21600" o:gfxdata="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7ZXP13AAAAAsB&#10;AAAPAAAAAAAAAAEAIAAAACIAAABkcnMvZG93bnJldi54bWxQSwECFAAUAAAACACHTuJA39n2Ph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5272405</wp:posOffset>
                </wp:positionH>
                <wp:positionV relativeFrom="paragraph">
                  <wp:posOffset>3474085</wp:posOffset>
                </wp:positionV>
                <wp:extent cx="142875" cy="142875"/>
                <wp:effectExtent l="7620" t="10795" r="20955" b="17780"/>
                <wp:wrapNone/>
                <wp:docPr id="44" name="流程图: 摘录 44"/>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415.15pt;margin-top:273.55pt;height:11.25pt;width:11.25pt;z-index:251664384;mso-width-relative:page;mso-height-relative:page;" fillcolor="#FF0000" filled="t" stroked="t" coordsize="21600,21600" o:gfxdata="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Fr/d3AAAAAsB&#10;AAAPAAAAAAAAAAEAIAAAACIAAABkcnMvZG93bnJldi54bWxQSwECFAAUAAAACACHTuJASCnish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5930900</wp:posOffset>
                </wp:positionH>
                <wp:positionV relativeFrom="paragraph">
                  <wp:posOffset>2838450</wp:posOffset>
                </wp:positionV>
                <wp:extent cx="198755" cy="222250"/>
                <wp:effectExtent l="4445" t="4445" r="6350" b="20955"/>
                <wp:wrapNone/>
                <wp:docPr id="33" name="任意多边形 33"/>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467pt;margin-top:223.5pt;height:17.5pt;width:15.65pt;z-index:251667456;mso-width-relative:page;mso-height-relative:page;" fillcolor="#FF0000" filled="t" stroked="t" coordsize="21600,21600" o:gfxdata="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A971Hg2gAAAAsBAAAPAAAAAAAAAAEAIAAAACIAAABkcnMvZG93bnJldi54&#10;bWxQSwECFAAUAAAACACHTuJA8f+xd04DAABUCQAADgAAAAAAAAABACAAAAApAQAAZHJzL2Uyb0Rv&#10;Yy54bWxQSwUGAAAAAAYABgBZAQAA6QY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3328670</wp:posOffset>
                </wp:positionH>
                <wp:positionV relativeFrom="paragraph">
                  <wp:posOffset>927100</wp:posOffset>
                </wp:positionV>
                <wp:extent cx="142875" cy="142875"/>
                <wp:effectExtent l="7620" t="10795" r="20955" b="17780"/>
                <wp:wrapNone/>
                <wp:docPr id="46" name="流程图: 摘录 46"/>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262.1pt;margin-top:73pt;height:11.25pt;width:11.25pt;z-index:251665408;mso-width-relative:page;mso-height-relative:page;" fillcolor="#FF0000" filled="t" stroked="t" coordsize="21600,21600" o:gfxdata="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urpj43AAAAAsB&#10;AAAPAAAAAAAAAAEAIAAAACIAAABkcnMvZG93bnJldi54bWxQSwECFAAUAAAACACHTuJAxYYRyR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3538220</wp:posOffset>
                </wp:positionH>
                <wp:positionV relativeFrom="paragraph">
                  <wp:posOffset>891540</wp:posOffset>
                </wp:positionV>
                <wp:extent cx="119380" cy="130810"/>
                <wp:effectExtent l="4445" t="4445" r="9525" b="17145"/>
                <wp:wrapNone/>
                <wp:docPr id="13" name="椭圆 13"/>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278.6pt;margin-top:70.2pt;height:10.3pt;width:9.4pt;z-index:251672576;mso-width-relative:page;mso-height-relative:page;" fillcolor="#FF0000" filled="t" stroked="t" coordsize="21600,21600" o:gfxdata="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MR5Mm2AAAAAsBAAAPAAAAAAAAAAEAIAAAACIAAABkcnMvZG93bnJl&#10;di54bWxQSwECFAAUAAAACACHTuJAuhccb/0BAAAjBAAADgAAAAAAAAABACAAAAAnAQAAZHJzL2Uy&#10;b0RvYy54bWxQSwUGAAAAAAYABgBZAQAAlgUAAAAA&#10;">
                <v:fill on="t" focussize="0,0"/>
                <v:stroke color="#FF0000" joinstyle="round"/>
                <v:imagedata o:title=""/>
                <o:lock v:ext="edit" aspectratio="f"/>
                <v:textbox>
                  <w:txbxContent>
                    <w:p/>
                  </w:txbxContent>
                </v:textbox>
              </v:shape>
            </w:pict>
          </mc:Fallback>
        </mc:AlternateContent>
      </w:r>
      <w:r>
        <w:rPr>
          <w:rFonts w:hint="default" w:cs="Times New Roman"/>
          <w:kern w:val="2"/>
          <w:sz w:val="21"/>
          <w:szCs w:val="24"/>
          <w:lang w:val="en-US" w:eastAsia="zh-CN" w:bidi="ar-SA"/>
        </w:rPr>
        <w:drawing>
          <wp:anchor distT="0" distB="0" distL="114300" distR="114300" simplePos="0" relativeHeight="251674624" behindDoc="0" locked="0" layoutInCell="1" allowOverlap="1">
            <wp:simplePos x="0" y="0"/>
            <wp:positionH relativeFrom="column">
              <wp:posOffset>6708140</wp:posOffset>
            </wp:positionH>
            <wp:positionV relativeFrom="paragraph">
              <wp:posOffset>3653790</wp:posOffset>
            </wp:positionV>
            <wp:extent cx="585470" cy="965835"/>
            <wp:effectExtent l="0" t="0" r="5080" b="5715"/>
            <wp:wrapNone/>
            <wp:docPr id="11" name="图片 11" descr="8f14515c59daaf9928d4e3a85c094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f14515c59daaf9928d4e3a85c0944d"/>
                    <pic:cNvPicPr>
                      <a:picLocks noChangeAspect="1"/>
                    </pic:cNvPicPr>
                  </pic:nvPicPr>
                  <pic:blipFill>
                    <a:blip r:embed="rId15"/>
                    <a:stretch>
                      <a:fillRect/>
                    </a:stretch>
                  </pic:blipFill>
                  <pic:spPr>
                    <a:xfrm>
                      <a:off x="0" y="0"/>
                      <a:ext cx="585470" cy="965835"/>
                    </a:xfrm>
                    <a:prstGeom prst="rect">
                      <a:avLst/>
                    </a:prstGeom>
                  </pic:spPr>
                </pic:pic>
              </a:graphicData>
            </a:graphic>
          </wp:anchor>
        </w:drawing>
      </w:r>
      <w:r>
        <w:drawing>
          <wp:inline distT="0" distB="0" distL="114300" distR="114300">
            <wp:extent cx="4697095" cy="4114165"/>
            <wp:effectExtent l="0" t="0" r="8255" b="635"/>
            <wp:docPr id="35" name="图片 3" descr="E:\顺昌\微信图片_20220228142500.png微信图片_2022022814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E:\顺昌\微信图片_20220228142500.png微信图片_20220228142500"/>
                    <pic:cNvPicPr>
                      <a:picLocks noChangeAspect="1"/>
                    </pic:cNvPicPr>
                  </pic:nvPicPr>
                  <pic:blipFill>
                    <a:blip r:embed="rId16"/>
                    <a:srcRect/>
                    <a:stretch>
                      <a:fillRect/>
                    </a:stretch>
                  </pic:blipFill>
                  <pic:spPr>
                    <a:xfrm>
                      <a:off x="0" y="0"/>
                      <a:ext cx="4697095" cy="4114165"/>
                    </a:xfrm>
                    <a:prstGeom prst="rect">
                      <a:avLst/>
                    </a:prstGeom>
                    <a:noFill/>
                    <a:ln>
                      <a:noFill/>
                    </a:ln>
                  </pic:spPr>
                </pic:pic>
              </a:graphicData>
            </a:graphic>
          </wp:inline>
        </w:drawing>
      </w:r>
    </w:p>
    <w:p>
      <w:pPr>
        <w:tabs>
          <w:tab w:val="left" w:pos="4435"/>
        </w:tabs>
        <w:bidi w:val="0"/>
        <w:jc w:val="right"/>
        <w:rPr>
          <w:rFonts w:hint="eastAsia" w:cs="Times New Roman"/>
          <w:kern w:val="2"/>
          <w:sz w:val="21"/>
          <w:szCs w:val="24"/>
          <w:lang w:val="en-US" w:eastAsia="zh-CN" w:bidi="ar-SA"/>
        </w:rPr>
      </w:pPr>
      <w:r>
        <w:rPr>
          <w:sz w:val="21"/>
        </w:rPr>
        <mc:AlternateContent>
          <mc:Choice Requires="wps">
            <w:drawing>
              <wp:anchor distT="0" distB="0" distL="114300" distR="114300" simplePos="0" relativeHeight="251669504" behindDoc="0" locked="0" layoutInCell="1" allowOverlap="1">
                <wp:simplePos x="0" y="0"/>
                <wp:positionH relativeFrom="column">
                  <wp:posOffset>3426460</wp:posOffset>
                </wp:positionH>
                <wp:positionV relativeFrom="paragraph">
                  <wp:posOffset>278130</wp:posOffset>
                </wp:positionV>
                <wp:extent cx="2395855" cy="301625"/>
                <wp:effectExtent l="0" t="0" r="4445" b="3175"/>
                <wp:wrapNone/>
                <wp:docPr id="3" name="文本框 3"/>
                <wp:cNvGraphicFramePr/>
                <a:graphic xmlns:a="http://schemas.openxmlformats.org/drawingml/2006/main">
                  <a:graphicData uri="http://schemas.microsoft.com/office/word/2010/wordprocessingShape">
                    <wps:wsp>
                      <wps:cNvSpPr txBox="1"/>
                      <wps:spPr>
                        <a:xfrm>
                          <a:off x="4913630" y="6525895"/>
                          <a:ext cx="2395855" cy="30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图6-3 </w:t>
                            </w:r>
                            <w:r>
                              <w:rPr>
                                <w:rFonts w:hint="default"/>
                                <w:b/>
                                <w:bCs/>
                                <w:sz w:val="21"/>
                                <w:szCs w:val="21"/>
                                <w:lang w:val="en-US" w:eastAsia="zh-CN"/>
                              </w:rPr>
                              <w:t>厂区平面布置及监测点位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8pt;margin-top:21.9pt;height:23.75pt;width:188.65pt;z-index:251669504;mso-width-relative:page;mso-height-relative:page;" fillcolor="#FFFFFF [3201]" filled="t" stroked="f" coordsize="21600,21600" o:gfxdata="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8sm&#10;CtUAAAAJAQAADwAAAAAAAAABACAAAAAiAAAAZHJzL2Rvd25yZXYueG1sUEsBAhQAFAAAAAgAh07i&#10;QGwJbjleAgAAmwQAAA4AAAAAAAAAAQAgAAAAJAEAAGRycy9lMm9Eb2MueG1sUEsFBgAAAAAGAAYA&#10;WQEAAPQFAAAAAA==&#10;">
                <v:fill on="t" focussize="0,0"/>
                <v:stroke on="f" weight="0.5pt"/>
                <v:imagedata o:title=""/>
                <o:lock v:ext="edit" aspectratio="f"/>
                <v:textbo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图6-3 </w:t>
                      </w:r>
                      <w:r>
                        <w:rPr>
                          <w:rFonts w:hint="default"/>
                          <w:b/>
                          <w:bCs/>
                          <w:sz w:val="21"/>
                          <w:szCs w:val="21"/>
                          <w:lang w:val="en-US" w:eastAsia="zh-CN"/>
                        </w:rPr>
                        <w:t>厂区平面布置及监测点位</w:t>
                      </w:r>
                    </w:p>
                  </w:txbxContent>
                </v:textbox>
              </v:shape>
            </w:pict>
          </mc:Fallback>
        </mc:AlternateContent>
      </w:r>
      <w:r>
        <w:rPr>
          <w:rFonts w:hint="eastAsia" w:cs="Times New Roman"/>
          <w:kern w:val="2"/>
          <w:sz w:val="21"/>
          <w:szCs w:val="24"/>
          <w:lang w:val="en-US" w:eastAsia="zh-CN" w:bidi="ar-SA"/>
        </w:rPr>
        <w:t xml:space="preserve"> </w:t>
      </w:r>
    </w:p>
    <w:p>
      <w:pPr>
        <w:tabs>
          <w:tab w:val="left" w:pos="4435"/>
        </w:tabs>
        <w:bidi w:val="0"/>
        <w:jc w:val="left"/>
        <w:rPr>
          <w:rFonts w:hint="eastAsia" w:cs="Times New Roman"/>
          <w:kern w:val="2"/>
          <w:sz w:val="21"/>
          <w:szCs w:val="24"/>
          <w:lang w:val="en-US" w:eastAsia="zh-CN" w:bidi="ar-SA"/>
        </w:rPr>
      </w:pPr>
      <w:r>
        <w:rPr>
          <w:rFonts w:hint="eastAsia" w:cs="Times New Roman"/>
          <w:kern w:val="2"/>
          <w:sz w:val="21"/>
          <w:szCs w:val="24"/>
          <w:lang w:val="en-US" w:eastAsia="zh-CN" w:bidi="ar-SA"/>
        </w:rPr>
        <w:t xml:space="preserve">                     </w:t>
      </w:r>
    </w:p>
    <w:p>
      <w:pPr>
        <w:pStyle w:val="22"/>
        <w:rPr>
          <w:rFonts w:hint="eastAsia" w:cs="Times New Roman"/>
          <w:kern w:val="2"/>
          <w:sz w:val="21"/>
          <w:szCs w:val="24"/>
          <w:lang w:val="en-US" w:eastAsia="zh-CN" w:bidi="ar-SA"/>
        </w:rPr>
      </w:pPr>
    </w:p>
    <w:p>
      <w:pPr>
        <w:pStyle w:val="22"/>
        <w:rPr>
          <w:rFonts w:hint="eastAsia" w:cs="Times New Roman"/>
          <w:kern w:val="2"/>
          <w:sz w:val="21"/>
          <w:szCs w:val="24"/>
          <w:lang w:val="en-US" w:eastAsia="zh-CN" w:bidi="ar-SA"/>
        </w:rPr>
      </w:pPr>
    </w:p>
    <w:p>
      <w:pPr>
        <w:pStyle w:val="22"/>
        <w:jc w:val="center"/>
        <w:rPr>
          <w:rFonts w:hint="default" w:cs="Times New Roman"/>
          <w:kern w:val="2"/>
          <w:sz w:val="21"/>
          <w:szCs w:val="24"/>
          <w:lang w:val="en-US" w:eastAsia="zh-CN" w:bidi="ar-SA"/>
        </w:rPr>
        <w:sectPr>
          <w:pgSz w:w="16838" w:h="11906" w:orient="landscape"/>
          <w:pgMar w:top="1361" w:right="1304" w:bottom="1020" w:left="1304" w:header="851" w:footer="992" w:gutter="0"/>
          <w:pgBorders>
            <w:top w:val="none" w:sz="0" w:space="0"/>
            <w:left w:val="none" w:sz="0" w:space="0"/>
            <w:bottom w:val="none" w:sz="0" w:space="0"/>
            <w:right w:val="none" w:sz="0" w:space="0"/>
          </w:pgBorders>
          <w:cols w:space="425" w:num="1"/>
          <w:docGrid w:type="lines" w:linePitch="312" w:charSpace="0"/>
        </w:sect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5000" w:type="pct"/>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七、</w:t>
            </w:r>
            <w:r>
              <w:rPr>
                <w:rFonts w:hint="default" w:ascii="Times New Roman" w:hAnsi="Times New Roman" w:eastAsia="宋体" w:cs="Times New Roman"/>
                <w:b/>
                <w:bCs/>
                <w:color w:val="000000"/>
                <w:sz w:val="24"/>
                <w:szCs w:val="24"/>
                <w:lang w:val="en-US" w:eastAsia="zh-CN"/>
              </w:rPr>
              <w:t>建设项目环境影响报告表主要结论及审批部门审批决定：</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1、环评报告表主要结论</w:t>
            </w:r>
          </w:p>
          <w:p>
            <w:pPr>
              <w:spacing w:line="360" w:lineRule="auto"/>
              <w:ind w:firstLine="482"/>
              <w:jc w:val="left"/>
              <w:rPr>
                <w:rFonts w:hint="eastAsia" w:ascii="Times New Roman" w:hAnsi="Times New Roman" w:eastAsia="宋体" w:cs="Times New Roman"/>
                <w:b w:val="0"/>
                <w:bCs w:val="0"/>
                <w:color w:val="000000"/>
                <w:sz w:val="24"/>
                <w:szCs w:val="24"/>
                <w:lang w:val="en-US" w:eastAsia="zh-CN"/>
              </w:rPr>
            </w:pPr>
            <w:r>
              <w:rPr>
                <w:rFonts w:hint="default" w:ascii="Times New Roman" w:hAnsi="Times New Roman" w:cs="Times New Roman"/>
                <w:b w:val="0"/>
                <w:bCs w:val="0"/>
                <w:color w:val="auto"/>
                <w:sz w:val="24"/>
                <w:lang w:eastAsia="zh-CN"/>
              </w:rPr>
              <w:t>安徽省宁国顺昌机械有限公司面向国际市场长寿命耐腐蚀回转支承产业化项目符合国家产业政策，项目选址符合宁国市总体规划要求。通过本项目所在地环境现状调查、工程分析、环境影响分析可知，只要建设单位在工程建设时充分落实本环评提出的各项污染防治对策，认真做好“三同时”及日常环保管理工作，项目对环境的影响可降至最小。因此，从环保角度出发，本项目建设可行。</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审批</w:t>
            </w:r>
            <w:r>
              <w:rPr>
                <w:rFonts w:hint="eastAsia" w:ascii="Times New Roman" w:hAnsi="Times New Roman" w:eastAsia="宋体" w:cs="Times New Roman"/>
                <w:color w:val="000000"/>
                <w:sz w:val="24"/>
                <w:szCs w:val="24"/>
                <w:lang w:val="en-US" w:eastAsia="zh-CN"/>
              </w:rPr>
              <w:t>意见</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rPr>
            </w:pPr>
            <w:r>
              <w:rPr>
                <w:rFonts w:hint="eastAsia" w:ascii="Times New Roman" w:hAnsi="Times New Roman" w:cs="Times New Roman"/>
                <w:b w:val="0"/>
                <w:bCs w:val="0"/>
                <w:color w:val="auto"/>
                <w:sz w:val="24"/>
                <w:lang w:eastAsia="zh-CN"/>
              </w:rPr>
              <w:t>一、</w:t>
            </w:r>
            <w:r>
              <w:rPr>
                <w:rFonts w:hint="default" w:ascii="Times New Roman" w:hAnsi="Times New Roman" w:cs="Times New Roman"/>
                <w:b w:val="0"/>
                <w:bCs w:val="0"/>
                <w:color w:val="auto"/>
                <w:sz w:val="24"/>
                <w:lang w:eastAsia="zh-CN"/>
              </w:rPr>
              <w:t>安徽省宁国顺昌机械有限公司面向国际市场长寿命耐腐蚀回转支承产业化项目</w:t>
            </w:r>
            <w:r>
              <w:rPr>
                <w:rFonts w:hint="eastAsia" w:ascii="Times New Roman" w:hAnsi="Times New Roman" w:eastAsia="宋体" w:cs="Times New Roman"/>
                <w:color w:val="auto"/>
                <w:sz w:val="24"/>
                <w:lang w:eastAsia="zh-CN"/>
              </w:rPr>
              <w:t>选址于</w:t>
            </w:r>
            <w:r>
              <w:rPr>
                <w:rFonts w:hint="eastAsia" w:ascii="Times New Roman" w:hAnsi="Times New Roman"/>
                <w:color w:val="000000"/>
                <w:sz w:val="24"/>
                <w:szCs w:val="22"/>
              </w:rPr>
              <w:t>宁国经济技术开发区</w:t>
            </w:r>
            <w:r>
              <w:rPr>
                <w:rFonts w:hint="eastAsia" w:ascii="Times New Roman" w:hAnsi="Times New Roman"/>
                <w:color w:val="000000"/>
                <w:sz w:val="24"/>
                <w:szCs w:val="22"/>
                <w:lang w:eastAsia="zh-CN"/>
              </w:rPr>
              <w:t>宁阳西路</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改扩建生产车间</w:t>
            </w:r>
            <w:r>
              <w:rPr>
                <w:rFonts w:hint="eastAsia" w:ascii="Times New Roman" w:hAnsi="Times New Roman" w:eastAsia="宋体" w:cs="Times New Roman"/>
                <w:color w:val="auto"/>
                <w:sz w:val="24"/>
                <w:lang w:val="en-US" w:eastAsia="zh-CN"/>
              </w:rPr>
              <w:t>4000平方米，购置安装CNC加工中心以及滚齿机、插齿机、铣齿机等国际先进设备。项目建成后，年产长寿命耐腐蚀回转支承3000套</w:t>
            </w:r>
            <w:r>
              <w:rPr>
                <w:rFonts w:hint="eastAsia" w:ascii="Times New Roman" w:hAnsi="Times New Roman" w:eastAsia="宋体" w:cs="Times New Roman"/>
                <w:sz w:val="24"/>
                <w:szCs w:val="24"/>
                <w:lang w:val="en-US" w:eastAsia="zh-CN"/>
              </w:rPr>
              <w:t>。项目经宁国经济技术开发区管委会（宁开发项[2016]162号）同意备案，项目编码：2016-341862-34-03-022213。项目经我局研究</w:t>
            </w:r>
            <w:r>
              <w:rPr>
                <w:rFonts w:hint="default" w:ascii="Times New Roman" w:hAnsi="Times New Roman" w:eastAsia="宋体" w:cs="Times New Roman"/>
                <w:color w:val="auto"/>
                <w:sz w:val="24"/>
              </w:rPr>
              <w:t>，原则同意</w:t>
            </w:r>
            <w:r>
              <w:rPr>
                <w:rFonts w:hint="eastAsia" w:ascii="Times New Roman" w:hAnsi="Times New Roman" w:eastAsia="宋体" w:cs="Times New Roman"/>
                <w:color w:val="auto"/>
                <w:sz w:val="24"/>
                <w:lang w:eastAsia="zh-CN"/>
              </w:rPr>
              <w:t>建设</w:t>
            </w:r>
            <w:r>
              <w:rPr>
                <w:rFonts w:hint="default" w:ascii="Times New Roman" w:hAnsi="Times New Roman" w:eastAsia="宋体" w:cs="Times New Roman"/>
                <w:color w:val="auto"/>
                <w:sz w:val="24"/>
              </w:rPr>
              <w:t>。</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rPr>
            </w:pPr>
            <w:r>
              <w:rPr>
                <w:rFonts w:hint="eastAsia" w:ascii="Times New Roman" w:hAnsi="Times New Roman" w:cs="Times New Roman"/>
                <w:color w:val="auto"/>
                <w:sz w:val="24"/>
                <w:lang w:eastAsia="zh-CN"/>
              </w:rPr>
              <w:t>二、该</w:t>
            </w:r>
            <w:r>
              <w:rPr>
                <w:rFonts w:hint="default" w:ascii="Times New Roman" w:hAnsi="Times New Roman" w:cs="Times New Roman"/>
                <w:color w:val="auto"/>
                <w:sz w:val="24"/>
                <w:lang w:eastAsia="zh-CN"/>
              </w:rPr>
              <w:t>项目废水</w:t>
            </w:r>
            <w:r>
              <w:rPr>
                <w:rFonts w:hint="eastAsia" w:ascii="Times New Roman" w:hAnsi="Times New Roman" w:cs="Times New Roman"/>
                <w:color w:val="auto"/>
                <w:sz w:val="24"/>
                <w:lang w:eastAsia="zh-CN"/>
              </w:rPr>
              <w:t>排放执行《污水综合排放标准》（</w:t>
            </w:r>
            <w:r>
              <w:rPr>
                <w:rFonts w:hint="eastAsia" w:ascii="Times New Roman" w:hAnsi="Times New Roman" w:cs="Times New Roman"/>
                <w:color w:val="auto"/>
                <w:sz w:val="24"/>
                <w:lang w:val="en-US" w:eastAsia="zh-CN"/>
              </w:rPr>
              <w:t>GB8978-1996</w:t>
            </w:r>
            <w:r>
              <w:rPr>
                <w:rFonts w:hint="eastAsia" w:ascii="Times New Roman" w:hAnsi="Times New Roman" w:cs="Times New Roman"/>
                <w:color w:val="auto"/>
                <w:sz w:val="24"/>
                <w:lang w:eastAsia="zh-CN"/>
              </w:rPr>
              <w:t>）中一级标准；与南山污水处理厂签订接管协议后，废水</w:t>
            </w:r>
            <w:r>
              <w:rPr>
                <w:rFonts w:hint="default" w:ascii="Times New Roman" w:hAnsi="Times New Roman" w:cs="Times New Roman"/>
                <w:color w:val="auto"/>
                <w:sz w:val="24"/>
                <w:lang w:eastAsia="zh-CN"/>
              </w:rPr>
              <w:t>排放执行</w:t>
            </w:r>
            <w:r>
              <w:rPr>
                <w:rFonts w:hint="eastAsia" w:ascii="Times New Roman" w:hAnsi="Times New Roman" w:cs="Times New Roman"/>
                <w:color w:val="auto"/>
                <w:sz w:val="24"/>
                <w:lang w:eastAsia="zh-CN"/>
              </w:rPr>
              <w:t>《污水综合排放标准》（</w:t>
            </w:r>
            <w:r>
              <w:rPr>
                <w:rFonts w:hint="eastAsia" w:ascii="Times New Roman" w:hAnsi="Times New Roman" w:cs="Times New Roman"/>
                <w:color w:val="auto"/>
                <w:sz w:val="24"/>
                <w:lang w:val="en-US" w:eastAsia="zh-CN"/>
              </w:rPr>
              <w:t>GB8978-1996</w:t>
            </w:r>
            <w:r>
              <w:rPr>
                <w:rFonts w:hint="eastAsia" w:ascii="Times New Roman" w:hAnsi="Times New Roman" w:cs="Times New Roman"/>
                <w:color w:val="auto"/>
                <w:sz w:val="24"/>
                <w:lang w:eastAsia="zh-CN"/>
              </w:rPr>
              <w:t>）中三级标准及南山</w:t>
            </w:r>
            <w:r>
              <w:rPr>
                <w:rFonts w:hint="default" w:ascii="Times New Roman" w:hAnsi="Times New Roman" w:cs="Times New Roman"/>
                <w:color w:val="auto"/>
                <w:sz w:val="24"/>
                <w:lang w:eastAsia="zh-CN"/>
              </w:rPr>
              <w:t>污水处理厂接管标准</w:t>
            </w:r>
            <w:r>
              <w:rPr>
                <w:rFonts w:hint="default" w:ascii="Times New Roman" w:hAnsi="Times New Roman" w:eastAsia="宋体" w:cs="Times New Roman"/>
                <w:color w:val="auto"/>
                <w:sz w:val="24"/>
                <w:lang w:eastAsia="zh-CN"/>
              </w:rPr>
              <w:t>。</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三、该</w:t>
            </w:r>
            <w:r>
              <w:rPr>
                <w:rFonts w:hint="default" w:ascii="Times New Roman" w:hAnsi="Times New Roman" w:eastAsia="宋体" w:cs="Times New Roman"/>
                <w:color w:val="auto"/>
                <w:sz w:val="24"/>
                <w:lang w:eastAsia="zh-CN"/>
              </w:rPr>
              <w:t>项目</w:t>
            </w:r>
            <w:r>
              <w:rPr>
                <w:rFonts w:hint="eastAsia" w:ascii="Times New Roman" w:hAnsi="Times New Roman" w:eastAsia="宋体" w:cs="Times New Roman"/>
                <w:color w:val="auto"/>
                <w:sz w:val="24"/>
                <w:lang w:eastAsia="zh-CN"/>
              </w:rPr>
              <w:t>有机废气排放参照天津市</w:t>
            </w:r>
            <w:r>
              <w:rPr>
                <w:rFonts w:hint="default" w:ascii="Times New Roman" w:hAnsi="Times New Roman" w:cs="Times New Roman"/>
                <w:bCs/>
                <w:color w:val="auto"/>
                <w:sz w:val="24"/>
              </w:rPr>
              <w:t>《</w:t>
            </w:r>
            <w:r>
              <w:rPr>
                <w:rFonts w:hint="eastAsia" w:ascii="Times New Roman" w:hAnsi="Times New Roman" w:cs="Times New Roman"/>
                <w:bCs/>
                <w:color w:val="auto"/>
                <w:sz w:val="24"/>
                <w:lang w:eastAsia="zh-CN"/>
              </w:rPr>
              <w:t>工业企业挥发性有机物</w:t>
            </w:r>
            <w:r>
              <w:rPr>
                <w:rFonts w:hint="default" w:ascii="Times New Roman" w:hAnsi="Times New Roman" w:cs="Times New Roman"/>
                <w:bCs/>
                <w:color w:val="auto"/>
                <w:sz w:val="24"/>
              </w:rPr>
              <w:t>排放</w:t>
            </w:r>
            <w:r>
              <w:rPr>
                <w:rFonts w:hint="eastAsia" w:ascii="Times New Roman" w:hAnsi="Times New Roman" w:cs="Times New Roman"/>
                <w:bCs/>
                <w:color w:val="auto"/>
                <w:sz w:val="24"/>
                <w:lang w:eastAsia="zh-CN"/>
              </w:rPr>
              <w:t>控制</w:t>
            </w:r>
            <w:r>
              <w:rPr>
                <w:rFonts w:hint="default" w:ascii="Times New Roman" w:hAnsi="Times New Roman" w:cs="Times New Roman"/>
                <w:bCs/>
                <w:color w:val="auto"/>
                <w:sz w:val="24"/>
              </w:rPr>
              <w:t>标准》（</w:t>
            </w:r>
            <w:r>
              <w:rPr>
                <w:rFonts w:hint="eastAsia" w:ascii="Times New Roman" w:hAnsi="Times New Roman" w:cs="Times New Roman"/>
                <w:bCs/>
                <w:color w:val="auto"/>
                <w:sz w:val="24"/>
                <w:lang w:val="en-US" w:eastAsia="zh-CN"/>
              </w:rPr>
              <w:t>DB12/524</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2014</w:t>
            </w:r>
            <w:r>
              <w:rPr>
                <w:rFonts w:hint="default" w:ascii="Times New Roman" w:hAnsi="Times New Roman" w:cs="Times New Roman"/>
                <w:bCs/>
                <w:color w:val="auto"/>
                <w:sz w:val="24"/>
              </w:rPr>
              <w:t>）</w:t>
            </w:r>
            <w:r>
              <w:rPr>
                <w:rFonts w:hint="eastAsia" w:ascii="Times New Roman" w:hAnsi="Times New Roman" w:cs="Times New Roman"/>
                <w:bCs/>
                <w:color w:val="auto"/>
                <w:sz w:val="24"/>
                <w:lang w:eastAsia="zh-CN"/>
              </w:rPr>
              <w:t>相关</w:t>
            </w:r>
            <w:r>
              <w:rPr>
                <w:rFonts w:hint="eastAsia" w:ascii="Times New Roman" w:hAnsi="Times New Roman" w:cs="Times New Roman"/>
                <w:bCs/>
                <w:color w:val="auto"/>
                <w:sz w:val="24"/>
                <w:lang w:val="en-US" w:eastAsia="zh-CN"/>
              </w:rPr>
              <w:t>限值；</w:t>
            </w:r>
            <w:r>
              <w:rPr>
                <w:rFonts w:hint="eastAsia" w:ascii="Times New Roman" w:hAnsi="Times New Roman" w:eastAsia="宋体" w:cs="Times New Roman"/>
                <w:color w:val="auto"/>
                <w:sz w:val="24"/>
                <w:lang w:val="en-US" w:eastAsia="zh-CN"/>
              </w:rPr>
              <w:t>有机废气无组织排放需</w:t>
            </w:r>
            <w:r>
              <w:rPr>
                <w:rFonts w:hint="eastAsia" w:ascii="Times New Roman" w:hAnsi="Times New Roman" w:eastAsia="宋体" w:cs="Times New Roman"/>
                <w:color w:val="auto"/>
                <w:sz w:val="24"/>
                <w:lang w:eastAsia="zh-CN"/>
              </w:rPr>
              <w:t>满足《挥发性有机物无组织排放控制标准</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中相关要求；食堂油烟排放参照《饮食业油烟排放标准（试行）》（</w:t>
            </w:r>
            <w:r>
              <w:rPr>
                <w:rFonts w:hint="eastAsia" w:ascii="Times New Roman" w:hAnsi="Times New Roman" w:cs="Times New Roman"/>
                <w:color w:val="auto"/>
                <w:sz w:val="24"/>
                <w:lang w:val="en-US" w:eastAsia="zh-CN"/>
              </w:rPr>
              <w:t>GB18483-2001</w:t>
            </w:r>
            <w:r>
              <w:rPr>
                <w:rFonts w:hint="eastAsia" w:ascii="Times New Roman" w:hAnsi="Times New Roman" w:cs="Times New Roman"/>
                <w:color w:val="auto"/>
                <w:sz w:val="24"/>
                <w:lang w:eastAsia="zh-CN"/>
              </w:rPr>
              <w:t>）中小型规模相应限制</w:t>
            </w:r>
            <w:r>
              <w:rPr>
                <w:rFonts w:hint="default" w:ascii="Times New Roman" w:hAnsi="Times New Roman" w:eastAsia="宋体" w:cs="Times New Roman"/>
                <w:color w:val="000000" w:themeColor="text1"/>
                <w:sz w:val="24"/>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四、该项目运营期</w:t>
            </w:r>
            <w:r>
              <w:rPr>
                <w:rFonts w:hint="default" w:ascii="Times New Roman" w:hAnsi="Times New Roman" w:eastAsia="宋体" w:cs="Times New Roman"/>
                <w:color w:val="auto"/>
                <w:sz w:val="24"/>
              </w:rPr>
              <w:t>厂界噪声执行《工业企业厂界环境噪声排放标准》（GB12348-2008）中的3类标准。</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lang w:eastAsia="zh-CN"/>
              </w:rPr>
              <w:t>五、该项目固体废弃物执行</w:t>
            </w:r>
            <w:r>
              <w:rPr>
                <w:rFonts w:hint="default" w:ascii="Times New Roman" w:hAnsi="Times New Roman" w:eastAsia="宋体" w:cs="Times New Roman"/>
                <w:color w:val="auto"/>
                <w:sz w:val="24"/>
              </w:rPr>
              <w:t>《一般工业固体废</w:t>
            </w:r>
            <w:r>
              <w:rPr>
                <w:rFonts w:hint="eastAsia" w:ascii="Times New Roman" w:hAnsi="Times New Roman" w:eastAsia="宋体" w:cs="Times New Roman"/>
                <w:color w:val="auto"/>
                <w:sz w:val="24"/>
                <w:lang w:eastAsia="zh-CN"/>
              </w:rPr>
              <w:t>弃</w:t>
            </w:r>
            <w:r>
              <w:rPr>
                <w:rFonts w:hint="default" w:ascii="Times New Roman" w:hAnsi="Times New Roman" w:eastAsia="宋体" w:cs="Times New Roman"/>
                <w:color w:val="auto"/>
                <w:sz w:val="24"/>
              </w:rPr>
              <w:t>物贮存</w:t>
            </w:r>
            <w:r>
              <w:rPr>
                <w:rFonts w:hint="eastAsia" w:ascii="Times New Roman" w:hAnsi="Times New Roman" w:eastAsia="宋体" w:cs="Times New Roman"/>
                <w:color w:val="auto"/>
                <w:sz w:val="24"/>
                <w:lang w:eastAsia="zh-CN"/>
              </w:rPr>
              <w:t>、处置场</w:t>
            </w:r>
            <w:r>
              <w:rPr>
                <w:rFonts w:hint="default" w:ascii="Times New Roman" w:hAnsi="Times New Roman" w:eastAsia="宋体" w:cs="Times New Roman"/>
                <w:color w:val="auto"/>
                <w:sz w:val="24"/>
              </w:rPr>
              <w:t>污染控制标准》</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GB18599-20</w:t>
            </w:r>
            <w:r>
              <w:rPr>
                <w:rFonts w:hint="eastAsia" w:ascii="Times New Roman" w:hAnsi="Times New Roman" w:eastAsia="宋体" w:cs="Times New Roman"/>
                <w:color w:val="auto"/>
                <w:sz w:val="24"/>
                <w:lang w:val="en-US" w:eastAsia="zh-CN"/>
              </w:rPr>
              <w:t>01</w:t>
            </w:r>
            <w:r>
              <w:rPr>
                <w:rFonts w:hint="eastAsia" w:ascii="Times New Roman" w:hAnsi="Times New Roman" w:eastAsia="宋体" w:cs="Times New Roman"/>
                <w:color w:val="auto"/>
                <w:sz w:val="24"/>
                <w:lang w:eastAsia="zh-CN"/>
              </w:rPr>
              <w:t>）及其修改单</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rPr>
              <w:t>危险废物执行《危险废物贮存污染控制标准》（GB 18597-2001）及</w:t>
            </w:r>
            <w:r>
              <w:rPr>
                <w:rFonts w:hint="eastAsia" w:ascii="Times New Roman" w:hAnsi="Times New Roman" w:eastAsia="宋体" w:cs="Times New Roman"/>
                <w:color w:val="auto"/>
                <w:sz w:val="24"/>
                <w:szCs w:val="24"/>
                <w:lang w:eastAsia="zh-CN"/>
              </w:rPr>
              <w:t>其</w:t>
            </w:r>
            <w:r>
              <w:rPr>
                <w:rFonts w:hint="default" w:ascii="Times New Roman" w:hAnsi="Times New Roman" w:eastAsia="宋体" w:cs="Times New Roman"/>
                <w:color w:val="auto"/>
                <w:sz w:val="24"/>
                <w:szCs w:val="24"/>
              </w:rPr>
              <w:t>修改单。</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六、项目总量控制指标</w:t>
            </w:r>
            <w:r>
              <w:rPr>
                <w:rFonts w:hint="eastAsia" w:ascii="Times New Roman" w:hAnsi="Times New Roman" w:eastAsia="宋体" w:cs="Times New Roman"/>
                <w:color w:val="auto"/>
                <w:sz w:val="24"/>
                <w:szCs w:val="24"/>
                <w:lang w:val="en-US" w:eastAsia="zh-CN"/>
              </w:rPr>
              <w:t>VOCs为0.104t/a。</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七、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Times New Roman" w:hAnsi="Times New Roman" w:eastAsia="宋体" w:cs="Times New Roman"/>
                <w:b/>
                <w:bCs/>
                <w:color w:val="000000"/>
                <w:sz w:val="24"/>
                <w:szCs w:val="24"/>
                <w:lang w:val="en-US" w:eastAsia="zh-CN"/>
              </w:rPr>
            </w:pPr>
          </w:p>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lang w:val="en-US" w:eastAsia="zh-CN"/>
              </w:rPr>
            </w:pPr>
            <w:r>
              <w:rPr>
                <w:rFonts w:hint="eastAsia" w:ascii="Times New Roman" w:hAnsi="Times New Roman" w:eastAsia="宋体" w:cs="Times New Roman"/>
                <w:b/>
                <w:bCs/>
                <w:color w:val="000000"/>
                <w:sz w:val="24"/>
                <w:szCs w:val="24"/>
                <w:lang w:val="en-US" w:eastAsia="zh-CN"/>
              </w:rPr>
              <w:t>八、环评批复落实情况</w:t>
            </w:r>
          </w:p>
          <w:p>
            <w:pPr>
              <w:pStyle w:val="4"/>
              <w:keepNext w:val="0"/>
              <w:keepLines w:val="0"/>
              <w:pageBreakBefore w:val="0"/>
              <w:widowControl w:val="0"/>
              <w:kinsoku/>
              <w:wordWrap/>
              <w:overflowPunct/>
              <w:topLinePunct w:val="0"/>
              <w:autoSpaceDE/>
              <w:autoSpaceDN/>
              <w:bidi w:val="0"/>
              <w:adjustRightInd/>
              <w:snapToGrid/>
              <w:spacing w:after="0" w:line="520" w:lineRule="exact"/>
              <w:ind w:firstLine="422" w:firstLineChars="200"/>
              <w:jc w:val="center"/>
              <w:textAlignment w:val="auto"/>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表8-1 环评批复要求与落实情况对照表</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95"/>
              <w:gridCol w:w="46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top w:val="single" w:color="auto" w:sz="4" w:space="0"/>
                    <w:left w:val="single" w:color="auto" w:sz="0"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eastAsia="zh-CN"/>
                    </w:rPr>
                    <w:t>环评批复</w:t>
                  </w:r>
                  <w:r>
                    <w:rPr>
                      <w:rFonts w:hint="default" w:ascii="Times New Roman" w:hAnsi="Times New Roman" w:cs="Times New Roman" w:eastAsiaTheme="minorEastAsia"/>
                      <w:sz w:val="21"/>
                      <w:szCs w:val="21"/>
                    </w:rPr>
                    <w:t>及环评报告</w:t>
                  </w:r>
                </w:p>
              </w:tc>
              <w:tc>
                <w:tcPr>
                  <w:tcW w:w="2654" w:type="pct"/>
                  <w:tcBorders>
                    <w:top w:val="single" w:color="auto" w:sz="4" w:space="0"/>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b w:val="0"/>
                      <w:bCs w:val="0"/>
                      <w:color w:val="auto"/>
                      <w:sz w:val="21"/>
                      <w:szCs w:val="21"/>
                      <w:lang w:eastAsia="zh-CN"/>
                    </w:rPr>
                    <w:t>安徽省宁国顺昌机械有限公司面向国际市场长寿命耐腐蚀回转支承产业化项目选址于宁国经济技术开发区宁阳西路。改扩建生产车间4000平方米，购置安装CNC加工中心以及滚齿机、插齿机、铣齿机等国际先进设备。项目建成后，年产长寿命耐腐蚀回转支承3000套。项目经宁国经济技术开发区管委会（宁开发项[2016]162号）同意备案，项目编码：2016-341862-34-03-022213。项目经我局研究，原则同意建设。</w:t>
                  </w:r>
                </w:p>
              </w:tc>
              <w:tc>
                <w:tcPr>
                  <w:tcW w:w="2654" w:type="pct"/>
                  <w:tcBorders>
                    <w:right w:val="single" w:color="auto" w:sz="4" w:space="0"/>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eastAsiaTheme="minorEastAsia"/>
                      <w:color w:val="000000"/>
                      <w:sz w:val="21"/>
                      <w:szCs w:val="21"/>
                      <w:lang w:val="en-US" w:eastAsia="zh-CN" w:bidi="ar-SA"/>
                    </w:rPr>
                    <w:t>建</w:t>
                  </w:r>
                  <w:r>
                    <w:rPr>
                      <w:rFonts w:hint="default" w:ascii="Times New Roman" w:hAnsi="Times New Roman" w:eastAsia="宋体" w:cs="Times New Roman"/>
                      <w:sz w:val="21"/>
                      <w:szCs w:val="21"/>
                      <w:lang w:val="en-US" w:eastAsia="zh-CN"/>
                    </w:rPr>
                    <w:t>设项目</w:t>
                  </w:r>
                  <w:r>
                    <w:rPr>
                      <w:rFonts w:hint="default" w:ascii="Times New Roman" w:hAnsi="Times New Roman" w:eastAsia="宋体" w:cs="Times New Roman"/>
                      <w:sz w:val="21"/>
                      <w:szCs w:val="21"/>
                    </w:rPr>
                    <w:t>位于</w:t>
                  </w:r>
                  <w:r>
                    <w:rPr>
                      <w:rFonts w:hint="eastAsia" w:ascii="Times New Roman" w:hAnsi="Times New Roman"/>
                      <w:color w:val="000000"/>
                      <w:sz w:val="21"/>
                      <w:szCs w:val="21"/>
                    </w:rPr>
                    <w:t>宁国经济技术开发区</w:t>
                  </w:r>
                  <w:r>
                    <w:rPr>
                      <w:rFonts w:hint="eastAsia" w:ascii="Times New Roman" w:hAnsi="Times New Roman"/>
                      <w:color w:val="000000"/>
                      <w:sz w:val="21"/>
                      <w:szCs w:val="21"/>
                      <w:lang w:eastAsia="zh-CN"/>
                    </w:rPr>
                    <w:t>宁阳西路</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建设位置未发生变化</w:t>
                  </w: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lang w:val="en-US" w:eastAsia="zh-CN" w:bidi="ar-SA"/>
                    </w:rPr>
                    <w:t>该项目废水排放执行《污水综合排放标准》（GB8978-1996）中一级标准；与南山污水处理厂签订接管协议后，废水排放执行《污水综合排放标准》（GB8978-1996）中三级标准及南山污水处理厂接管标准。</w:t>
                  </w:r>
                </w:p>
              </w:tc>
              <w:tc>
                <w:tcPr>
                  <w:tcW w:w="2654" w:type="pct"/>
                  <w:tcBorders>
                    <w:right w:val="single" w:color="auto" w:sz="4" w:space="0"/>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eastAsia"/>
                      <w:lang w:eastAsia="zh-CN"/>
                    </w:rPr>
                    <w:t>污水由</w:t>
                  </w:r>
                  <w:r>
                    <w:rPr>
                      <w:rFonts w:hint="eastAsia"/>
                      <w:bCs/>
                      <w:color w:val="auto"/>
                      <w:sz w:val="21"/>
                      <w:szCs w:val="21"/>
                      <w:lang w:eastAsia="zh-CN"/>
                    </w:rPr>
                    <w:t>化粪池</w:t>
                  </w:r>
                  <w:r>
                    <w:rPr>
                      <w:rFonts w:hint="eastAsia" w:hAnsi="宋体"/>
                      <w:bCs/>
                      <w:color w:val="auto"/>
                      <w:sz w:val="21"/>
                      <w:szCs w:val="21"/>
                    </w:rPr>
                    <w:t>处理</w:t>
                  </w:r>
                  <w:r>
                    <w:rPr>
                      <w:rFonts w:hint="eastAsia" w:hAnsi="宋体"/>
                      <w:bCs/>
                      <w:color w:val="auto"/>
                      <w:sz w:val="21"/>
                      <w:szCs w:val="21"/>
                      <w:lang w:eastAsia="zh-CN"/>
                    </w:rPr>
                    <w:t>后</w:t>
                  </w:r>
                  <w:r>
                    <w:rPr>
                      <w:rFonts w:hint="eastAsia"/>
                      <w:bCs/>
                      <w:color w:val="auto"/>
                      <w:sz w:val="21"/>
                      <w:szCs w:val="21"/>
                      <w:lang w:eastAsia="zh-CN"/>
                    </w:rPr>
                    <w:t>，经市政污水管网排入宁国市南山污水处理厂处理后，排入中津河。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9" w:hRule="atLeast"/>
                <w:jc w:val="center"/>
              </w:trPr>
              <w:tc>
                <w:tcPr>
                  <w:tcW w:w="2345" w:type="pct"/>
                  <w:tcBorders>
                    <w:left w:val="single" w:color="auto" w:sz="4" w:space="0"/>
                  </w:tcBorders>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color w:val="auto"/>
                      <w:sz w:val="21"/>
                      <w:szCs w:val="21"/>
                      <w:lang w:eastAsia="zh-CN"/>
                    </w:rPr>
                    <w:t>该项目有机废气排放参照天津市《工业企业挥发性有机物排放控制标准》（DB12/524-2014）相关限值；有机废气无组织排放需满足《挥发性有机物无组织排放控制标准》中相关要求；食堂油烟排放参照《饮食业油烟排放标准（试行）》（GB18483-2001）中小型规模相应限制。</w:t>
                  </w:r>
                </w:p>
              </w:tc>
              <w:tc>
                <w:tcPr>
                  <w:tcW w:w="2654" w:type="pct"/>
                  <w:tcBorders>
                    <w:right w:val="single" w:color="auto" w:sz="4" w:space="0"/>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spacing w:line="240" w:lineRule="auto"/>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cs="Times New Roman"/>
                      <w:color w:val="auto"/>
                      <w:kern w:val="2"/>
                      <w:sz w:val="21"/>
                      <w:szCs w:val="21"/>
                      <w:lang w:val="en-US" w:eastAsia="zh-CN" w:bidi="ar-SA"/>
                    </w:rPr>
                    <w:t>淬火有机</w:t>
                  </w:r>
                  <w:r>
                    <w:rPr>
                      <w:rFonts w:hint="default" w:ascii="Times New Roman" w:hAnsi="Times New Roman" w:cs="Times New Roman"/>
                      <w:color w:val="auto"/>
                      <w:kern w:val="2"/>
                      <w:sz w:val="21"/>
                      <w:szCs w:val="21"/>
                      <w:lang w:val="en-US" w:eastAsia="zh-CN" w:bidi="ar-SA"/>
                    </w:rPr>
                    <w:t>废气</w:t>
                  </w:r>
                  <w:r>
                    <w:rPr>
                      <w:rFonts w:hint="default" w:ascii="Times New Roman" w:hAnsi="Times New Roman" w:cs="Times New Roman"/>
                      <w:color w:val="000000" w:themeColor="text1"/>
                      <w:szCs w:val="21"/>
                      <w:lang w:eastAsia="zh-CN"/>
                      <w14:textFill>
                        <w14:solidFill>
                          <w14:schemeClr w14:val="tx1"/>
                        </w14:solidFill>
                      </w14:textFill>
                    </w:rPr>
                    <w:t>通过集气</w:t>
                  </w:r>
                  <w:r>
                    <w:rPr>
                      <w:rFonts w:hint="eastAsia" w:ascii="Times New Roman" w:hAnsi="Times New Roman" w:cs="Times New Roman"/>
                      <w:color w:val="000000" w:themeColor="text1"/>
                      <w:szCs w:val="21"/>
                      <w:lang w:eastAsia="zh-CN"/>
                      <w14:textFill>
                        <w14:solidFill>
                          <w14:schemeClr w14:val="tx1"/>
                        </w14:solidFill>
                      </w14:textFill>
                    </w:rPr>
                    <w:t>罩</w:t>
                  </w:r>
                  <w:r>
                    <w:rPr>
                      <w:rFonts w:hint="default" w:ascii="Times New Roman" w:hAnsi="Times New Roman" w:cs="Times New Roman"/>
                      <w:color w:val="000000" w:themeColor="text1"/>
                      <w:szCs w:val="21"/>
                      <w14:textFill>
                        <w14:solidFill>
                          <w14:schemeClr w14:val="tx1"/>
                        </w14:solidFill>
                      </w14:textFill>
                    </w:rPr>
                    <w:t>收集</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经</w:t>
                  </w:r>
                  <w:r>
                    <w:rPr>
                      <w:rFonts w:hint="eastAsia" w:ascii="Times New Roman" w:hAnsi="Times New Roman" w:cs="Times New Roman"/>
                      <w:color w:val="000000" w:themeColor="text1"/>
                      <w:szCs w:val="21"/>
                      <w:lang w:eastAsia="zh-CN"/>
                      <w14:textFill>
                        <w14:solidFill>
                          <w14:schemeClr w14:val="tx1"/>
                        </w14:solidFill>
                      </w14:textFill>
                    </w:rPr>
                    <w:t>两级活性炭吸附装置</w:t>
                  </w:r>
                  <w:r>
                    <w:rPr>
                      <w:rFonts w:hint="default" w:ascii="Times New Roman" w:hAnsi="Times New Roman" w:cs="Times New Roman"/>
                      <w:color w:val="000000" w:themeColor="text1"/>
                      <w:szCs w:val="21"/>
                      <w14:textFill>
                        <w14:solidFill>
                          <w14:schemeClr w14:val="tx1"/>
                        </w14:solidFill>
                      </w14:textFill>
                    </w:rPr>
                    <w:t>处理后</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通过</w:t>
                  </w:r>
                  <w:r>
                    <w:rPr>
                      <w:rFonts w:hint="default" w:ascii="Times New Roman" w:hAnsi="Times New Roman" w:cs="Times New Roman"/>
                      <w:color w:val="000000" w:themeColor="text1"/>
                      <w:szCs w:val="21"/>
                      <w:lang w:eastAsia="zh-CN"/>
                      <w14:textFill>
                        <w14:solidFill>
                          <w14:schemeClr w14:val="tx1"/>
                        </w14:solidFill>
                      </w14:textFill>
                    </w:rPr>
                    <w:t>一根</w:t>
                  </w:r>
                  <w:r>
                    <w:rPr>
                      <w:rFonts w:hint="default" w:ascii="Times New Roman" w:hAnsi="Times New Roman" w:cs="Times New Roman"/>
                      <w:color w:val="000000" w:themeColor="text1"/>
                      <w:szCs w:val="21"/>
                      <w14:textFill>
                        <w14:solidFill>
                          <w14:schemeClr w14:val="tx1"/>
                        </w14:solidFill>
                      </w14:textFill>
                    </w:rPr>
                    <w:t>15米高排气筒</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DA001</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排放</w:t>
                  </w:r>
                  <w:r>
                    <w:rPr>
                      <w:rFonts w:hint="default" w:ascii="Times New Roman" w:hAnsi="Times New Roman" w:cs="Times New Roman"/>
                      <w:color w:val="000000" w:themeColor="text1"/>
                      <w:szCs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该项目</w:t>
                  </w:r>
                  <w:r>
                    <w:rPr>
                      <w:rFonts w:hint="eastAsia" w:ascii="Times New Roman" w:hAnsi="Times New Roman" w:eastAsia="宋体" w:cs="Times New Roman"/>
                      <w:sz w:val="21"/>
                      <w:szCs w:val="21"/>
                      <w:lang w:val="en-US" w:eastAsia="zh-CN" w:bidi="ar-SA"/>
                    </w:rPr>
                    <w:t>运营期厂界</w:t>
                  </w:r>
                  <w:r>
                    <w:rPr>
                      <w:rFonts w:hint="default" w:ascii="Times New Roman" w:hAnsi="Times New Roman" w:eastAsia="宋体" w:cs="Times New Roman"/>
                      <w:sz w:val="21"/>
                      <w:szCs w:val="21"/>
                      <w:lang w:val="en-US" w:eastAsia="zh-CN" w:bidi="ar-SA"/>
                    </w:rPr>
                    <w:t>噪声执行《工业企业厂界环境噪声排放标准》（GB12348-2008)中的3类标准。</w:t>
                  </w:r>
                </w:p>
              </w:tc>
              <w:tc>
                <w:tcPr>
                  <w:tcW w:w="2654" w:type="pct"/>
                  <w:tcBorders>
                    <w:right w:val="single" w:color="auto" w:sz="4" w:space="0"/>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项目采</w:t>
                  </w:r>
                  <w:r>
                    <w:rPr>
                      <w:rFonts w:hint="eastAsia" w:ascii="Times New Roman" w:hAnsi="Times New Roman" w:cs="Times New Roman"/>
                      <w:color w:val="000000"/>
                      <w:sz w:val="21"/>
                      <w:szCs w:val="21"/>
                      <w:lang w:val="en-US" w:eastAsia="zh-CN" w:bidi="ar-SA"/>
                    </w:rPr>
                    <w:t>用低噪声设备，并通过优化车间内设备布局，采取隔声减振等降噪措施</w:t>
                  </w:r>
                  <w:r>
                    <w:rPr>
                      <w:rFonts w:hint="default" w:ascii="Times New Roman" w:hAnsi="Times New Roman" w:cs="Times New Roman" w:eastAsiaTheme="minorEastAsia"/>
                      <w:color w:val="000000"/>
                      <w:sz w:val="21"/>
                      <w:szCs w:val="21"/>
                      <w:lang w:val="en-US" w:eastAsia="zh-CN" w:bidi="ar-SA"/>
                    </w:rPr>
                    <w:t>降低噪声对环境的影响。厂界噪声满足《工业企业厂界环境噪声排放标准》（GB 12348-2008）</w:t>
                  </w:r>
                  <w:r>
                    <w:rPr>
                      <w:rFonts w:hint="eastAsia" w:ascii="Times New Roman" w:hAnsi="Times New Roman" w:cs="Times New Roman"/>
                      <w:color w:val="000000"/>
                      <w:sz w:val="21"/>
                      <w:szCs w:val="21"/>
                      <w:lang w:val="en-US" w:eastAsia="zh-CN" w:bidi="ar-SA"/>
                    </w:rPr>
                    <w:t>3</w:t>
                  </w:r>
                  <w:r>
                    <w:rPr>
                      <w:rFonts w:hint="default" w:ascii="Times New Roman" w:hAnsi="Times New Roman" w:cs="Times New Roman" w:eastAsiaTheme="minorEastAsia"/>
                      <w:color w:val="000000"/>
                      <w:sz w:val="21"/>
                      <w:szCs w:val="21"/>
                      <w:lang w:val="en-US" w:eastAsia="zh-CN" w:bidi="ar-SA"/>
                    </w:rPr>
                    <w:t>类标准</w:t>
                  </w:r>
                  <w:r>
                    <w:rPr>
                      <w:rFonts w:hint="eastAsia" w:ascii="Times New Roman" w:hAnsi="Times New Roman" w:cs="Times New Roman"/>
                      <w:color w:val="000000"/>
                      <w:sz w:val="21"/>
                      <w:szCs w:val="21"/>
                      <w:lang w:val="en-US" w:eastAsia="zh-CN" w:bidi="ar-SA"/>
                    </w:rPr>
                    <w:t>的</w:t>
                  </w:r>
                  <w:r>
                    <w:rPr>
                      <w:rFonts w:hint="default" w:ascii="Times New Roman" w:hAnsi="Times New Roman" w:cs="Times New Roman" w:eastAsiaTheme="minorEastAsia"/>
                      <w:color w:val="000000"/>
                      <w:sz w:val="21"/>
                      <w:szCs w:val="21"/>
                      <w:lang w:val="en-US" w:eastAsia="zh-CN" w:bidi="ar-SA"/>
                    </w:rPr>
                    <w:t>要求</w:t>
                  </w:r>
                  <w:r>
                    <w:rPr>
                      <w:rFonts w:hint="eastAsia" w:ascii="Times New Roman" w:hAnsi="Times New Roman" w:cs="Times New Roman"/>
                      <w:color w:val="000000"/>
                      <w:sz w:val="21"/>
                      <w:szCs w:val="21"/>
                      <w:lang w:val="en-US" w:eastAsia="zh-CN" w:bidi="ar-SA"/>
                    </w:rPr>
                    <w:t>。</w:t>
                  </w:r>
                  <w:r>
                    <w:rPr>
                      <w:rFonts w:hint="default" w:ascii="Times New Roman" w:hAnsi="Times New Roman" w:cs="Times New Roman" w:eastAsiaTheme="minorEastAsia"/>
                      <w:color w:val="000000"/>
                      <w:sz w:val="21"/>
                      <w:szCs w:val="21"/>
                      <w:lang w:val="en-US" w:eastAsia="zh-CN" w:bidi="ar-SA"/>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eastAsia="宋体" w:cs="Times New Roman"/>
                      <w:color w:val="auto"/>
                      <w:sz w:val="21"/>
                      <w:szCs w:val="21"/>
                      <w:lang w:eastAsia="zh-CN"/>
                    </w:rPr>
                    <w:t>该项目固体废弃物执行《一般工业固体废弃物贮存、处置场污染控制标准》（GB18599-2001）及其修改单；危险废物执行《危险废物贮存污染控制标准》（GB 18597-2001）及其修改单</w:t>
                  </w:r>
                </w:p>
              </w:tc>
              <w:tc>
                <w:tcPr>
                  <w:tcW w:w="2654" w:type="pct"/>
                  <w:tcBorders>
                    <w:right w:val="single" w:color="auto" w:sz="4" w:space="0"/>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sz w:val="21"/>
                      <w:szCs w:val="21"/>
                      <w:lang w:eastAsia="zh-CN"/>
                    </w:rPr>
                    <w:t>项目产生的固废主要包括一般固废、危险废物及生活垃圾</w:t>
                  </w:r>
                  <w:r>
                    <w:rPr>
                      <w:rFonts w:hint="eastAsia"/>
                      <w:sz w:val="21"/>
                      <w:szCs w:val="21"/>
                      <w:lang w:eastAsia="zh-CN"/>
                    </w:rPr>
                    <w:t>。</w:t>
                  </w:r>
                  <w:r>
                    <w:rPr>
                      <w:rFonts w:hint="default" w:ascii="Times New Roman" w:hAnsi="Times New Roman" w:cs="Times New Roman"/>
                      <w:sz w:val="21"/>
                      <w:szCs w:val="21"/>
                      <w:lang w:eastAsia="zh-CN"/>
                    </w:rPr>
                    <w:t>一般固废有</w:t>
                  </w:r>
                  <w:r>
                    <w:rPr>
                      <w:rFonts w:hint="eastAsia" w:ascii="Times New Roman" w:hAnsi="Times New Roman" w:cs="Times New Roman"/>
                      <w:sz w:val="21"/>
                      <w:szCs w:val="21"/>
                      <w:lang w:val="en-US" w:eastAsia="zh-CN"/>
                    </w:rPr>
                    <w:t>金属</w:t>
                  </w:r>
                  <w:r>
                    <w:rPr>
                      <w:rFonts w:hint="default" w:ascii="Times New Roman" w:hAnsi="Times New Roman" w:cs="Times New Roman"/>
                      <w:sz w:val="21"/>
                      <w:szCs w:val="21"/>
                      <w:lang w:val="en-US" w:eastAsia="zh-CN"/>
                    </w:rPr>
                    <w:t>边角料</w:t>
                  </w:r>
                  <w:r>
                    <w:rPr>
                      <w:rFonts w:hint="default" w:ascii="Times New Roman" w:hAnsi="Times New Roman" w:cs="Times New Roman"/>
                      <w:sz w:val="21"/>
                      <w:szCs w:val="21"/>
                      <w:lang w:eastAsia="zh-CN"/>
                    </w:rPr>
                    <w:t>，</w:t>
                  </w:r>
                  <w:r>
                    <w:rPr>
                      <w:rFonts w:hint="eastAsia" w:ascii="Times New Roman" w:hAnsi="Times New Roman" w:cs="Times New Roman"/>
                      <w:sz w:val="21"/>
                      <w:szCs w:val="21"/>
                      <w:lang w:eastAsia="zh-CN"/>
                    </w:rPr>
                    <w:t>集中</w:t>
                  </w:r>
                  <w:r>
                    <w:rPr>
                      <w:rFonts w:hint="default" w:ascii="Times New Roman" w:hAnsi="Times New Roman" w:cs="Times New Roman"/>
                      <w:sz w:val="21"/>
                      <w:szCs w:val="21"/>
                      <w:lang w:eastAsia="zh-CN"/>
                    </w:rPr>
                    <w:t>收集后</w:t>
                  </w:r>
                  <w:r>
                    <w:rPr>
                      <w:rFonts w:hint="eastAsia" w:ascii="Times New Roman" w:hAnsi="Times New Roman" w:cs="Times New Roman"/>
                      <w:sz w:val="21"/>
                      <w:szCs w:val="21"/>
                      <w:lang w:eastAsia="zh-CN"/>
                    </w:rPr>
                    <w:t>外售给其他公司利用</w:t>
                  </w:r>
                  <w:r>
                    <w:rPr>
                      <w:rFonts w:hint="default" w:ascii="Times New Roman" w:hAnsi="Times New Roman" w:cs="Times New Roman"/>
                      <w:sz w:val="21"/>
                      <w:szCs w:val="21"/>
                      <w:lang w:eastAsia="zh-CN"/>
                    </w:rPr>
                    <w:t>。危险废物有</w:t>
                  </w:r>
                  <w:bookmarkStart w:id="5" w:name="_GoBack"/>
                  <w:bookmarkEnd w:id="5"/>
                  <w:r>
                    <w:rPr>
                      <w:rFonts w:hint="eastAsia" w:ascii="Times New Roman" w:hAnsi="Times New Roman" w:cs="Times New Roman"/>
                      <w:sz w:val="21"/>
                      <w:szCs w:val="21"/>
                      <w:lang w:eastAsia="zh-CN"/>
                    </w:rPr>
                    <w:t>废活性炭、废切削液</w:t>
                  </w:r>
                  <w:r>
                    <w:rPr>
                      <w:rFonts w:hint="default" w:ascii="Times New Roman" w:hAnsi="Times New Roman" w:cs="Times New Roman"/>
                      <w:sz w:val="21"/>
                      <w:szCs w:val="21"/>
                      <w:lang w:eastAsia="zh-CN"/>
                    </w:rPr>
                    <w:t>，收集后暂存于危废库中，委托有资质单位处置。</w:t>
                  </w:r>
                  <w:r>
                    <w:rPr>
                      <w:rFonts w:hint="default" w:ascii="Times New Roman" w:hAnsi="Times New Roman" w:cs="Times New Roman"/>
                      <w:sz w:val="21"/>
                      <w:szCs w:val="21"/>
                    </w:rPr>
                    <w:t>生活垃圾收集后由环卫部</w:t>
                  </w:r>
                  <w:r>
                    <w:rPr>
                      <w:sz w:val="21"/>
                      <w:szCs w:val="21"/>
                    </w:rPr>
                    <w:t>门</w:t>
                  </w:r>
                  <w:r>
                    <w:rPr>
                      <w:rFonts w:hint="eastAsia"/>
                      <w:sz w:val="21"/>
                      <w:szCs w:val="21"/>
                      <w:lang w:eastAsia="zh-CN"/>
                    </w:rPr>
                    <w:t>统一</w:t>
                  </w:r>
                  <w:r>
                    <w:rPr>
                      <w:sz w:val="21"/>
                      <w:szCs w:val="21"/>
                    </w:rPr>
                    <w:t>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2345" w:type="pct"/>
                  <w:tcBorders>
                    <w:left w:val="single" w:color="auto" w:sz="4" w:space="0"/>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rPr>
                    <w:t>项目总量控制指标VOCs为0.104t/a</w:t>
                  </w:r>
                  <w:r>
                    <w:rPr>
                      <w:rFonts w:hint="eastAsia" w:ascii="Times New Roman" w:hAnsi="Times New Roman" w:eastAsia="宋体" w:cs="Times New Roman"/>
                      <w:color w:val="auto"/>
                      <w:sz w:val="21"/>
                      <w:szCs w:val="21"/>
                      <w:lang w:val="en-US" w:eastAsia="zh-CN"/>
                    </w:rPr>
                    <w:t>。</w:t>
                  </w:r>
                </w:p>
              </w:tc>
              <w:tc>
                <w:tcPr>
                  <w:tcW w:w="2654" w:type="pct"/>
                  <w:tcBorders>
                    <w:right w:val="single" w:color="auto" w:sz="4" w:space="0"/>
                  </w:tcBorders>
                  <w:noWrap w:val="0"/>
                  <w:vAlign w:val="center"/>
                </w:tcPr>
                <w:p>
                  <w:pPr>
                    <w:pStyle w:val="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根据此次验收检测，</w:t>
                  </w:r>
                  <w:r>
                    <w:rPr>
                      <w:rFonts w:hint="eastAsia" w:ascii="Times New Roman" w:hAnsi="Times New Roman" w:eastAsia="宋体" w:cs="Times New Roman"/>
                      <w:sz w:val="21"/>
                      <w:szCs w:val="21"/>
                      <w:lang w:val="en-US" w:eastAsia="zh-CN" w:bidi="ar-SA"/>
                    </w:rPr>
                    <w:t>项目排放废气VOC</w:t>
                  </w:r>
                  <w:r>
                    <w:rPr>
                      <w:rFonts w:hint="eastAsia" w:ascii="Times New Roman" w:hAnsi="Times New Roman" w:eastAsia="宋体" w:cs="Times New Roman"/>
                      <w:sz w:val="21"/>
                      <w:szCs w:val="21"/>
                      <w:vertAlign w:val="subscript"/>
                      <w:lang w:val="en-US" w:eastAsia="zh-CN" w:bidi="ar-SA"/>
                    </w:rPr>
                    <w:t>s</w:t>
                  </w:r>
                  <w:r>
                    <w:rPr>
                      <w:rFonts w:hint="eastAsia" w:ascii="Times New Roman" w:hAnsi="Times New Roman" w:eastAsia="宋体" w:cs="Times New Roman"/>
                      <w:color w:val="auto"/>
                      <w:sz w:val="21"/>
                      <w:szCs w:val="21"/>
                      <w:lang w:val="en-US" w:eastAsia="zh-CN"/>
                    </w:rPr>
                    <w:t>为0.0003t/a，</w:t>
                  </w:r>
                  <w:r>
                    <w:rPr>
                      <w:rFonts w:hint="default" w:ascii="Times New Roman" w:hAnsi="Times New Roman" w:eastAsia="宋体" w:cs="Times New Roman"/>
                      <w:sz w:val="21"/>
                      <w:szCs w:val="21"/>
                      <w:lang w:val="en-US" w:eastAsia="zh-CN" w:bidi="ar-SA"/>
                    </w:rPr>
                    <w:t>满足总量控制指标</w:t>
                  </w:r>
                  <w:r>
                    <w:rPr>
                      <w:rFonts w:hint="eastAsia" w:ascii="Times New Roman" w:hAnsi="Times New Roman" w:eastAsia="宋体" w:cs="Times New Roman"/>
                      <w:sz w:val="21"/>
                      <w:szCs w:val="21"/>
                      <w:lang w:val="en-US" w:eastAsia="zh-CN" w:bidi="ar-SA"/>
                    </w:rPr>
                    <w:t>。</w:t>
                  </w:r>
                </w:p>
              </w:tc>
            </w:tr>
          </w:tbl>
          <w:p>
            <w:pPr>
              <w:keepNext w:val="0"/>
              <w:keepLines w:val="0"/>
              <w:pageBreakBefore w:val="0"/>
              <w:widowControl w:val="0"/>
              <w:kinsoku/>
              <w:wordWrap/>
              <w:overflowPunct/>
              <w:topLinePunct w:val="0"/>
              <w:autoSpaceDE/>
              <w:autoSpaceDN/>
              <w:bidi w:val="0"/>
              <w:adjustRightInd/>
              <w:snapToGrid/>
              <w:spacing w:before="0" w:after="0" w:line="400" w:lineRule="exact"/>
              <w:jc w:val="both"/>
              <w:textAlignment w:val="auto"/>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九、</w:t>
            </w:r>
            <w:r>
              <w:rPr>
                <w:rFonts w:hint="default" w:ascii="Times New Roman" w:hAnsi="Times New Roman" w:eastAsia="宋体" w:cs="Times New Roman"/>
                <w:b/>
                <w:bCs/>
                <w:color w:val="000000"/>
                <w:sz w:val="24"/>
                <w:szCs w:val="24"/>
                <w:lang w:val="en-US" w:eastAsia="zh-CN"/>
              </w:rPr>
              <w:t>验收监测质量保证及质量控制：</w:t>
            </w:r>
          </w:p>
          <w:p>
            <w:pPr>
              <w:pStyle w:val="4"/>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本次验收检测采样及样品分析均严格按照《环境水质监测质量保证手册》、《环境空气监测质量保证手册》、《固定污染源质量保证和质量控制技术规范（试行）》及相关环境监测技术规范的要求进行，实施全程序质量控制。项目检测前，相关部门根据检测方案制定了详细的质量控制计划，并按照计划实施。具体质控要求如下： </w:t>
            </w:r>
          </w:p>
          <w:p>
            <w:pPr>
              <w:pStyle w:val="4"/>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（1）生产处于正常。检测期间生产在大于75％额定生产负荷的工况下稳定运行，各污染治理设施运行基本正常。 </w:t>
            </w:r>
          </w:p>
          <w:p>
            <w:pPr>
              <w:pStyle w:val="4"/>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（2）检测分析方法采用国家有关部门颁布的标准（或推荐）方法。 </w:t>
            </w:r>
          </w:p>
          <w:p>
            <w:pPr>
              <w:pStyle w:val="4"/>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（3）合理布设检测点位</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 xml:space="preserve">保证各检测点位布设的科学性和可比性。 </w:t>
            </w:r>
          </w:p>
          <w:p>
            <w:pPr>
              <w:pStyle w:val="4"/>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（4）检测人员经考核并有合格证书，所有检测仪器经过计量部门检定并在有效期内。 </w:t>
            </w:r>
          </w:p>
          <w:p>
            <w:pPr>
              <w:pStyle w:val="4"/>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（5）现场采样、保存及实验分析阶段均采取相关质控措施</w:t>
            </w:r>
            <w:r>
              <w:rPr>
                <w:rFonts w:hint="eastAsia" w:ascii="Times New Roman" w:hAnsi="Times New Roman" w:eastAsia="宋体" w:cs="Times New Roman"/>
                <w:color w:val="000000"/>
                <w:sz w:val="24"/>
                <w:szCs w:val="24"/>
                <w:lang w:val="en-US" w:eastAsia="zh-CN"/>
              </w:rPr>
              <w:t>。</w:t>
            </w:r>
          </w:p>
          <w:p>
            <w:pPr>
              <w:pStyle w:val="4"/>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①废水检测仪器符合国家有关标准或技术要求。采样、运输、保存、分析全过程严格按照《环境监测技术规范（水和废水部分）》和《环境水质监测质量保证手册》规定执行。按照质量控制计划的要求通过空白、平行样、质控标样等质控措施做好准确度和精密度控制。</w:t>
            </w:r>
          </w:p>
          <w:p>
            <w:pPr>
              <w:pStyle w:val="4"/>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②废气检测仪器均符合国家有关标准或技术要求，检测前按检测因子分别用标准气体和流量计对其进行校核（标定），在测试时保证其采样流量的准确。采样和分析过程严格按照《固定源废气监测技术规范》（HJ/T 397-2007）、《固定污染源质量保证和质量控制技术规范（试行）》（HJ/T373-2007）和《空气和废气监测分析方法》（ 第四版 ）进行。采样时企业正常生产且工况达满负荷75%以上，各生产工段和各项环保设施均处于正常运行状态。检测断面处于平直或竖直管段，工艺尾气的采集、保存、运输均严格按照检测技术规范进行，采样仪器及实验室仪器均经计量部门检定合格且在有效期内使用。按照质量控制计划的要求的质控措施做好准确度和精密度控制。 </w:t>
            </w:r>
          </w:p>
          <w:p>
            <w:pPr>
              <w:pStyle w:val="4"/>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③ 无组织排放检测部分严格按照《大气污染物无组织排放监测技术导则》（HJ/T 55-2000）进行样品采集、运输、分析，采样仪器及实验室仪器均经计量部门检定合格且在有效期内使用。采样人员采样时同时记录气象参数和周围的环境情况；采样结束后及时送交实验室，检查样品并做好交接记录。按照质量控制计划的要求的质控措施做好准确度和精密度控制。</w:t>
            </w:r>
          </w:p>
          <w:p>
            <w:pPr>
              <w:pStyle w:val="4"/>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color w:val="000000"/>
                <w:sz w:val="24"/>
                <w:szCs w:val="24"/>
                <w:lang w:val="en-US" w:eastAsia="zh-CN"/>
              </w:rPr>
              <w:t>④噪声检测方法按《环境监测技术规范（噪声部分）》（国家环保局，1986）和《工业企业厂界 环境 噪声排放标准》（GB12348-2008）要求进行，采用等效声级Leq（A）值为进行了评价，各项质控措施和结果满足相关规范的要求。评价量，统计声级 L10 、L50 、L90 作为依据，测量仪器为 HS6288E型精密噪声频谱分析仪，校准仪器为HS6020校准仪，测量仪器使用前后均进行校准，前、后校准示值偏差不大于0.5dB（A）检测时气象条件满足检测技术要求，从而确保了检测数据的代表性、可靠性。</w:t>
            </w:r>
          </w:p>
        </w:tc>
      </w:tr>
    </w:tbl>
    <w:p>
      <w:pPr>
        <w:spacing w:after="0" w:afterLines="0" w:line="360" w:lineRule="auto"/>
        <w:rPr>
          <w:rFonts w:hint="default" w:ascii="Times New Roman" w:hAnsi="Times New Roman" w:eastAsia="仿宋_GB2312" w:cs="Times New Roman"/>
          <w:b/>
          <w:color w:val="000000"/>
          <w:sz w:val="21"/>
          <w:szCs w:val="21"/>
          <w:lang w:val="en-US" w:eastAsia="zh-CN"/>
        </w:rPr>
      </w:pPr>
    </w:p>
    <w:p>
      <w:pPr>
        <w:pStyle w:val="4"/>
        <w:rPr>
          <w:rFonts w:hint="default" w:ascii="Times New Roman" w:hAnsi="Times New Roman" w:eastAsia="仿宋_GB2312" w:cs="Times New Roman"/>
          <w:b/>
          <w:color w:val="000000"/>
          <w:sz w:val="21"/>
          <w:szCs w:val="21"/>
          <w:lang w:val="en-US" w:eastAsia="zh-CN"/>
        </w:rPr>
      </w:pPr>
    </w:p>
    <w:p>
      <w:pPr>
        <w:pStyle w:val="5"/>
        <w:rPr>
          <w:rFonts w:hint="default" w:ascii="Times New Roman" w:hAnsi="Times New Roman" w:eastAsia="仿宋_GB2312" w:cs="Times New Roman"/>
          <w:b/>
          <w:color w:val="000000"/>
          <w:sz w:val="21"/>
          <w:szCs w:val="21"/>
          <w:lang w:val="en-US" w:eastAsia="zh-CN"/>
        </w:rPr>
      </w:pPr>
    </w:p>
    <w:p>
      <w:pPr>
        <w:pStyle w:val="5"/>
        <w:rPr>
          <w:rFonts w:hint="default" w:ascii="Times New Roman" w:hAnsi="Times New Roman" w:eastAsia="仿宋_GB2312" w:cs="Times New Roman"/>
          <w:b/>
          <w:color w:val="000000"/>
          <w:sz w:val="21"/>
          <w:szCs w:val="21"/>
          <w:lang w:val="en-US" w:eastAsia="zh-CN"/>
        </w:rPr>
      </w:pPr>
    </w:p>
    <w:p>
      <w:pPr>
        <w:pStyle w:val="5"/>
        <w:rPr>
          <w:rFonts w:hint="default" w:ascii="Times New Roman" w:hAnsi="Times New Roman" w:eastAsia="仿宋_GB2312" w:cs="Times New Roman"/>
          <w:b/>
          <w:color w:val="000000"/>
          <w:sz w:val="21"/>
          <w:szCs w:val="21"/>
          <w:lang w:val="en-US" w:eastAsia="zh-CN"/>
        </w:rPr>
      </w:pPr>
    </w:p>
    <w:p>
      <w:pPr>
        <w:pStyle w:val="5"/>
        <w:rPr>
          <w:rFonts w:hint="default" w:ascii="Times New Roman" w:hAnsi="Times New Roman" w:eastAsia="仿宋_GB2312" w:cs="Times New Roman"/>
          <w:b/>
          <w:color w:val="000000"/>
          <w:sz w:val="21"/>
          <w:szCs w:val="21"/>
          <w:lang w:val="en-US" w:eastAsia="zh-CN"/>
        </w:rPr>
      </w:pPr>
    </w:p>
    <w:p>
      <w:pPr>
        <w:pStyle w:val="5"/>
        <w:rPr>
          <w:rFonts w:hint="default" w:ascii="Times New Roman" w:hAnsi="Times New Roman" w:eastAsia="仿宋_GB2312" w:cs="Times New Roman"/>
          <w:b/>
          <w:color w:val="000000"/>
          <w:sz w:val="21"/>
          <w:szCs w:val="21"/>
          <w:lang w:val="en-US" w:eastAsia="zh-CN"/>
        </w:rPr>
      </w:pPr>
    </w:p>
    <w:p>
      <w:pPr>
        <w:pStyle w:val="5"/>
        <w:rPr>
          <w:rFonts w:hint="default" w:ascii="Times New Roman" w:hAnsi="Times New Roman" w:eastAsia="仿宋_GB2312" w:cs="Times New Roman"/>
          <w:b/>
          <w:color w:val="000000"/>
          <w:sz w:val="21"/>
          <w:szCs w:val="21"/>
          <w:lang w:val="en-US" w:eastAsia="zh-CN"/>
        </w:rPr>
      </w:pPr>
    </w:p>
    <w:p>
      <w:pPr>
        <w:pStyle w:val="5"/>
        <w:rPr>
          <w:rFonts w:hint="default" w:ascii="Times New Roman" w:hAnsi="Times New Roman" w:eastAsia="仿宋_GB2312" w:cs="Times New Roman"/>
          <w:b/>
          <w:color w:val="000000"/>
          <w:sz w:val="21"/>
          <w:szCs w:val="21"/>
          <w:lang w:val="en-US" w:eastAsia="zh-CN"/>
        </w:rPr>
      </w:pPr>
    </w:p>
    <w:p>
      <w:pPr>
        <w:pStyle w:val="5"/>
        <w:rPr>
          <w:rFonts w:hint="default" w:ascii="Times New Roman" w:hAnsi="Times New Roman" w:eastAsia="仿宋_GB2312" w:cs="Times New Roman"/>
          <w:b/>
          <w:color w:val="000000"/>
          <w:sz w:val="21"/>
          <w:szCs w:val="21"/>
          <w:lang w:val="en-US" w:eastAsia="zh-CN"/>
        </w:rPr>
      </w:pPr>
    </w:p>
    <w:p>
      <w:pPr>
        <w:pStyle w:val="5"/>
        <w:rPr>
          <w:rFonts w:hint="default" w:ascii="Times New Roman" w:hAnsi="Times New Roman" w:eastAsia="仿宋_GB2312" w:cs="Times New Roman"/>
          <w:b/>
          <w:color w:val="000000"/>
          <w:sz w:val="21"/>
          <w:szCs w:val="21"/>
          <w:lang w:val="en-US" w:eastAsia="zh-CN"/>
        </w:rPr>
      </w:pPr>
    </w:p>
    <w:p>
      <w:pPr>
        <w:pStyle w:val="5"/>
        <w:rPr>
          <w:rFonts w:hint="default" w:ascii="Times New Roman" w:hAnsi="Times New Roman" w:eastAsia="仿宋_GB2312" w:cs="Times New Roman"/>
          <w:b/>
          <w:color w:val="000000"/>
          <w:sz w:val="21"/>
          <w:szCs w:val="21"/>
          <w:lang w:val="en-US" w:eastAsia="zh-CN"/>
        </w:rPr>
      </w:pPr>
    </w:p>
    <w:p>
      <w:pPr>
        <w:pStyle w:val="5"/>
        <w:rPr>
          <w:rFonts w:hint="default" w:ascii="Times New Roman" w:hAnsi="Times New Roman" w:eastAsia="仿宋_GB2312" w:cs="Times New Roman"/>
          <w:b/>
          <w:color w:val="000000"/>
          <w:sz w:val="21"/>
          <w:szCs w:val="21"/>
          <w:lang w:val="en-US" w:eastAsia="zh-CN"/>
        </w:rPr>
      </w:pPr>
    </w:p>
    <w:p>
      <w:pPr>
        <w:pStyle w:val="5"/>
        <w:rPr>
          <w:rFonts w:hint="default" w:ascii="Times New Roman" w:hAnsi="Times New Roman" w:eastAsia="仿宋_GB2312" w:cs="Times New Roman"/>
          <w:b/>
          <w:color w:val="000000"/>
          <w:sz w:val="21"/>
          <w:szCs w:val="21"/>
          <w:lang w:val="en-US" w:eastAsia="zh-CN"/>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十、验收监测内容：</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bookmarkStart w:id="3" w:name="_Toc5005"/>
            <w:r>
              <w:rPr>
                <w:rFonts w:hint="default" w:ascii="Times New Roman" w:hAnsi="Times New Roman" w:eastAsia="宋体" w:cs="Times New Roman"/>
                <w:sz w:val="24"/>
                <w:szCs w:val="24"/>
                <w:lang w:val="en-US" w:eastAsia="zh-CN"/>
              </w:rPr>
              <w:t>1、废气</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废气监测点位、项目、频次见下表。</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表10-1 废气监测内容一览表</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3192"/>
              <w:gridCol w:w="2906"/>
              <w:gridCol w:w="16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类别</w:t>
                  </w:r>
                </w:p>
              </w:tc>
              <w:tc>
                <w:tcPr>
                  <w:tcW w:w="1828"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监测点位</w:t>
                  </w:r>
                </w:p>
              </w:tc>
              <w:tc>
                <w:tcPr>
                  <w:tcW w:w="1664"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监测项目</w:t>
                  </w:r>
                </w:p>
              </w:tc>
              <w:tc>
                <w:tcPr>
                  <w:tcW w:w="917"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有组织废气</w:t>
                  </w:r>
                </w:p>
              </w:tc>
              <w:tc>
                <w:tcPr>
                  <w:tcW w:w="1828"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cs="Times New Roman"/>
                      <w:bCs/>
                      <w:color w:val="auto"/>
                      <w:sz w:val="21"/>
                      <w:szCs w:val="21"/>
                      <w:lang w:val="en-US" w:eastAsia="zh-CN"/>
                    </w:rPr>
                    <w:t>淬火</w:t>
                  </w:r>
                  <w:r>
                    <w:rPr>
                      <w:rFonts w:hint="default" w:ascii="Times New Roman" w:hAnsi="Times New Roman" w:eastAsia="宋体" w:cs="Times New Roman"/>
                      <w:bCs/>
                      <w:color w:val="auto"/>
                      <w:sz w:val="21"/>
                      <w:szCs w:val="21"/>
                      <w:lang w:val="en-US" w:eastAsia="zh-CN"/>
                    </w:rPr>
                    <w:t>废气</w:t>
                  </w:r>
                  <w:r>
                    <w:rPr>
                      <w:rFonts w:hint="default" w:ascii="Times New Roman" w:hAnsi="Times New Roman" w:eastAsia="宋体" w:cs="Times New Roman"/>
                      <w:sz w:val="21"/>
                      <w:szCs w:val="21"/>
                      <w:lang w:val="en-US" w:eastAsia="zh-CN"/>
                    </w:rPr>
                    <w:t>排气筒进</w:t>
                  </w:r>
                  <w:r>
                    <w:rPr>
                      <w:rFonts w:hint="default" w:ascii="Times New Roman" w:hAnsi="Times New Roman" w:cs="Times New Roman"/>
                      <w:sz w:val="21"/>
                      <w:szCs w:val="21"/>
                      <w:lang w:val="en-US" w:eastAsia="zh-CN"/>
                    </w:rPr>
                    <w:t>、出</w:t>
                  </w:r>
                  <w:r>
                    <w:rPr>
                      <w:rFonts w:hint="default" w:ascii="Times New Roman" w:hAnsi="Times New Roman" w:eastAsia="宋体" w:cs="Times New Roman"/>
                      <w:sz w:val="21"/>
                      <w:szCs w:val="21"/>
                      <w:lang w:val="en-US" w:eastAsia="zh-CN"/>
                    </w:rPr>
                    <w:t>口</w:t>
                  </w:r>
                </w:p>
              </w:tc>
              <w:tc>
                <w:tcPr>
                  <w:tcW w:w="1664"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VOCs</w:t>
                  </w:r>
                </w:p>
              </w:tc>
              <w:tc>
                <w:tcPr>
                  <w:tcW w:w="917"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3批次/</w:t>
                  </w: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无组织废气</w:t>
                  </w:r>
                </w:p>
              </w:tc>
              <w:tc>
                <w:tcPr>
                  <w:tcW w:w="1828"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厂界四周三点</w:t>
                  </w:r>
                </w:p>
              </w:tc>
              <w:tc>
                <w:tcPr>
                  <w:tcW w:w="16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VOCs</w:t>
                  </w:r>
                </w:p>
              </w:tc>
              <w:tc>
                <w:tcPr>
                  <w:tcW w:w="917"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3批次/</w:t>
                  </w:r>
                  <w:r>
                    <w:rPr>
                      <w:rFonts w:hint="default" w:ascii="Times New Roman" w:hAnsi="Times New Roman" w:cs="Times New Roman"/>
                      <w:sz w:val="21"/>
                      <w:szCs w:val="21"/>
                      <w:lang w:val="en-US" w:eastAsia="zh-CN"/>
                    </w:rPr>
                    <w:t>3</w:t>
                  </w:r>
                  <w:r>
                    <w:rPr>
                      <w:rFonts w:hint="default" w:ascii="Times New Roman" w:hAnsi="Times New Roman" w:eastAsia="宋体" w:cs="Times New Roman"/>
                      <w:sz w:val="21"/>
                      <w:szCs w:val="21"/>
                      <w:lang w:val="en-US" w:eastAsia="zh-CN"/>
                    </w:rPr>
                    <w:t>点/2天</w:t>
                  </w:r>
                </w:p>
              </w:tc>
            </w:tr>
          </w:tbl>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bookmarkStart w:id="4" w:name="_Toc6477"/>
            <w:r>
              <w:rPr>
                <w:rFonts w:hint="default" w:ascii="Times New Roman" w:hAnsi="Times New Roman" w:eastAsia="宋体" w:cs="Times New Roman"/>
                <w:sz w:val="24"/>
                <w:szCs w:val="24"/>
                <w:lang w:val="en-US" w:eastAsia="zh-CN"/>
              </w:rPr>
              <w:t>2、废水</w:t>
            </w:r>
            <w:bookmarkEnd w:id="4"/>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废水监测点位、项目、频次见下表。</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表10-2 废水监测内容一览表</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1"/>
              <w:gridCol w:w="4225"/>
              <w:gridCol w:w="23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1" w:type="dxa"/>
                  <w:noWrap w:val="0"/>
                  <w:vAlign w:val="center"/>
                </w:tcPr>
                <w:p>
                  <w:pPr>
                    <w:pStyle w:val="18"/>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监测点位</w:t>
                  </w:r>
                </w:p>
              </w:tc>
              <w:tc>
                <w:tcPr>
                  <w:tcW w:w="4225" w:type="dxa"/>
                  <w:noWrap w:val="0"/>
                  <w:vAlign w:val="center"/>
                </w:tcPr>
                <w:p>
                  <w:pPr>
                    <w:pStyle w:val="18"/>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监测项目</w:t>
                  </w:r>
                </w:p>
              </w:tc>
              <w:tc>
                <w:tcPr>
                  <w:tcW w:w="2346" w:type="dxa"/>
                  <w:noWrap w:val="0"/>
                  <w:vAlign w:val="center"/>
                </w:tcPr>
                <w:p>
                  <w:pPr>
                    <w:pStyle w:val="18"/>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1" w:type="dxa"/>
                  <w:noWrap w:val="0"/>
                  <w:vAlign w:val="center"/>
                </w:tcPr>
                <w:p>
                  <w:pPr>
                    <w:pStyle w:val="18"/>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污水</w:t>
                  </w:r>
                  <w:r>
                    <w:rPr>
                      <w:rFonts w:hint="default" w:ascii="Times New Roman" w:hAnsi="Times New Roman" w:cs="Times New Roman"/>
                      <w:sz w:val="21"/>
                      <w:szCs w:val="21"/>
                      <w:lang w:val="en-US" w:eastAsia="zh-CN"/>
                    </w:rPr>
                    <w:t>总排</w:t>
                  </w:r>
                  <w:r>
                    <w:rPr>
                      <w:rFonts w:hint="default" w:ascii="Times New Roman" w:hAnsi="Times New Roman" w:eastAsia="宋体" w:cs="Times New Roman"/>
                      <w:sz w:val="21"/>
                      <w:szCs w:val="21"/>
                    </w:rPr>
                    <w:t>口</w:t>
                  </w:r>
                </w:p>
              </w:tc>
              <w:tc>
                <w:tcPr>
                  <w:tcW w:w="4225" w:type="dxa"/>
                  <w:noWrap w:val="0"/>
                  <w:vAlign w:val="center"/>
                </w:tcPr>
                <w:p>
                  <w:pPr>
                    <w:pStyle w:val="18"/>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pH、</w:t>
                  </w:r>
                  <w:r>
                    <w:rPr>
                      <w:rFonts w:hint="default" w:ascii="Times New Roman" w:hAnsi="Times New Roman" w:eastAsia="宋体" w:cs="Times New Roman"/>
                      <w:sz w:val="21"/>
                      <w:szCs w:val="21"/>
                    </w:rPr>
                    <w:t>COD</w:t>
                  </w:r>
                  <w:r>
                    <w:rPr>
                      <w:rFonts w:hint="default" w:ascii="Times New Roman" w:hAnsi="Times New Roman" w:eastAsia="宋体" w:cs="Times New Roman"/>
                      <w:sz w:val="21"/>
                      <w:szCs w:val="21"/>
                      <w:vertAlign w:val="subscript"/>
                    </w:rPr>
                    <w:t>cr</w:t>
                  </w: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、氨氮、SS</w:t>
                  </w:r>
                </w:p>
              </w:tc>
              <w:tc>
                <w:tcPr>
                  <w:tcW w:w="2346" w:type="dxa"/>
                  <w:noWrap w:val="0"/>
                  <w:vAlign w:val="center"/>
                </w:tcPr>
                <w:p>
                  <w:pPr>
                    <w:pStyle w:val="18"/>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eastAsia="宋体" w:cs="Times New Roman"/>
                      <w:sz w:val="21"/>
                      <w:szCs w:val="21"/>
                    </w:rPr>
                    <w:t>批次/1点/</w:t>
                  </w:r>
                  <w:r>
                    <w:rPr>
                      <w:rFonts w:hint="default" w:ascii="Times New Roman" w:hAnsi="Times New Roman" w:cs="Times New Roman"/>
                      <w:sz w:val="21"/>
                      <w:szCs w:val="21"/>
                      <w:lang w:val="en-US" w:eastAsia="zh-CN"/>
                    </w:rPr>
                    <w:t>1</w:t>
                  </w:r>
                  <w:r>
                    <w:rPr>
                      <w:rFonts w:hint="default" w:ascii="Times New Roman" w:hAnsi="Times New Roman" w:eastAsia="宋体" w:cs="Times New Roman"/>
                      <w:sz w:val="21"/>
                      <w:szCs w:val="21"/>
                    </w:rPr>
                    <w:t>天</w:t>
                  </w:r>
                </w:p>
              </w:tc>
            </w:tr>
          </w:tbl>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 厂界噪声</w:t>
            </w:r>
            <w:bookmarkEnd w:id="3"/>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在厂界外共布设4个监测点。监测频次为连续2天，每天昼夜各监测一次。</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表10-3 噪声监测内容一览表</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13"/>
              <w:gridCol w:w="2266"/>
              <w:gridCol w:w="24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98" w:type="pct"/>
                  <w:noWrap w:val="0"/>
                  <w:vAlign w:val="center"/>
                </w:tcPr>
                <w:p>
                  <w:pPr>
                    <w:pStyle w:val="18"/>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监测点位</w:t>
                  </w:r>
                </w:p>
              </w:tc>
              <w:tc>
                <w:tcPr>
                  <w:tcW w:w="1297" w:type="pct"/>
                  <w:noWrap w:val="0"/>
                  <w:vAlign w:val="center"/>
                </w:tcPr>
                <w:p>
                  <w:pPr>
                    <w:pStyle w:val="18"/>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监测项目</w:t>
                  </w:r>
                </w:p>
              </w:tc>
              <w:tc>
                <w:tcPr>
                  <w:tcW w:w="1404" w:type="pct"/>
                  <w:noWrap w:val="0"/>
                  <w:vAlign w:val="center"/>
                </w:tcPr>
                <w:p>
                  <w:pPr>
                    <w:pStyle w:val="18"/>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2298" w:type="pct"/>
                  <w:noWrap w:val="0"/>
                  <w:vAlign w:val="center"/>
                </w:tcPr>
                <w:p>
                  <w:pPr>
                    <w:pStyle w:val="18"/>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在厂界四周各布置1个监测点，共4个</w:t>
                  </w:r>
                </w:p>
              </w:tc>
              <w:tc>
                <w:tcPr>
                  <w:tcW w:w="1297" w:type="pct"/>
                  <w:noWrap w:val="0"/>
                  <w:vAlign w:val="center"/>
                </w:tcPr>
                <w:p>
                  <w:pPr>
                    <w:pStyle w:val="18"/>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噪声等效声级</w:t>
                  </w:r>
                </w:p>
              </w:tc>
              <w:tc>
                <w:tcPr>
                  <w:tcW w:w="1404" w:type="pct"/>
                  <w:noWrap w:val="0"/>
                  <w:vAlign w:val="center"/>
                </w:tcPr>
                <w:p>
                  <w:pPr>
                    <w:pStyle w:val="18"/>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连续2天，</w:t>
                  </w:r>
                  <w:r>
                    <w:rPr>
                      <w:rFonts w:hint="default" w:ascii="Times New Roman" w:hAnsi="Times New Roman" w:cs="Times New Roman"/>
                      <w:sz w:val="21"/>
                      <w:szCs w:val="21"/>
                      <w:lang w:eastAsia="zh-CN"/>
                    </w:rPr>
                    <w:t>昼夜各一次</w:t>
                  </w:r>
                </w:p>
              </w:tc>
            </w:tr>
          </w:tbl>
          <w:p>
            <w:pPr>
              <w:rPr>
                <w:rFonts w:hint="default" w:ascii="Times New Roman" w:hAnsi="Times New Roman"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0" w:hRule="atLeast"/>
          <w:jc w:val="center"/>
        </w:trPr>
        <w:tc>
          <w:tcPr>
            <w:tcW w:w="5000" w:type="pct"/>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十一、验收监测期间生产工况记录：</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项目竣工验收监测于2022年2月21、22日进行，监测期间公司生产正常，生产负荷为90%~100%，监测结果具有代表性。</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表11-1 生产工况统计表</w:t>
            </w:r>
          </w:p>
          <w:tbl>
            <w:tblPr>
              <w:tblStyle w:val="1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5"/>
              <w:gridCol w:w="1745"/>
              <w:gridCol w:w="1925"/>
              <w:gridCol w:w="1925"/>
              <w:gridCol w:w="13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生产日期</w:t>
                  </w:r>
                </w:p>
              </w:tc>
              <w:tc>
                <w:tcPr>
                  <w:tcW w:w="999"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产品名称</w:t>
                  </w:r>
                </w:p>
              </w:tc>
              <w:tc>
                <w:tcPr>
                  <w:tcW w:w="1102"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实际产量（套/d）</w:t>
                  </w:r>
                </w:p>
              </w:tc>
              <w:tc>
                <w:tcPr>
                  <w:tcW w:w="1102"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设计产量（套/d）</w:t>
                  </w:r>
                </w:p>
              </w:tc>
              <w:tc>
                <w:tcPr>
                  <w:tcW w:w="795"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产能比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2022.02.21</w:t>
                  </w:r>
                </w:p>
              </w:tc>
              <w:tc>
                <w:tcPr>
                  <w:tcW w:w="999" w:type="pct"/>
                  <w:tcBorders>
                    <w:tl2br w:val="nil"/>
                    <w:tr2bl w:val="nil"/>
                  </w:tcBorders>
                  <w:vAlign w:val="center"/>
                </w:tcPr>
                <w:p>
                  <w:pPr>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回转支承</w:t>
                  </w:r>
                </w:p>
              </w:tc>
              <w:tc>
                <w:tcPr>
                  <w:tcW w:w="1102" w:type="pct"/>
                  <w:tcBorders>
                    <w:tl2br w:val="nil"/>
                    <w:tr2bl w:val="nil"/>
                  </w:tcBorders>
                  <w:vAlign w:val="center"/>
                </w:tcPr>
                <w:p>
                  <w:pPr>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1102" w:type="pct"/>
                  <w:tcBorders>
                    <w:tl2br w:val="nil"/>
                    <w:tr2bl w:val="nil"/>
                  </w:tcBorders>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10</w:t>
                  </w:r>
                </w:p>
              </w:tc>
              <w:tc>
                <w:tcPr>
                  <w:tcW w:w="795"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2022.02.22</w:t>
                  </w:r>
                </w:p>
              </w:tc>
              <w:tc>
                <w:tcPr>
                  <w:tcW w:w="999" w:type="pct"/>
                  <w:tcBorders>
                    <w:tl2br w:val="nil"/>
                    <w:tr2bl w:val="nil"/>
                  </w:tcBorders>
                  <w:vAlign w:val="center"/>
                </w:tcPr>
                <w:p>
                  <w:pPr>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回转支承</w:t>
                  </w:r>
                </w:p>
              </w:tc>
              <w:tc>
                <w:tcPr>
                  <w:tcW w:w="1102" w:type="pct"/>
                  <w:tcBorders>
                    <w:tl2br w:val="nil"/>
                    <w:tr2bl w:val="nil"/>
                  </w:tcBorders>
                  <w:vAlign w:val="center"/>
                </w:tcPr>
                <w:p>
                  <w:pPr>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102" w:type="pct"/>
                  <w:tcBorders>
                    <w:tl2br w:val="nil"/>
                    <w:tr2bl w:val="nil"/>
                  </w:tcBorders>
                  <w:vAlign w:val="center"/>
                </w:tcPr>
                <w:p>
                  <w:pPr>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auto"/>
                      <w:szCs w:val="21"/>
                      <w:lang w:val="en-US" w:eastAsia="zh-CN"/>
                    </w:rPr>
                    <w:t>10</w:t>
                  </w:r>
                </w:p>
              </w:tc>
              <w:tc>
                <w:tcPr>
                  <w:tcW w:w="795" w:type="pc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w:t>
                  </w:r>
                </w:p>
              </w:tc>
            </w:tr>
          </w:tbl>
          <w:p>
            <w:pPr>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0" w:hRule="atLeast"/>
          <w:jc w:val="center"/>
        </w:trPr>
        <w:tc>
          <w:tcPr>
            <w:tcW w:w="5000" w:type="pct"/>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十二、验收监测结果：</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1、废气（有组织）：</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eastAsiaTheme="minorEastAsia"/>
                <w:sz w:val="24"/>
                <w:szCs w:val="24"/>
              </w:rPr>
              <w:t>项目</w:t>
            </w:r>
            <w:r>
              <w:rPr>
                <w:rFonts w:hint="default" w:ascii="Times New Roman" w:hAnsi="Times New Roman" w:cs="Times New Roman"/>
                <w:sz w:val="24"/>
                <w:szCs w:val="24"/>
                <w:lang w:eastAsia="zh-CN"/>
              </w:rPr>
              <w:t>淬火有机废气</w:t>
            </w:r>
            <w:r>
              <w:rPr>
                <w:rFonts w:hint="default" w:ascii="Times New Roman" w:hAnsi="Times New Roman" w:eastAsia="宋体" w:cs="Times New Roman"/>
                <w:color w:val="auto"/>
                <w:sz w:val="24"/>
                <w:szCs w:val="24"/>
                <w:lang w:eastAsia="zh-CN"/>
              </w:rPr>
              <w:t>排放参照上海市《大气污染物综合排放标准》（DB31/933-2015）相关限值</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b/>
                <w:bCs/>
                <w:sz w:val="21"/>
                <w:szCs w:val="21"/>
                <w:lang w:val="en-US" w:eastAsia="zh-CN"/>
              </w:rPr>
              <w:t>表12-1 有组织废气排放监测结果</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255"/>
              <w:gridCol w:w="929"/>
              <w:gridCol w:w="1231"/>
              <w:gridCol w:w="1035"/>
              <w:gridCol w:w="1035"/>
              <w:gridCol w:w="702"/>
              <w:gridCol w:w="338"/>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1"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分析日期</w:t>
                  </w:r>
                </w:p>
              </w:tc>
              <w:tc>
                <w:tcPr>
                  <w:tcW w:w="3415" w:type="dxa"/>
                  <w:gridSpan w:val="3"/>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2022.02.21</w:t>
                  </w:r>
                </w:p>
              </w:tc>
              <w:tc>
                <w:tcPr>
                  <w:tcW w:w="2772" w:type="dxa"/>
                  <w:gridSpan w:val="3"/>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排气筒高度</w:t>
                  </w:r>
                </w:p>
              </w:tc>
              <w:tc>
                <w:tcPr>
                  <w:tcW w:w="1374" w:type="dxa"/>
                  <w:gridSpan w:val="2"/>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1"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w:t>
                  </w:r>
                </w:p>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时间</w:t>
                  </w:r>
                </w:p>
              </w:tc>
              <w:tc>
                <w:tcPr>
                  <w:tcW w:w="1255" w:type="dxa"/>
                  <w:vMerge w:val="restart"/>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p>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点位</w:t>
                  </w:r>
                </w:p>
              </w:tc>
              <w:tc>
                <w:tcPr>
                  <w:tcW w:w="2160" w:type="dxa"/>
                  <w:gridSpan w:val="2"/>
                  <w:vMerge w:val="restart"/>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4146" w:type="dxa"/>
                  <w:gridSpan w:val="5"/>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1"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255"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2160" w:type="dxa"/>
                  <w:gridSpan w:val="2"/>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035"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第1次</w:t>
                  </w:r>
                </w:p>
              </w:tc>
              <w:tc>
                <w:tcPr>
                  <w:tcW w:w="1035"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第2次</w:t>
                  </w:r>
                </w:p>
              </w:tc>
              <w:tc>
                <w:tcPr>
                  <w:tcW w:w="1040" w:type="dxa"/>
                  <w:gridSpan w:val="2"/>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第3次</w:t>
                  </w:r>
                </w:p>
              </w:tc>
              <w:tc>
                <w:tcPr>
                  <w:tcW w:w="1036"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1"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2022.02.21</w:t>
                  </w:r>
                </w:p>
              </w:tc>
              <w:tc>
                <w:tcPr>
                  <w:tcW w:w="1255"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color w:val="auto"/>
                      <w:sz w:val="21"/>
                      <w:szCs w:val="21"/>
                      <w:lang w:val="en-US" w:eastAsia="zh-CN"/>
                    </w:rPr>
                    <w:t>淬火废气</w:t>
                  </w:r>
                  <w:r>
                    <w:rPr>
                      <w:rFonts w:hint="default" w:ascii="Times New Roman" w:hAnsi="Times New Roman" w:eastAsia="宋体" w:cs="Times New Roman"/>
                      <w:sz w:val="21"/>
                      <w:szCs w:val="21"/>
                      <w:lang w:val="en-US" w:eastAsia="zh-CN"/>
                    </w:rPr>
                    <w:t>排气筒（DA001）进口</w:t>
                  </w:r>
                </w:p>
              </w:tc>
              <w:tc>
                <w:tcPr>
                  <w:tcW w:w="2160" w:type="dxa"/>
                  <w:gridSpan w:val="2"/>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4146" w:type="dxa"/>
                  <w:gridSpan w:val="5"/>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sz w:val="24"/>
                      <w:szCs w:val="24"/>
                      <w:vertAlign w:val="baseline"/>
                      <w:lang w:val="en-US" w:eastAsia="zh-CN"/>
                    </w:rPr>
                    <w:t>3964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1"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255"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929"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VOCs</w:t>
                  </w:r>
                </w:p>
              </w:tc>
              <w:tc>
                <w:tcPr>
                  <w:tcW w:w="1231"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035"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sz w:val="24"/>
                      <w:szCs w:val="24"/>
                      <w:lang w:val="en-US" w:eastAsia="zh-CN"/>
                    </w:rPr>
                    <w:t xml:space="preserve">0.391 </w:t>
                  </w:r>
                </w:p>
              </w:tc>
              <w:tc>
                <w:tcPr>
                  <w:tcW w:w="1035"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sz w:val="24"/>
                      <w:szCs w:val="24"/>
                      <w:lang w:val="en-US" w:eastAsia="zh-CN"/>
                    </w:rPr>
                    <w:t>0.366</w:t>
                  </w:r>
                </w:p>
              </w:tc>
              <w:tc>
                <w:tcPr>
                  <w:tcW w:w="1040" w:type="dxa"/>
                  <w:gridSpan w:val="2"/>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sz w:val="24"/>
                      <w:szCs w:val="24"/>
                      <w:lang w:val="en-US" w:eastAsia="zh-CN"/>
                    </w:rPr>
                    <w:t>0.269</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color w:val="000000" w:themeColor="text1"/>
                      <w:sz w:val="24"/>
                      <w:szCs w:val="24"/>
                      <w:vertAlign w:val="baseline"/>
                      <w:lang w:val="en-US" w:eastAsia="zh-CN"/>
                      <w14:textFill>
                        <w14:solidFill>
                          <w14:schemeClr w14:val="tx1"/>
                        </w14:solidFill>
                      </w14:textFill>
                    </w:rPr>
                    <w:t>0.342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1"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255"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929"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231"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产生</w:t>
                  </w:r>
                  <w:r>
                    <w:rPr>
                      <w:rFonts w:hint="default" w:ascii="Times New Roman" w:hAnsi="Times New Roman" w:eastAsia="宋体" w:cs="Times New Roman"/>
                      <w:sz w:val="21"/>
                      <w:szCs w:val="21"/>
                    </w:rPr>
                    <w:t>速率</w:t>
                  </w:r>
                </w:p>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default" w:ascii="Times New Roman" w:hAnsi="Times New Roman" w:eastAsia="宋体" w:cs="Times New Roman"/>
                      <w:sz w:val="21"/>
                      <w:szCs w:val="21"/>
                      <w:lang w:eastAsia="zh-CN"/>
                    </w:rPr>
                    <w:t>）</w:t>
                  </w:r>
                </w:p>
              </w:tc>
              <w:tc>
                <w:tcPr>
                  <w:tcW w:w="1035"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sz w:val="24"/>
                      <w:szCs w:val="24"/>
                      <w:lang w:val="en-US" w:eastAsia="zh-CN"/>
                    </w:rPr>
                    <w:t>0.002</w:t>
                  </w:r>
                </w:p>
              </w:tc>
              <w:tc>
                <w:tcPr>
                  <w:tcW w:w="1035"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sz w:val="24"/>
                      <w:szCs w:val="24"/>
                      <w:lang w:val="en-US" w:eastAsia="zh-CN"/>
                    </w:rPr>
                    <w:t>0.001</w:t>
                  </w:r>
                </w:p>
              </w:tc>
              <w:tc>
                <w:tcPr>
                  <w:tcW w:w="1040" w:type="dxa"/>
                  <w:gridSpan w:val="2"/>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sz w:val="24"/>
                      <w:szCs w:val="24"/>
                      <w:lang w:val="en-US" w:eastAsia="zh-CN"/>
                    </w:rPr>
                    <w:t>0.001</w:t>
                  </w:r>
                </w:p>
              </w:tc>
              <w:tc>
                <w:tcPr>
                  <w:tcW w:w="1036"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sz w:val="24"/>
                      <w:szCs w:val="24"/>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1"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2022.02.21</w:t>
                  </w:r>
                </w:p>
              </w:tc>
              <w:tc>
                <w:tcPr>
                  <w:tcW w:w="1255"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color w:val="auto"/>
                      <w:sz w:val="21"/>
                      <w:szCs w:val="21"/>
                      <w:lang w:val="en-US" w:eastAsia="zh-CN"/>
                    </w:rPr>
                    <w:t>淬火废气</w:t>
                  </w:r>
                  <w:r>
                    <w:rPr>
                      <w:rFonts w:hint="default" w:ascii="Times New Roman" w:hAnsi="Times New Roman" w:eastAsia="宋体" w:cs="Times New Roman"/>
                      <w:sz w:val="21"/>
                      <w:szCs w:val="21"/>
                      <w:lang w:val="en-US" w:eastAsia="zh-CN"/>
                    </w:rPr>
                    <w:t>排气筒（DA001）出口</w:t>
                  </w:r>
                </w:p>
              </w:tc>
              <w:tc>
                <w:tcPr>
                  <w:tcW w:w="2160" w:type="dxa"/>
                  <w:gridSpan w:val="2"/>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4146" w:type="dxa"/>
                  <w:gridSpan w:val="5"/>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4"/>
                      <w:szCs w:val="24"/>
                      <w:vertAlign w:val="baseline"/>
                      <w:lang w:val="en-US" w:eastAsia="zh-CN"/>
                    </w:rPr>
                    <w:t>4134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1"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255"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929"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VOCs</w:t>
                  </w:r>
                </w:p>
              </w:tc>
              <w:tc>
                <w:tcPr>
                  <w:tcW w:w="1231"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035"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 xml:space="preserve">0.254 </w:t>
                  </w:r>
                </w:p>
              </w:tc>
              <w:tc>
                <w:tcPr>
                  <w:tcW w:w="1035"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0.215</w:t>
                  </w:r>
                </w:p>
              </w:tc>
              <w:tc>
                <w:tcPr>
                  <w:tcW w:w="1040" w:type="dxa"/>
                  <w:gridSpan w:val="2"/>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 xml:space="preserve">0.398 </w:t>
                  </w:r>
                </w:p>
              </w:tc>
              <w:tc>
                <w:tcPr>
                  <w:tcW w:w="1036"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color w:val="000000" w:themeColor="text1"/>
                      <w:sz w:val="24"/>
                      <w:szCs w:val="24"/>
                      <w:vertAlign w:val="baseline"/>
                      <w:lang w:val="en-US" w:eastAsia="zh-CN"/>
                      <w14:textFill>
                        <w14:solidFill>
                          <w14:schemeClr w14:val="tx1"/>
                        </w14:solidFill>
                      </w14:textFill>
                    </w:rPr>
                    <w:t>0.289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1"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255"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929"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231"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default" w:ascii="Times New Roman" w:hAnsi="Times New Roman" w:eastAsia="宋体" w:cs="Times New Roman"/>
                      <w:sz w:val="21"/>
                      <w:szCs w:val="21"/>
                      <w:lang w:eastAsia="zh-CN"/>
                    </w:rPr>
                    <w:t>）</w:t>
                  </w:r>
                </w:p>
              </w:tc>
              <w:tc>
                <w:tcPr>
                  <w:tcW w:w="1035"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0.001</w:t>
                  </w:r>
                </w:p>
              </w:tc>
              <w:tc>
                <w:tcPr>
                  <w:tcW w:w="1035"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0.001</w:t>
                  </w:r>
                </w:p>
              </w:tc>
              <w:tc>
                <w:tcPr>
                  <w:tcW w:w="1040" w:type="dxa"/>
                  <w:gridSpan w:val="2"/>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0.002</w:t>
                  </w:r>
                </w:p>
              </w:tc>
              <w:tc>
                <w:tcPr>
                  <w:tcW w:w="1036"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0.001</w:t>
                  </w:r>
                </w:p>
              </w:tc>
            </w:tr>
          </w:tbl>
          <w:p>
            <w:pPr>
              <w:tabs>
                <w:tab w:val="left" w:pos="1449"/>
              </w:tabs>
              <w:spacing w:before="119" w:after="4" w:line="360" w:lineRule="auto"/>
              <w:ind w:left="0" w:right="17" w:firstLine="0"/>
              <w:jc w:val="center"/>
              <w:rPr>
                <w:rFonts w:hint="default" w:ascii="Times New Roman" w:hAnsi="Times New Roman" w:eastAsia="宋体" w:cs="Times New Roman"/>
                <w:b/>
                <w:sz w:val="24"/>
                <w:szCs w:val="24"/>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255"/>
              <w:gridCol w:w="939"/>
              <w:gridCol w:w="1232"/>
              <w:gridCol w:w="1032"/>
              <w:gridCol w:w="1032"/>
              <w:gridCol w:w="696"/>
              <w:gridCol w:w="342"/>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1"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分析日期</w:t>
                  </w:r>
                </w:p>
              </w:tc>
              <w:tc>
                <w:tcPr>
                  <w:tcW w:w="3085" w:type="dxa"/>
                  <w:gridSpan w:val="3"/>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2022.02.22</w:t>
                  </w:r>
                </w:p>
              </w:tc>
              <w:tc>
                <w:tcPr>
                  <w:tcW w:w="2965" w:type="dxa"/>
                  <w:gridSpan w:val="3"/>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排气筒高度</w:t>
                  </w:r>
                </w:p>
              </w:tc>
              <w:tc>
                <w:tcPr>
                  <w:tcW w:w="1511" w:type="dxa"/>
                  <w:gridSpan w:val="2"/>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1"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w:t>
                  </w:r>
                </w:p>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时间</w:t>
                  </w:r>
                </w:p>
              </w:tc>
              <w:tc>
                <w:tcPr>
                  <w:tcW w:w="840" w:type="dxa"/>
                  <w:vMerge w:val="restart"/>
                  <w:vAlign w:val="center"/>
                </w:tcPr>
                <w:p>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p>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点位</w:t>
                  </w:r>
                </w:p>
              </w:tc>
              <w:tc>
                <w:tcPr>
                  <w:tcW w:w="2245" w:type="dxa"/>
                  <w:gridSpan w:val="2"/>
                  <w:vMerge w:val="restart"/>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测项目</w:t>
                  </w:r>
                </w:p>
              </w:tc>
              <w:tc>
                <w:tcPr>
                  <w:tcW w:w="4476" w:type="dxa"/>
                  <w:gridSpan w:val="5"/>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1"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840"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2245" w:type="dxa"/>
                  <w:gridSpan w:val="2"/>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117"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第1次</w:t>
                  </w:r>
                </w:p>
              </w:tc>
              <w:tc>
                <w:tcPr>
                  <w:tcW w:w="1117"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第2次</w:t>
                  </w:r>
                </w:p>
              </w:tc>
              <w:tc>
                <w:tcPr>
                  <w:tcW w:w="1124" w:type="dxa"/>
                  <w:gridSpan w:val="2"/>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第3次</w:t>
                  </w:r>
                </w:p>
              </w:tc>
              <w:tc>
                <w:tcPr>
                  <w:tcW w:w="1118"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1"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2022.02.22</w:t>
                  </w:r>
                </w:p>
              </w:tc>
              <w:tc>
                <w:tcPr>
                  <w:tcW w:w="840"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color w:val="auto"/>
                      <w:sz w:val="21"/>
                      <w:szCs w:val="21"/>
                      <w:lang w:val="en-US" w:eastAsia="zh-CN"/>
                    </w:rPr>
                    <w:t>淬火废气</w:t>
                  </w:r>
                  <w:r>
                    <w:rPr>
                      <w:rFonts w:hint="default" w:ascii="Times New Roman" w:hAnsi="Times New Roman" w:eastAsia="宋体" w:cs="Times New Roman"/>
                      <w:sz w:val="21"/>
                      <w:szCs w:val="21"/>
                      <w:lang w:val="en-US" w:eastAsia="zh-CN"/>
                    </w:rPr>
                    <w:t>排气筒（DA001）进口</w:t>
                  </w:r>
                </w:p>
              </w:tc>
              <w:tc>
                <w:tcPr>
                  <w:tcW w:w="2245" w:type="dxa"/>
                  <w:gridSpan w:val="2"/>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4476" w:type="dxa"/>
                  <w:gridSpan w:val="5"/>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sz w:val="24"/>
                      <w:szCs w:val="24"/>
                      <w:vertAlign w:val="baseline"/>
                      <w:lang w:val="en-US" w:eastAsia="zh-CN"/>
                    </w:rPr>
                    <w:t>3887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1"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840"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001"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VOCs</w:t>
                  </w:r>
                </w:p>
              </w:tc>
              <w:tc>
                <w:tcPr>
                  <w:tcW w:w="1244"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rPr>
                    <w:t>浓度</w:t>
                  </w:r>
                </w:p>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117"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sz w:val="24"/>
                      <w:szCs w:val="24"/>
                      <w:lang w:val="en-US" w:eastAsia="zh-CN"/>
                    </w:rPr>
                    <w:t>0.324</w:t>
                  </w:r>
                </w:p>
              </w:tc>
              <w:tc>
                <w:tcPr>
                  <w:tcW w:w="1117"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sz w:val="24"/>
                      <w:szCs w:val="24"/>
                      <w:lang w:val="en-US" w:eastAsia="zh-CN"/>
                    </w:rPr>
                    <w:t>0.588</w:t>
                  </w:r>
                </w:p>
              </w:tc>
              <w:tc>
                <w:tcPr>
                  <w:tcW w:w="1124" w:type="dxa"/>
                  <w:gridSpan w:val="2"/>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sz w:val="24"/>
                      <w:szCs w:val="24"/>
                      <w:lang w:val="en-US" w:eastAsia="zh-CN"/>
                    </w:rPr>
                    <w:t>1.04</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color w:val="000000" w:themeColor="text1"/>
                      <w:sz w:val="24"/>
                      <w:szCs w:val="24"/>
                      <w:vertAlign w:val="baseline"/>
                      <w:lang w:val="en-US" w:eastAsia="zh-CN"/>
                      <w14:textFill>
                        <w14:solidFill>
                          <w14:schemeClr w14:val="tx1"/>
                        </w14:solidFill>
                      </w14:textFill>
                    </w:rPr>
                    <w:t>0.651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1"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840"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001"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244"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产生</w:t>
                  </w:r>
                  <w:r>
                    <w:rPr>
                      <w:rFonts w:hint="default" w:ascii="Times New Roman" w:hAnsi="Times New Roman" w:eastAsia="宋体" w:cs="Times New Roman"/>
                      <w:sz w:val="21"/>
                      <w:szCs w:val="21"/>
                    </w:rPr>
                    <w:t>速率</w:t>
                  </w:r>
                </w:p>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default" w:ascii="Times New Roman" w:hAnsi="Times New Roman" w:eastAsia="宋体" w:cs="Times New Roman"/>
                      <w:sz w:val="21"/>
                      <w:szCs w:val="21"/>
                      <w:lang w:eastAsia="zh-CN"/>
                    </w:rPr>
                    <w:t>）</w:t>
                  </w:r>
                </w:p>
              </w:tc>
              <w:tc>
                <w:tcPr>
                  <w:tcW w:w="1117"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sz w:val="24"/>
                      <w:szCs w:val="24"/>
                      <w:lang w:val="en-US" w:eastAsia="zh-CN"/>
                    </w:rPr>
                    <w:t>0.001</w:t>
                  </w:r>
                </w:p>
              </w:tc>
              <w:tc>
                <w:tcPr>
                  <w:tcW w:w="1117"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sz w:val="24"/>
                      <w:szCs w:val="24"/>
                      <w:lang w:val="en-US" w:eastAsia="zh-CN"/>
                    </w:rPr>
                    <w:t>0.002</w:t>
                  </w:r>
                </w:p>
              </w:tc>
              <w:tc>
                <w:tcPr>
                  <w:tcW w:w="1124" w:type="dxa"/>
                  <w:gridSpan w:val="2"/>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sz w:val="24"/>
                      <w:szCs w:val="24"/>
                      <w:lang w:val="en-US" w:eastAsia="zh-CN"/>
                    </w:rPr>
                    <w:t>0.004</w:t>
                  </w:r>
                </w:p>
              </w:tc>
              <w:tc>
                <w:tcPr>
                  <w:tcW w:w="1118"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sz w:val="24"/>
                      <w:szCs w:val="24"/>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1"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2022.02.22</w:t>
                  </w:r>
                </w:p>
              </w:tc>
              <w:tc>
                <w:tcPr>
                  <w:tcW w:w="840"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color w:val="auto"/>
                      <w:sz w:val="21"/>
                      <w:szCs w:val="21"/>
                      <w:lang w:val="en-US" w:eastAsia="zh-CN"/>
                    </w:rPr>
                    <w:t>淬火废气</w:t>
                  </w:r>
                  <w:r>
                    <w:rPr>
                      <w:rFonts w:hint="default" w:ascii="Times New Roman" w:hAnsi="Times New Roman" w:eastAsia="宋体" w:cs="Times New Roman"/>
                      <w:sz w:val="21"/>
                      <w:szCs w:val="21"/>
                      <w:lang w:val="en-US" w:eastAsia="zh-CN"/>
                    </w:rPr>
                    <w:t>排气筒（DA001）出口</w:t>
                  </w:r>
                </w:p>
              </w:tc>
              <w:tc>
                <w:tcPr>
                  <w:tcW w:w="2245" w:type="dxa"/>
                  <w:gridSpan w:val="2"/>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4476" w:type="dxa"/>
                  <w:gridSpan w:val="5"/>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sz w:val="24"/>
                      <w:szCs w:val="24"/>
                      <w:vertAlign w:val="baseline"/>
                      <w:lang w:val="en-US" w:eastAsia="zh-CN"/>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1"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840"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001" w:type="dxa"/>
                  <w:vMerge w:val="restart"/>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VOCs</w:t>
                  </w:r>
                </w:p>
              </w:tc>
              <w:tc>
                <w:tcPr>
                  <w:tcW w:w="1244"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1117"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 xml:space="preserve">0.252 </w:t>
                  </w:r>
                </w:p>
              </w:tc>
              <w:tc>
                <w:tcPr>
                  <w:tcW w:w="1117"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 xml:space="preserve">0.382 </w:t>
                  </w:r>
                </w:p>
              </w:tc>
              <w:tc>
                <w:tcPr>
                  <w:tcW w:w="1124" w:type="dxa"/>
                  <w:gridSpan w:val="2"/>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 xml:space="preserve">0.179 </w:t>
                  </w:r>
                </w:p>
              </w:tc>
              <w:tc>
                <w:tcPr>
                  <w:tcW w:w="1118" w:type="dxa"/>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color w:val="000000" w:themeColor="text1"/>
                      <w:sz w:val="24"/>
                      <w:szCs w:val="24"/>
                      <w:vertAlign w:val="baseline"/>
                      <w:lang w:val="en-US" w:eastAsia="zh-CN"/>
                      <w14:textFill>
                        <w14:solidFill>
                          <w14:schemeClr w14:val="tx1"/>
                        </w14:solidFill>
                      </w14:textFill>
                    </w:rPr>
                    <w:t>0.271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1"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840"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001" w:type="dxa"/>
                  <w:vMerge w:val="continue"/>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p>
              </w:tc>
              <w:tc>
                <w:tcPr>
                  <w:tcW w:w="1244"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kg/h</w:t>
                  </w:r>
                  <w:r>
                    <w:rPr>
                      <w:rFonts w:hint="default" w:ascii="Times New Roman" w:hAnsi="Times New Roman" w:eastAsia="宋体" w:cs="Times New Roman"/>
                      <w:sz w:val="21"/>
                      <w:szCs w:val="21"/>
                      <w:lang w:eastAsia="zh-CN"/>
                    </w:rPr>
                    <w:t>）</w:t>
                  </w:r>
                </w:p>
              </w:tc>
              <w:tc>
                <w:tcPr>
                  <w:tcW w:w="1117"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0.001</w:t>
                  </w:r>
                </w:p>
              </w:tc>
              <w:tc>
                <w:tcPr>
                  <w:tcW w:w="1117"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0.002</w:t>
                  </w:r>
                </w:p>
              </w:tc>
              <w:tc>
                <w:tcPr>
                  <w:tcW w:w="1124" w:type="dxa"/>
                  <w:gridSpan w:val="2"/>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0.001</w:t>
                  </w:r>
                </w:p>
              </w:tc>
              <w:tc>
                <w:tcPr>
                  <w:tcW w:w="1118"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0.001</w:t>
                  </w:r>
                </w:p>
              </w:tc>
            </w:tr>
          </w:tbl>
          <w:p>
            <w:pPr>
              <w:pStyle w:val="4"/>
              <w:jc w:val="center"/>
              <w:rPr>
                <w:rFonts w:hint="default" w:ascii="Times New Roman" w:hAnsi="Times New Roman" w:cs="Times New Roman"/>
              </w:rPr>
            </w:pPr>
          </w:p>
          <w:p>
            <w:pPr>
              <w:keepNext w:val="0"/>
              <w:keepLines w:val="0"/>
              <w:pageBreakBefore w:val="0"/>
              <w:widowControl w:val="0"/>
              <w:tabs>
                <w:tab w:val="left" w:pos="2200"/>
              </w:tabs>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表</w:t>
            </w:r>
            <w:r>
              <w:rPr>
                <w:rFonts w:hint="default" w:ascii="Times New Roman" w:hAnsi="Times New Roman" w:eastAsia="宋体" w:cs="Times New Roman"/>
                <w:b/>
                <w:sz w:val="21"/>
                <w:szCs w:val="21"/>
                <w:lang w:val="en-US" w:eastAsia="zh-CN"/>
              </w:rPr>
              <w:t>12</w:t>
            </w:r>
            <w:r>
              <w:rPr>
                <w:rFonts w:hint="default" w:ascii="Times New Roman" w:hAnsi="Times New Roman" w:eastAsia="宋体" w:cs="Times New Roman"/>
                <w:b/>
                <w:sz w:val="21"/>
                <w:szCs w:val="21"/>
              </w:rPr>
              <w:t>-</w:t>
            </w:r>
            <w:r>
              <w:rPr>
                <w:rFonts w:hint="default" w:ascii="Times New Roman" w:hAnsi="Times New Roman" w:eastAsia="宋体" w:cs="Times New Roman"/>
                <w:b/>
                <w:sz w:val="21"/>
                <w:szCs w:val="21"/>
                <w:lang w:val="en-US" w:eastAsia="zh-CN"/>
              </w:rPr>
              <w:t xml:space="preserve">2 </w:t>
            </w:r>
            <w:r>
              <w:rPr>
                <w:rFonts w:hint="default" w:ascii="Times New Roman" w:hAnsi="Times New Roman" w:eastAsia="宋体" w:cs="Times New Roman"/>
                <w:b/>
                <w:sz w:val="21"/>
                <w:szCs w:val="21"/>
              </w:rPr>
              <w:t>废气污染物排放总量核算表</w:t>
            </w:r>
          </w:p>
          <w:tbl>
            <w:tblPr>
              <w:tblStyle w:val="12"/>
              <w:tblW w:w="4997"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736"/>
              <w:gridCol w:w="1306"/>
              <w:gridCol w:w="1286"/>
              <w:gridCol w:w="1351"/>
              <w:gridCol w:w="1417"/>
              <w:gridCol w:w="1419"/>
              <w:gridCol w:w="118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423" w:type="pct"/>
                  <w:tcBorders>
                    <w:left w:val="single" w:color="auto" w:sz="0"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750" w:type="pct"/>
                  <w:tcBorders>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污染因</w:t>
                  </w:r>
                </w:p>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子</w:t>
                  </w:r>
                </w:p>
              </w:tc>
              <w:tc>
                <w:tcPr>
                  <w:tcW w:w="739" w:type="pct"/>
                  <w:tcBorders>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tc>
              <w:tc>
                <w:tcPr>
                  <w:tcW w:w="776" w:type="pct"/>
                  <w:tcBorders>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年运行时</w:t>
                  </w:r>
                </w:p>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间</w:t>
                  </w:r>
                </w:p>
              </w:tc>
              <w:tc>
                <w:tcPr>
                  <w:tcW w:w="814" w:type="pct"/>
                  <w:tcBorders>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年</w:t>
                  </w:r>
                  <w:r>
                    <w:rPr>
                      <w:rFonts w:hint="default" w:ascii="Times New Roman" w:hAnsi="Times New Roman" w:eastAsia="宋体" w:cs="Times New Roman"/>
                      <w:sz w:val="21"/>
                      <w:szCs w:val="21"/>
                    </w:rPr>
                    <w:t>排放量</w:t>
                  </w:r>
                </w:p>
              </w:tc>
              <w:tc>
                <w:tcPr>
                  <w:tcW w:w="815" w:type="pct"/>
                  <w:tcBorders>
                    <w:left w:val="single" w:color="000000" w:sz="4" w:space="0"/>
                    <w:bottom w:val="single" w:color="000000" w:sz="4"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控制指标</w:t>
                  </w:r>
                </w:p>
              </w:tc>
              <w:tc>
                <w:tcPr>
                  <w:tcW w:w="679" w:type="pct"/>
                  <w:tcBorders>
                    <w:left w:val="single" w:color="000000" w:sz="4" w:space="0"/>
                    <w:bottom w:val="single" w:color="000000" w:sz="4" w:space="0"/>
                    <w:right w:val="single" w:color="000000" w:sz="12"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是否达</w:t>
                  </w:r>
                </w:p>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423" w:type="pct"/>
                  <w:tcBorders>
                    <w:top w:val="single" w:color="000000" w:sz="4" w:space="0"/>
                    <w:left w:val="single" w:color="000000" w:sz="4" w:space="0"/>
                    <w:bottom w:val="single" w:color="000000" w:sz="12"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50" w:type="pct"/>
                  <w:tcBorders>
                    <w:top w:val="single" w:color="000000" w:sz="4" w:space="0"/>
                    <w:left w:val="single" w:color="000000" w:sz="4" w:space="0"/>
                    <w:bottom w:val="single" w:color="000000" w:sz="12"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w:t>
                  </w:r>
                </w:p>
              </w:tc>
              <w:tc>
                <w:tcPr>
                  <w:tcW w:w="739" w:type="pct"/>
                  <w:tcBorders>
                    <w:top w:val="single" w:color="000000" w:sz="4" w:space="0"/>
                    <w:left w:val="single" w:color="000000" w:sz="4" w:space="0"/>
                    <w:bottom w:val="single" w:color="000000" w:sz="12"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0.001kg/h</w:t>
                  </w:r>
                </w:p>
              </w:tc>
              <w:tc>
                <w:tcPr>
                  <w:tcW w:w="776" w:type="pct"/>
                  <w:tcBorders>
                    <w:top w:val="single" w:color="000000" w:sz="4" w:space="0"/>
                    <w:left w:val="single" w:color="000000" w:sz="4" w:space="0"/>
                    <w:bottom w:val="single" w:color="000000" w:sz="12"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00h</w:t>
                  </w:r>
                </w:p>
              </w:tc>
              <w:tc>
                <w:tcPr>
                  <w:tcW w:w="814" w:type="pct"/>
                  <w:tcBorders>
                    <w:top w:val="single" w:color="000000" w:sz="4" w:space="0"/>
                    <w:left w:val="single" w:color="000000" w:sz="4" w:space="0"/>
                    <w:bottom w:val="single" w:color="000000" w:sz="12"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0.000</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t/a</w:t>
                  </w:r>
                </w:p>
              </w:tc>
              <w:tc>
                <w:tcPr>
                  <w:tcW w:w="815" w:type="pct"/>
                  <w:tcBorders>
                    <w:top w:val="single" w:color="000000" w:sz="4" w:space="0"/>
                    <w:left w:val="single" w:color="000000" w:sz="4" w:space="0"/>
                    <w:bottom w:val="single" w:color="000000" w:sz="12" w:space="0"/>
                    <w:right w:val="single" w:color="000000" w:sz="4"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104</w:t>
                  </w:r>
                  <w:r>
                    <w:rPr>
                      <w:rFonts w:hint="default" w:ascii="Times New Roman" w:hAnsi="Times New Roman" w:eastAsia="宋体" w:cs="Times New Roman"/>
                      <w:sz w:val="21"/>
                      <w:szCs w:val="21"/>
                      <w:lang w:val="en-US" w:eastAsia="zh-CN"/>
                    </w:rPr>
                    <w:t>t/a</w:t>
                  </w:r>
                </w:p>
              </w:tc>
              <w:tc>
                <w:tcPr>
                  <w:tcW w:w="679" w:type="pct"/>
                  <w:tcBorders>
                    <w:top w:val="single" w:color="000000" w:sz="4" w:space="0"/>
                    <w:left w:val="single" w:color="000000" w:sz="4" w:space="0"/>
                    <w:bottom w:val="single" w:color="000000" w:sz="12" w:space="0"/>
                    <w:right w:val="single" w:color="000000" w:sz="12" w:space="0"/>
                  </w:tcBorders>
                  <w:vAlign w:val="center"/>
                </w:tcPr>
                <w:p>
                  <w:pPr>
                    <w:pStyle w:val="2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2、废气（无组织）：</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本项目无组织废气VOCs浓度范围为</w:t>
            </w:r>
            <w:r>
              <w:rPr>
                <w:rFonts w:hint="eastAsia" w:ascii="Times New Roman" w:hAnsi="Times New Roman" w:cs="Times New Roman"/>
                <w:sz w:val="24"/>
                <w:szCs w:val="24"/>
                <w:lang w:val="en-US" w:eastAsia="zh-CN"/>
              </w:rPr>
              <w:t>193</w:t>
            </w:r>
            <w:r>
              <w:rPr>
                <w:rFonts w:hint="default" w:ascii="Times New Roman" w:hAnsi="Times New Roman" w:cs="Times New Roman"/>
                <w:color w:val="000000" w:themeColor="text1"/>
                <w:sz w:val="24"/>
                <w:szCs w:val="24"/>
                <w:lang w:val="en-US" w:eastAsia="zh-CN"/>
                <w14:textFill>
                  <w14:solidFill>
                    <w14:schemeClr w14:val="tx1"/>
                  </w14:solidFill>
                </w14:textFill>
              </w:rPr>
              <w:t>~3.02×10</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sz w:val="24"/>
                <w:szCs w:val="24"/>
                <w:lang w:val="en-US" w:eastAsia="zh-CN"/>
              </w:rPr>
              <w:t>μg/m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，VOCs排放满足</w:t>
            </w:r>
            <w:r>
              <w:rPr>
                <w:rFonts w:hint="default" w:ascii="Times New Roman" w:hAnsi="Times New Roman" w:cs="Times New Roman"/>
                <w:color w:val="000000" w:themeColor="text1"/>
                <w:sz w:val="24"/>
                <w14:textFill>
                  <w14:solidFill>
                    <w14:schemeClr w14:val="tx1"/>
                  </w14:solidFill>
                </w14:textFill>
              </w:rPr>
              <w:t>上海市《大气污染物综合排放标准》（DB31/933-2015）</w:t>
            </w:r>
            <w:r>
              <w:rPr>
                <w:rFonts w:hint="default" w:ascii="Times New Roman" w:hAnsi="Times New Roman" w:cs="Times New Roman"/>
                <w:color w:val="000000" w:themeColor="text1"/>
                <w:sz w:val="24"/>
                <w:lang w:eastAsia="zh-CN"/>
                <w14:textFill>
                  <w14:solidFill>
                    <w14:schemeClr w14:val="tx1"/>
                  </w14:solidFill>
                </w14:textFill>
              </w:rPr>
              <w:t>的要求</w:t>
            </w:r>
            <w:r>
              <w:rPr>
                <w:rFonts w:hint="default" w:ascii="Times New Roman" w:hAnsi="Times New Roman" w:cs="Times New Roman"/>
                <w:color w:val="000000" w:themeColor="text1"/>
                <w:sz w:val="24"/>
                <w:szCs w:val="24"/>
                <w:lang w:val="en-US"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表12-4 无组织废气检测结果</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6"/>
              <w:gridCol w:w="1087"/>
              <w:gridCol w:w="2649"/>
              <w:gridCol w:w="170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1" w:type="pct"/>
                  <w:vMerge w:val="restar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采样日期</w:t>
                  </w:r>
                </w:p>
              </w:tc>
              <w:tc>
                <w:tcPr>
                  <w:tcW w:w="623" w:type="pct"/>
                  <w:vMerge w:val="restar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检测点位</w:t>
                  </w:r>
                </w:p>
              </w:tc>
              <w:tc>
                <w:tcPr>
                  <w:tcW w:w="151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单位：μg/m³</w:t>
                  </w:r>
                </w:p>
              </w:tc>
              <w:tc>
                <w:tcPr>
                  <w:tcW w:w="1696" w:type="pct"/>
                  <w:gridSpan w:val="2"/>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参数测试结果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518"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VOCs</w:t>
                  </w:r>
                </w:p>
              </w:tc>
              <w:tc>
                <w:tcPr>
                  <w:tcW w:w="974"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大气压力（kPa）</w:t>
                  </w:r>
                </w:p>
              </w:tc>
              <w:tc>
                <w:tcPr>
                  <w:tcW w:w="722"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气温（℃）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161" w:type="pct"/>
                  <w:vMerge w:val="restar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2022.02.21</w:t>
                  </w:r>
                </w:p>
              </w:tc>
              <w:tc>
                <w:tcPr>
                  <w:tcW w:w="623" w:type="pct"/>
                  <w:vMerge w:val="restar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厂东</w:t>
                  </w:r>
                </w:p>
              </w:tc>
              <w:tc>
                <w:tcPr>
                  <w:tcW w:w="264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762</w:t>
                  </w:r>
                </w:p>
              </w:tc>
              <w:tc>
                <w:tcPr>
                  <w:tcW w:w="974" w:type="pct"/>
                  <w:vMerge w:val="restar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101.8</w:t>
                  </w:r>
                </w:p>
              </w:tc>
              <w:tc>
                <w:tcPr>
                  <w:tcW w:w="722" w:type="pct"/>
                  <w:vMerge w:val="restar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7.7～8.3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623"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264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193</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64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1.08×10</w:t>
                  </w:r>
                  <w:r>
                    <w:rPr>
                      <w:rFonts w:hint="default" w:ascii="Times New Roman" w:hAnsi="Times New Roman" w:eastAsia="仿宋" w:cs="Times New Roman"/>
                      <w:color w:val="auto"/>
                      <w:kern w:val="2"/>
                      <w:sz w:val="21"/>
                      <w:szCs w:val="21"/>
                      <w:vertAlign w:val="superscript"/>
                      <w:lang w:val="en-US" w:eastAsia="zh-CN" w:bidi="ar-SA"/>
                    </w:rPr>
                    <w:t>3</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264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678</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vMerge w:val="restar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厂南</w:t>
                  </w:r>
                </w:p>
              </w:tc>
              <w:tc>
                <w:tcPr>
                  <w:tcW w:w="2649" w:type="dxa"/>
                  <w:noWrap w:val="0"/>
                  <w:vAlign w:val="top"/>
                </w:tcPr>
                <w:p>
                  <w:pPr>
                    <w:pStyle w:val="4"/>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719</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623"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2649" w:type="dxa"/>
                  <w:noWrap w:val="0"/>
                  <w:vAlign w:val="top"/>
                </w:tcPr>
                <w:p>
                  <w:pPr>
                    <w:pStyle w:val="4"/>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1.04</w:t>
                  </w:r>
                  <w:r>
                    <w:rPr>
                      <w:rFonts w:hint="default" w:ascii="Times New Roman" w:hAnsi="Times New Roman" w:eastAsia="仿宋" w:cs="Times New Roman"/>
                      <w:color w:val="auto"/>
                      <w:kern w:val="2"/>
                      <w:sz w:val="21"/>
                      <w:szCs w:val="21"/>
                      <w:vertAlign w:val="baseline"/>
                      <w:lang w:val="en-US" w:eastAsia="zh-CN" w:bidi="ar-SA"/>
                    </w:rPr>
                    <w:t>×10</w:t>
                  </w:r>
                  <w:r>
                    <w:rPr>
                      <w:rFonts w:hint="default" w:ascii="Times New Roman" w:hAnsi="Times New Roman" w:eastAsia="仿宋" w:cs="Times New Roman"/>
                      <w:color w:val="auto"/>
                      <w:kern w:val="2"/>
                      <w:sz w:val="21"/>
                      <w:szCs w:val="21"/>
                      <w:vertAlign w:val="superscript"/>
                      <w:lang w:val="en-US" w:eastAsia="zh-CN" w:bidi="ar-SA"/>
                    </w:rPr>
                    <w:t>3</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649" w:type="dxa"/>
                  <w:noWrap w:val="0"/>
                  <w:vAlign w:val="top"/>
                </w:tcPr>
                <w:p>
                  <w:pPr>
                    <w:pStyle w:val="4"/>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239</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264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666</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vMerge w:val="restar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厂西</w:t>
                  </w:r>
                </w:p>
              </w:tc>
              <w:tc>
                <w:tcPr>
                  <w:tcW w:w="264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604</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623"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649" w:type="dxa"/>
                  <w:noWrap w:val="0"/>
                  <w:vAlign w:val="top"/>
                </w:tcPr>
                <w:p>
                  <w:pPr>
                    <w:pStyle w:val="4"/>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737</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649" w:type="dxa"/>
                  <w:noWrap w:val="0"/>
                  <w:vAlign w:val="top"/>
                </w:tcPr>
                <w:p>
                  <w:pPr>
                    <w:pStyle w:val="4"/>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716</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2649" w:type="dxa"/>
                  <w:noWrap w:val="0"/>
                  <w:vAlign w:val="top"/>
                </w:tcPr>
                <w:p>
                  <w:pPr>
                    <w:pStyle w:val="4"/>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686</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161" w:type="pct"/>
                  <w:vMerge w:val="restar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2022.02.22</w:t>
                  </w:r>
                </w:p>
              </w:tc>
              <w:tc>
                <w:tcPr>
                  <w:tcW w:w="623" w:type="pct"/>
                  <w:vMerge w:val="restar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厂东</w:t>
                  </w:r>
                </w:p>
              </w:tc>
              <w:tc>
                <w:tcPr>
                  <w:tcW w:w="264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520</w:t>
                  </w:r>
                </w:p>
              </w:tc>
              <w:tc>
                <w:tcPr>
                  <w:tcW w:w="974" w:type="pct"/>
                  <w:vMerge w:val="restar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102.6</w:t>
                  </w:r>
                </w:p>
              </w:tc>
              <w:tc>
                <w:tcPr>
                  <w:tcW w:w="722" w:type="pct"/>
                  <w:vMerge w:val="restar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6.2～6.4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64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2.04×10</w:t>
                  </w:r>
                  <w:r>
                    <w:rPr>
                      <w:rFonts w:hint="default" w:ascii="Times New Roman" w:hAnsi="Times New Roman" w:eastAsia="仿宋" w:cs="Times New Roman"/>
                      <w:color w:val="auto"/>
                      <w:kern w:val="2"/>
                      <w:sz w:val="21"/>
                      <w:szCs w:val="21"/>
                      <w:vertAlign w:val="superscript"/>
                      <w:lang w:val="en-US" w:eastAsia="zh-CN" w:bidi="ar-SA"/>
                    </w:rPr>
                    <w:t>3</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64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926</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264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1.16×10</w:t>
                  </w:r>
                  <w:r>
                    <w:rPr>
                      <w:rFonts w:hint="default" w:ascii="Times New Roman" w:hAnsi="Times New Roman" w:eastAsia="仿宋" w:cs="Times New Roman"/>
                      <w:color w:val="auto"/>
                      <w:kern w:val="2"/>
                      <w:sz w:val="21"/>
                      <w:szCs w:val="21"/>
                      <w:vertAlign w:val="superscript"/>
                      <w:lang w:val="en-US" w:eastAsia="zh-CN" w:bidi="ar-SA"/>
                    </w:rPr>
                    <w:t>3</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vMerge w:val="restar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厂南</w:t>
                  </w:r>
                </w:p>
              </w:tc>
              <w:tc>
                <w:tcPr>
                  <w:tcW w:w="2649" w:type="dxa"/>
                  <w:noWrap w:val="0"/>
                  <w:vAlign w:val="top"/>
                </w:tcPr>
                <w:p>
                  <w:pPr>
                    <w:pStyle w:val="4"/>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407</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649" w:type="dxa"/>
                  <w:noWrap w:val="0"/>
                  <w:vAlign w:val="top"/>
                </w:tcPr>
                <w:p>
                  <w:pPr>
                    <w:pStyle w:val="4"/>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1.03</w:t>
                  </w:r>
                  <w:r>
                    <w:rPr>
                      <w:rFonts w:hint="default" w:ascii="Times New Roman" w:hAnsi="Times New Roman" w:eastAsia="仿宋" w:cs="Times New Roman"/>
                      <w:color w:val="auto"/>
                      <w:kern w:val="2"/>
                      <w:sz w:val="21"/>
                      <w:szCs w:val="21"/>
                      <w:vertAlign w:val="baseline"/>
                      <w:lang w:val="en-US" w:eastAsia="zh-CN" w:bidi="ar-SA"/>
                    </w:rPr>
                    <w:t>×10</w:t>
                  </w:r>
                  <w:r>
                    <w:rPr>
                      <w:rFonts w:hint="default" w:ascii="Times New Roman" w:hAnsi="Times New Roman" w:eastAsia="仿宋" w:cs="Times New Roman"/>
                      <w:color w:val="auto"/>
                      <w:kern w:val="2"/>
                      <w:sz w:val="21"/>
                      <w:szCs w:val="21"/>
                      <w:vertAlign w:val="superscript"/>
                      <w:lang w:val="en-US" w:eastAsia="zh-CN" w:bidi="ar-SA"/>
                    </w:rPr>
                    <w:t>3</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649" w:type="dxa"/>
                  <w:noWrap w:val="0"/>
                  <w:vAlign w:val="top"/>
                </w:tcPr>
                <w:p>
                  <w:pPr>
                    <w:pStyle w:val="4"/>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1.15</w:t>
                  </w:r>
                  <w:r>
                    <w:rPr>
                      <w:rFonts w:hint="default" w:ascii="Times New Roman" w:hAnsi="Times New Roman" w:eastAsia="仿宋" w:cs="Times New Roman"/>
                      <w:color w:val="auto"/>
                      <w:kern w:val="2"/>
                      <w:sz w:val="21"/>
                      <w:szCs w:val="21"/>
                      <w:vertAlign w:val="baseline"/>
                      <w:lang w:val="en-US" w:eastAsia="zh-CN" w:bidi="ar-SA"/>
                    </w:rPr>
                    <w:t>×10</w:t>
                  </w:r>
                  <w:r>
                    <w:rPr>
                      <w:rFonts w:hint="default" w:ascii="Times New Roman" w:hAnsi="Times New Roman" w:eastAsia="仿宋" w:cs="Times New Roman"/>
                      <w:color w:val="auto"/>
                      <w:kern w:val="2"/>
                      <w:sz w:val="21"/>
                      <w:szCs w:val="21"/>
                      <w:vertAlign w:val="superscript"/>
                      <w:lang w:val="en-US" w:eastAsia="zh-CN" w:bidi="ar-SA"/>
                    </w:rPr>
                    <w:t>3</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264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862</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vMerge w:val="restar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厂西</w:t>
                  </w:r>
                </w:p>
              </w:tc>
              <w:tc>
                <w:tcPr>
                  <w:tcW w:w="2649"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3.02×10</w:t>
                  </w:r>
                  <w:r>
                    <w:rPr>
                      <w:rFonts w:hint="default" w:ascii="Times New Roman" w:hAnsi="Times New Roman" w:eastAsia="仿宋" w:cs="Times New Roman"/>
                      <w:color w:val="auto"/>
                      <w:kern w:val="2"/>
                      <w:sz w:val="21"/>
                      <w:szCs w:val="21"/>
                      <w:vertAlign w:val="superscript"/>
                      <w:lang w:val="en-US" w:eastAsia="zh-CN" w:bidi="ar-SA"/>
                    </w:rPr>
                    <w:t>3</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649" w:type="dxa"/>
                  <w:noWrap w:val="0"/>
                  <w:vAlign w:val="top"/>
                </w:tcPr>
                <w:p>
                  <w:pPr>
                    <w:pStyle w:val="4"/>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104</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649" w:type="dxa"/>
                  <w:noWrap w:val="0"/>
                  <w:vAlign w:val="top"/>
                </w:tcPr>
                <w:p>
                  <w:pPr>
                    <w:pStyle w:val="4"/>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75.0</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161"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23"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2649" w:type="dxa"/>
                  <w:noWrap w:val="0"/>
                  <w:vAlign w:val="top"/>
                </w:tcPr>
                <w:p>
                  <w:pPr>
                    <w:pStyle w:val="4"/>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1.07×10</w:t>
                  </w:r>
                  <w:r>
                    <w:rPr>
                      <w:rFonts w:hint="default" w:ascii="Times New Roman" w:hAnsi="Times New Roman" w:eastAsia="仿宋" w:cs="Times New Roman"/>
                      <w:color w:val="auto"/>
                      <w:kern w:val="2"/>
                      <w:sz w:val="21"/>
                      <w:szCs w:val="21"/>
                      <w:vertAlign w:val="superscript"/>
                      <w:lang w:val="en-US" w:eastAsia="zh-CN" w:bidi="ar-SA"/>
                    </w:rPr>
                    <w:t>3</w:t>
                  </w:r>
                </w:p>
              </w:tc>
              <w:tc>
                <w:tcPr>
                  <w:tcW w:w="974"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722"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bl>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3、废水：</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本项目废水排放满足《</w:t>
            </w:r>
            <w:r>
              <w:rPr>
                <w:rFonts w:hint="default" w:ascii="Times New Roman" w:hAnsi="Times New Roman" w:eastAsia="宋体" w:cs="Times New Roman"/>
                <w:bCs/>
                <w:color w:val="auto"/>
                <w:sz w:val="24"/>
                <w:szCs w:val="24"/>
                <w:lang w:eastAsia="zh-CN"/>
              </w:rPr>
              <w:t>污水综合排放标准》（GB8918-1996）中三级排放标准及南山污水处理厂接管标准</w:t>
            </w:r>
            <w:r>
              <w:rPr>
                <w:rFonts w:hint="default" w:ascii="Times New Roman" w:hAnsi="Times New Roman" w:cs="Times New Roman"/>
                <w:color w:val="auto"/>
                <w:kern w:val="0"/>
                <w:sz w:val="24"/>
                <w:lang w:eastAsia="zh-CN"/>
              </w:rPr>
              <w:t>，</w:t>
            </w:r>
            <w:r>
              <w:rPr>
                <w:rFonts w:hint="default" w:ascii="Times New Roman" w:hAnsi="Times New Roman" w:eastAsia="宋体" w:cs="Times New Roman"/>
                <w:color w:val="000000"/>
                <w:sz w:val="24"/>
                <w:szCs w:val="24"/>
                <w:lang w:val="en-US" w:eastAsia="zh-CN"/>
              </w:rPr>
              <w:t>具体检测结果见下表。</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b/>
                <w:bCs/>
                <w:color w:val="000000"/>
                <w:sz w:val="21"/>
                <w:szCs w:val="21"/>
                <w:lang w:val="en-US" w:eastAsia="zh-CN"/>
              </w:rPr>
              <w:t>表12-5 废水检测结果</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1326"/>
              <w:gridCol w:w="1179"/>
              <w:gridCol w:w="1179"/>
              <w:gridCol w:w="1179"/>
              <w:gridCol w:w="1179"/>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55" w:type="pct"/>
                  <w:vMerge w:val="restart"/>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sz w:val="21"/>
                      <w:szCs w:val="21"/>
                      <w:lang w:val="en-US" w:eastAsia="zh-CN"/>
                    </w:rPr>
                    <w:t>采样时间</w:t>
                  </w:r>
                </w:p>
              </w:tc>
              <w:tc>
                <w:tcPr>
                  <w:tcW w:w="760" w:type="pct"/>
                  <w:vMerge w:val="restart"/>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sz w:val="21"/>
                      <w:szCs w:val="21"/>
                      <w:lang w:val="en-US" w:eastAsia="zh-CN"/>
                    </w:rPr>
                    <w:t>采样点位</w:t>
                  </w:r>
                </w:p>
              </w:tc>
              <w:tc>
                <w:tcPr>
                  <w:tcW w:w="3384" w:type="pct"/>
                  <w:gridSpan w:val="5"/>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0"/>
                      <w:vertAlign w:val="baseline"/>
                      <w:lang w:val="en-US" w:eastAsia="zh-CN" w:bidi="ar-SA"/>
                    </w:rPr>
                  </w:pPr>
                  <w:r>
                    <w:rPr>
                      <w:rFonts w:hint="default" w:ascii="Times New Roman" w:hAnsi="Times New Roman" w:cs="Times New Roman"/>
                      <w:sz w:val="21"/>
                      <w:szCs w:val="21"/>
                      <w:lang w:val="en-US" w:eastAsia="zh-CN"/>
                    </w:rPr>
                    <w:t>检测结果 单位：mg/L，pH无量纲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55" w:type="pct"/>
                  <w:vMerge w:val="continue"/>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rPr>
                  </w:pPr>
                </w:p>
              </w:tc>
              <w:tc>
                <w:tcPr>
                  <w:tcW w:w="760" w:type="pct"/>
                  <w:vMerge w:val="continue"/>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rPr>
                  </w:pPr>
                </w:p>
              </w:tc>
              <w:tc>
                <w:tcPr>
                  <w:tcW w:w="676"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0"/>
                      <w:vertAlign w:val="baseline"/>
                      <w:lang w:val="en-US" w:eastAsia="zh-CN" w:bidi="ar-SA"/>
                    </w:rPr>
                  </w:pPr>
                  <w:r>
                    <w:rPr>
                      <w:rFonts w:hint="default" w:ascii="Times New Roman" w:hAnsi="Times New Roman" w:cs="Times New Roman"/>
                      <w:kern w:val="2"/>
                      <w:sz w:val="21"/>
                      <w:szCs w:val="20"/>
                      <w:vertAlign w:val="baseline"/>
                      <w:lang w:val="en-US" w:eastAsia="zh-CN" w:bidi="ar-SA"/>
                    </w:rPr>
                    <w:t>监测项目</w:t>
                  </w:r>
                </w:p>
              </w:tc>
              <w:tc>
                <w:tcPr>
                  <w:tcW w:w="676"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0"/>
                      <w:vertAlign w:val="baseline"/>
                      <w:lang w:val="en-US" w:eastAsia="zh-CN" w:bidi="ar-SA"/>
                    </w:rPr>
                  </w:pPr>
                  <w:r>
                    <w:rPr>
                      <w:rFonts w:hint="default" w:ascii="Times New Roman" w:hAnsi="Times New Roman" w:cs="Times New Roman"/>
                      <w:kern w:val="2"/>
                      <w:sz w:val="21"/>
                      <w:szCs w:val="20"/>
                      <w:vertAlign w:val="baseline"/>
                      <w:lang w:val="en-US" w:eastAsia="zh-CN" w:bidi="ar-SA"/>
                    </w:rPr>
                    <w:t>第一次</w:t>
                  </w:r>
                </w:p>
              </w:tc>
              <w:tc>
                <w:tcPr>
                  <w:tcW w:w="676"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0"/>
                      <w:vertAlign w:val="baseline"/>
                      <w:lang w:val="en-US" w:eastAsia="zh-CN" w:bidi="ar-SA"/>
                    </w:rPr>
                  </w:pPr>
                  <w:r>
                    <w:rPr>
                      <w:rFonts w:hint="default" w:ascii="Times New Roman" w:hAnsi="Times New Roman" w:cs="Times New Roman"/>
                      <w:kern w:val="2"/>
                      <w:sz w:val="21"/>
                      <w:szCs w:val="20"/>
                      <w:vertAlign w:val="baseline"/>
                      <w:lang w:val="en-US" w:eastAsia="zh-CN" w:bidi="ar-SA"/>
                    </w:rPr>
                    <w:t>第二次</w:t>
                  </w:r>
                </w:p>
              </w:tc>
              <w:tc>
                <w:tcPr>
                  <w:tcW w:w="676"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0"/>
                      <w:vertAlign w:val="baseline"/>
                      <w:lang w:val="en-US" w:eastAsia="zh-CN" w:bidi="ar-SA"/>
                    </w:rPr>
                  </w:pPr>
                  <w:r>
                    <w:rPr>
                      <w:rFonts w:hint="default" w:ascii="Times New Roman" w:hAnsi="Times New Roman" w:cs="Times New Roman"/>
                      <w:kern w:val="2"/>
                      <w:sz w:val="21"/>
                      <w:szCs w:val="20"/>
                      <w:vertAlign w:val="baseline"/>
                      <w:lang w:val="en-US" w:eastAsia="zh-CN" w:bidi="ar-SA"/>
                    </w:rPr>
                    <w:t>第三次</w:t>
                  </w:r>
                </w:p>
              </w:tc>
              <w:tc>
                <w:tcPr>
                  <w:tcW w:w="680"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0"/>
                      <w:vertAlign w:val="baseline"/>
                      <w:lang w:val="en-US" w:eastAsia="zh-CN" w:bidi="ar-SA"/>
                    </w:rPr>
                  </w:pPr>
                  <w:r>
                    <w:rPr>
                      <w:rFonts w:hint="default" w:ascii="Times New Roman" w:hAnsi="Times New Roman" w:cs="Times New Roman"/>
                      <w:kern w:val="2"/>
                      <w:sz w:val="21"/>
                      <w:szCs w:val="20"/>
                      <w:vertAlign w:val="baseline"/>
                      <w:lang w:val="en-US" w:eastAsia="zh-CN" w:bidi="ar-SA"/>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55" w:type="pct"/>
                  <w:vMerge w:val="restart"/>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sz w:val="21"/>
                      <w:szCs w:val="21"/>
                      <w:lang w:val="en-US" w:eastAsia="zh-CN"/>
                    </w:rPr>
                    <w:t>2022.02.21</w:t>
                  </w:r>
                </w:p>
              </w:tc>
              <w:tc>
                <w:tcPr>
                  <w:tcW w:w="760" w:type="pct"/>
                  <w:vMerge w:val="restart"/>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sz w:val="21"/>
                      <w:szCs w:val="21"/>
                      <w:lang w:val="en-US" w:eastAsia="zh-CN"/>
                    </w:rPr>
                    <w:t>污水总排口</w:t>
                  </w:r>
                </w:p>
              </w:tc>
              <w:tc>
                <w:tcPr>
                  <w:tcW w:w="676" w:type="pct"/>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sz w:val="21"/>
                      <w:szCs w:val="21"/>
                      <w:lang w:val="en-US" w:eastAsia="zh-CN"/>
                    </w:rPr>
                    <w:t>pH</w:t>
                  </w:r>
                </w:p>
              </w:tc>
              <w:tc>
                <w:tcPr>
                  <w:tcW w:w="1179"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7.4</w:t>
                  </w:r>
                </w:p>
              </w:tc>
              <w:tc>
                <w:tcPr>
                  <w:tcW w:w="1179"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7.3</w:t>
                  </w:r>
                </w:p>
              </w:tc>
              <w:tc>
                <w:tcPr>
                  <w:tcW w:w="1179"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7.3</w:t>
                  </w:r>
                </w:p>
              </w:tc>
              <w:tc>
                <w:tcPr>
                  <w:tcW w:w="1186"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55" w:type="pct"/>
                  <w:vMerge w:val="continue"/>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760" w:type="pct"/>
                  <w:vMerge w:val="continue"/>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676" w:type="pct"/>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sz w:val="21"/>
                      <w:szCs w:val="21"/>
                      <w:lang w:val="en-US" w:eastAsia="zh-CN"/>
                    </w:rPr>
                    <w:t>COD</w:t>
                  </w:r>
                  <w:r>
                    <w:rPr>
                      <w:rFonts w:hint="default" w:ascii="Times New Roman" w:hAnsi="Times New Roman" w:cs="Times New Roman"/>
                      <w:sz w:val="21"/>
                      <w:szCs w:val="21"/>
                      <w:vertAlign w:val="subscript"/>
                      <w:lang w:val="en-US" w:eastAsia="zh-CN"/>
                    </w:rPr>
                    <w:t>cr</w:t>
                  </w:r>
                </w:p>
              </w:tc>
              <w:tc>
                <w:tcPr>
                  <w:tcW w:w="1179"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26</w:t>
                  </w:r>
                </w:p>
              </w:tc>
              <w:tc>
                <w:tcPr>
                  <w:tcW w:w="1179"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23</w:t>
                  </w:r>
                </w:p>
              </w:tc>
              <w:tc>
                <w:tcPr>
                  <w:tcW w:w="1179"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22</w:t>
                  </w:r>
                </w:p>
              </w:tc>
              <w:tc>
                <w:tcPr>
                  <w:tcW w:w="1186"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55" w:type="pct"/>
                  <w:vMerge w:val="continue"/>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760" w:type="pct"/>
                  <w:vMerge w:val="continue"/>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676" w:type="pct"/>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sz w:val="21"/>
                      <w:szCs w:val="21"/>
                      <w:lang w:val="en-US" w:eastAsia="zh-CN"/>
                    </w:rPr>
                    <w:t>氨氮</w:t>
                  </w:r>
                </w:p>
              </w:tc>
              <w:tc>
                <w:tcPr>
                  <w:tcW w:w="1179"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0.365</w:t>
                  </w:r>
                </w:p>
              </w:tc>
              <w:tc>
                <w:tcPr>
                  <w:tcW w:w="1179"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0.357</w:t>
                  </w:r>
                </w:p>
              </w:tc>
              <w:tc>
                <w:tcPr>
                  <w:tcW w:w="1179"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0.350</w:t>
                  </w:r>
                </w:p>
              </w:tc>
              <w:tc>
                <w:tcPr>
                  <w:tcW w:w="1186"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0.357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55" w:type="pct"/>
                  <w:vMerge w:val="continue"/>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760" w:type="pct"/>
                  <w:vMerge w:val="continue"/>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676" w:type="pct"/>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sz w:val="21"/>
                      <w:szCs w:val="21"/>
                      <w:lang w:val="en-US" w:eastAsia="zh-CN"/>
                    </w:rPr>
                    <w:t>SS</w:t>
                  </w:r>
                </w:p>
              </w:tc>
              <w:tc>
                <w:tcPr>
                  <w:tcW w:w="1179"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16</w:t>
                  </w:r>
                </w:p>
              </w:tc>
              <w:tc>
                <w:tcPr>
                  <w:tcW w:w="1179"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19</w:t>
                  </w:r>
                </w:p>
              </w:tc>
              <w:tc>
                <w:tcPr>
                  <w:tcW w:w="1179"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15</w:t>
                  </w:r>
                </w:p>
              </w:tc>
              <w:tc>
                <w:tcPr>
                  <w:tcW w:w="1186"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55" w:type="pct"/>
                  <w:vMerge w:val="continue"/>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760" w:type="pct"/>
                  <w:vMerge w:val="continue"/>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p>
              </w:tc>
              <w:tc>
                <w:tcPr>
                  <w:tcW w:w="676" w:type="pct"/>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sz w:val="21"/>
                      <w:szCs w:val="21"/>
                      <w:lang w:val="en-US" w:eastAsia="zh-CN"/>
                    </w:rPr>
                    <w:t>BOD</w:t>
                  </w:r>
                  <w:r>
                    <w:rPr>
                      <w:rFonts w:hint="default" w:ascii="Times New Roman" w:hAnsi="Times New Roman" w:cs="Times New Roman"/>
                      <w:sz w:val="21"/>
                      <w:szCs w:val="21"/>
                      <w:vertAlign w:val="subscript"/>
                      <w:lang w:val="en-US" w:eastAsia="zh-CN"/>
                    </w:rPr>
                    <w:t>5</w:t>
                  </w:r>
                </w:p>
              </w:tc>
              <w:tc>
                <w:tcPr>
                  <w:tcW w:w="1179"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4.5</w:t>
                  </w:r>
                </w:p>
              </w:tc>
              <w:tc>
                <w:tcPr>
                  <w:tcW w:w="1179"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4.0</w:t>
                  </w:r>
                </w:p>
              </w:tc>
              <w:tc>
                <w:tcPr>
                  <w:tcW w:w="1179"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4.0</w:t>
                  </w:r>
                </w:p>
              </w:tc>
              <w:tc>
                <w:tcPr>
                  <w:tcW w:w="1186" w:type="dxa"/>
                  <w:vAlign w:val="center"/>
                </w:tcPr>
                <w:p>
                  <w:pPr>
                    <w:pStyle w:val="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vertAlign w:val="baseline"/>
                      <w:lang w:val="en-US" w:eastAsia="zh-CN"/>
                    </w:rPr>
                  </w:pPr>
                  <w:r>
                    <w:rPr>
                      <w:rFonts w:hint="default" w:ascii="Times New Roman" w:hAnsi="Times New Roman" w:eastAsia="仿宋" w:cs="Times New Roman"/>
                      <w:sz w:val="24"/>
                      <w:szCs w:val="24"/>
                      <w:vertAlign w:val="baseline"/>
                      <w:lang w:val="en-US" w:eastAsia="zh-CN"/>
                    </w:rPr>
                    <w:t>4.2</w:t>
                  </w:r>
                </w:p>
              </w:tc>
            </w:tr>
          </w:tbl>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4、厂界噪声：</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厂界环境噪声排放满足《工业企业厂界环境噪声排放标准》（GB12348-2008）中3类标准，为达标排放。具体检测结果见下表。</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表12-6 噪声检测结果</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1809"/>
              <w:gridCol w:w="1284"/>
              <w:gridCol w:w="1252"/>
              <w:gridCol w:w="1439"/>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pct"/>
                  <w:vMerge w:val="restar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检测结果</w:t>
                  </w:r>
                </w:p>
              </w:tc>
              <w:tc>
                <w:tcPr>
                  <w:tcW w:w="1037" w:type="pct"/>
                  <w:vMerge w:val="restar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检测点位</w:t>
                  </w:r>
                </w:p>
              </w:tc>
              <w:tc>
                <w:tcPr>
                  <w:tcW w:w="3083" w:type="pct"/>
                  <w:gridSpan w:val="4"/>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检测时间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tc>
              <w:tc>
                <w:tcPr>
                  <w:tcW w:w="1037"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tc>
              <w:tc>
                <w:tcPr>
                  <w:tcW w:w="1454" w:type="pct"/>
                  <w:gridSpan w:val="2"/>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cs="Times New Roman"/>
                      <w:sz w:val="21"/>
                      <w:szCs w:val="21"/>
                      <w:lang w:val="en-US" w:eastAsia="zh-CN"/>
                    </w:rPr>
                    <w:t>2022.02.21</w:t>
                  </w:r>
                </w:p>
              </w:tc>
              <w:tc>
                <w:tcPr>
                  <w:tcW w:w="1628" w:type="pct"/>
                  <w:gridSpan w:val="2"/>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cs="Times New Roman"/>
                      <w:sz w:val="21"/>
                      <w:szCs w:val="21"/>
                      <w:lang w:val="en-US" w:eastAsia="zh-CN"/>
                    </w:rPr>
                    <w:t>2022.02.22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79"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tc>
              <w:tc>
                <w:tcPr>
                  <w:tcW w:w="1037"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tc>
              <w:tc>
                <w:tcPr>
                  <w:tcW w:w="736"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昼</w:t>
                  </w:r>
                </w:p>
              </w:tc>
              <w:tc>
                <w:tcPr>
                  <w:tcW w:w="717"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夜</w:t>
                  </w:r>
                </w:p>
              </w:tc>
              <w:tc>
                <w:tcPr>
                  <w:tcW w:w="825"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昼</w:t>
                  </w:r>
                </w:p>
              </w:tc>
              <w:tc>
                <w:tcPr>
                  <w:tcW w:w="803"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tc>
              <w:tc>
                <w:tcPr>
                  <w:tcW w:w="1037"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1#东</w:t>
                  </w:r>
                </w:p>
              </w:tc>
              <w:tc>
                <w:tcPr>
                  <w:tcW w:w="1284" w:type="dxa"/>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55.0</w:t>
                  </w:r>
                </w:p>
              </w:tc>
              <w:tc>
                <w:tcPr>
                  <w:tcW w:w="1252" w:type="dxa"/>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46.9</w:t>
                  </w:r>
                </w:p>
              </w:tc>
              <w:tc>
                <w:tcPr>
                  <w:tcW w:w="1439" w:type="dxa"/>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55.1</w:t>
                  </w:r>
                </w:p>
              </w:tc>
              <w:tc>
                <w:tcPr>
                  <w:tcW w:w="1402" w:type="dxa"/>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79"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tc>
              <w:tc>
                <w:tcPr>
                  <w:tcW w:w="1037"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2#南</w:t>
                  </w:r>
                </w:p>
              </w:tc>
              <w:tc>
                <w:tcPr>
                  <w:tcW w:w="1284" w:type="dxa"/>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59.3</w:t>
                  </w:r>
                </w:p>
              </w:tc>
              <w:tc>
                <w:tcPr>
                  <w:tcW w:w="1252" w:type="dxa"/>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48.1</w:t>
                  </w:r>
                </w:p>
              </w:tc>
              <w:tc>
                <w:tcPr>
                  <w:tcW w:w="1439" w:type="dxa"/>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59.6</w:t>
                  </w:r>
                </w:p>
              </w:tc>
              <w:tc>
                <w:tcPr>
                  <w:tcW w:w="1402" w:type="dxa"/>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4"/>
                      <w:szCs w:val="24"/>
                      <w:lang w:val="en-US" w:eastAsia="zh-CN"/>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tc>
              <w:tc>
                <w:tcPr>
                  <w:tcW w:w="1037"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3#西</w:t>
                  </w:r>
                </w:p>
              </w:tc>
              <w:tc>
                <w:tcPr>
                  <w:tcW w:w="1284" w:type="dxa"/>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4"/>
                      <w:szCs w:val="24"/>
                      <w:lang w:val="en-US" w:eastAsia="zh-CN" w:bidi="ar-SA"/>
                    </w:rPr>
                    <w:t>57.2</w:t>
                  </w:r>
                </w:p>
              </w:tc>
              <w:tc>
                <w:tcPr>
                  <w:tcW w:w="1252" w:type="dxa"/>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4"/>
                      <w:szCs w:val="24"/>
                      <w:lang w:val="en-US" w:eastAsia="zh-CN" w:bidi="ar-SA"/>
                    </w:rPr>
                    <w:t>46.1</w:t>
                  </w:r>
                </w:p>
              </w:tc>
              <w:tc>
                <w:tcPr>
                  <w:tcW w:w="1439" w:type="dxa"/>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4"/>
                      <w:szCs w:val="24"/>
                      <w:lang w:val="en-US" w:eastAsia="zh-CN" w:bidi="ar-SA"/>
                    </w:rPr>
                    <w:t>57.3</w:t>
                  </w:r>
                </w:p>
              </w:tc>
              <w:tc>
                <w:tcPr>
                  <w:tcW w:w="1402" w:type="dxa"/>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4"/>
                      <w:szCs w:val="24"/>
                      <w:lang w:val="en-US" w:eastAsia="zh-CN" w:bidi="ar-SA"/>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9" w:type="pct"/>
                  <w:vMerge w:val="continue"/>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tc>
              <w:tc>
                <w:tcPr>
                  <w:tcW w:w="1037" w:type="pct"/>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4#北</w:t>
                  </w:r>
                </w:p>
              </w:tc>
              <w:tc>
                <w:tcPr>
                  <w:tcW w:w="1284" w:type="dxa"/>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4"/>
                      <w:szCs w:val="24"/>
                      <w:lang w:val="en-US" w:eastAsia="zh-CN" w:bidi="ar-SA"/>
                    </w:rPr>
                    <w:t>58.3</w:t>
                  </w:r>
                </w:p>
              </w:tc>
              <w:tc>
                <w:tcPr>
                  <w:tcW w:w="1252" w:type="dxa"/>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4"/>
                      <w:szCs w:val="24"/>
                      <w:lang w:val="en-US" w:eastAsia="zh-CN" w:bidi="ar-SA"/>
                    </w:rPr>
                    <w:t>47.9</w:t>
                  </w:r>
                </w:p>
              </w:tc>
              <w:tc>
                <w:tcPr>
                  <w:tcW w:w="1439" w:type="dxa"/>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4"/>
                      <w:szCs w:val="24"/>
                      <w:lang w:val="en-US" w:eastAsia="zh-CN" w:bidi="ar-SA"/>
                    </w:rPr>
                    <w:t>56.8</w:t>
                  </w:r>
                </w:p>
              </w:tc>
              <w:tc>
                <w:tcPr>
                  <w:tcW w:w="1402" w:type="dxa"/>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4"/>
                      <w:szCs w:val="24"/>
                      <w:lang w:val="en-US" w:eastAsia="zh-CN" w:bidi="ar-SA"/>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916" w:type="pct"/>
                  <w:gridSpan w:val="2"/>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气相条件</w:t>
                  </w:r>
                </w:p>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p>
              </w:tc>
              <w:tc>
                <w:tcPr>
                  <w:tcW w:w="3083" w:type="pct"/>
                  <w:gridSpan w:val="4"/>
                  <w:noWrap w:val="0"/>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昼：</w:t>
                  </w:r>
                  <w:r>
                    <w:rPr>
                      <w:rFonts w:hint="eastAsia" w:ascii="Times New Roman" w:hAnsi="Times New Roman" w:cs="Times New Roman"/>
                      <w:lang w:val="en-US" w:eastAsia="zh-CN"/>
                    </w:rPr>
                    <w:t>阴</w:t>
                  </w:r>
                </w:p>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夜：</w:t>
                  </w:r>
                  <w:r>
                    <w:rPr>
                      <w:rFonts w:hint="eastAsia" w:ascii="Times New Roman" w:hAnsi="Times New Roman" w:cs="Times New Roman"/>
                      <w:lang w:val="en-US" w:eastAsia="zh-CN"/>
                    </w:rPr>
                    <w:t>阴</w:t>
                  </w:r>
                </w:p>
              </w:tc>
            </w:tr>
          </w:tbl>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lang w:val="en-US" w:eastAsia="zh-CN"/>
              </w:rPr>
            </w:pPr>
            <w:r>
              <w:rPr>
                <w:rFonts w:hint="default" w:ascii="Times New Roman" w:hAnsi="Times New Roman" w:eastAsia="宋体" w:cs="Times New Roman"/>
                <w:sz w:val="24"/>
                <w:szCs w:val="32"/>
                <w:lang w:val="en-US" w:eastAsia="zh-CN"/>
              </w:rPr>
              <w:t>5、总量核算：</w:t>
            </w:r>
          </w:p>
          <w:p>
            <w:pPr>
              <w:pStyle w:val="4"/>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表12-7 总量核算表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1389"/>
              <w:gridCol w:w="1389"/>
              <w:gridCol w:w="1771"/>
              <w:gridCol w:w="1389"/>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污染物</w:t>
                  </w:r>
                </w:p>
              </w:tc>
              <w:tc>
                <w:tcPr>
                  <w:tcW w:w="796"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排放速率/排放浓度</w:t>
                  </w:r>
                </w:p>
              </w:tc>
              <w:tc>
                <w:tcPr>
                  <w:tcW w:w="796"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工作时间/排水量</w:t>
                  </w:r>
                </w:p>
              </w:tc>
              <w:tc>
                <w:tcPr>
                  <w:tcW w:w="1015"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实际排放总量</w:t>
                  </w:r>
                </w:p>
              </w:tc>
              <w:tc>
                <w:tcPr>
                  <w:tcW w:w="796"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总量要求</w:t>
                  </w:r>
                </w:p>
              </w:tc>
              <w:tc>
                <w:tcPr>
                  <w:tcW w:w="799"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是否满足总量控制要求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w:t>
                  </w:r>
                  <w:r>
                    <w:rPr>
                      <w:rFonts w:hint="default" w:ascii="Times New Roman" w:hAnsi="Times New Roman" w:cs="Times New Roman"/>
                      <w:sz w:val="21"/>
                      <w:szCs w:val="21"/>
                      <w:vertAlign w:val="subscript"/>
                      <w:lang w:val="en-US" w:eastAsia="zh-CN"/>
                    </w:rPr>
                    <w:t>cr</w:t>
                  </w:r>
                </w:p>
              </w:tc>
              <w:tc>
                <w:tcPr>
                  <w:tcW w:w="796"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w:t>
                  </w:r>
                  <w:r>
                    <w:rPr>
                      <w:rFonts w:hint="default" w:ascii="Times New Roman" w:hAnsi="Times New Roman" w:cs="Times New Roman"/>
                      <w:sz w:val="21"/>
                      <w:szCs w:val="21"/>
                      <w:lang w:val="en-US" w:eastAsia="zh-CN"/>
                    </w:rPr>
                    <w:t>mg/L</w:t>
                  </w:r>
                </w:p>
              </w:tc>
              <w:tc>
                <w:tcPr>
                  <w:tcW w:w="796" w:type="pct"/>
                  <w:vMerge w:val="restar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945m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/a</w:t>
                  </w:r>
                </w:p>
              </w:tc>
              <w:tc>
                <w:tcPr>
                  <w:tcW w:w="1015"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w:t>
                  </w:r>
                  <w:r>
                    <w:rPr>
                      <w:rFonts w:hint="eastAsia" w:ascii="Times New Roman" w:hAnsi="Times New Roman" w:cs="Times New Roman"/>
                      <w:sz w:val="21"/>
                      <w:szCs w:val="21"/>
                      <w:lang w:val="en-US" w:eastAsia="zh-CN"/>
                    </w:rPr>
                    <w:t>227</w:t>
                  </w:r>
                  <w:r>
                    <w:rPr>
                      <w:rFonts w:hint="default" w:ascii="Times New Roman" w:hAnsi="Times New Roman" w:cs="Times New Roman"/>
                      <w:sz w:val="21"/>
                      <w:szCs w:val="21"/>
                      <w:lang w:val="en-US" w:eastAsia="zh-CN"/>
                    </w:rPr>
                    <w:t>t/a</w:t>
                  </w:r>
                </w:p>
              </w:tc>
              <w:tc>
                <w:tcPr>
                  <w:tcW w:w="796"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color w:val="auto"/>
                      <w:sz w:val="21"/>
                      <w:szCs w:val="21"/>
                      <w:lang w:val="en-US" w:eastAsia="zh-CN"/>
                    </w:rPr>
                    <w:t>/</w:t>
                  </w:r>
                </w:p>
              </w:tc>
              <w:tc>
                <w:tcPr>
                  <w:tcW w:w="799"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不核算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-N</w:t>
                  </w:r>
                </w:p>
              </w:tc>
              <w:tc>
                <w:tcPr>
                  <w:tcW w:w="796"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0.357</w:t>
                  </w:r>
                  <w:r>
                    <w:rPr>
                      <w:rFonts w:hint="default" w:ascii="Times New Roman" w:hAnsi="Times New Roman" w:cs="Times New Roman"/>
                      <w:sz w:val="21"/>
                      <w:szCs w:val="21"/>
                      <w:lang w:val="en-US" w:eastAsia="zh-CN"/>
                    </w:rPr>
                    <w:t>mg/L</w:t>
                  </w:r>
                </w:p>
              </w:tc>
              <w:tc>
                <w:tcPr>
                  <w:tcW w:w="796" w:type="pct"/>
                  <w:vMerge w:val="continue"/>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015"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0.000</w:t>
                  </w:r>
                  <w:r>
                    <w:rPr>
                      <w:rFonts w:hint="eastAsia" w:ascii="Times New Roman" w:hAnsi="Times New Roman" w:cs="Times New Roman"/>
                      <w:sz w:val="21"/>
                      <w:szCs w:val="21"/>
                      <w:lang w:val="en-US" w:eastAsia="zh-CN"/>
                    </w:rPr>
                    <w:t>34</w:t>
                  </w:r>
                  <w:r>
                    <w:rPr>
                      <w:rFonts w:hint="default" w:ascii="Times New Roman" w:hAnsi="Times New Roman" w:cs="Times New Roman"/>
                      <w:sz w:val="21"/>
                      <w:szCs w:val="21"/>
                      <w:lang w:val="en-US" w:eastAsia="zh-CN"/>
                    </w:rPr>
                    <w:t>t/a</w:t>
                  </w:r>
                </w:p>
              </w:tc>
              <w:tc>
                <w:tcPr>
                  <w:tcW w:w="796"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color w:val="auto"/>
                      <w:sz w:val="21"/>
                      <w:szCs w:val="21"/>
                      <w:lang w:val="en-US" w:eastAsia="zh-CN"/>
                    </w:rPr>
                    <w:t>/</w:t>
                  </w:r>
                </w:p>
              </w:tc>
              <w:tc>
                <w:tcPr>
                  <w:tcW w:w="799"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不核算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VOC</w:t>
                  </w:r>
                  <w:r>
                    <w:rPr>
                      <w:rFonts w:hint="default" w:ascii="Times New Roman" w:hAnsi="Times New Roman" w:cs="Times New Roman"/>
                      <w:sz w:val="21"/>
                      <w:szCs w:val="21"/>
                      <w:vertAlign w:val="subscript"/>
                      <w:lang w:val="en-US" w:eastAsia="zh-CN"/>
                    </w:rPr>
                    <w:t>s</w:t>
                  </w:r>
                </w:p>
              </w:tc>
              <w:tc>
                <w:tcPr>
                  <w:tcW w:w="796"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0.001kg/h</w:t>
                  </w:r>
                </w:p>
              </w:tc>
              <w:tc>
                <w:tcPr>
                  <w:tcW w:w="796"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300h/a</w:t>
                  </w:r>
                </w:p>
              </w:tc>
              <w:tc>
                <w:tcPr>
                  <w:tcW w:w="1015"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003</w:t>
                  </w:r>
                  <w:r>
                    <w:rPr>
                      <w:rFonts w:hint="default" w:ascii="Times New Roman" w:hAnsi="Times New Roman" w:cs="Times New Roman"/>
                      <w:sz w:val="21"/>
                      <w:szCs w:val="21"/>
                      <w:lang w:val="en-US" w:eastAsia="zh-CN"/>
                    </w:rPr>
                    <w:t>t/a</w:t>
                  </w:r>
                </w:p>
              </w:tc>
              <w:tc>
                <w:tcPr>
                  <w:tcW w:w="796"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104</w:t>
                  </w:r>
                  <w:r>
                    <w:rPr>
                      <w:rFonts w:hint="default" w:ascii="Times New Roman" w:hAnsi="Times New Roman" w:cs="Times New Roman"/>
                      <w:sz w:val="21"/>
                      <w:szCs w:val="21"/>
                      <w:lang w:val="en-US" w:eastAsia="zh-CN"/>
                    </w:rPr>
                    <w:t>t/a</w:t>
                  </w:r>
                </w:p>
              </w:tc>
              <w:tc>
                <w:tcPr>
                  <w:tcW w:w="799" w:type="pct"/>
                  <w:vAlign w:val="center"/>
                </w:tcPr>
                <w:p>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bl>
          <w:p>
            <w:pPr>
              <w:pStyle w:val="4"/>
              <w:spacing w:line="360" w:lineRule="auto"/>
              <w:rPr>
                <w:rFonts w:hint="default" w:ascii="Times New Roman" w:hAnsi="Times New Roman" w:cs="Times New Roman"/>
                <w:lang w:val="en-US" w:eastAsia="zh-CN"/>
              </w:rPr>
            </w:pPr>
          </w:p>
        </w:tc>
      </w:tr>
    </w:tbl>
    <w:p>
      <w:pPr>
        <w:spacing w:after="0" w:afterLines="0" w:line="360" w:lineRule="auto"/>
        <w:rPr>
          <w:rFonts w:hint="default" w:ascii="Times New Roman" w:hAnsi="Times New Roman" w:eastAsia="仿宋_GB2312" w:cs="Times New Roman"/>
          <w:b/>
          <w:color w:val="000000"/>
          <w:sz w:val="21"/>
          <w:szCs w:val="21"/>
        </w:rPr>
      </w:pPr>
    </w:p>
    <w:p>
      <w:pPr>
        <w:pStyle w:val="4"/>
        <w:rPr>
          <w:rFonts w:hint="default"/>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000" w:type="pct"/>
            <w:noWrap w:val="0"/>
            <w:vAlign w:val="center"/>
          </w:tcPr>
          <w:p>
            <w:pPr>
              <w:pStyle w:val="4"/>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验收监测结论：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eastAsiaTheme="minorEastAsia"/>
                <w:color w:val="000000"/>
                <w:sz w:val="24"/>
                <w:szCs w:val="24"/>
                <w:lang w:val="en-US" w:eastAsia="zh-CN"/>
              </w:rPr>
            </w:pP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val="en-US" w:eastAsia="zh-CN"/>
              </w:rPr>
              <w:t>、废气：</w:t>
            </w:r>
            <w:r>
              <w:rPr>
                <w:rFonts w:hint="eastAsia" w:ascii="Times New Roman" w:hAnsi="Times New Roman" w:eastAsia="宋体" w:cs="Times New Roman"/>
                <w:color w:val="auto"/>
                <w:sz w:val="24"/>
                <w:szCs w:val="24"/>
                <w:lang w:eastAsia="zh-CN"/>
              </w:rPr>
              <w:t>本项目</w:t>
            </w:r>
            <w:r>
              <w:rPr>
                <w:rFonts w:hint="eastAsia" w:ascii="Times New Roman" w:hAnsi="Times New Roman" w:eastAsia="宋体" w:cs="Times New Roman"/>
                <w:color w:val="auto"/>
                <w:sz w:val="24"/>
                <w:szCs w:val="24"/>
                <w:lang w:val="en-US" w:eastAsia="zh-CN"/>
              </w:rPr>
              <w:t>VOCs</w:t>
            </w:r>
            <w:r>
              <w:rPr>
                <w:rFonts w:hint="default" w:ascii="Times New Roman" w:hAnsi="Times New Roman" w:eastAsia="宋体" w:cs="Times New Roman"/>
                <w:color w:val="auto"/>
                <w:sz w:val="24"/>
                <w:szCs w:val="24"/>
              </w:rPr>
              <w:t>排放</w:t>
            </w:r>
            <w:r>
              <w:rPr>
                <w:rFonts w:hint="eastAsia" w:ascii="Times New Roman" w:hAnsi="Times New Roman" w:eastAsia="宋体" w:cs="Times New Roman"/>
                <w:color w:val="auto"/>
                <w:sz w:val="24"/>
                <w:szCs w:val="24"/>
                <w:lang w:eastAsia="zh-CN"/>
              </w:rPr>
              <w:t>满足上海市《大气污染物综合排放标准》（DB31/933-2015）</w:t>
            </w:r>
            <w:r>
              <w:rPr>
                <w:rFonts w:hint="eastAsia" w:ascii="Times New Roman" w:hAnsi="Times New Roman" w:cs="Times New Roman"/>
                <w:bCs/>
                <w:color w:val="auto"/>
                <w:sz w:val="24"/>
                <w:szCs w:val="24"/>
                <w:lang w:eastAsia="zh-CN"/>
              </w:rPr>
              <w:t>的要求</w:t>
            </w:r>
            <w:r>
              <w:rPr>
                <w:rFonts w:hint="eastAsia" w:ascii="Times New Roman" w:hAnsi="Times New Roman"/>
                <w:color w:val="000000" w:themeColor="text1"/>
                <w:sz w:val="24"/>
                <w:szCs w:val="24"/>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、废水：</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废水</w:t>
            </w:r>
            <w:r>
              <w:rPr>
                <w:rFonts w:hint="default" w:ascii="Times New Roman" w:hAnsi="Times New Roman" w:cs="Times New Roman"/>
                <w:color w:val="auto"/>
                <w:kern w:val="0"/>
                <w:sz w:val="24"/>
                <w:lang w:eastAsia="zh-CN"/>
              </w:rPr>
              <w:t>中主要污染物排放浓度满足《污水综合排放标准》（GB8918-1996）中三级排放标准</w:t>
            </w:r>
            <w:r>
              <w:rPr>
                <w:rFonts w:hint="eastAsia" w:ascii="Times New Roman" w:hAnsi="Times New Roman" w:cs="Times New Roman"/>
                <w:color w:val="auto"/>
                <w:kern w:val="0"/>
                <w:sz w:val="24"/>
                <w:szCs w:val="24"/>
                <w:lang w:val="en-US" w:eastAsia="zh-CN"/>
              </w:rPr>
              <w:t>及</w:t>
            </w:r>
            <w:r>
              <w:rPr>
                <w:rFonts w:hint="eastAsia"/>
                <w:bCs/>
                <w:color w:val="auto"/>
                <w:sz w:val="24"/>
                <w:szCs w:val="24"/>
                <w:lang w:eastAsia="zh-CN"/>
              </w:rPr>
              <w:t>宁国市南山污水处理厂接管标准。</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3、噪声：厂界环境噪声排放满足《工业企业厂界环境噪声排放标准》（GB12348-2008）中的3类标准，为达标排放。</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sz w:val="24"/>
                <w:szCs w:val="24"/>
              </w:rPr>
            </w:pPr>
            <w:r>
              <w:rPr>
                <w:rFonts w:hint="default" w:ascii="Times New Roman" w:hAnsi="Times New Roman" w:eastAsia="宋体" w:cs="Times New Roman"/>
                <w:color w:val="000000"/>
                <w:sz w:val="24"/>
                <w:szCs w:val="24"/>
                <w:lang w:val="en-US" w:eastAsia="zh-CN"/>
              </w:rPr>
              <w:t>4、固废：</w:t>
            </w:r>
            <w:r>
              <w:rPr>
                <w:rFonts w:hint="default"/>
                <w:sz w:val="24"/>
                <w:szCs w:val="24"/>
                <w:lang w:eastAsia="zh-CN"/>
              </w:rPr>
              <w:t>项目产生的固废主要包括一般固废、危险废物及生活垃圾</w:t>
            </w:r>
            <w:r>
              <w:rPr>
                <w:rFonts w:hint="eastAsia"/>
                <w:sz w:val="24"/>
                <w:szCs w:val="24"/>
                <w:lang w:eastAsia="zh-CN"/>
              </w:rPr>
              <w:t>。</w:t>
            </w:r>
            <w:r>
              <w:rPr>
                <w:rFonts w:hint="default" w:ascii="Times New Roman" w:hAnsi="Times New Roman" w:cs="Times New Roman"/>
                <w:sz w:val="24"/>
                <w:szCs w:val="24"/>
                <w:lang w:eastAsia="zh-CN"/>
              </w:rPr>
              <w:t>一般固废有</w:t>
            </w:r>
            <w:r>
              <w:rPr>
                <w:rFonts w:hint="eastAsia" w:ascii="Times New Roman" w:hAnsi="Times New Roman" w:cs="Times New Roman"/>
                <w:sz w:val="24"/>
                <w:szCs w:val="24"/>
                <w:lang w:eastAsia="zh-CN"/>
              </w:rPr>
              <w:t>金属</w:t>
            </w:r>
            <w:r>
              <w:rPr>
                <w:rFonts w:hint="default" w:ascii="Times New Roman" w:hAnsi="Times New Roman" w:cs="Times New Roman"/>
                <w:sz w:val="24"/>
                <w:szCs w:val="24"/>
                <w:lang w:val="en-US" w:eastAsia="zh-CN"/>
              </w:rPr>
              <w:t>边角料</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集中</w:t>
            </w:r>
            <w:r>
              <w:rPr>
                <w:rFonts w:hint="default" w:ascii="Times New Roman" w:hAnsi="Times New Roman" w:cs="Times New Roman"/>
                <w:sz w:val="24"/>
                <w:szCs w:val="24"/>
                <w:lang w:eastAsia="zh-CN"/>
              </w:rPr>
              <w:t>收集后</w:t>
            </w:r>
            <w:r>
              <w:rPr>
                <w:rFonts w:hint="eastAsia" w:ascii="Times New Roman" w:hAnsi="Times New Roman" w:cs="Times New Roman"/>
                <w:sz w:val="24"/>
                <w:szCs w:val="24"/>
                <w:lang w:eastAsia="zh-CN"/>
              </w:rPr>
              <w:t>外售给其他公司利用</w:t>
            </w:r>
            <w:r>
              <w:rPr>
                <w:rFonts w:hint="default" w:ascii="Times New Roman" w:hAnsi="Times New Roman" w:cs="Times New Roman"/>
                <w:sz w:val="24"/>
                <w:szCs w:val="24"/>
                <w:lang w:eastAsia="zh-CN"/>
              </w:rPr>
              <w:t>。危险废物有</w:t>
            </w:r>
            <w:r>
              <w:rPr>
                <w:rFonts w:hint="eastAsia" w:ascii="Times New Roman" w:hAnsi="Times New Roman" w:cs="Times New Roman"/>
                <w:sz w:val="24"/>
                <w:szCs w:val="24"/>
                <w:lang w:eastAsia="zh-CN"/>
              </w:rPr>
              <w:t>废活性炭、废切削液</w:t>
            </w:r>
            <w:r>
              <w:rPr>
                <w:rFonts w:hint="default" w:ascii="Times New Roman" w:hAnsi="Times New Roman" w:cs="Times New Roman"/>
                <w:sz w:val="24"/>
                <w:szCs w:val="24"/>
                <w:lang w:eastAsia="zh-CN"/>
              </w:rPr>
              <w:t>，收集后暂存于危废库中，委托有资质单位处置。</w:t>
            </w:r>
            <w:r>
              <w:rPr>
                <w:rFonts w:hint="default" w:ascii="Times New Roman" w:hAnsi="Times New Roman" w:cs="Times New Roman"/>
                <w:sz w:val="24"/>
                <w:szCs w:val="24"/>
              </w:rPr>
              <w:t>生活垃圾收集后由环卫部</w:t>
            </w:r>
            <w:r>
              <w:rPr>
                <w:sz w:val="24"/>
                <w:szCs w:val="24"/>
              </w:rPr>
              <w:t>门</w:t>
            </w:r>
            <w:r>
              <w:rPr>
                <w:rFonts w:hint="eastAsia"/>
                <w:sz w:val="24"/>
                <w:szCs w:val="24"/>
                <w:lang w:eastAsia="zh-CN"/>
              </w:rPr>
              <w:t>统一</w:t>
            </w:r>
            <w:r>
              <w:rPr>
                <w:sz w:val="24"/>
                <w:szCs w:val="24"/>
              </w:rPr>
              <w:t>清运。</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5、总量核算</w:t>
            </w:r>
          </w:p>
          <w:p>
            <w:pPr>
              <w:pStyle w:val="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宋体" w:cs="Times New Roman"/>
                <w:color w:val="000000"/>
                <w:sz w:val="24"/>
                <w:szCs w:val="24"/>
                <w:lang w:val="en-US" w:eastAsia="zh-CN"/>
              </w:rPr>
              <w:t>本项目</w:t>
            </w:r>
            <w:r>
              <w:rPr>
                <w:rFonts w:hint="eastAsia" w:ascii="Times New Roman" w:hAnsi="Times New Roman" w:eastAsia="宋体" w:cs="Times New Roman"/>
                <w:color w:val="000000"/>
                <w:sz w:val="24"/>
                <w:szCs w:val="24"/>
                <w:lang w:val="en-US" w:eastAsia="zh-CN"/>
              </w:rPr>
              <w:t>废水排入宁国市南山污水处理厂，NH</w:t>
            </w:r>
            <w:r>
              <w:rPr>
                <w:rFonts w:hint="eastAsia" w:ascii="Times New Roman" w:hAnsi="Times New Roman" w:eastAsia="宋体" w:cs="Times New Roman"/>
                <w:color w:val="000000"/>
                <w:sz w:val="24"/>
                <w:szCs w:val="24"/>
                <w:vertAlign w:val="subscript"/>
                <w:lang w:val="en-US" w:eastAsia="zh-CN"/>
              </w:rPr>
              <w:t>3</w:t>
            </w:r>
            <w:r>
              <w:rPr>
                <w:rFonts w:hint="eastAsia" w:ascii="Times New Roman" w:hAnsi="Times New Roman" w:eastAsia="宋体" w:cs="Times New Roman"/>
                <w:color w:val="000000"/>
                <w:sz w:val="24"/>
                <w:szCs w:val="24"/>
                <w:lang w:val="en-US" w:eastAsia="zh-CN"/>
              </w:rPr>
              <w:t>-N、COD</w:t>
            </w:r>
            <w:r>
              <w:rPr>
                <w:rFonts w:hint="eastAsia" w:ascii="Times New Roman" w:hAnsi="Times New Roman" w:eastAsia="宋体" w:cs="Times New Roman"/>
                <w:color w:val="000000"/>
                <w:sz w:val="24"/>
                <w:szCs w:val="24"/>
                <w:vertAlign w:val="subscript"/>
                <w:lang w:val="en-US" w:eastAsia="zh-CN"/>
              </w:rPr>
              <w:t>cr</w:t>
            </w:r>
            <w:r>
              <w:rPr>
                <w:rFonts w:hint="eastAsia" w:ascii="Times New Roman" w:hAnsi="Times New Roman" w:eastAsia="宋体" w:cs="Times New Roman"/>
                <w:color w:val="000000"/>
                <w:sz w:val="24"/>
                <w:szCs w:val="24"/>
                <w:lang w:val="en-US" w:eastAsia="zh-CN"/>
              </w:rPr>
              <w:t>总量由宁国市南山污水处理厂调剂，本次验收不核算</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本项目</w:t>
            </w:r>
            <w:r>
              <w:rPr>
                <w:rFonts w:hint="eastAsia" w:ascii="Times New Roman" w:hAnsi="Times New Roman" w:eastAsia="宋体" w:cs="Times New Roman"/>
                <w:color w:val="auto"/>
                <w:sz w:val="24"/>
                <w:szCs w:val="24"/>
                <w:lang w:val="en-US" w:eastAsia="zh-CN"/>
              </w:rPr>
              <w:t>VOC</w:t>
            </w:r>
            <w:r>
              <w:rPr>
                <w:rFonts w:hint="eastAsia" w:ascii="Times New Roman" w:hAnsi="Times New Roman" w:eastAsia="宋体" w:cs="Times New Roman"/>
                <w:color w:val="auto"/>
                <w:sz w:val="24"/>
                <w:szCs w:val="24"/>
                <w:vertAlign w:val="subscript"/>
                <w:lang w:val="en-US" w:eastAsia="zh-CN"/>
              </w:rPr>
              <w:t>s</w:t>
            </w:r>
            <w:r>
              <w:rPr>
                <w:rFonts w:hint="eastAsia" w:ascii="Times New Roman" w:hAnsi="Times New Roman" w:eastAsia="宋体" w:cs="Times New Roman"/>
                <w:color w:val="000000"/>
                <w:sz w:val="24"/>
                <w:szCs w:val="24"/>
                <w:lang w:val="en-US" w:eastAsia="zh-CN"/>
              </w:rPr>
              <w:t>排放总量</w:t>
            </w:r>
            <w:r>
              <w:rPr>
                <w:rFonts w:hint="eastAsia" w:ascii="Times New Roman" w:hAnsi="Times New Roman" w:eastAsia="宋体" w:cs="Times New Roman"/>
                <w:color w:val="auto"/>
                <w:sz w:val="24"/>
                <w:szCs w:val="24"/>
                <w:lang w:val="en-US" w:eastAsia="zh-CN"/>
              </w:rPr>
              <w:t>为0.0003t/a，</w:t>
            </w:r>
            <w:r>
              <w:rPr>
                <w:rFonts w:hint="eastAsia" w:ascii="Times New Roman" w:hAnsi="Times New Roman" w:eastAsia="宋体" w:cs="Times New Roman"/>
                <w:color w:val="000000"/>
                <w:sz w:val="24"/>
                <w:szCs w:val="24"/>
                <w:vertAlign w:val="baseline"/>
                <w:lang w:val="en-US" w:eastAsia="zh-CN"/>
              </w:rPr>
              <w:t>满足总量控制要求。</w:t>
            </w:r>
            <w:r>
              <w:rPr>
                <w:rFonts w:hint="eastAsia" w:ascii="Times New Roman" w:hAnsi="Times New Roman" w:eastAsia="仿宋_GB2312" w:cs="Times New Roman"/>
                <w:color w:val="000000"/>
                <w:sz w:val="21"/>
                <w:szCs w:val="21"/>
                <w:lang w:val="en-US" w:eastAsia="zh-CN"/>
              </w:rPr>
              <w:t xml:space="preserve"> </w:t>
            </w:r>
          </w:p>
        </w:tc>
      </w:tr>
    </w:tbl>
    <w:p>
      <w:pPr>
        <w:rPr>
          <w:rFonts w:hint="default" w:ascii="Times New Roman" w:hAnsi="Times New Roman" w:cs="Times New Roman"/>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tbl>
      <w:tblPr>
        <w:tblStyle w:val="12"/>
        <w:tblW w:w="4998" w:type="pct"/>
        <w:jc w:val="center"/>
        <w:tblLayout w:type="fixed"/>
        <w:tblCellMar>
          <w:top w:w="0" w:type="dxa"/>
          <w:left w:w="108" w:type="dxa"/>
          <w:bottom w:w="0" w:type="dxa"/>
          <w:right w:w="108" w:type="dxa"/>
        </w:tblCellMar>
      </w:tblPr>
      <w:tblGrid>
        <w:gridCol w:w="599"/>
        <w:gridCol w:w="1340"/>
        <w:gridCol w:w="795"/>
        <w:gridCol w:w="497"/>
        <w:gridCol w:w="467"/>
        <w:gridCol w:w="1048"/>
        <w:gridCol w:w="840"/>
        <w:gridCol w:w="996"/>
        <w:gridCol w:w="279"/>
        <w:gridCol w:w="577"/>
        <w:gridCol w:w="1451"/>
        <w:gridCol w:w="58"/>
        <w:gridCol w:w="577"/>
        <w:gridCol w:w="163"/>
        <w:gridCol w:w="1259"/>
        <w:gridCol w:w="1287"/>
        <w:gridCol w:w="746"/>
        <w:gridCol w:w="215"/>
        <w:gridCol w:w="505"/>
        <w:gridCol w:w="440"/>
        <w:gridCol w:w="947"/>
        <w:gridCol w:w="523"/>
      </w:tblGrid>
      <w:tr>
        <w:tblPrEx>
          <w:tblCellMar>
            <w:top w:w="0" w:type="dxa"/>
            <w:left w:w="108" w:type="dxa"/>
            <w:bottom w:w="0" w:type="dxa"/>
            <w:right w:w="108" w:type="dxa"/>
          </w:tblCellMar>
        </w:tblPrEx>
        <w:trPr>
          <w:trHeight w:val="283" w:hRule="atLeast"/>
          <w:jc w:val="center"/>
        </w:trPr>
        <w:tc>
          <w:tcPr>
            <w:tcW w:w="5000" w:type="pct"/>
            <w:gridSpan w:val="22"/>
            <w:tcBorders>
              <w:top w:val="nil"/>
              <w:left w:val="nil"/>
              <w:bottom w:val="nil"/>
              <w:right w:val="nil"/>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建设项目工程竣工环境保护“三同时”验收登记表</w:t>
            </w:r>
          </w:p>
        </w:tc>
      </w:tr>
      <w:tr>
        <w:tblPrEx>
          <w:tblCellMar>
            <w:top w:w="0" w:type="dxa"/>
            <w:left w:w="108" w:type="dxa"/>
            <w:bottom w:w="0" w:type="dxa"/>
            <w:right w:w="108" w:type="dxa"/>
          </w:tblCellMar>
        </w:tblPrEx>
        <w:trPr>
          <w:trHeight w:val="283" w:hRule="atLeast"/>
          <w:jc w:val="center"/>
        </w:trPr>
        <w:tc>
          <w:tcPr>
            <w:tcW w:w="875"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填表单位（盖章）：</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757" w:type="pct"/>
            <w:gridSpan w:val="4"/>
            <w:tcBorders>
              <w:top w:val="single" w:color="auto" w:sz="4" w:space="0"/>
              <w:left w:val="nil"/>
              <w:bottom w:val="single" w:color="auto" w:sz="4" w:space="0"/>
              <w:right w:val="single" w:color="000000"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填表人（签字）：　</w:t>
            </w:r>
          </w:p>
        </w:tc>
        <w:tc>
          <w:tcPr>
            <w:tcW w:w="640"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720" w:type="pct"/>
            <w:gridSpan w:val="3"/>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项目经办人（签字):</w:t>
            </w:r>
          </w:p>
        </w:tc>
        <w:tc>
          <w:tcPr>
            <w:tcW w:w="773" w:type="pct"/>
            <w:gridSpan w:val="4"/>
            <w:tcBorders>
              <w:top w:val="single" w:color="auto" w:sz="4" w:space="0"/>
              <w:left w:val="nil"/>
              <w:bottom w:val="single" w:color="auto" w:sz="4" w:space="0"/>
              <w:right w:val="single" w:color="000000"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r>
        <w:tblPrEx>
          <w:tblCellMar>
            <w:top w:w="0" w:type="dxa"/>
            <w:left w:w="108" w:type="dxa"/>
            <w:bottom w:w="0" w:type="dxa"/>
            <w:right w:w="108" w:type="dxa"/>
          </w:tblCellMar>
        </w:tblPrEx>
        <w:trPr>
          <w:trHeight w:val="283"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 设 项 目</w:t>
            </w: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项目名称</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rPr>
            </w:pPr>
            <w:r>
              <w:rPr>
                <w:rFonts w:hint="eastAsia" w:ascii="Times New Roman" w:hAnsi="Times New Roman" w:cs="Times New Roman"/>
                <w:color w:val="000000"/>
                <w:sz w:val="18"/>
                <w:szCs w:val="18"/>
                <w:lang w:val="en-US" w:eastAsia="zh-CN"/>
              </w:rPr>
              <w:t>面向国际市场长寿命耐腐蚀回转支承产业化项目</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建设地点</w:t>
            </w:r>
          </w:p>
        </w:tc>
        <w:tc>
          <w:tcPr>
            <w:tcW w:w="2134" w:type="pct"/>
            <w:gridSpan w:val="10"/>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kern w:val="0"/>
                <w:sz w:val="18"/>
                <w:szCs w:val="18"/>
              </w:rPr>
              <w:t>宁国经济技术开发区</w:t>
            </w:r>
            <w:r>
              <w:rPr>
                <w:rFonts w:hint="eastAsia" w:ascii="Times New Roman" w:hAnsi="Times New Roman" w:cs="Times New Roman"/>
                <w:color w:val="000000"/>
                <w:kern w:val="0"/>
                <w:sz w:val="18"/>
                <w:szCs w:val="18"/>
                <w:lang w:eastAsia="zh-CN"/>
              </w:rPr>
              <w:t>宁阳西路</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行业类别</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00" w:lineRule="exact"/>
              <w:ind w:left="0" w:leftChars="0" w:right="0" w:rightChars="0"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eastAsia" w:ascii="Times New Roman" w:hAnsi="Times New Roman" w:eastAsia="宋体" w:cs="Times New Roman"/>
                <w:color w:val="000000"/>
                <w:kern w:val="2"/>
                <w:sz w:val="18"/>
                <w:szCs w:val="18"/>
                <w:lang w:val="en-US" w:eastAsia="zh-CN" w:bidi="ar-SA"/>
              </w:rPr>
              <w:t>滚动轴承制造 C3451</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建设性质</w:t>
            </w:r>
          </w:p>
        </w:tc>
        <w:tc>
          <w:tcPr>
            <w:tcW w:w="2134" w:type="pct"/>
            <w:gridSpan w:val="10"/>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新建</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设计生产能力</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年产长寿命耐腐蚀回转支承3000套</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实际生产能力</w:t>
            </w:r>
          </w:p>
        </w:tc>
        <w:tc>
          <w:tcPr>
            <w:tcW w:w="640"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年产长寿命耐腐蚀回转支承3000套</w:t>
            </w:r>
          </w:p>
        </w:tc>
        <w:tc>
          <w:tcPr>
            <w:tcW w:w="412" w:type="pct"/>
            <w:tcBorders>
              <w:top w:val="single" w:color="auto" w:sz="4" w:space="0"/>
              <w:left w:val="nil"/>
              <w:bottom w:val="single" w:color="auto" w:sz="4" w:space="0"/>
              <w:right w:val="single" w:color="000000"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环评单位</w:t>
            </w:r>
          </w:p>
        </w:tc>
        <w:tc>
          <w:tcPr>
            <w:tcW w:w="1081" w:type="pct"/>
            <w:gridSpan w:val="6"/>
            <w:tcBorders>
              <w:top w:val="single" w:color="auto" w:sz="4" w:space="0"/>
              <w:left w:val="single" w:color="000000" w:sz="4" w:space="0"/>
              <w:bottom w:val="single" w:color="auto" w:sz="4" w:space="0"/>
              <w:right w:val="single" w:color="auto" w:sz="4" w:space="0"/>
            </w:tcBorders>
            <w:shd w:val="clear" w:color="auto" w:fill="FFFFFF"/>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江苏新清源环保有限公司</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环评文件审批机关</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宣城市</w:t>
            </w:r>
            <w:r>
              <w:rPr>
                <w:rFonts w:hint="default" w:ascii="Times New Roman" w:hAnsi="Times New Roman" w:eastAsia="宋体" w:cs="Times New Roman"/>
                <w:color w:val="000000"/>
                <w:sz w:val="18"/>
                <w:szCs w:val="18"/>
                <w:lang w:val="en-US" w:eastAsia="zh-CN" w:bidi="ar-SA"/>
              </w:rPr>
              <w:t>宁国市</w:t>
            </w:r>
            <w:r>
              <w:rPr>
                <w:rFonts w:hint="eastAsia" w:ascii="Times New Roman" w:hAnsi="Times New Roman" w:cs="Times New Roman"/>
                <w:color w:val="000000"/>
                <w:sz w:val="18"/>
                <w:szCs w:val="18"/>
                <w:lang w:val="en-US" w:eastAsia="zh-CN" w:bidi="ar-SA"/>
              </w:rPr>
              <w:t>生态环境分</w:t>
            </w:r>
            <w:r>
              <w:rPr>
                <w:rFonts w:hint="default" w:ascii="Times New Roman" w:hAnsi="Times New Roman" w:eastAsia="宋体" w:cs="Times New Roman"/>
                <w:color w:val="000000"/>
                <w:sz w:val="18"/>
                <w:szCs w:val="18"/>
                <w:lang w:val="en-US" w:eastAsia="zh-CN" w:bidi="ar-SA"/>
              </w:rPr>
              <w:t>局</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审批文号</w:t>
            </w:r>
          </w:p>
        </w:tc>
        <w:tc>
          <w:tcPr>
            <w:tcW w:w="640"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宁环审批（2019）119号</w:t>
            </w:r>
          </w:p>
        </w:tc>
        <w:tc>
          <w:tcPr>
            <w:tcW w:w="651"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环评文件类型</w:t>
            </w:r>
          </w:p>
        </w:tc>
        <w:tc>
          <w:tcPr>
            <w:tcW w:w="842" w:type="pct"/>
            <w:gridSpan w:val="5"/>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报告表</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开工日期</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rPr>
              <w:t>20</w:t>
            </w:r>
            <w:r>
              <w:rPr>
                <w:rFonts w:hint="eastAsia" w:ascii="Times New Roman" w:hAnsi="Times New Roman" w:cs="Times New Roman"/>
                <w:color w:val="000000"/>
                <w:sz w:val="18"/>
                <w:szCs w:val="18"/>
                <w:lang w:val="en-US" w:eastAsia="zh-CN"/>
              </w:rPr>
              <w:t>19.10</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竣工日期</w:t>
            </w:r>
          </w:p>
        </w:tc>
        <w:tc>
          <w:tcPr>
            <w:tcW w:w="640"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2021.12</w:t>
            </w:r>
          </w:p>
        </w:tc>
        <w:tc>
          <w:tcPr>
            <w:tcW w:w="651"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排污许可证申领时间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2020.08.17</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环保设施设计单位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安徽省宁国顺昌机械有限公司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环保设施施工单位</w:t>
            </w:r>
          </w:p>
        </w:tc>
        <w:tc>
          <w:tcPr>
            <w:tcW w:w="640"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安徽省宁国顺昌机械有限公司</w:t>
            </w:r>
          </w:p>
        </w:tc>
        <w:tc>
          <w:tcPr>
            <w:tcW w:w="651"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本工程排污许可证编号</w:t>
            </w:r>
          </w:p>
        </w:tc>
        <w:tc>
          <w:tcPr>
            <w:tcW w:w="842" w:type="pct"/>
            <w:gridSpan w:val="5"/>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i w:val="0"/>
                <w:iCs w:val="0"/>
                <w:caps w:val="0"/>
                <w:color w:val="000000" w:themeColor="text1"/>
                <w:spacing w:val="0"/>
                <w:sz w:val="18"/>
                <w:szCs w:val="18"/>
                <w:shd w:val="clear" w:fill="FFFFFF"/>
                <w14:textFill>
                  <w14:solidFill>
                    <w14:schemeClr w14:val="tx1"/>
                  </w14:solidFill>
                </w14:textFill>
              </w:rPr>
              <w:t>91341881153456199P001Y</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环保设施监测单位</w:t>
            </w:r>
          </w:p>
        </w:tc>
        <w:tc>
          <w:tcPr>
            <w:tcW w:w="640"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w:t>
            </w:r>
          </w:p>
        </w:tc>
        <w:tc>
          <w:tcPr>
            <w:tcW w:w="651"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验收监测时工况</w:t>
            </w:r>
          </w:p>
        </w:tc>
        <w:tc>
          <w:tcPr>
            <w:tcW w:w="842" w:type="pct"/>
            <w:gridSpan w:val="5"/>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正常</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投资总概算（万元）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1055</w:t>
            </w:r>
          </w:p>
        </w:tc>
        <w:tc>
          <w:tcPr>
            <w:tcW w:w="757" w:type="pct"/>
            <w:gridSpan w:val="4"/>
            <w:tcBorders>
              <w:top w:val="single" w:color="auto" w:sz="4" w:space="0"/>
              <w:left w:val="single" w:color="000000" w:sz="4" w:space="0"/>
              <w:bottom w:val="single" w:color="auto" w:sz="4" w:space="0"/>
              <w:right w:val="single" w:color="000000"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环保投资总概算（万元）</w:t>
            </w:r>
          </w:p>
        </w:tc>
        <w:tc>
          <w:tcPr>
            <w:tcW w:w="640"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22</w:t>
            </w:r>
          </w:p>
        </w:tc>
        <w:tc>
          <w:tcPr>
            <w:tcW w:w="651" w:type="pct"/>
            <w:gridSpan w:val="2"/>
            <w:tcBorders>
              <w:top w:val="single" w:color="auto" w:sz="4" w:space="0"/>
              <w:left w:val="nil"/>
              <w:bottom w:val="single" w:color="auto" w:sz="4" w:space="0"/>
              <w:right w:val="single" w:color="000000" w:sz="4" w:space="0"/>
            </w:tcBorders>
            <w:shd w:val="clear" w:color="auto" w:fill="AEAAAA" w:themeFill="background2" w:themeFillShade="BF"/>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2.1</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实际总投资（万元）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eastAsia" w:ascii="Times New Roman" w:hAnsi="Times New Roman" w:cs="Times New Roman"/>
                <w:color w:val="000000"/>
                <w:sz w:val="18"/>
                <w:szCs w:val="18"/>
                <w:lang w:val="en-US" w:eastAsia="zh-CN"/>
              </w:rPr>
              <w:t>1055</w:t>
            </w:r>
          </w:p>
        </w:tc>
        <w:tc>
          <w:tcPr>
            <w:tcW w:w="757" w:type="pct"/>
            <w:gridSpan w:val="4"/>
            <w:tcBorders>
              <w:top w:val="single" w:color="auto" w:sz="4" w:space="0"/>
              <w:left w:val="single" w:color="000000" w:sz="4" w:space="0"/>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实际环保投资（万元）</w:t>
            </w:r>
          </w:p>
        </w:tc>
        <w:tc>
          <w:tcPr>
            <w:tcW w:w="640"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22</w:t>
            </w:r>
          </w:p>
        </w:tc>
        <w:tc>
          <w:tcPr>
            <w:tcW w:w="651" w:type="pct"/>
            <w:gridSpan w:val="2"/>
            <w:tcBorders>
              <w:top w:val="single" w:color="auto" w:sz="4" w:space="0"/>
              <w:left w:val="nil"/>
              <w:bottom w:val="single" w:color="auto" w:sz="4" w:space="0"/>
              <w:right w:val="single" w:color="000000"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2.1</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废水治理（万元）</w:t>
            </w:r>
          </w:p>
        </w:tc>
        <w:tc>
          <w:tcPr>
            <w:tcW w:w="159" w:type="pct"/>
            <w:tcBorders>
              <w:top w:val="nil"/>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w:t>
            </w:r>
          </w:p>
        </w:tc>
        <w:tc>
          <w:tcPr>
            <w:tcW w:w="485"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废气治理（万元）</w:t>
            </w:r>
          </w:p>
        </w:tc>
        <w:tc>
          <w:tcPr>
            <w:tcW w:w="269" w:type="pct"/>
            <w:tcBorders>
              <w:top w:val="single" w:color="auto" w:sz="4" w:space="0"/>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15</w:t>
            </w:r>
          </w:p>
        </w:tc>
        <w:tc>
          <w:tcPr>
            <w:tcW w:w="408"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噪声治理（万元）</w:t>
            </w:r>
          </w:p>
        </w:tc>
        <w:tc>
          <w:tcPr>
            <w:tcW w:w="184" w:type="pct"/>
            <w:tcBorders>
              <w:top w:val="single" w:color="auto" w:sz="4" w:space="0"/>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w:t>
            </w:r>
          </w:p>
        </w:tc>
        <w:tc>
          <w:tcPr>
            <w:tcW w:w="4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固废治理（万元）</w:t>
            </w:r>
          </w:p>
        </w:tc>
        <w:tc>
          <w:tcPr>
            <w:tcW w:w="184" w:type="pct"/>
            <w:tcBorders>
              <w:top w:val="nil"/>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w:t>
            </w:r>
          </w:p>
        </w:tc>
        <w:tc>
          <w:tcPr>
            <w:tcW w:w="867" w:type="pct"/>
            <w:gridSpan w:val="3"/>
            <w:tcBorders>
              <w:top w:val="nil"/>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绿化及生态（万元）</w:t>
            </w:r>
          </w:p>
        </w:tc>
        <w:tc>
          <w:tcPr>
            <w:tcW w:w="469"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44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其它（万元）</w:t>
            </w:r>
          </w:p>
        </w:tc>
        <w:tc>
          <w:tcPr>
            <w:tcW w:w="167"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843" w:type="pct"/>
            <w:gridSpan w:val="3"/>
            <w:tcBorders>
              <w:top w:val="single" w:color="auto" w:sz="4" w:space="0"/>
              <w:left w:val="nil"/>
              <w:bottom w:val="single" w:color="auto" w:sz="4" w:space="0"/>
              <w:right w:val="single" w:color="000000" w:sz="4" w:space="0"/>
            </w:tcBorders>
            <w:shd w:val="clear" w:color="auto" w:fill="C0C0C0"/>
            <w:noWrap w:val="0"/>
            <w:vAlign w:val="center"/>
          </w:tcPr>
          <w:p>
            <w:pPr>
              <w:pStyle w:val="18"/>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新增废水处理设施能力</w:t>
            </w:r>
          </w:p>
        </w:tc>
        <w:tc>
          <w:tcPr>
            <w:tcW w:w="1073" w:type="pct"/>
            <w:gridSpan w:val="4"/>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18"/>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942" w:type="pct"/>
            <w:gridSpan w:val="5"/>
            <w:tcBorders>
              <w:top w:val="single" w:color="auto" w:sz="4" w:space="0"/>
              <w:left w:val="nil"/>
              <w:bottom w:val="single" w:color="auto" w:sz="4" w:space="0"/>
              <w:right w:val="single" w:color="000000"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新增废气处理设施能力</w:t>
            </w:r>
          </w:p>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w:t>
            </w:r>
          </w:p>
        </w:tc>
        <w:tc>
          <w:tcPr>
            <w:tcW w:w="455"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651"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年平均工作时（h/a）</w:t>
            </w:r>
          </w:p>
        </w:tc>
        <w:tc>
          <w:tcPr>
            <w:tcW w:w="842" w:type="pct"/>
            <w:gridSpan w:val="5"/>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2400</w:t>
            </w:r>
          </w:p>
        </w:tc>
      </w:tr>
      <w:tr>
        <w:tblPrEx>
          <w:tblCellMar>
            <w:top w:w="0" w:type="dxa"/>
            <w:left w:w="108" w:type="dxa"/>
            <w:bottom w:w="0" w:type="dxa"/>
            <w:right w:w="108" w:type="dxa"/>
          </w:tblCellMar>
        </w:tblPrEx>
        <w:trPr>
          <w:trHeight w:val="283" w:hRule="atLeast"/>
          <w:jc w:val="center"/>
        </w:trPr>
        <w:tc>
          <w:tcPr>
            <w:tcW w:w="875"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942" w:type="pct"/>
            <w:gridSpan w:val="5"/>
            <w:tcBorders>
              <w:top w:val="single" w:color="auto" w:sz="4" w:space="0"/>
              <w:left w:val="nil"/>
              <w:bottom w:val="single" w:color="auto" w:sz="4" w:space="0"/>
              <w:right w:val="single" w:color="000000"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运营单位社会统一信用代码　</w:t>
            </w:r>
          </w:p>
        </w:tc>
        <w:tc>
          <w:tcPr>
            <w:tcW w:w="455"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651"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202</w:t>
            </w:r>
            <w:r>
              <w:rPr>
                <w:rFonts w:hint="eastAsia" w:ascii="Times New Roman" w:hAnsi="Times New Roman" w:cs="Times New Roman"/>
                <w:sz w:val="18"/>
                <w:szCs w:val="18"/>
                <w:lang w:val="en-US" w:eastAsia="zh-CN"/>
              </w:rPr>
              <w:t>2</w:t>
            </w:r>
            <w:r>
              <w:rPr>
                <w:rFonts w:hint="default" w:ascii="Times New Roman" w:hAnsi="Times New Roman" w:eastAsia="宋体" w:cs="Times New Roman"/>
                <w:sz w:val="18"/>
                <w:szCs w:val="18"/>
                <w:lang w:val="en-US" w:eastAsia="zh-CN"/>
              </w:rPr>
              <w:t>.</w:t>
            </w:r>
            <w:r>
              <w:rPr>
                <w:rFonts w:hint="eastAsia" w:ascii="Times New Roman" w:hAnsi="Times New Roman" w:cs="Times New Roman"/>
                <w:sz w:val="18"/>
                <w:szCs w:val="18"/>
                <w:lang w:val="en-US" w:eastAsia="zh-CN"/>
              </w:rPr>
              <w:t>03</w:t>
            </w:r>
          </w:p>
        </w:tc>
      </w:tr>
      <w:tr>
        <w:tblPrEx>
          <w:tblCellMar>
            <w:top w:w="0" w:type="dxa"/>
            <w:left w:w="108" w:type="dxa"/>
            <w:bottom w:w="0" w:type="dxa"/>
            <w:right w:w="108" w:type="dxa"/>
          </w:tblCellMar>
        </w:tblPrEx>
        <w:trPr>
          <w:trHeight w:val="312"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物排</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放达</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标与</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总量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控制</w:t>
            </w:r>
          </w:p>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（工</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业建</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设项</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目详</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填）</w:t>
            </w:r>
          </w:p>
        </w:tc>
        <w:tc>
          <w:tcPr>
            <w:tcW w:w="683" w:type="pct"/>
            <w:gridSpan w:val="2"/>
            <w:vMerge w:val="restart"/>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w:t>
            </w:r>
          </w:p>
        </w:tc>
        <w:tc>
          <w:tcPr>
            <w:tcW w:w="308"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原有排放量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（1）</w:t>
            </w:r>
          </w:p>
        </w:tc>
        <w:tc>
          <w:tcPr>
            <w:tcW w:w="335"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本期工程实际排放浓度（2）</w:t>
            </w:r>
          </w:p>
        </w:tc>
        <w:tc>
          <w:tcPr>
            <w:tcW w:w="269"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本期工程允许</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排放浓度（3）</w:t>
            </w:r>
          </w:p>
        </w:tc>
        <w:tc>
          <w:tcPr>
            <w:tcW w:w="319"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本期工程产生量（4）</w:t>
            </w:r>
          </w:p>
        </w:tc>
        <w:tc>
          <w:tcPr>
            <w:tcW w:w="274"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本期工程自身削减量（5）</w:t>
            </w:r>
          </w:p>
        </w:tc>
        <w:tc>
          <w:tcPr>
            <w:tcW w:w="464"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本期工程实际排放量（6）</w:t>
            </w:r>
          </w:p>
        </w:tc>
        <w:tc>
          <w:tcPr>
            <w:tcW w:w="255" w:type="pct"/>
            <w:gridSpan w:val="3"/>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本期工程核定排放总量（7）</w:t>
            </w:r>
          </w:p>
        </w:tc>
        <w:tc>
          <w:tcPr>
            <w:tcW w:w="403"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“以新带老”</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削减量（8）</w:t>
            </w:r>
          </w:p>
        </w:tc>
        <w:tc>
          <w:tcPr>
            <w:tcW w:w="412"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全厂实际排放总量（9）</w:t>
            </w:r>
          </w:p>
        </w:tc>
        <w:tc>
          <w:tcPr>
            <w:tcW w:w="307"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全厂核定排放总量（10）</w:t>
            </w:r>
          </w:p>
        </w:tc>
        <w:tc>
          <w:tcPr>
            <w:tcW w:w="302"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区域平衡替代削减量（11）</w:t>
            </w:r>
          </w:p>
        </w:tc>
        <w:tc>
          <w:tcPr>
            <w:tcW w:w="470" w:type="pct"/>
            <w:gridSpan w:val="2"/>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排放增</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减量</w:t>
            </w:r>
          </w:p>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6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1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4"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3"/>
            <w:vMerge w:val="continue"/>
            <w:tcBorders>
              <w:top w:val="nil"/>
              <w:left w:val="single" w:color="auto" w:sz="4" w:space="0"/>
              <w:bottom w:val="single" w:color="000000"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3" w:type="pct"/>
            <w:vMerge w:val="continue"/>
            <w:tcBorders>
              <w:top w:val="nil"/>
              <w:left w:val="single" w:color="auto" w:sz="4" w:space="0"/>
              <w:bottom w:val="single" w:color="000000"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2"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6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1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4"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3"/>
            <w:vMerge w:val="continue"/>
            <w:tcBorders>
              <w:top w:val="nil"/>
              <w:left w:val="single" w:color="auto" w:sz="4" w:space="0"/>
              <w:bottom w:val="single" w:color="000000"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3" w:type="pct"/>
            <w:vMerge w:val="continue"/>
            <w:tcBorders>
              <w:top w:val="nil"/>
              <w:left w:val="single" w:color="auto" w:sz="4" w:space="0"/>
              <w:bottom w:val="single" w:color="000000"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2"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w:t>
            </w:r>
          </w:p>
        </w:tc>
        <w:tc>
          <w:tcPr>
            <w:tcW w:w="308"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w:t>
            </w:r>
          </w:p>
        </w:tc>
        <w:tc>
          <w:tcPr>
            <w:tcW w:w="335"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6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1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4"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3"/>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化学需氧量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6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1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4"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3"/>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w:t>
            </w:r>
          </w:p>
        </w:tc>
        <w:tc>
          <w:tcPr>
            <w:tcW w:w="308"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6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1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4"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3"/>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w:t>
            </w:r>
          </w:p>
        </w:tc>
        <w:tc>
          <w:tcPr>
            <w:tcW w:w="308"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6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1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4"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3"/>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二氧化硫</w:t>
            </w:r>
          </w:p>
        </w:tc>
        <w:tc>
          <w:tcPr>
            <w:tcW w:w="308"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6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1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4"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3"/>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颗粒物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6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1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4"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3"/>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氮氧化物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6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1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4"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3"/>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与项目有关的其它特征污染物</w:t>
            </w:r>
          </w:p>
        </w:tc>
        <w:tc>
          <w:tcPr>
            <w:tcW w:w="254"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VOC</w:t>
            </w:r>
            <w:r>
              <w:rPr>
                <w:rFonts w:hint="eastAsia" w:ascii="Times New Roman" w:hAnsi="Times New Roman" w:cs="Times New Roman"/>
                <w:sz w:val="18"/>
                <w:szCs w:val="18"/>
                <w:vertAlign w:val="subscript"/>
                <w:lang w:val="en-US" w:eastAsia="zh-CN"/>
              </w:rPr>
              <w:t>s</w:t>
            </w:r>
          </w:p>
        </w:tc>
        <w:tc>
          <w:tcPr>
            <w:tcW w:w="308"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6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1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eastAsia" w:ascii="Times New Roman" w:hAnsi="Times New Roman" w:cs="Times New Roman"/>
                <w:sz w:val="18"/>
                <w:szCs w:val="18"/>
                <w:lang w:val="en-US" w:eastAsia="zh-CN"/>
              </w:rPr>
              <w:t>0.0003t/a</w:t>
            </w:r>
          </w:p>
        </w:tc>
        <w:tc>
          <w:tcPr>
            <w:tcW w:w="274"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3"/>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6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1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4"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3"/>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eastAsia="zh-CN"/>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6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1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4"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3"/>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3"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2"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18"/>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6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19" w:type="pct"/>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74"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64"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55" w:type="pct"/>
            <w:gridSpan w:val="3"/>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03"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12" w:type="pct"/>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7"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2" w:type="pct"/>
            <w:gridSpan w:val="2"/>
            <w:tcBorders>
              <w:top w:val="single" w:color="auto" w:sz="4" w:space="0"/>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70" w:type="pct"/>
            <w:gridSpan w:val="2"/>
            <w:tcBorders>
              <w:top w:val="nil"/>
              <w:left w:val="nil"/>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bl>
    <w:p>
      <w:pPr>
        <w:rPr>
          <w:rFonts w:hint="eastAsia" w:eastAsiaTheme="minorEastAsia"/>
          <w:lang w:eastAsia="zh-CN"/>
        </w:r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spacing w:after="0"/>
                            <w:rPr>
                              <w:rStyle w:val="15"/>
                              <w:rFonts w:hint="eastAsia" w:ascii="宋体" w:hAnsi="宋体"/>
                              <w:sz w:val="28"/>
                              <w:szCs w:val="28"/>
                            </w:rPr>
                          </w:pPr>
                          <w:r>
                            <w:rPr>
                              <w:rStyle w:val="15"/>
                              <w:rFonts w:hint="eastAsia" w:ascii="宋体" w:hAnsi="宋体"/>
                              <w:sz w:val="28"/>
                              <w:szCs w:val="28"/>
                            </w:rPr>
                            <w:t>—</w:t>
                          </w:r>
                          <w:r>
                            <w:rPr>
                              <w:rStyle w:val="15"/>
                              <w:rFonts w:hint="eastAsia" w:ascii="宋体" w:hAnsi="宋体"/>
                              <w:sz w:val="20"/>
                              <w:szCs w:val="20"/>
                            </w:rPr>
                            <w:t xml:space="preserve">  </w:t>
                          </w:r>
                          <w:r>
                            <w:rPr>
                              <w:rFonts w:ascii="宋体" w:hAnsi="宋体"/>
                              <w:sz w:val="26"/>
                              <w:szCs w:val="26"/>
                            </w:rPr>
                            <w:fldChar w:fldCharType="begin"/>
                          </w:r>
                          <w:r>
                            <w:rPr>
                              <w:rStyle w:val="15"/>
                              <w:rFonts w:ascii="宋体" w:hAnsi="宋体"/>
                              <w:sz w:val="26"/>
                              <w:szCs w:val="26"/>
                            </w:rPr>
                            <w:instrText xml:space="preserve">PAGE  </w:instrText>
                          </w:r>
                          <w:r>
                            <w:rPr>
                              <w:rFonts w:ascii="宋体" w:hAnsi="宋体"/>
                              <w:sz w:val="26"/>
                              <w:szCs w:val="26"/>
                            </w:rPr>
                            <w:fldChar w:fldCharType="separate"/>
                          </w:r>
                          <w:r>
                            <w:rPr>
                              <w:rStyle w:val="15"/>
                              <w:rFonts w:ascii="宋体" w:hAnsi="宋体"/>
                              <w:sz w:val="26"/>
                              <w:szCs w:val="26"/>
                            </w:rPr>
                            <w:t>27</w:t>
                          </w:r>
                          <w:r>
                            <w:rPr>
                              <w:rFonts w:ascii="宋体" w:hAnsi="宋体"/>
                              <w:sz w:val="26"/>
                              <w:szCs w:val="26"/>
                            </w:rPr>
                            <w:fldChar w:fldCharType="end"/>
                          </w:r>
                          <w:r>
                            <w:rPr>
                              <w:rStyle w:val="15"/>
                              <w:rFonts w:hint="eastAsia" w:ascii="宋体" w:hAnsi="宋体"/>
                              <w:sz w:val="20"/>
                              <w:szCs w:val="20"/>
                            </w:rPr>
                            <w:t xml:space="preserve">  </w:t>
                          </w:r>
                          <w:r>
                            <w:rPr>
                              <w:rStyle w:val="1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0"/>
                      <w:spacing w:after="0"/>
                      <w:rPr>
                        <w:rStyle w:val="15"/>
                        <w:rFonts w:hint="eastAsia" w:ascii="宋体" w:hAnsi="宋体"/>
                        <w:sz w:val="28"/>
                        <w:szCs w:val="28"/>
                      </w:rPr>
                    </w:pPr>
                    <w:r>
                      <w:rPr>
                        <w:rStyle w:val="15"/>
                        <w:rFonts w:hint="eastAsia" w:ascii="宋体" w:hAnsi="宋体"/>
                        <w:sz w:val="28"/>
                        <w:szCs w:val="28"/>
                      </w:rPr>
                      <w:t>—</w:t>
                    </w:r>
                    <w:r>
                      <w:rPr>
                        <w:rStyle w:val="15"/>
                        <w:rFonts w:hint="eastAsia" w:ascii="宋体" w:hAnsi="宋体"/>
                        <w:sz w:val="20"/>
                        <w:szCs w:val="20"/>
                      </w:rPr>
                      <w:t xml:space="preserve">  </w:t>
                    </w:r>
                    <w:r>
                      <w:rPr>
                        <w:rFonts w:ascii="宋体" w:hAnsi="宋体"/>
                        <w:sz w:val="26"/>
                        <w:szCs w:val="26"/>
                      </w:rPr>
                      <w:fldChar w:fldCharType="begin"/>
                    </w:r>
                    <w:r>
                      <w:rPr>
                        <w:rStyle w:val="15"/>
                        <w:rFonts w:ascii="宋体" w:hAnsi="宋体"/>
                        <w:sz w:val="26"/>
                        <w:szCs w:val="26"/>
                      </w:rPr>
                      <w:instrText xml:space="preserve">PAGE  </w:instrText>
                    </w:r>
                    <w:r>
                      <w:rPr>
                        <w:rFonts w:ascii="宋体" w:hAnsi="宋体"/>
                        <w:sz w:val="26"/>
                        <w:szCs w:val="26"/>
                      </w:rPr>
                      <w:fldChar w:fldCharType="separate"/>
                    </w:r>
                    <w:r>
                      <w:rPr>
                        <w:rStyle w:val="15"/>
                        <w:rFonts w:ascii="宋体" w:hAnsi="宋体"/>
                        <w:sz w:val="26"/>
                        <w:szCs w:val="26"/>
                      </w:rPr>
                      <w:t>27</w:t>
                    </w:r>
                    <w:r>
                      <w:rPr>
                        <w:rFonts w:ascii="宋体" w:hAnsi="宋体"/>
                        <w:sz w:val="26"/>
                        <w:szCs w:val="26"/>
                      </w:rPr>
                      <w:fldChar w:fldCharType="end"/>
                    </w:r>
                    <w:r>
                      <w:rPr>
                        <w:rStyle w:val="15"/>
                        <w:rFonts w:hint="eastAsia" w:ascii="宋体" w:hAnsi="宋体"/>
                        <w:sz w:val="20"/>
                        <w:szCs w:val="20"/>
                      </w:rPr>
                      <w:t xml:space="preserve">  </w:t>
                    </w:r>
                    <w:r>
                      <w:rPr>
                        <w:rStyle w:val="15"/>
                        <w:rFonts w:hint="eastAsia" w:ascii="宋体" w:hAnsi="宋体"/>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7C39D9"/>
    <w:rsid w:val="091E4474"/>
    <w:rsid w:val="09F0600D"/>
    <w:rsid w:val="0BCF169C"/>
    <w:rsid w:val="0C1827CB"/>
    <w:rsid w:val="116D207E"/>
    <w:rsid w:val="16220AE2"/>
    <w:rsid w:val="1955307B"/>
    <w:rsid w:val="1BE92AF5"/>
    <w:rsid w:val="1DE56B13"/>
    <w:rsid w:val="1FAD7DB4"/>
    <w:rsid w:val="23B16C00"/>
    <w:rsid w:val="241D415D"/>
    <w:rsid w:val="257F49A5"/>
    <w:rsid w:val="275D6B12"/>
    <w:rsid w:val="29155D30"/>
    <w:rsid w:val="325B15BE"/>
    <w:rsid w:val="334C4A02"/>
    <w:rsid w:val="39200A15"/>
    <w:rsid w:val="3E135325"/>
    <w:rsid w:val="3E8D4A6B"/>
    <w:rsid w:val="3F8214DE"/>
    <w:rsid w:val="451A2282"/>
    <w:rsid w:val="46BE7B40"/>
    <w:rsid w:val="480B44F2"/>
    <w:rsid w:val="4CA23953"/>
    <w:rsid w:val="4FAC0CFF"/>
    <w:rsid w:val="4FEC26B9"/>
    <w:rsid w:val="50AE59FE"/>
    <w:rsid w:val="521B41DD"/>
    <w:rsid w:val="53CD629A"/>
    <w:rsid w:val="54180971"/>
    <w:rsid w:val="548968E9"/>
    <w:rsid w:val="56E542AB"/>
    <w:rsid w:val="5874709B"/>
    <w:rsid w:val="594F7FC7"/>
    <w:rsid w:val="5E7C39D9"/>
    <w:rsid w:val="5EE40F07"/>
    <w:rsid w:val="60EE7681"/>
    <w:rsid w:val="65193F83"/>
    <w:rsid w:val="656E44E4"/>
    <w:rsid w:val="6812409B"/>
    <w:rsid w:val="6E733541"/>
    <w:rsid w:val="6EF85FA8"/>
    <w:rsid w:val="73752B2C"/>
    <w:rsid w:val="76163F53"/>
    <w:rsid w:val="763C472D"/>
    <w:rsid w:val="76A60EB0"/>
    <w:rsid w:val="7F2E43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widowControl w:val="0"/>
      <w:adjustRightInd/>
      <w:snapToGrid/>
      <w:spacing w:after="0" w:afterLines="0" w:line="360" w:lineRule="exact"/>
      <w:jc w:val="both"/>
      <w:outlineLvl w:val="1"/>
    </w:pPr>
    <w:rPr>
      <w:rFonts w:ascii="Times New Roman" w:hAnsi="Times New Roman" w:eastAsia="宋体" w:cs="Times New Roman"/>
      <w:bCs/>
      <w:kern w:val="2"/>
      <w:sz w:val="21"/>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Salutation"/>
    <w:basedOn w:val="1"/>
    <w:next w:val="1"/>
    <w:unhideWhenUsed/>
    <w:qFormat/>
    <w:uiPriority w:val="99"/>
  </w:style>
  <w:style w:type="paragraph" w:styleId="4">
    <w:name w:val="Body Text"/>
    <w:basedOn w:val="1"/>
    <w:next w:val="5"/>
    <w:qFormat/>
    <w:uiPriority w:val="0"/>
    <w:pPr>
      <w:spacing w:after="120"/>
    </w:pPr>
  </w:style>
  <w:style w:type="paragraph" w:customStyle="1" w:styleId="5">
    <w:name w:val="xl27"/>
    <w:basedOn w:val="1"/>
    <w:next w:val="1"/>
    <w:qFormat/>
    <w:uiPriority w:val="0"/>
    <w:pPr>
      <w:spacing w:before="100" w:beforeAutospacing="1" w:after="100" w:afterAutospacing="1"/>
    </w:pPr>
    <w:rPr>
      <w:color w:val="FF0000"/>
      <w:sz w:val="24"/>
    </w:rPr>
  </w:style>
  <w:style w:type="paragraph" w:styleId="6">
    <w:name w:val="Body Text Indent"/>
    <w:basedOn w:val="1"/>
    <w:next w:val="7"/>
    <w:qFormat/>
    <w:uiPriority w:val="0"/>
    <w:pPr>
      <w:spacing w:line="400" w:lineRule="exact"/>
      <w:ind w:firstLine="630"/>
    </w:pPr>
    <w:rPr>
      <w:sz w:val="32"/>
    </w:rPr>
  </w:style>
  <w:style w:type="paragraph" w:styleId="7">
    <w:name w:val="Body Text Indent 2"/>
    <w:basedOn w:val="1"/>
    <w:next w:val="8"/>
    <w:qFormat/>
    <w:uiPriority w:val="0"/>
    <w:pPr>
      <w:spacing w:after="120" w:line="480" w:lineRule="auto"/>
      <w:ind w:left="420" w:leftChars="200"/>
    </w:pPr>
  </w:style>
  <w:style w:type="paragraph" w:styleId="8">
    <w:name w:val="Body Text First Indent 2"/>
    <w:basedOn w:val="6"/>
    <w:next w:val="1"/>
    <w:qFormat/>
    <w:uiPriority w:val="0"/>
    <w:pPr>
      <w:spacing w:after="120"/>
      <w:ind w:left="420" w:firstLine="210"/>
    </w:pPr>
    <w:rPr>
      <w:rFonts w:eastAsia="楷体_GB2312"/>
      <w:sz w:val="30"/>
    </w:rPr>
  </w:style>
  <w:style w:type="paragraph" w:styleId="9">
    <w:name w:val="Plain Text"/>
    <w:basedOn w:val="1"/>
    <w:next w:val="3"/>
    <w:qFormat/>
    <w:uiPriority w:val="0"/>
    <w:rPr>
      <w:rFonts w:ascii="宋体" w:hAnsi="Courier New"/>
      <w:kern w:val="2"/>
      <w:sz w:val="21"/>
    </w:rPr>
  </w:style>
  <w:style w:type="paragraph" w:styleId="10">
    <w:name w:val="footer"/>
    <w:basedOn w:val="1"/>
    <w:qFormat/>
    <w:uiPriority w:val="0"/>
    <w:pPr>
      <w:tabs>
        <w:tab w:val="center" w:pos="4153"/>
        <w:tab w:val="right" w:pos="8306"/>
      </w:tabs>
    </w:pPr>
    <w:rPr>
      <w:rFonts w:eastAsia="宋体"/>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customStyle="1" w:styleId="16">
    <w:name w:val="表格标题 Char"/>
    <w:basedOn w:val="14"/>
    <w:qFormat/>
    <w:uiPriority w:val="0"/>
    <w:rPr>
      <w:rFonts w:ascii="Times New Roman" w:hAnsi="Times New Roman" w:eastAsia="宋体" w:cs="宋体"/>
      <w:kern w:val="2"/>
      <w:sz w:val="24"/>
      <w:lang w:bidi="ar-SA"/>
    </w:rPr>
  </w:style>
  <w:style w:type="paragraph" w:customStyle="1" w:styleId="17">
    <w:name w:val="表格内文字"/>
    <w:basedOn w:val="1"/>
    <w:qFormat/>
    <w:uiPriority w:val="0"/>
    <w:pPr>
      <w:tabs>
        <w:tab w:val="left" w:pos="0"/>
      </w:tabs>
      <w:adjustRightInd w:val="0"/>
      <w:snapToGrid w:val="0"/>
      <w:jc w:val="center"/>
    </w:pPr>
    <w:rPr>
      <w:rFonts w:eastAsia="仿宋_GB2312"/>
      <w:sz w:val="24"/>
      <w:szCs w:val="24"/>
    </w:rPr>
  </w:style>
  <w:style w:type="paragraph" w:customStyle="1" w:styleId="18">
    <w:name w:val="表格文字"/>
    <w:basedOn w:val="4"/>
    <w:qFormat/>
    <w:uiPriority w:val="0"/>
    <w:pPr>
      <w:spacing w:after="0" w:line="240" w:lineRule="auto"/>
      <w:ind w:firstLine="0" w:firstLineChars="0"/>
      <w:jc w:val="center"/>
    </w:pPr>
    <w:rPr>
      <w:rFonts w:ascii="宋体" w:hAnsi="宋体" w:eastAsia="宋体"/>
      <w:sz w:val="21"/>
      <w:szCs w:val="20"/>
    </w:rPr>
  </w:style>
  <w:style w:type="paragraph" w:customStyle="1" w:styleId="19">
    <w:name w:val="xl22"/>
    <w:basedOn w:val="1"/>
    <w:qFormat/>
    <w:uiPriority w:val="0"/>
    <w:pPr>
      <w:widowControl/>
      <w:spacing w:before="100" w:beforeLines="0" w:after="100" w:afterLines="0"/>
      <w:jc w:val="center"/>
    </w:pPr>
    <w:rPr>
      <w:rFonts w:eastAsia="宋体"/>
      <w:sz w:val="24"/>
      <w:szCs w:val="24"/>
      <w:lang w:val="en-US" w:eastAsia="zh-CN" w:bidi="ar-SA"/>
    </w:rPr>
  </w:style>
  <w:style w:type="paragraph" w:customStyle="1" w:styleId="20">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21">
    <w:name w:val="Table Paragraph"/>
    <w:basedOn w:val="1"/>
    <w:qFormat/>
    <w:uiPriority w:val="1"/>
    <w:pPr>
      <w:jc w:val="center"/>
    </w:pPr>
    <w:rPr>
      <w:rFonts w:ascii="仿宋" w:hAnsi="仿宋" w:eastAsia="仿宋" w:cs="仿宋"/>
      <w:lang w:val="zh-CN" w:eastAsia="zh-CN" w:bidi="zh-CN"/>
    </w:rPr>
  </w:style>
  <w:style w:type="paragraph" w:customStyle="1" w:styleId="2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2021-10-14T07:10:00Z</dcterms:created>
  <dc:creator>Administrator</dc:creator>
  <cp:lastModifiedBy>·</cp:lastModifiedBy>
  <cp:lastPrinted>2022-02-21T05:40:00Z</cp:lastPrinted>
  <dcterms:modified xsi:type="dcterms:W3CDTF">2022-03-11T01:23:19Z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19B1BA60899B451A9EE2F18EAF5887A3</vt:lpwstr>
  </property>
</Properties>
</file>