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仿宋_GB2312" w:cs="Times New Roman"/>
          <w:b/>
          <w:bCs/>
          <w:color w:val="auto"/>
          <w:sz w:val="52"/>
          <w:szCs w:val="52"/>
        </w:rPr>
      </w:pPr>
    </w:p>
    <w:p>
      <w:pPr>
        <w:jc w:val="center"/>
        <w:rPr>
          <w:rFonts w:hint="default" w:ascii="Times New Roman" w:hAnsi="Times New Roman" w:eastAsia="仿宋_GB2312" w:cs="Times New Roman"/>
          <w:b/>
          <w:bCs/>
          <w:color w:val="auto"/>
          <w:sz w:val="52"/>
          <w:szCs w:val="52"/>
        </w:rPr>
      </w:pPr>
    </w:p>
    <w:p>
      <w:pPr>
        <w:jc w:val="center"/>
        <w:rPr>
          <w:rFonts w:hint="default" w:ascii="Times New Roman" w:hAnsi="Times New Roman" w:eastAsia="仿宋_GB2312" w:cs="Times New Roman"/>
          <w:b/>
          <w:bCs/>
          <w:color w:val="auto"/>
          <w:sz w:val="52"/>
          <w:szCs w:val="52"/>
        </w:rPr>
      </w:pPr>
    </w:p>
    <w:p>
      <w:pPr>
        <w:jc w:val="center"/>
        <w:rPr>
          <w:rFonts w:hint="default" w:ascii="Times New Roman" w:hAnsi="Times New Roman" w:eastAsia="仿宋_GB2312" w:cs="Times New Roman"/>
          <w:b/>
          <w:bCs/>
          <w:color w:val="auto"/>
          <w:sz w:val="52"/>
          <w:szCs w:val="52"/>
        </w:rPr>
      </w:pPr>
      <w:r>
        <w:rPr>
          <w:rFonts w:hint="default" w:ascii="Times New Roman" w:hAnsi="Times New Roman" w:eastAsia="仿宋_GB2312" w:cs="Times New Roman"/>
          <w:b/>
          <w:bCs/>
          <w:color w:val="auto"/>
          <w:sz w:val="52"/>
          <w:szCs w:val="52"/>
        </w:rPr>
        <w:t>宁国市三鼎金属表面处理有限公司整体搬迁及扩建项目</w:t>
      </w:r>
      <w:r>
        <w:rPr>
          <w:rFonts w:hint="eastAsia" w:ascii="Times New Roman" w:hAnsi="Times New Roman" w:eastAsia="仿宋_GB2312" w:cs="Times New Roman"/>
          <w:b/>
          <w:bCs/>
          <w:color w:val="auto"/>
          <w:sz w:val="52"/>
          <w:szCs w:val="52"/>
          <w:lang w:eastAsia="zh-CN"/>
        </w:rPr>
        <w:t>固体废物</w:t>
      </w:r>
      <w:r>
        <w:rPr>
          <w:rFonts w:hint="default" w:ascii="Times New Roman" w:hAnsi="Times New Roman" w:eastAsia="仿宋_GB2312" w:cs="Times New Roman"/>
          <w:b/>
          <w:bCs/>
          <w:color w:val="auto"/>
          <w:sz w:val="52"/>
          <w:szCs w:val="52"/>
        </w:rPr>
        <w:t>验收</w:t>
      </w:r>
      <w:r>
        <w:rPr>
          <w:rFonts w:hint="eastAsia" w:ascii="Times New Roman" w:hAnsi="Times New Roman" w:eastAsia="仿宋_GB2312" w:cs="Times New Roman"/>
          <w:b/>
          <w:bCs/>
          <w:color w:val="auto"/>
          <w:sz w:val="52"/>
          <w:szCs w:val="52"/>
          <w:lang w:eastAsia="zh-CN"/>
        </w:rPr>
        <w:t>调查</w:t>
      </w:r>
      <w:r>
        <w:rPr>
          <w:rFonts w:hint="default" w:ascii="Times New Roman" w:hAnsi="Times New Roman" w:eastAsia="仿宋_GB2312" w:cs="Times New Roman"/>
          <w:b/>
          <w:bCs/>
          <w:color w:val="auto"/>
          <w:sz w:val="52"/>
          <w:szCs w:val="52"/>
        </w:rPr>
        <w:t>报告</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500" w:firstLineChars="500"/>
        <w:jc w:val="left"/>
        <w:textAlignment w:val="auto"/>
        <w:rPr>
          <w:rFonts w:hint="eastAsia" w:ascii="仿宋" w:hAnsi="仿宋" w:eastAsia="仿宋" w:cs="仿宋"/>
          <w:color w:val="000000"/>
          <w:kern w:val="0"/>
          <w:sz w:val="30"/>
          <w:szCs w:val="30"/>
          <w:lang w:val="en-US" w:eastAsia="zh-CN"/>
        </w:rPr>
      </w:pPr>
      <w:r>
        <w:rPr>
          <w:rFonts w:hint="eastAsia" w:ascii="仿宋" w:hAnsi="仿宋" w:eastAsia="仿宋" w:cs="仿宋"/>
          <w:color w:val="000000"/>
          <w:kern w:val="0"/>
          <w:sz w:val="30"/>
          <w:szCs w:val="30"/>
          <w:lang w:eastAsia="zh-CN"/>
        </w:rPr>
        <w:t>建设</w:t>
      </w:r>
      <w:r>
        <w:rPr>
          <w:rFonts w:hint="eastAsia" w:ascii="仿宋" w:hAnsi="仿宋" w:eastAsia="仿宋" w:cs="仿宋"/>
          <w:color w:val="000000"/>
          <w:kern w:val="0"/>
          <w:sz w:val="30"/>
          <w:szCs w:val="30"/>
        </w:rPr>
        <w:t>单位</w:t>
      </w:r>
      <w:r>
        <w:rPr>
          <w:rFonts w:hint="eastAsia" w:ascii="仿宋" w:hAnsi="仿宋" w:eastAsia="仿宋" w:cs="仿宋"/>
          <w:color w:val="000000"/>
          <w:kern w:val="0"/>
          <w:sz w:val="30"/>
          <w:szCs w:val="30"/>
          <w:lang w:eastAsia="zh-CN"/>
        </w:rPr>
        <w:t>：</w:t>
      </w:r>
      <w:r>
        <w:rPr>
          <w:rFonts w:hint="eastAsia" w:ascii="仿宋" w:hAnsi="仿宋" w:eastAsia="仿宋" w:cs="仿宋"/>
          <w:color w:val="000000"/>
          <w:sz w:val="30"/>
          <w:szCs w:val="30"/>
          <w:lang w:eastAsia="zh-CN"/>
        </w:rPr>
        <w:t>宁国市三鼎金属表面处理有限公司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500" w:firstLineChars="500"/>
        <w:jc w:val="both"/>
        <w:textAlignment w:val="auto"/>
        <w:rPr>
          <w:rFonts w:hint="eastAsia" w:ascii="仿宋" w:hAnsi="仿宋" w:eastAsia="仿宋" w:cs="仿宋"/>
          <w:b w:val="0"/>
          <w:bCs w:val="0"/>
          <w:color w:val="000000"/>
          <w:kern w:val="0"/>
          <w:sz w:val="30"/>
          <w:szCs w:val="30"/>
        </w:rPr>
      </w:pPr>
      <w:r>
        <w:rPr>
          <w:rFonts w:hint="eastAsia" w:ascii="仿宋" w:hAnsi="仿宋" w:eastAsia="仿宋" w:cs="仿宋"/>
          <w:color w:val="000000"/>
          <w:kern w:val="0"/>
          <w:sz w:val="30"/>
          <w:szCs w:val="30"/>
        </w:rPr>
        <w:t>编制单位</w:t>
      </w:r>
      <w:r>
        <w:rPr>
          <w:rFonts w:hint="eastAsia" w:ascii="仿宋" w:hAnsi="仿宋" w:eastAsia="仿宋" w:cs="仿宋"/>
          <w:color w:val="000000"/>
          <w:kern w:val="0"/>
          <w:sz w:val="30"/>
          <w:szCs w:val="30"/>
          <w:lang w:eastAsia="zh-CN"/>
        </w:rPr>
        <w:t>：</w:t>
      </w:r>
      <w:r>
        <w:rPr>
          <w:rFonts w:hint="eastAsia" w:ascii="仿宋" w:hAnsi="仿宋" w:eastAsia="仿宋" w:cs="仿宋"/>
          <w:b w:val="0"/>
          <w:bCs w:val="0"/>
          <w:color w:val="000000"/>
          <w:kern w:val="0"/>
          <w:sz w:val="30"/>
          <w:szCs w:val="30"/>
        </w:rPr>
        <w:t>宁国</w:t>
      </w:r>
      <w:r>
        <w:rPr>
          <w:rFonts w:hint="eastAsia" w:ascii="仿宋" w:hAnsi="仿宋" w:eastAsia="仿宋" w:cs="仿宋"/>
          <w:b w:val="0"/>
          <w:bCs w:val="0"/>
          <w:color w:val="000000"/>
          <w:kern w:val="0"/>
          <w:sz w:val="30"/>
          <w:szCs w:val="30"/>
          <w:lang w:val="en-US" w:eastAsia="zh-CN"/>
        </w:rPr>
        <w:t>市浚成环境检测</w:t>
      </w:r>
      <w:r>
        <w:rPr>
          <w:rFonts w:hint="eastAsia" w:ascii="仿宋" w:hAnsi="仿宋" w:eastAsia="仿宋" w:cs="仿宋"/>
          <w:b w:val="0"/>
          <w:bCs w:val="0"/>
          <w:color w:val="000000"/>
          <w:kern w:val="0"/>
          <w:sz w:val="30"/>
          <w:szCs w:val="30"/>
        </w:rPr>
        <w:t>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500" w:firstLineChars="500"/>
        <w:jc w:val="both"/>
        <w:textAlignment w:val="auto"/>
        <w:rPr>
          <w:rFonts w:hint="eastAsia" w:ascii="仿宋" w:hAnsi="仿宋" w:eastAsia="仿宋" w:cs="仿宋"/>
          <w:b w:val="0"/>
          <w:bCs w:val="0"/>
          <w:color w:val="000000"/>
          <w:kern w:val="0"/>
          <w:sz w:val="30"/>
          <w:szCs w:val="3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b w:val="0"/>
          <w:bCs w:val="0"/>
          <w:color w:val="000000"/>
          <w:kern w:val="0"/>
          <w:sz w:val="30"/>
          <w:szCs w:val="30"/>
          <w:lang w:eastAsia="zh-CN"/>
        </w:rPr>
        <w:t>编制日期：</w:t>
      </w:r>
      <w:r>
        <w:rPr>
          <w:rFonts w:hint="eastAsia" w:ascii="仿宋" w:hAnsi="仿宋" w:eastAsia="仿宋" w:cs="仿宋"/>
          <w:b w:val="0"/>
          <w:bCs w:val="0"/>
          <w:color w:val="000000"/>
          <w:kern w:val="0"/>
          <w:sz w:val="30"/>
          <w:szCs w:val="30"/>
        </w:rPr>
        <w:t>二〇</w:t>
      </w:r>
      <w:r>
        <w:rPr>
          <w:rFonts w:hint="eastAsia" w:ascii="仿宋" w:hAnsi="仿宋" w:eastAsia="仿宋" w:cs="仿宋"/>
          <w:b w:val="0"/>
          <w:bCs w:val="0"/>
          <w:color w:val="000000"/>
          <w:kern w:val="0"/>
          <w:sz w:val="30"/>
          <w:szCs w:val="30"/>
          <w:lang w:val="en-US" w:eastAsia="zh-CN"/>
        </w:rPr>
        <w:t>二</w:t>
      </w:r>
      <w:r>
        <w:rPr>
          <w:rFonts w:hint="eastAsia" w:ascii="仿宋" w:hAnsi="仿宋" w:eastAsia="仿宋" w:cs="仿宋"/>
          <w:b w:val="0"/>
          <w:bCs w:val="0"/>
          <w:color w:val="000000"/>
          <w:kern w:val="0"/>
          <w:sz w:val="30"/>
          <w:szCs w:val="30"/>
          <w:lang w:eastAsia="zh-CN"/>
        </w:rPr>
        <w:t>一</w:t>
      </w:r>
      <w:r>
        <w:rPr>
          <w:rFonts w:hint="eastAsia" w:ascii="仿宋" w:hAnsi="仿宋" w:eastAsia="仿宋" w:cs="仿宋"/>
          <w:b w:val="0"/>
          <w:bCs w:val="0"/>
          <w:color w:val="000000"/>
          <w:kern w:val="0"/>
          <w:sz w:val="30"/>
          <w:szCs w:val="30"/>
        </w:rPr>
        <w:t>年</w:t>
      </w:r>
      <w:r>
        <w:rPr>
          <w:rFonts w:hint="eastAsia" w:ascii="仿宋" w:hAnsi="仿宋" w:eastAsia="仿宋" w:cs="仿宋"/>
          <w:b w:val="0"/>
          <w:bCs w:val="0"/>
          <w:color w:val="000000"/>
          <w:kern w:val="0"/>
          <w:sz w:val="30"/>
          <w:szCs w:val="30"/>
          <w:lang w:eastAsia="zh-CN"/>
        </w:rPr>
        <w:t>九</w:t>
      </w:r>
      <w:r>
        <w:rPr>
          <w:rFonts w:hint="eastAsia" w:ascii="仿宋" w:hAnsi="仿宋" w:eastAsia="仿宋" w:cs="仿宋"/>
          <w:b w:val="0"/>
          <w:bCs w:val="0"/>
          <w:color w:val="000000"/>
          <w:kern w:val="0"/>
          <w:sz w:val="30"/>
          <w:szCs w:val="30"/>
        </w:rPr>
        <w:t>月</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仿宋" w:hAnsi="仿宋" w:eastAsia="仿宋" w:cs="仿宋"/>
          <w:color w:val="000000"/>
          <w:sz w:val="28"/>
        </w:rPr>
      </w:pPr>
      <w:r>
        <w:rPr>
          <w:rFonts w:hint="eastAsia" w:ascii="仿宋" w:hAnsi="仿宋" w:eastAsia="仿宋" w:cs="仿宋"/>
          <w:b/>
          <w:color w:val="000000"/>
          <w:sz w:val="28"/>
        </w:rPr>
        <w:t>建设单位</w:t>
      </w:r>
      <w:r>
        <w:rPr>
          <w:rFonts w:hint="eastAsia" w:ascii="仿宋" w:hAnsi="仿宋" w:eastAsia="仿宋" w:cs="仿宋"/>
          <w:b/>
          <w:color w:val="000000"/>
          <w:sz w:val="28"/>
          <w:highlight w:val="none"/>
        </w:rPr>
        <w:t>法人代表</w:t>
      </w:r>
      <w:r>
        <w:rPr>
          <w:rFonts w:hint="eastAsia" w:ascii="仿宋" w:hAnsi="仿宋" w:eastAsia="仿宋" w:cs="仿宋"/>
          <w:b/>
          <w:color w:val="000000"/>
          <w:sz w:val="28"/>
        </w:rPr>
        <w:t>:</w:t>
      </w:r>
      <w:r>
        <w:rPr>
          <w:rFonts w:hint="eastAsia" w:eastAsia="仿宋_GB2312" w:cs="Times New Roman"/>
          <w:color w:val="auto"/>
          <w:kern w:val="0"/>
          <w:sz w:val="28"/>
          <w:szCs w:val="28"/>
          <w:lang w:val="en-US" w:eastAsia="zh-CN"/>
        </w:rPr>
        <w:t>赵长彬</w:t>
      </w:r>
      <w:r>
        <w:rPr>
          <w:rFonts w:hint="eastAsia" w:ascii="仿宋" w:hAnsi="仿宋" w:eastAsia="仿宋" w:cs="仿宋"/>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仿宋" w:hAnsi="仿宋" w:eastAsia="仿宋" w:cs="仿宋"/>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仿宋" w:hAnsi="仿宋" w:eastAsia="仿宋" w:cs="仿宋"/>
          <w:color w:val="000000"/>
          <w:sz w:val="28"/>
        </w:rPr>
      </w:pPr>
      <w:r>
        <w:rPr>
          <w:rFonts w:hint="eastAsia" w:ascii="仿宋" w:hAnsi="仿宋" w:eastAsia="仿宋" w:cs="仿宋"/>
          <w:b/>
          <w:color w:val="000000"/>
          <w:sz w:val="28"/>
        </w:rPr>
        <w:t>编制单位</w:t>
      </w:r>
      <w:r>
        <w:rPr>
          <w:rFonts w:hint="eastAsia" w:ascii="仿宋" w:hAnsi="仿宋" w:eastAsia="仿宋" w:cs="仿宋"/>
          <w:b/>
          <w:color w:val="000000"/>
          <w:sz w:val="28"/>
          <w:highlight w:val="none"/>
        </w:rPr>
        <w:t>法人代表</w:t>
      </w:r>
      <w:r>
        <w:rPr>
          <w:rFonts w:hint="eastAsia" w:ascii="仿宋" w:hAnsi="仿宋" w:eastAsia="仿宋" w:cs="仿宋"/>
          <w:b/>
          <w:color w:val="000000"/>
          <w:sz w:val="28"/>
        </w:rPr>
        <w:t>:</w:t>
      </w:r>
      <w:r>
        <w:rPr>
          <w:rFonts w:hint="eastAsia" w:ascii="仿宋" w:hAnsi="仿宋" w:eastAsia="仿宋" w:cs="仿宋"/>
          <w:sz w:val="28"/>
          <w:szCs w:val="28"/>
        </w:rPr>
        <w:t>杨明辉</w:t>
      </w:r>
      <w:r>
        <w:rPr>
          <w:rFonts w:hint="eastAsia" w:ascii="仿宋" w:hAnsi="仿宋" w:eastAsia="仿宋" w:cs="仿宋"/>
          <w:color w:val="000000"/>
          <w:sz w:val="28"/>
        </w:rPr>
        <w:tab/>
      </w:r>
      <w:r>
        <w:rPr>
          <w:rFonts w:hint="eastAsia" w:ascii="仿宋" w:hAnsi="仿宋" w:eastAsia="仿宋" w:cs="仿宋"/>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宋体" w:cs="Times New Roman"/>
          <w:color w:val="000000"/>
          <w:sz w:val="28"/>
        </w:rPr>
      </w:pPr>
      <w:r>
        <w:rPr>
          <w:rFonts w:hint="eastAsia" w:ascii="仿宋" w:hAnsi="仿宋" w:eastAsia="仿宋" w:cs="仿宋"/>
          <w:b/>
          <w:bCs/>
          <w:color w:val="000000"/>
          <w:sz w:val="28"/>
          <w:lang w:eastAsia="zh-CN"/>
        </w:rPr>
        <w:t>项目负责人：</w:t>
      </w:r>
      <w:r>
        <w:rPr>
          <w:rFonts w:hint="eastAsia" w:ascii="仿宋" w:hAnsi="仿宋" w:eastAsia="仿宋" w:cs="仿宋"/>
          <w:b w:val="0"/>
          <w:bCs w:val="0"/>
          <w:color w:val="000000"/>
          <w:sz w:val="28"/>
          <w:lang w:eastAsia="zh-CN"/>
        </w:rPr>
        <w:t>兰天俣</w:t>
      </w:r>
      <w:r>
        <w:rPr>
          <w:rFonts w:hint="eastAsia" w:ascii="仿宋" w:hAnsi="仿宋" w:eastAsia="仿宋" w:cs="仿宋"/>
          <w:b/>
          <w:bCs/>
          <w:color w:val="000000"/>
          <w:sz w:val="28"/>
        </w:rPr>
        <w:t xml:space="preserve"> </w:t>
      </w:r>
      <w:r>
        <w:rPr>
          <w:rFonts w:hint="eastAsia" w:ascii="仿宋" w:hAnsi="仿宋" w:eastAsia="仿宋" w:cs="仿宋"/>
          <w:color w:val="000000"/>
          <w:sz w:val="28"/>
        </w:rPr>
        <w:t xml:space="preserve">  </w:t>
      </w:r>
      <w:r>
        <w:rPr>
          <w:rFonts w:hint="default" w:ascii="Times New Roman" w:hAnsi="Times New Roman" w:eastAsia="宋体"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宋体" w:cs="Times New Roman"/>
          <w:color w:val="000000"/>
          <w:sz w:val="28"/>
        </w:rPr>
      </w:pPr>
      <w:r>
        <w:rPr>
          <w:rFonts w:hint="default" w:ascii="Times New Roman" w:hAnsi="Times New Roman" w:eastAsia="宋体" w:cs="Times New Roman"/>
          <w:color w:val="000000"/>
          <w:sz w:val="28"/>
        </w:rPr>
        <w:tab/>
      </w:r>
    </w:p>
    <w:p>
      <w:pPr>
        <w:spacing w:line="360" w:lineRule="auto"/>
        <w:rPr>
          <w:rFonts w:hint="default" w:ascii="Times New Roman" w:hAnsi="Times New Roman" w:eastAsia="宋体" w:cs="Times New Roman"/>
          <w:color w:val="000000"/>
          <w:sz w:val="28"/>
        </w:rPr>
      </w:pPr>
      <w:r>
        <w:rPr>
          <w:rFonts w:hint="default" w:ascii="Times New Roman" w:hAnsi="Times New Roman" w:eastAsia="宋体" w:cs="Times New Roman"/>
          <w:color w:val="000000"/>
          <w:sz w:val="28"/>
        </w:rPr>
        <w:tab/>
      </w:r>
    </w:p>
    <w:p>
      <w:pPr>
        <w:spacing w:line="360" w:lineRule="auto"/>
        <w:rPr>
          <w:rFonts w:hint="default" w:ascii="Times New Roman" w:hAnsi="Times New Roman" w:eastAsia="宋体" w:cs="Times New Roman"/>
          <w:color w:val="000000"/>
          <w:sz w:val="28"/>
        </w:rPr>
      </w:pPr>
    </w:p>
    <w:p>
      <w:pPr>
        <w:tabs>
          <w:tab w:val="left" w:pos="984"/>
        </w:tabs>
        <w:spacing w:line="360" w:lineRule="auto"/>
        <w:rPr>
          <w:rFonts w:hint="default" w:ascii="Times New Roman" w:hAnsi="Times New Roman" w:eastAsia="宋体" w:cs="Times New Roman"/>
          <w:color w:val="000000"/>
          <w:sz w:val="28"/>
        </w:rPr>
      </w:pPr>
      <w:r>
        <w:rPr>
          <w:rFonts w:hint="default" w:ascii="Times New Roman" w:hAnsi="Times New Roman" w:eastAsia="宋体" w:cs="Times New Roman"/>
          <w:color w:val="000000"/>
          <w:sz w:val="28"/>
        </w:rPr>
        <w:tab/>
      </w:r>
    </w:p>
    <w:p>
      <w:pPr>
        <w:tabs>
          <w:tab w:val="left" w:pos="984"/>
        </w:tabs>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eastAsia" w:ascii="仿宋" w:hAnsi="仿宋" w:eastAsia="仿宋" w:cs="仿宋"/>
          <w:color w:val="000000"/>
          <w:sz w:val="21"/>
          <w:szCs w:val="21"/>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docGrid w:linePitch="360" w:charSpace="0"/>
        </w:sectPr>
      </w:pPr>
      <w:r>
        <w:rPr>
          <w:rFonts w:hint="eastAsia" w:ascii="仿宋" w:hAnsi="仿宋" w:eastAsia="仿宋" w:cs="仿宋"/>
          <w:color w:val="000000"/>
          <w:sz w:val="28"/>
        </w:rPr>
        <w:t xml:space="preserve">建设单位 </w:t>
      </w:r>
      <w:r>
        <w:rPr>
          <w:rFonts w:hint="eastAsia" w:ascii="仿宋" w:hAnsi="仿宋" w:eastAsia="仿宋" w:cs="仿宋"/>
          <w:color w:val="000000"/>
          <w:sz w:val="28"/>
          <w:lang w:val="en-US" w:eastAsia="zh-CN"/>
        </w:rPr>
        <w:t xml:space="preserve">        </w:t>
      </w:r>
      <w:r>
        <w:rPr>
          <w:rFonts w:hint="eastAsia" w:ascii="仿宋" w:hAnsi="仿宋" w:eastAsia="仿宋" w:cs="仿宋"/>
          <w:color w:val="000000"/>
          <w:sz w:val="28"/>
        </w:rPr>
        <w:t>（盖章）        编制单位          （盖章）</w:t>
      </w:r>
    </w:p>
    <w:p>
      <w:pPr>
        <w:pStyle w:val="2"/>
        <w:tabs>
          <w:tab w:val="left" w:pos="788"/>
        </w:tabs>
        <w:spacing w:line="424" w:lineRule="exact"/>
        <w:ind w:left="0" w:right="274"/>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项目总体情况</w:t>
      </w:r>
    </w:p>
    <w:tbl>
      <w:tblPr>
        <w:tblStyle w:val="13"/>
        <w:tblW w:w="506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315"/>
        <w:gridCol w:w="1465"/>
        <w:gridCol w:w="526"/>
        <w:gridCol w:w="560"/>
        <w:gridCol w:w="594"/>
        <w:gridCol w:w="481"/>
        <w:gridCol w:w="412"/>
        <w:gridCol w:w="815"/>
        <w:gridCol w:w="410"/>
        <w:gridCol w:w="8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73" w:type="pct"/>
            <w:tcBorders>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建设项目名称</w:t>
            </w:r>
          </w:p>
        </w:tc>
        <w:tc>
          <w:tcPr>
            <w:tcW w:w="3626" w:type="pct"/>
            <w:gridSpan w:val="9"/>
            <w:tcBorders>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宁国市三鼎金属表面处理有限公司整体搬迁及扩建</w:t>
            </w:r>
            <w:r>
              <w:rPr>
                <w:rFonts w:hint="default" w:ascii="Times New Roman" w:hAnsi="Times New Roman" w:eastAsia="宋体" w:cs="Times New Roman"/>
                <w:sz w:val="24"/>
                <w:szCs w:val="24"/>
                <w:lang w:eastAsia="zh-CN"/>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1373" w:type="pct"/>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w:t>
            </w:r>
          </w:p>
        </w:tc>
        <w:tc>
          <w:tcPr>
            <w:tcW w:w="3626" w:type="pct"/>
            <w:gridSpan w:val="9"/>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宁国市三鼎金属表面处理有限公司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73" w:type="pct"/>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法人代表</w:t>
            </w:r>
          </w:p>
        </w:tc>
        <w:tc>
          <w:tcPr>
            <w:tcW w:w="1181" w:type="pct"/>
            <w:gridSpan w:val="2"/>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赵长彬</w:t>
            </w:r>
          </w:p>
        </w:tc>
        <w:tc>
          <w:tcPr>
            <w:tcW w:w="1213" w:type="pct"/>
            <w:gridSpan w:val="4"/>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联系人</w:t>
            </w:r>
          </w:p>
        </w:tc>
        <w:tc>
          <w:tcPr>
            <w:tcW w:w="1232" w:type="pct"/>
            <w:gridSpan w:val="3"/>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陆军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73" w:type="pct"/>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通信地址</w:t>
            </w:r>
          </w:p>
        </w:tc>
        <w:tc>
          <w:tcPr>
            <w:tcW w:w="3626" w:type="pct"/>
            <w:gridSpan w:val="9"/>
            <w:tcBorders>
              <w:top w:val="single" w:color="000000" w:sz="4" w:space="0"/>
              <w:bottom w:val="single" w:color="000000" w:sz="4" w:space="0"/>
            </w:tcBorders>
            <w:vAlign w:val="center"/>
          </w:tcPr>
          <w:p>
            <w:pPr>
              <w:pStyle w:val="16"/>
              <w:keepNext w:val="0"/>
              <w:keepLines w:val="0"/>
              <w:pageBreakBefore w:val="0"/>
              <w:widowControl w:val="0"/>
              <w:tabs>
                <w:tab w:val="left" w:pos="3608"/>
              </w:tabs>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eastAsia="zh-CN"/>
              </w:rPr>
              <w:t>安徽省宁国市</w:t>
            </w:r>
            <w:r>
              <w:rPr>
                <w:rFonts w:hint="eastAsia" w:ascii="Times New Roman" w:hAnsi="Times New Roman" w:eastAsia="宋体" w:cs="Times New Roman"/>
                <w:sz w:val="24"/>
                <w:szCs w:val="24"/>
                <w:lang w:eastAsia="zh-CN"/>
              </w:rPr>
              <w:t>宁国经济技术开发区汪溪园区电镀中心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373" w:type="pct"/>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联系电话</w:t>
            </w:r>
          </w:p>
        </w:tc>
        <w:tc>
          <w:tcPr>
            <w:tcW w:w="869" w:type="pct"/>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18956389798</w:t>
            </w:r>
          </w:p>
        </w:tc>
        <w:tc>
          <w:tcPr>
            <w:tcW w:w="644" w:type="pct"/>
            <w:gridSpan w:val="2"/>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传真</w:t>
            </w:r>
          </w:p>
        </w:tc>
        <w:tc>
          <w:tcPr>
            <w:tcW w:w="637" w:type="pct"/>
            <w:gridSpan w:val="2"/>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p>
        </w:tc>
        <w:tc>
          <w:tcPr>
            <w:tcW w:w="727" w:type="pct"/>
            <w:gridSpan w:val="2"/>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邮编</w:t>
            </w:r>
          </w:p>
        </w:tc>
        <w:tc>
          <w:tcPr>
            <w:tcW w:w="748" w:type="pct"/>
            <w:gridSpan w:val="2"/>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242300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373" w:type="pct"/>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建设地点</w:t>
            </w:r>
          </w:p>
        </w:tc>
        <w:tc>
          <w:tcPr>
            <w:tcW w:w="3626" w:type="pct"/>
            <w:gridSpan w:val="9"/>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宁国经济技术开发区汪溪园区电镀中心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73" w:type="pct"/>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项目性质</w:t>
            </w:r>
          </w:p>
        </w:tc>
        <w:tc>
          <w:tcPr>
            <w:tcW w:w="1513" w:type="pct"/>
            <w:gridSpan w:val="3"/>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新建</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改扩建</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技改</w:t>
            </w:r>
            <w:r>
              <w:rPr>
                <w:rFonts w:hint="eastAsia" w:ascii="Times New Roman" w:hAnsi="Times New Roman" w:eastAsia="宋体" w:cs="Times New Roman"/>
                <w:sz w:val="24"/>
                <w:szCs w:val="24"/>
                <w:lang w:eastAsia="zh-CN"/>
              </w:rPr>
              <w:t>□</w:t>
            </w:r>
          </w:p>
        </w:tc>
        <w:tc>
          <w:tcPr>
            <w:tcW w:w="881" w:type="pct"/>
            <w:gridSpan w:val="3"/>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行业类别</w:t>
            </w:r>
          </w:p>
        </w:tc>
        <w:tc>
          <w:tcPr>
            <w:tcW w:w="1232" w:type="pct"/>
            <w:gridSpan w:val="3"/>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C3360</w:t>
            </w:r>
            <w:r>
              <w:rPr>
                <w:rFonts w:hint="default"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val="en-US" w:eastAsia="zh-CN"/>
              </w:rPr>
              <w:t>金属表面处理及热处理加工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373" w:type="pct"/>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环境影响报告</w:t>
            </w:r>
            <w:r>
              <w:rPr>
                <w:rFonts w:hint="eastAsia" w:ascii="Times New Roman" w:hAnsi="Times New Roman" w:eastAsia="宋体" w:cs="Times New Roman"/>
                <w:sz w:val="24"/>
                <w:szCs w:val="24"/>
                <w:lang w:eastAsia="zh-CN"/>
              </w:rPr>
              <w:t>文件</w:t>
            </w:r>
            <w:r>
              <w:rPr>
                <w:rFonts w:hint="default" w:ascii="Times New Roman" w:hAnsi="Times New Roman" w:eastAsia="宋体" w:cs="Times New Roman"/>
                <w:sz w:val="24"/>
                <w:szCs w:val="24"/>
              </w:rPr>
              <w:t>名称</w:t>
            </w:r>
          </w:p>
        </w:tc>
        <w:tc>
          <w:tcPr>
            <w:tcW w:w="3626" w:type="pct"/>
            <w:gridSpan w:val="9"/>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宁国市三鼎金属表面处理有限公司整体搬迁及扩建</w:t>
            </w:r>
            <w:r>
              <w:rPr>
                <w:rFonts w:hint="default" w:ascii="Times New Roman" w:hAnsi="Times New Roman" w:eastAsia="宋体" w:cs="Times New Roman"/>
                <w:sz w:val="24"/>
                <w:szCs w:val="24"/>
                <w:lang w:eastAsia="zh-CN"/>
              </w:rPr>
              <w:t>项目环境影响报告</w:t>
            </w:r>
            <w:r>
              <w:rPr>
                <w:rFonts w:hint="eastAsia" w:ascii="Times New Roman" w:hAnsi="Times New Roman" w:eastAsia="宋体" w:cs="Times New Roman"/>
                <w:sz w:val="24"/>
                <w:szCs w:val="24"/>
                <w:lang w:eastAsia="zh-CN"/>
              </w:rPr>
              <w:t>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1373" w:type="pct"/>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环境影响评价单位</w:t>
            </w:r>
          </w:p>
        </w:tc>
        <w:tc>
          <w:tcPr>
            <w:tcW w:w="3626" w:type="pct"/>
            <w:gridSpan w:val="9"/>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安徽皖欣环境科技</w:t>
            </w:r>
            <w:r>
              <w:rPr>
                <w:rFonts w:hint="default" w:ascii="Times New Roman" w:hAnsi="Times New Roman" w:eastAsia="宋体" w:cs="Times New Roman"/>
                <w:sz w:val="24"/>
                <w:szCs w:val="24"/>
                <w:lang w:eastAsia="zh-CN"/>
              </w:rPr>
              <w:t>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373" w:type="pct"/>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环境影响评价审批部门</w:t>
            </w:r>
          </w:p>
        </w:tc>
        <w:tc>
          <w:tcPr>
            <w:tcW w:w="869" w:type="pct"/>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宣城市生态环境局</w:t>
            </w:r>
          </w:p>
        </w:tc>
        <w:tc>
          <w:tcPr>
            <w:tcW w:w="644" w:type="pct"/>
            <w:gridSpan w:val="2"/>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文号</w:t>
            </w:r>
          </w:p>
        </w:tc>
        <w:tc>
          <w:tcPr>
            <w:tcW w:w="637" w:type="pct"/>
            <w:gridSpan w:val="2"/>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宣环评</w:t>
            </w:r>
            <w:r>
              <w:rPr>
                <w:rFonts w:hint="default" w:ascii="Times New Roman" w:hAnsi="Times New Roman" w:eastAsia="宋体" w:cs="Times New Roman"/>
                <w:sz w:val="24"/>
                <w:szCs w:val="24"/>
                <w:lang w:val="en-US" w:eastAsia="zh-CN"/>
              </w:rPr>
              <w:t>[201</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号</w:t>
            </w:r>
          </w:p>
        </w:tc>
        <w:tc>
          <w:tcPr>
            <w:tcW w:w="727" w:type="pct"/>
            <w:gridSpan w:val="2"/>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时间</w:t>
            </w:r>
          </w:p>
        </w:tc>
        <w:tc>
          <w:tcPr>
            <w:tcW w:w="748" w:type="pct"/>
            <w:gridSpan w:val="2"/>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201</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24</w:t>
            </w:r>
            <w:r>
              <w:rPr>
                <w:rFonts w:hint="default" w:ascii="Times New Roman" w:hAnsi="Times New Roman" w:eastAsia="宋体" w:cs="Times New Roman"/>
                <w:sz w:val="24"/>
                <w:szCs w:val="24"/>
                <w:lang w:val="en-US" w:eastAsia="zh-CN"/>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73" w:type="pct"/>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投资总概算</w:t>
            </w:r>
          </w:p>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(万元)</w:t>
            </w:r>
          </w:p>
        </w:tc>
        <w:tc>
          <w:tcPr>
            <w:tcW w:w="869" w:type="pct"/>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9600</w:t>
            </w:r>
          </w:p>
        </w:tc>
        <w:tc>
          <w:tcPr>
            <w:tcW w:w="996" w:type="pct"/>
            <w:gridSpan w:val="3"/>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3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其中：环境保护</w:t>
            </w:r>
          </w:p>
          <w:p>
            <w:pPr>
              <w:pStyle w:val="16"/>
              <w:keepNext w:val="0"/>
              <w:keepLines w:val="0"/>
              <w:pageBreakBefore w:val="0"/>
              <w:widowControl w:val="0"/>
              <w:kinsoku/>
              <w:wordWrap/>
              <w:overflowPunct/>
              <w:topLinePunct w:val="0"/>
              <w:autoSpaceDE/>
              <w:autoSpaceDN/>
              <w:bidi w:val="0"/>
              <w:adjustRightInd/>
              <w:snapToGrid/>
              <w:spacing w:line="240" w:lineRule="auto"/>
              <w:ind w:left="0" w:right="3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投资(万元)</w:t>
            </w:r>
          </w:p>
        </w:tc>
        <w:tc>
          <w:tcPr>
            <w:tcW w:w="529" w:type="pct"/>
            <w:gridSpan w:val="2"/>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600</w:t>
            </w:r>
          </w:p>
        </w:tc>
        <w:tc>
          <w:tcPr>
            <w:tcW w:w="726" w:type="pct"/>
            <w:gridSpan w:val="2"/>
            <w:vMerge w:val="restart"/>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73"/>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环境保护投资占总投资比例</w:t>
            </w:r>
          </w:p>
        </w:tc>
        <w:tc>
          <w:tcPr>
            <w:tcW w:w="505" w:type="pct"/>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6.25</w:t>
            </w:r>
            <w:r>
              <w:rPr>
                <w:rFonts w:hint="default" w:ascii="Times New Roman" w:hAnsi="Times New Roman" w:eastAsia="宋体" w:cs="Times New Roman"/>
                <w:sz w:val="24"/>
                <w:szCs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73" w:type="pct"/>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实际总投资</w:t>
            </w:r>
          </w:p>
          <w:p>
            <w:pPr>
              <w:pStyle w:val="16"/>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(万元)</w:t>
            </w:r>
          </w:p>
        </w:tc>
        <w:tc>
          <w:tcPr>
            <w:tcW w:w="869" w:type="pct"/>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9600</w:t>
            </w:r>
          </w:p>
        </w:tc>
        <w:tc>
          <w:tcPr>
            <w:tcW w:w="996" w:type="pct"/>
            <w:gridSpan w:val="3"/>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right="3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其中：环境保护</w:t>
            </w:r>
          </w:p>
          <w:p>
            <w:pPr>
              <w:pStyle w:val="16"/>
              <w:keepNext w:val="0"/>
              <w:keepLines w:val="0"/>
              <w:pageBreakBefore w:val="0"/>
              <w:widowControl w:val="0"/>
              <w:kinsoku/>
              <w:wordWrap/>
              <w:overflowPunct/>
              <w:topLinePunct w:val="0"/>
              <w:autoSpaceDE/>
              <w:autoSpaceDN/>
              <w:bidi w:val="0"/>
              <w:adjustRightInd/>
              <w:snapToGrid/>
              <w:spacing w:line="240" w:lineRule="auto"/>
              <w:ind w:left="0" w:right="3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投资(万元)</w:t>
            </w:r>
          </w:p>
        </w:tc>
        <w:tc>
          <w:tcPr>
            <w:tcW w:w="529" w:type="pct"/>
            <w:gridSpan w:val="2"/>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369</w:t>
            </w:r>
          </w:p>
        </w:tc>
        <w:tc>
          <w:tcPr>
            <w:tcW w:w="726" w:type="pct"/>
            <w:gridSpan w:val="2"/>
            <w:vMerge w:val="continue"/>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p>
        </w:tc>
        <w:tc>
          <w:tcPr>
            <w:tcW w:w="505" w:type="pct"/>
            <w:tcBorders>
              <w:top w:val="single" w:color="000000" w:sz="4" w:space="0"/>
              <w:bottom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3.8</w:t>
            </w:r>
            <w:r>
              <w:rPr>
                <w:rFonts w:hint="default" w:ascii="Times New Roman" w:hAnsi="Times New Roman" w:eastAsia="宋体" w:cs="Times New Roman"/>
                <w:sz w:val="24"/>
                <w:szCs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2" w:hRule="atLeast"/>
        </w:trPr>
        <w:tc>
          <w:tcPr>
            <w:tcW w:w="1373" w:type="pct"/>
            <w:tcBorders>
              <w:top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验收依据</w:t>
            </w:r>
          </w:p>
        </w:tc>
        <w:tc>
          <w:tcPr>
            <w:tcW w:w="3626" w:type="pct"/>
            <w:gridSpan w:val="9"/>
            <w:tcBorders>
              <w:top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cs="Times New Roman"/>
                <w:color w:val="auto"/>
                <w:sz w:val="24"/>
                <w:szCs w:val="24"/>
              </w:rPr>
              <w:t>《中华人民共和国环境保护法》，2014.4.24 修订，2015.1.1 施行；</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《中华人民共和国固体废物污染环境防治法》，</w:t>
            </w:r>
            <w:r>
              <w:rPr>
                <w:rFonts w:hint="default" w:ascii="Times New Roman" w:hAnsi="Times New Roman" w:eastAsia="宋体" w:cs="Times New Roman"/>
                <w:color w:val="auto"/>
                <w:sz w:val="24"/>
                <w:szCs w:val="24"/>
                <w:highlight w:val="none"/>
                <w:lang w:val="en-US" w:eastAsia="zh-CN"/>
              </w:rPr>
              <w:t>2020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29</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修订</w:t>
            </w:r>
            <w:r>
              <w:rPr>
                <w:rFonts w:hint="eastAsia" w:ascii="Times New Roman" w:hAnsi="Times New Roman" w:eastAsia="宋体" w:cs="Times New Roman"/>
                <w:color w:val="auto"/>
                <w:sz w:val="24"/>
                <w:szCs w:val="24"/>
                <w:highlight w:val="none"/>
                <w:lang w:val="en-US" w:eastAsia="zh-CN"/>
              </w:rPr>
              <w:t>，2020.9.1生效；</w:t>
            </w:r>
          </w:p>
          <w:p>
            <w:pPr>
              <w:keepNext w:val="0"/>
              <w:keepLines w:val="0"/>
              <w:pageBreakBefore w:val="0"/>
              <w:widowControl w:val="0"/>
              <w:kinsoku/>
              <w:wordWrap/>
              <w:overflowPunct/>
              <w:topLinePunct w:val="0"/>
              <w:autoSpaceDE/>
              <w:autoSpaceDN/>
              <w:bidi w:val="0"/>
              <w:spacing w:line="360" w:lineRule="auto"/>
              <w:ind w:firstLine="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《建设项目环境保护管理条例》，中华人民共和国国务院令第682号，2017.7.16修订，2017.10.1试行；</w:t>
            </w:r>
          </w:p>
          <w:p>
            <w:pPr>
              <w:keepNext w:val="0"/>
              <w:keepLines w:val="0"/>
              <w:pageBreakBefore w:val="0"/>
              <w:widowControl w:val="0"/>
              <w:kinsoku/>
              <w:wordWrap/>
              <w:overflowPunct/>
              <w:topLinePunct w:val="0"/>
              <w:autoSpaceDE/>
              <w:autoSpaceDN/>
              <w:bidi w:val="0"/>
              <w:spacing w:line="360" w:lineRule="auto"/>
              <w:ind w:firstLine="0"/>
              <w:textAlignment w:val="auto"/>
              <w:rPr>
                <w:rFonts w:hint="eastAsia" w:ascii="Times New Roman" w:hAnsi="Times New Roman" w:eastAsia="仿宋" w:cs="Times New Roman"/>
                <w:color w:val="auto"/>
                <w:sz w:val="24"/>
                <w:szCs w:val="24"/>
                <w:lang w:eastAsia="zh-CN"/>
              </w:rPr>
            </w:pP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《关于发布&lt;建设项目竣工环境保护验收暂行办法&gt;的公告》，中华人民共和国环境保护部，国环规环评[2017]4号，2017年11月20日发布并实施</w:t>
            </w:r>
            <w:r>
              <w:rPr>
                <w:rFonts w:hint="eastAsia" w:cs="Times New Roman"/>
                <w:color w:val="auto"/>
                <w:sz w:val="24"/>
                <w:szCs w:val="24"/>
                <w:lang w:eastAsia="zh-CN"/>
              </w:rPr>
              <w:t>；</w:t>
            </w:r>
          </w:p>
          <w:p>
            <w:pPr>
              <w:keepNext w:val="0"/>
              <w:keepLines w:val="0"/>
              <w:pageBreakBefore w:val="0"/>
              <w:widowControl w:val="0"/>
              <w:kinsoku/>
              <w:wordWrap/>
              <w:overflowPunct/>
              <w:topLinePunct w:val="0"/>
              <w:autoSpaceDE/>
              <w:autoSpaceDN/>
              <w:bidi w:val="0"/>
              <w:spacing w:line="360" w:lineRule="auto"/>
              <w:ind w:firstLine="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关于发布</w:t>
            </w:r>
            <w:r>
              <w:rPr>
                <w:rFonts w:hint="default" w:ascii="Times New Roman" w:hAnsi="Times New Roman" w:cs="Times New Roman"/>
                <w:color w:val="auto"/>
                <w:sz w:val="24"/>
                <w:szCs w:val="24"/>
              </w:rPr>
              <w:t>《建设项目竣工环境保护验收技术指南 污染影响类》</w:t>
            </w:r>
            <w:r>
              <w:rPr>
                <w:rFonts w:hint="default" w:ascii="Times New Roman" w:hAnsi="Times New Roman" w:cs="Times New Roman"/>
                <w:color w:val="auto"/>
                <w:sz w:val="24"/>
                <w:szCs w:val="24"/>
                <w:lang w:eastAsia="zh-CN"/>
              </w:rPr>
              <w:t>的公告，</w:t>
            </w:r>
            <w:r>
              <w:rPr>
                <w:rFonts w:hint="default" w:ascii="Times New Roman" w:hAnsi="Times New Roman" w:cs="Times New Roman"/>
                <w:color w:val="auto"/>
                <w:sz w:val="24"/>
                <w:szCs w:val="24"/>
              </w:rPr>
              <w:t>中华人民共和国</w:t>
            </w:r>
            <w:r>
              <w:rPr>
                <w:rFonts w:hint="default" w:ascii="Times New Roman" w:hAnsi="Times New Roman" w:cs="Times New Roman"/>
                <w:color w:val="auto"/>
                <w:sz w:val="24"/>
                <w:szCs w:val="24"/>
                <w:lang w:eastAsia="zh-CN"/>
              </w:rPr>
              <w:t>生态环境</w:t>
            </w:r>
            <w:r>
              <w:rPr>
                <w:rFonts w:hint="default" w:ascii="Times New Roman" w:hAnsi="Times New Roman" w:cs="Times New Roman"/>
                <w:color w:val="auto"/>
                <w:sz w:val="24"/>
                <w:szCs w:val="24"/>
              </w:rPr>
              <w:t>部，</w:t>
            </w:r>
            <w:r>
              <w:rPr>
                <w:rFonts w:hint="default" w:ascii="Times New Roman" w:hAnsi="Times New Roman" w:cs="Times New Roman"/>
                <w:color w:val="auto"/>
                <w:sz w:val="24"/>
                <w:szCs w:val="24"/>
                <w:lang w:eastAsia="zh-CN"/>
              </w:rPr>
              <w:t>公告</w:t>
            </w:r>
            <w:r>
              <w:rPr>
                <w:rFonts w:hint="default" w:ascii="Times New Roman" w:hAnsi="Times New Roman" w:cs="Times New Roman"/>
                <w:color w:val="auto"/>
                <w:sz w:val="24"/>
                <w:szCs w:val="24"/>
                <w:lang w:val="en-US" w:eastAsia="zh-CN"/>
              </w:rPr>
              <w:t>2018第9</w:t>
            </w:r>
            <w:r>
              <w:rPr>
                <w:rFonts w:hint="default" w:ascii="Times New Roman" w:hAnsi="Times New Roman" w:cs="Times New Roman"/>
                <w:color w:val="auto"/>
                <w:sz w:val="24"/>
                <w:szCs w:val="24"/>
              </w:rPr>
              <w:t>号，201</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16</w:t>
            </w:r>
            <w:r>
              <w:rPr>
                <w:rFonts w:hint="default" w:ascii="Times New Roman" w:hAnsi="Times New Roman" w:cs="Times New Roman"/>
                <w:color w:val="auto"/>
                <w:sz w:val="24"/>
                <w:szCs w:val="24"/>
              </w:rPr>
              <w:t>日</w:t>
            </w:r>
            <w:r>
              <w:rPr>
                <w:rFonts w:hint="default" w:ascii="Times New Roman" w:hAnsi="Times New Roman" w:cs="Times New Roman"/>
                <w:color w:val="auto"/>
                <w:sz w:val="24"/>
                <w:szCs w:val="24"/>
                <w:lang w:eastAsia="zh-CN"/>
              </w:rPr>
              <w:t>印发</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spacing w:line="360" w:lineRule="auto"/>
              <w:ind w:firstLine="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宁国市三鼎金属表面处理有限公司整体搬迁及扩建项目竣工环境保护验收的委托书；</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auto"/>
                <w:sz w:val="24"/>
                <w:szCs w:val="24"/>
                <w:lang w:eastAsia="zh-CN"/>
              </w:rPr>
            </w:pPr>
            <w:r>
              <w:rPr>
                <w:rFonts w:hint="eastAsia" w:ascii="Times New Roman" w:hAnsi="Times New Roman" w:cs="Times New Roman"/>
                <w:sz w:val="24"/>
                <w:szCs w:val="24"/>
                <w:lang w:val="en-US" w:eastAsia="zh-CN"/>
              </w:rPr>
              <w:t>7、</w:t>
            </w:r>
            <w:r>
              <w:rPr>
                <w:rFonts w:hint="eastAsia" w:ascii="宋体" w:hAnsi="宋体" w:eastAsia="宋体" w:cs="宋体"/>
                <w:color w:val="auto"/>
                <w:sz w:val="24"/>
                <w:szCs w:val="24"/>
                <w:lang w:eastAsia="zh-CN"/>
              </w:rPr>
              <w:t>安徽皖欣环境科技</w:t>
            </w:r>
            <w:r>
              <w:rPr>
                <w:rFonts w:hint="eastAsia" w:ascii="宋体" w:hAnsi="宋体" w:eastAsia="宋体" w:cs="宋体"/>
                <w:color w:val="auto"/>
                <w:sz w:val="24"/>
                <w:szCs w:val="24"/>
              </w:rPr>
              <w:t>有限公司</w:t>
            </w:r>
            <w:r>
              <w:rPr>
                <w:rFonts w:hint="eastAsia" w:ascii="宋体" w:hAnsi="宋体" w:eastAsia="宋体" w:cs="宋体"/>
                <w:color w:val="auto"/>
                <w:sz w:val="24"/>
                <w:szCs w:val="24"/>
                <w:lang w:eastAsia="zh-CN"/>
              </w:rPr>
              <w:t>《</w:t>
            </w:r>
            <w:r>
              <w:rPr>
                <w:rFonts w:hint="eastAsia" w:ascii="Times New Roman" w:hAnsi="Times New Roman" w:cs="Times New Roman"/>
                <w:sz w:val="24"/>
                <w:szCs w:val="24"/>
                <w:lang w:eastAsia="zh-CN"/>
              </w:rPr>
              <w:t>宁国市三鼎金属表面处理有限公司</w:t>
            </w:r>
            <w:r>
              <w:rPr>
                <w:rFonts w:hint="default" w:ascii="Times New Roman" w:hAnsi="Times New Roman" w:cs="Times New Roman"/>
                <w:sz w:val="24"/>
                <w:szCs w:val="24"/>
                <w:lang w:eastAsia="zh-CN"/>
              </w:rPr>
              <w:t>整体搬迁及扩建项目环境影响报告书</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8、</w:t>
            </w:r>
            <w:r>
              <w:rPr>
                <w:rFonts w:hint="default" w:ascii="Times New Roman" w:hAnsi="Times New Roman" w:cs="Times New Roman"/>
                <w:color w:val="auto"/>
                <w:sz w:val="24"/>
                <w:szCs w:val="24"/>
              </w:rPr>
              <w:t>宣城市环境保护局《关于宁国市三鼎金属表面处理有限公司整体搬迁及扩建项目环境影响报告书</w:t>
            </w:r>
            <w:r>
              <w:rPr>
                <w:rFonts w:hint="default" w:ascii="Times New Roman" w:hAnsi="Times New Roman" w:cs="Times New Roman"/>
                <w:color w:val="auto"/>
                <w:sz w:val="24"/>
                <w:szCs w:val="24"/>
                <w:lang w:eastAsia="zh-CN"/>
              </w:rPr>
              <w:t>的</w:t>
            </w:r>
            <w:r>
              <w:rPr>
                <w:rFonts w:hint="default" w:ascii="Times New Roman" w:hAnsi="Times New Roman" w:cs="Times New Roman"/>
                <w:color w:val="auto"/>
                <w:sz w:val="24"/>
                <w:szCs w:val="24"/>
              </w:rPr>
              <w:t>复函》（</w:t>
            </w:r>
            <w:r>
              <w:rPr>
                <w:rFonts w:hint="default" w:ascii="Times New Roman" w:hAnsi="Times New Roman" w:cs="Times New Roman"/>
                <w:color w:val="auto"/>
                <w:sz w:val="24"/>
                <w:szCs w:val="24"/>
                <w:lang w:val="en-US" w:eastAsia="zh-CN"/>
              </w:rPr>
              <w:t>宣环评</w:t>
            </w:r>
            <w:r>
              <w:rPr>
                <w:rFonts w:hint="default" w:ascii="Times New Roman" w:hAnsi="Times New Roman" w:cs="Times New Roman"/>
                <w:color w:val="auto"/>
                <w:sz w:val="24"/>
                <w:szCs w:val="24"/>
              </w:rPr>
              <w:t>[201</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号）</w:t>
            </w:r>
            <w:r>
              <w:rPr>
                <w:rFonts w:hint="default" w:ascii="Times New Roman" w:hAnsi="Times New Roman" w:cs="Times New Roman"/>
                <w:color w:val="auto"/>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6" w:hRule="atLeast"/>
        </w:trPr>
        <w:tc>
          <w:tcPr>
            <w:tcW w:w="1373" w:type="pct"/>
            <w:vAlign w:val="center"/>
          </w:tcPr>
          <w:p>
            <w:pPr>
              <w:pStyle w:val="16"/>
              <w:keepNext w:val="0"/>
              <w:keepLines w:val="0"/>
              <w:pageBreakBefore w:val="0"/>
              <w:widowControl w:val="0"/>
              <w:kinsoku/>
              <w:wordWrap/>
              <w:overflowPunct/>
              <w:topLinePunct w:val="0"/>
              <w:autoSpaceDE/>
              <w:autoSpaceDN/>
              <w:bidi w:val="0"/>
              <w:adjustRightInd/>
              <w:snapToGrid/>
              <w:spacing w:line="422" w:lineRule="exact"/>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项目建设过程简述</w:t>
            </w:r>
          </w:p>
        </w:tc>
        <w:tc>
          <w:tcPr>
            <w:tcW w:w="3626" w:type="pct"/>
            <w:gridSpan w:val="9"/>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201</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月，建设单位委</w:t>
            </w:r>
            <w:r>
              <w:rPr>
                <w:rFonts w:hint="eastAsia" w:ascii="宋体" w:hAnsi="宋体" w:eastAsia="宋体" w:cs="宋体"/>
                <w:color w:val="auto"/>
                <w:sz w:val="24"/>
                <w:szCs w:val="24"/>
                <w:lang w:val="en-US" w:eastAsia="zh-CN"/>
              </w:rPr>
              <w:t>托</w:t>
            </w:r>
            <w:r>
              <w:rPr>
                <w:rFonts w:hint="eastAsia" w:ascii="宋体" w:hAnsi="宋体" w:eastAsia="宋体" w:cs="宋体"/>
                <w:color w:val="auto"/>
                <w:sz w:val="24"/>
                <w:szCs w:val="24"/>
                <w:lang w:eastAsia="zh-CN"/>
              </w:rPr>
              <w:t>安徽皖欣环境科技</w:t>
            </w:r>
            <w:r>
              <w:rPr>
                <w:rFonts w:hint="eastAsia" w:ascii="宋体" w:hAnsi="宋体" w:eastAsia="宋体" w:cs="宋体"/>
                <w:color w:val="auto"/>
                <w:sz w:val="24"/>
                <w:szCs w:val="24"/>
              </w:rPr>
              <w:t>有限公司</w:t>
            </w:r>
            <w:r>
              <w:rPr>
                <w:rFonts w:hint="eastAsia" w:ascii="宋体" w:hAnsi="宋体" w:eastAsia="宋体" w:cs="宋体"/>
                <w:color w:val="auto"/>
                <w:sz w:val="24"/>
                <w:szCs w:val="24"/>
                <w:lang w:val="en-US" w:eastAsia="zh-CN"/>
              </w:rPr>
              <w:t>承担本项目的环境影响评价工</w:t>
            </w:r>
            <w:r>
              <w:rPr>
                <w:rFonts w:hint="default" w:ascii="Times New Roman" w:hAnsi="Times New Roman" w:eastAsia="宋体" w:cs="Times New Roman"/>
                <w:color w:val="auto"/>
                <w:sz w:val="24"/>
                <w:szCs w:val="24"/>
                <w:lang w:val="en-US" w:eastAsia="zh-CN"/>
              </w:rPr>
              <w:t>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201</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日，</w:t>
            </w:r>
            <w:r>
              <w:rPr>
                <w:rFonts w:hint="eastAsia" w:ascii="Times New Roman" w:hAnsi="Times New Roman" w:eastAsia="宋体" w:cs="Times New Roman"/>
                <w:color w:val="auto"/>
                <w:sz w:val="24"/>
                <w:szCs w:val="24"/>
                <w:lang w:val="en-US" w:eastAsia="zh-CN"/>
              </w:rPr>
              <w:t>宣城</w:t>
            </w:r>
            <w:r>
              <w:rPr>
                <w:rFonts w:hint="default" w:ascii="Times New Roman" w:hAnsi="Times New Roman" w:eastAsia="宋体" w:cs="Times New Roman"/>
                <w:color w:val="auto"/>
                <w:sz w:val="24"/>
                <w:szCs w:val="24"/>
                <w:lang w:val="en-US" w:eastAsia="zh-CN"/>
              </w:rPr>
              <w:t>市</w:t>
            </w:r>
            <w:r>
              <w:rPr>
                <w:rFonts w:hint="eastAsia" w:ascii="Times New Roman" w:hAnsi="Times New Roman" w:eastAsia="宋体" w:cs="Times New Roman"/>
                <w:color w:val="auto"/>
                <w:sz w:val="24"/>
                <w:szCs w:val="24"/>
                <w:lang w:val="en-US" w:eastAsia="zh-CN"/>
              </w:rPr>
              <w:t>生态环境</w:t>
            </w:r>
            <w:r>
              <w:rPr>
                <w:rFonts w:hint="default" w:ascii="Times New Roman" w:hAnsi="Times New Roman" w:eastAsia="宋体" w:cs="Times New Roman"/>
                <w:color w:val="auto"/>
                <w:sz w:val="24"/>
                <w:szCs w:val="24"/>
                <w:lang w:val="en-US" w:eastAsia="zh-CN"/>
              </w:rPr>
              <w:t>局批复（文号：</w:t>
            </w:r>
            <w:r>
              <w:rPr>
                <w:rFonts w:hint="eastAsia" w:ascii="Times New Roman" w:hAnsi="Times New Roman" w:eastAsia="宋体" w:cs="Times New Roman"/>
                <w:color w:val="auto"/>
                <w:sz w:val="24"/>
                <w:szCs w:val="24"/>
                <w:lang w:eastAsia="zh-CN"/>
              </w:rPr>
              <w:t>宣环评</w:t>
            </w:r>
            <w:r>
              <w:rPr>
                <w:rFonts w:hint="default" w:ascii="Times New Roman" w:hAnsi="Times New Roman" w:eastAsia="宋体" w:cs="Times New Roman"/>
                <w:color w:val="auto"/>
                <w:sz w:val="24"/>
                <w:szCs w:val="24"/>
                <w:lang w:val="en-US" w:eastAsia="zh-CN"/>
              </w:rPr>
              <w:t xml:space="preserve">[2019] </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号）同意此项目建设。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月</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宁国市</w:t>
            </w:r>
            <w:r>
              <w:rPr>
                <w:rFonts w:hint="eastAsia" w:ascii="Times New Roman" w:hAnsi="Times New Roman" w:cs="Times New Roman"/>
                <w:color w:val="auto"/>
                <w:sz w:val="24"/>
                <w:szCs w:val="24"/>
                <w:lang w:eastAsia="zh-CN"/>
              </w:rPr>
              <w:t>三鼎</w:t>
            </w:r>
            <w:r>
              <w:rPr>
                <w:rFonts w:hint="default" w:ascii="Times New Roman" w:hAnsi="Times New Roman" w:cs="Times New Roman"/>
                <w:color w:val="auto"/>
                <w:sz w:val="24"/>
                <w:szCs w:val="24"/>
              </w:rPr>
              <w:t>金属表面处理有限公司委托宁国市浚成环境检测有限公司</w:t>
            </w:r>
            <w:r>
              <w:rPr>
                <w:rFonts w:hint="eastAsia" w:ascii="Times New Roman" w:hAnsi="Times New Roman" w:cs="Times New Roman"/>
                <w:color w:val="auto"/>
                <w:sz w:val="24"/>
                <w:szCs w:val="24"/>
                <w:lang w:val="en-US" w:eastAsia="zh-CN"/>
              </w:rPr>
              <w:t>组织</w:t>
            </w:r>
            <w:r>
              <w:rPr>
                <w:rFonts w:hint="default" w:ascii="Times New Roman" w:hAnsi="Times New Roman" w:cs="Times New Roman"/>
                <w:color w:val="auto"/>
                <w:sz w:val="24"/>
                <w:szCs w:val="24"/>
              </w:rPr>
              <w:t>宁国市</w:t>
            </w:r>
            <w:r>
              <w:rPr>
                <w:rFonts w:hint="eastAsia" w:ascii="Times New Roman" w:hAnsi="Times New Roman" w:cs="Times New Roman"/>
                <w:color w:val="auto"/>
                <w:sz w:val="24"/>
                <w:szCs w:val="24"/>
                <w:lang w:eastAsia="zh-CN"/>
              </w:rPr>
              <w:t>三鼎</w:t>
            </w:r>
            <w:r>
              <w:rPr>
                <w:rFonts w:hint="default" w:ascii="Times New Roman" w:hAnsi="Times New Roman" w:cs="Times New Roman"/>
                <w:color w:val="auto"/>
                <w:sz w:val="24"/>
                <w:szCs w:val="24"/>
              </w:rPr>
              <w:t>金属表面处理有限公司整体搬迁及扩建项目</w:t>
            </w:r>
            <w:r>
              <w:rPr>
                <w:rFonts w:hint="default" w:ascii="Times New Roman" w:hAnsi="Times New Roman" w:cs="Times New Roman"/>
                <w:sz w:val="24"/>
                <w:szCs w:val="24"/>
                <w:lang w:val="en-US" w:eastAsia="zh-CN"/>
              </w:rPr>
              <w:t>阶段性验收</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对</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lang w:val="en-US" w:eastAsia="zh-CN"/>
              </w:rPr>
              <w:t>条</w:t>
            </w:r>
            <w:r>
              <w:rPr>
                <w:rFonts w:hint="eastAsia" w:ascii="Times New Roman" w:hAnsi="Times New Roman" w:cs="Times New Roman"/>
                <w:sz w:val="24"/>
                <w:szCs w:val="24"/>
                <w:lang w:val="en-US" w:eastAsia="zh-CN"/>
              </w:rPr>
              <w:t>已建成</w:t>
            </w:r>
            <w:r>
              <w:rPr>
                <w:rFonts w:hint="default" w:ascii="Times New Roman" w:hAnsi="Times New Roman" w:cs="Times New Roman"/>
                <w:sz w:val="24"/>
                <w:szCs w:val="24"/>
                <w:lang w:val="en-US" w:eastAsia="zh-CN"/>
              </w:rPr>
              <w:t>生产线</w:t>
            </w:r>
            <w:r>
              <w:rPr>
                <w:rFonts w:hint="default" w:ascii="Times New Roman" w:hAnsi="Times New Roman" w:eastAsia="宋体" w:cs="Times New Roman"/>
                <w:color w:val="auto"/>
                <w:sz w:val="24"/>
                <w:szCs w:val="24"/>
                <w:lang w:val="en-US" w:eastAsia="zh-CN"/>
              </w:rPr>
              <w:t>进行验收，2020年3月17-18日，</w:t>
            </w:r>
            <w:r>
              <w:rPr>
                <w:rFonts w:hint="default" w:ascii="Times New Roman" w:hAnsi="Times New Roman" w:eastAsia="宋体" w:cs="Times New Roman"/>
                <w:color w:val="auto"/>
                <w:sz w:val="24"/>
                <w:szCs w:val="24"/>
              </w:rPr>
              <w:t>宁国市浚成环境检测有限公司</w:t>
            </w:r>
            <w:r>
              <w:rPr>
                <w:rFonts w:hint="default" w:ascii="Times New Roman" w:hAnsi="Times New Roman" w:eastAsia="宋体" w:cs="Times New Roman"/>
                <w:sz w:val="24"/>
                <w:szCs w:val="24"/>
                <w:lang w:val="en-US" w:eastAsia="zh-CN"/>
              </w:rPr>
              <w:t>组织检测机构对该项目开展现场检测工作，同时调查并核实项目环境保护工作落实情况，并编制完成《</w:t>
            </w:r>
            <w:r>
              <w:rPr>
                <w:rFonts w:hint="default" w:ascii="Times New Roman" w:hAnsi="Times New Roman" w:eastAsia="宋体" w:cs="Times New Roman"/>
                <w:color w:val="auto"/>
                <w:sz w:val="24"/>
                <w:szCs w:val="24"/>
              </w:rPr>
              <w:t>宁国市三鼎金属表面处理有限公司整体搬迁及扩建项目</w:t>
            </w:r>
            <w:r>
              <w:rPr>
                <w:rFonts w:hint="default" w:ascii="Times New Roman" w:hAnsi="Times New Roman" w:eastAsia="宋体" w:cs="Times New Roman"/>
                <w:sz w:val="24"/>
                <w:szCs w:val="24"/>
                <w:lang w:val="en-US" w:eastAsia="zh-CN"/>
              </w:rPr>
              <w:t>竣工环境保护阶段性验收监测报告》</w:t>
            </w:r>
            <w:r>
              <w:rPr>
                <w:rFonts w:hint="eastAsia"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sz w:val="24"/>
                <w:szCs w:val="24"/>
                <w:lang w:val="en-US" w:eastAsia="zh-CN"/>
              </w:rPr>
              <w:t>为了规范环境管理，理清危险废物产生情况，</w:t>
            </w:r>
            <w:r>
              <w:rPr>
                <w:rFonts w:hint="eastAsia" w:ascii="Times New Roman" w:hAnsi="Times New Roman" w:cs="Times New Roman"/>
                <w:color w:val="auto"/>
                <w:sz w:val="24"/>
                <w:szCs w:val="24"/>
                <w:lang w:val="en-US" w:eastAsia="zh-CN"/>
              </w:rPr>
              <w:t>2021年9月，</w:t>
            </w:r>
            <w:r>
              <w:rPr>
                <w:rFonts w:hint="default" w:ascii="Times New Roman" w:hAnsi="Times New Roman" w:cs="Times New Roman"/>
                <w:color w:val="auto"/>
                <w:sz w:val="24"/>
                <w:szCs w:val="24"/>
              </w:rPr>
              <w:t>宁国市</w:t>
            </w:r>
            <w:r>
              <w:rPr>
                <w:rFonts w:hint="eastAsia" w:ascii="Times New Roman" w:hAnsi="Times New Roman" w:cs="Times New Roman"/>
                <w:color w:val="auto"/>
                <w:sz w:val="24"/>
                <w:szCs w:val="24"/>
                <w:lang w:eastAsia="zh-CN"/>
              </w:rPr>
              <w:t>三鼎</w:t>
            </w:r>
            <w:r>
              <w:rPr>
                <w:rFonts w:hint="default" w:ascii="Times New Roman" w:hAnsi="Times New Roman" w:cs="Times New Roman"/>
                <w:color w:val="auto"/>
                <w:sz w:val="24"/>
                <w:szCs w:val="24"/>
              </w:rPr>
              <w:t>金属表面处理有限公司委托</w:t>
            </w:r>
            <w:r>
              <w:rPr>
                <w:rFonts w:hint="default" w:ascii="Times New Roman" w:hAnsi="Times New Roman" w:eastAsia="宋体" w:cs="Times New Roman"/>
                <w:color w:val="auto"/>
                <w:sz w:val="24"/>
                <w:szCs w:val="24"/>
              </w:rPr>
              <w:t>宁国市浚成环境检测有限公司</w:t>
            </w:r>
            <w:r>
              <w:rPr>
                <w:rFonts w:hint="eastAsia" w:ascii="Times New Roman" w:hAnsi="Times New Roman" w:eastAsia="宋体" w:cs="Times New Roman"/>
                <w:color w:val="auto"/>
                <w:sz w:val="24"/>
                <w:szCs w:val="24"/>
                <w:lang w:eastAsia="zh-CN"/>
              </w:rPr>
              <w:t>对</w:t>
            </w:r>
            <w:r>
              <w:rPr>
                <w:rFonts w:hint="eastAsia" w:ascii="Times New Roman" w:hAnsi="Times New Roman" w:eastAsia="宋体" w:cs="Times New Roman"/>
                <w:sz w:val="24"/>
                <w:szCs w:val="24"/>
                <w:lang w:eastAsia="zh-CN"/>
              </w:rPr>
              <w:t>宁国市三鼎金属表面处理有限公司固体废物</w:t>
            </w:r>
            <w:r>
              <w:rPr>
                <w:rFonts w:hint="eastAsia" w:ascii="Times New Roman" w:hAnsi="Times New Roman" w:cs="Times New Roman"/>
                <w:color w:val="auto"/>
                <w:sz w:val="24"/>
                <w:szCs w:val="24"/>
                <w:lang w:val="en-US" w:eastAsia="zh-CN"/>
              </w:rPr>
              <w:t>进行验收调查。</w:t>
            </w:r>
          </w:p>
        </w:tc>
      </w:tr>
    </w:tbl>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500" w:firstLineChars="500"/>
        <w:jc w:val="both"/>
        <w:textAlignment w:val="auto"/>
        <w:rPr>
          <w:rFonts w:hint="eastAsia" w:ascii="仿宋" w:hAnsi="仿宋" w:eastAsia="仿宋" w:cs="仿宋"/>
          <w:b w:val="0"/>
          <w:bCs w:val="0"/>
          <w:color w:val="000000"/>
          <w:kern w:val="0"/>
          <w:sz w:val="30"/>
          <w:szCs w:val="3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tabs>
          <w:tab w:val="left" w:pos="788"/>
        </w:tabs>
        <w:spacing w:line="415" w:lineRule="exact"/>
        <w:ind w:left="0" w:right="275"/>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调查范围、因子、重点</w:t>
      </w:r>
    </w:p>
    <w:tbl>
      <w:tblPr>
        <w:tblStyle w:val="13"/>
        <w:tblW w:w="501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56"/>
        <w:gridCol w:w="75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0" w:hRule="atLeast"/>
        </w:trPr>
        <w:tc>
          <w:tcPr>
            <w:tcW w:w="454" w:type="pct"/>
            <w:vAlign w:val="center"/>
          </w:tcPr>
          <w:p>
            <w:pPr>
              <w:pStyle w:val="16"/>
              <w:keepNext w:val="0"/>
              <w:keepLines w:val="0"/>
              <w:pageBreakBefore w:val="0"/>
              <w:widowControl w:val="0"/>
              <w:kinsoku/>
              <w:wordWrap/>
              <w:overflowPunct/>
              <w:topLinePunct w:val="0"/>
              <w:autoSpaceDE/>
              <w:autoSpaceDN/>
              <w:bidi w:val="0"/>
              <w:adjustRightInd/>
              <w:snapToGrid/>
              <w:spacing w:line="216"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调查范围</w:t>
            </w:r>
          </w:p>
        </w:tc>
        <w:tc>
          <w:tcPr>
            <w:tcW w:w="4545" w:type="pct"/>
            <w:vAlign w:val="center"/>
          </w:tcPr>
          <w:p>
            <w:pPr>
              <w:pStyle w:val="16"/>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一般固废：一般固废变动情况；</w:t>
            </w:r>
          </w:p>
          <w:p>
            <w:pPr>
              <w:pStyle w:val="1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危险废物</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危废变动情况</w:t>
            </w:r>
            <w:r>
              <w:rPr>
                <w:rFonts w:hint="default" w:ascii="Times New Roman" w:hAnsi="Times New Roman" w:eastAsia="宋体" w:cs="Times New Roman"/>
                <w:sz w:val="24"/>
                <w:szCs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454" w:type="pct"/>
            <w:vAlign w:val="center"/>
          </w:tcPr>
          <w:p>
            <w:pPr>
              <w:pStyle w:val="16"/>
              <w:keepNext w:val="0"/>
              <w:keepLines w:val="0"/>
              <w:pageBreakBefore w:val="0"/>
              <w:widowControl w:val="0"/>
              <w:kinsoku/>
              <w:wordWrap/>
              <w:overflowPunct/>
              <w:topLinePunct w:val="0"/>
              <w:autoSpaceDE/>
              <w:autoSpaceDN/>
              <w:bidi w:val="0"/>
              <w:adjustRightInd/>
              <w:snapToGrid/>
              <w:spacing w:line="216"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调查因子</w:t>
            </w:r>
          </w:p>
        </w:tc>
        <w:tc>
          <w:tcPr>
            <w:tcW w:w="4545" w:type="pct"/>
            <w:vAlign w:val="center"/>
          </w:tcPr>
          <w:p>
            <w:pPr>
              <w:pStyle w:val="16"/>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一般固废：固废种类、产生量等；</w:t>
            </w:r>
          </w:p>
          <w:p>
            <w:pPr>
              <w:pStyle w:val="1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危险废物</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危废种类、成分、形态、产废周期、产生量及处置方式、管理措施等</w:t>
            </w:r>
            <w:r>
              <w:rPr>
                <w:rFonts w:hint="default" w:ascii="Times New Roman" w:hAnsi="Times New Roman" w:eastAsia="宋体" w:cs="Times New Roman"/>
                <w:sz w:val="24"/>
                <w:szCs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2" w:hRule="atLeast"/>
        </w:trPr>
        <w:tc>
          <w:tcPr>
            <w:tcW w:w="454" w:type="pct"/>
            <w:vAlign w:val="center"/>
          </w:tcPr>
          <w:p>
            <w:pPr>
              <w:pStyle w:val="16"/>
              <w:keepNext w:val="0"/>
              <w:keepLines w:val="0"/>
              <w:pageBreakBefore w:val="0"/>
              <w:widowControl w:val="0"/>
              <w:kinsoku/>
              <w:wordWrap/>
              <w:overflowPunct/>
              <w:topLinePunct w:val="0"/>
              <w:autoSpaceDE/>
              <w:autoSpaceDN/>
              <w:bidi w:val="0"/>
              <w:adjustRightInd/>
              <w:snapToGrid/>
              <w:spacing w:line="216"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调查重点</w:t>
            </w:r>
          </w:p>
        </w:tc>
        <w:tc>
          <w:tcPr>
            <w:tcW w:w="4545" w:type="pct"/>
            <w:vAlign w:val="center"/>
          </w:tcPr>
          <w:p>
            <w:pPr>
              <w:pStyle w:val="16"/>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本次调查的重点是项目运营期危险废物实际发生量，宁国市三鼎金属表面处理有限公司危险废物及固体废物处理落实情况及其有效性，根据调查结果规范环境管理，理清危险废物产生情况。</w:t>
            </w:r>
          </w:p>
          <w:p>
            <w:pPr>
              <w:pStyle w:val="16"/>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核查实际工作内容及方案设计变更情况；</w:t>
            </w:r>
          </w:p>
          <w:p>
            <w:pPr>
              <w:pStyle w:val="16"/>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实际工程内容及方案设计变更造成的环境影响变化情况；</w:t>
            </w:r>
          </w:p>
          <w:p>
            <w:pPr>
              <w:pStyle w:val="16"/>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环境影响评价文件及环境影响评价审批文件中提出的主要环节问题；</w:t>
            </w:r>
          </w:p>
          <w:p>
            <w:pPr>
              <w:pStyle w:val="16"/>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环境影响评价制度及其他环境保护规章制度执行情况；</w:t>
            </w:r>
          </w:p>
          <w:p>
            <w:pPr>
              <w:pStyle w:val="16"/>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验收环境影响评价文件对污染因子达标情况的预测结果；</w:t>
            </w:r>
          </w:p>
          <w:p>
            <w:pPr>
              <w:pStyle w:val="16"/>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工程环境保护投资情况。</w:t>
            </w:r>
          </w:p>
        </w:tc>
      </w:tr>
    </w:tbl>
    <w:p>
      <w:pPr>
        <w:jc w:val="center"/>
        <w:rPr>
          <w:rFonts w:hint="default" w:ascii="Times New Roman" w:hAnsi="Times New Roman" w:eastAsia="仿宋_GB2312" w:cs="Times New Roman"/>
          <w:b/>
          <w:bCs/>
          <w:color w:val="auto"/>
          <w:sz w:val="52"/>
          <w:szCs w:val="5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tabs>
          <w:tab w:val="left" w:pos="788"/>
        </w:tabs>
        <w:spacing w:before="129" w:line="240" w:lineRule="auto"/>
        <w:ind w:left="0" w:right="274"/>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验收执行标准</w:t>
      </w:r>
    </w:p>
    <w:tbl>
      <w:tblPr>
        <w:tblStyle w:val="13"/>
        <w:tblW w:w="501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56"/>
        <w:gridCol w:w="75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4" w:hRule="atLeast"/>
        </w:trPr>
        <w:tc>
          <w:tcPr>
            <w:tcW w:w="453" w:type="pct"/>
            <w:vAlign w:val="center"/>
          </w:tcPr>
          <w:p>
            <w:pPr>
              <w:pStyle w:val="16"/>
              <w:keepNext w:val="0"/>
              <w:keepLines w:val="0"/>
              <w:pageBreakBefore w:val="0"/>
              <w:widowControl w:val="0"/>
              <w:kinsoku/>
              <w:wordWrap/>
              <w:overflowPunct/>
              <w:topLinePunct w:val="0"/>
              <w:autoSpaceDE/>
              <w:autoSpaceDN/>
              <w:bidi w:val="0"/>
              <w:adjustRightInd/>
              <w:snapToGrid/>
              <w:spacing w:line="216"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污染物排放标准</w:t>
            </w:r>
          </w:p>
        </w:tc>
        <w:tc>
          <w:tcPr>
            <w:tcW w:w="4546"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本验收调查报告对宁国市</w:t>
            </w:r>
            <w:r>
              <w:rPr>
                <w:rFonts w:hint="eastAsia" w:ascii="Times New Roman" w:hAnsi="Times New Roman" w:eastAsia="宋体" w:cs="Times New Roman"/>
                <w:sz w:val="24"/>
                <w:szCs w:val="24"/>
                <w:lang w:eastAsia="zh-CN"/>
              </w:rPr>
              <w:t>三鼎</w:t>
            </w:r>
            <w:r>
              <w:rPr>
                <w:rFonts w:hint="default" w:ascii="Times New Roman" w:hAnsi="Times New Roman" w:eastAsia="宋体" w:cs="Times New Roman"/>
                <w:sz w:val="24"/>
                <w:szCs w:val="24"/>
                <w:lang w:eastAsia="zh-CN"/>
              </w:rPr>
              <w:t>金属表面处理有限公司</w:t>
            </w:r>
            <w:r>
              <w:rPr>
                <w:rFonts w:hint="eastAsia" w:ascii="Times New Roman" w:hAnsi="Times New Roman" w:eastAsia="宋体" w:cs="Times New Roman"/>
                <w:sz w:val="24"/>
                <w:szCs w:val="24"/>
                <w:lang w:eastAsia="zh-CN"/>
              </w:rPr>
              <w:t>固体</w:t>
            </w:r>
            <w:r>
              <w:rPr>
                <w:rFonts w:hint="default" w:ascii="Times New Roman" w:hAnsi="Times New Roman" w:eastAsia="宋体" w:cs="Times New Roman"/>
                <w:sz w:val="24"/>
                <w:szCs w:val="24"/>
                <w:lang w:eastAsia="zh-CN"/>
              </w:rPr>
              <w:t>废物变动情况进行验收。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val="0"/>
                <w:bCs w:val="0"/>
                <w:sz w:val="24"/>
              </w:rPr>
              <w:t>固废处置标准</w:t>
            </w:r>
            <w:r>
              <w:rPr>
                <w:rFonts w:hint="eastAsia" w:ascii="Times New Roman" w:hAnsi="Times New Roman" w:eastAsia="宋体" w:cs="Times New Roman"/>
                <w:b w:val="0"/>
                <w:bCs w:val="0"/>
                <w:sz w:val="24"/>
                <w:lang w:eastAsia="zh-CN"/>
              </w:rPr>
              <w:t>：</w:t>
            </w:r>
            <w:r>
              <w:rPr>
                <w:rFonts w:hint="default" w:ascii="Times New Roman" w:hAnsi="Times New Roman" w:eastAsia="宋体" w:cs="Times New Roman"/>
                <w:sz w:val="24"/>
              </w:rPr>
              <w:t>一般固废处理处置执行《一般工业固体废物贮存和填埋污染控制标准》（GB18599-2020）的要求。危险固体废物须委托有相应资质的单位按照国家有关规定妥善处理处置，危险废物暂存设施需符合《危险废物贮存污染控制标准》（GB 18597-2001）及2013年修改单的要求。</w:t>
            </w:r>
          </w:p>
        </w:tc>
      </w:tr>
    </w:tbl>
    <w:p>
      <w:pPr>
        <w:jc w:val="center"/>
        <w:rPr>
          <w:rFonts w:hint="default" w:ascii="Times New Roman" w:hAnsi="Times New Roman" w:eastAsia="仿宋_GB2312" w:cs="Times New Roman"/>
          <w:b/>
          <w:bCs/>
          <w:color w:val="auto"/>
          <w:sz w:val="52"/>
          <w:szCs w:val="5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tabs>
          <w:tab w:val="left" w:pos="788"/>
        </w:tabs>
        <w:spacing w:line="415" w:lineRule="exact"/>
        <w:ind w:right="274"/>
        <w:jc w:val="center"/>
        <w:rPr>
          <w:rFonts w:ascii="Times New Roman" w:hAnsi="Times New Roman" w:eastAsia="宋体" w:cs="Times New Roman"/>
          <w:sz w:val="24"/>
          <w:szCs w:val="24"/>
        </w:rPr>
      </w:pPr>
      <w:r>
        <w:rPr>
          <w:rFonts w:ascii="Times New Roman" w:hAnsi="Times New Roman" w:eastAsia="宋体" w:cs="Times New Roman"/>
          <w:sz w:val="24"/>
          <w:szCs w:val="24"/>
        </w:rPr>
        <w:t>工程概况</w:t>
      </w:r>
    </w:p>
    <w:tbl>
      <w:tblPr>
        <w:tblStyle w:val="13"/>
        <w:tblW w:w="501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940"/>
        <w:gridCol w:w="63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164" w:type="pct"/>
            <w:tcBorders>
              <w:bottom w:val="single" w:color="000000" w:sz="6" w:space="0"/>
              <w:right w:val="single" w:color="000000" w:sz="6" w:space="0"/>
            </w:tcBorders>
            <w:vAlign w:val="center"/>
          </w:tcPr>
          <w:p>
            <w:pPr>
              <w:pStyle w:val="16"/>
              <w:spacing w:before="79"/>
              <w:jc w:val="center"/>
              <w:rPr>
                <w:rFonts w:ascii="Times New Roman" w:hAnsi="Times New Roman" w:eastAsia="宋体" w:cs="Times New Roman"/>
                <w:sz w:val="24"/>
                <w:szCs w:val="24"/>
              </w:rPr>
            </w:pPr>
            <w:r>
              <w:rPr>
                <w:rFonts w:ascii="Times New Roman" w:hAnsi="Times New Roman" w:eastAsia="宋体" w:cs="Times New Roman"/>
                <w:sz w:val="24"/>
                <w:szCs w:val="24"/>
              </w:rPr>
              <w:t>项目名称</w:t>
            </w:r>
          </w:p>
        </w:tc>
        <w:tc>
          <w:tcPr>
            <w:tcW w:w="3835" w:type="pct"/>
            <w:tcBorders>
              <w:left w:val="single" w:color="000000" w:sz="6" w:space="0"/>
              <w:bottom w:val="single" w:color="000000" w:sz="6" w:space="0"/>
            </w:tcBorders>
            <w:vAlign w:val="center"/>
          </w:tcPr>
          <w:p>
            <w:pPr>
              <w:pStyle w:val="16"/>
              <w:jc w:val="center"/>
              <w:rPr>
                <w:rFonts w:ascii="Times New Roman" w:hAnsi="Times New Roman" w:eastAsia="宋体" w:cs="Times New Roman"/>
                <w:sz w:val="24"/>
                <w:szCs w:val="24"/>
              </w:rPr>
            </w:pPr>
            <w:r>
              <w:rPr>
                <w:rFonts w:hint="default" w:ascii="Times New Roman" w:hAnsi="Times New Roman" w:eastAsia="宋体" w:cs="Times New Roman"/>
                <w:sz w:val="24"/>
                <w:szCs w:val="24"/>
                <w:lang w:eastAsia="zh-CN"/>
              </w:rPr>
              <w:t>宁国市</w:t>
            </w:r>
            <w:r>
              <w:rPr>
                <w:rFonts w:hint="eastAsia" w:ascii="Times New Roman" w:hAnsi="Times New Roman" w:eastAsia="宋体" w:cs="Times New Roman"/>
                <w:sz w:val="24"/>
                <w:szCs w:val="24"/>
                <w:lang w:eastAsia="zh-CN"/>
              </w:rPr>
              <w:t>三鼎</w:t>
            </w:r>
            <w:r>
              <w:rPr>
                <w:rFonts w:hint="default" w:ascii="Times New Roman" w:hAnsi="Times New Roman" w:eastAsia="宋体" w:cs="Times New Roman"/>
                <w:sz w:val="24"/>
                <w:szCs w:val="24"/>
                <w:lang w:eastAsia="zh-CN"/>
              </w:rPr>
              <w:t>金属表面处理有限公司</w:t>
            </w:r>
            <w:r>
              <w:rPr>
                <w:rFonts w:hint="eastAsia" w:ascii="Times New Roman" w:hAnsi="Times New Roman" w:eastAsia="宋体" w:cs="Times New Roman"/>
                <w:sz w:val="24"/>
                <w:szCs w:val="24"/>
                <w:lang w:eastAsia="zh-CN"/>
              </w:rPr>
              <w:t>整体搬迁及扩建项目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164" w:type="pct"/>
            <w:tcBorders>
              <w:top w:val="single" w:color="000000" w:sz="6" w:space="0"/>
              <w:bottom w:val="single" w:color="000000" w:sz="6" w:space="0"/>
              <w:right w:val="single" w:color="000000" w:sz="6" w:space="0"/>
            </w:tcBorders>
            <w:vAlign w:val="center"/>
          </w:tcPr>
          <w:p>
            <w:pPr>
              <w:pStyle w:val="16"/>
              <w:spacing w:line="303" w:lineRule="exact"/>
              <w:ind w:left="89" w:right="78"/>
              <w:jc w:val="center"/>
              <w:rPr>
                <w:rFonts w:ascii="Times New Roman" w:hAnsi="Times New Roman" w:eastAsia="宋体" w:cs="Times New Roman"/>
                <w:sz w:val="24"/>
                <w:szCs w:val="24"/>
              </w:rPr>
            </w:pPr>
            <w:r>
              <w:rPr>
                <w:rFonts w:ascii="Times New Roman" w:hAnsi="Times New Roman" w:eastAsia="宋体" w:cs="Times New Roman"/>
                <w:sz w:val="24"/>
                <w:szCs w:val="24"/>
              </w:rPr>
              <w:t>项目地理位置</w:t>
            </w:r>
          </w:p>
          <w:p>
            <w:pPr>
              <w:pStyle w:val="16"/>
              <w:spacing w:line="278" w:lineRule="exact"/>
              <w:ind w:left="89" w:right="78"/>
              <w:jc w:val="center"/>
              <w:rPr>
                <w:rFonts w:ascii="Times New Roman" w:hAnsi="Times New Roman" w:eastAsia="宋体" w:cs="Times New Roman"/>
                <w:sz w:val="24"/>
                <w:szCs w:val="24"/>
              </w:rPr>
            </w:pPr>
          </w:p>
        </w:tc>
        <w:tc>
          <w:tcPr>
            <w:tcW w:w="3835" w:type="pct"/>
            <w:tcBorders>
              <w:top w:val="single" w:color="000000" w:sz="6" w:space="0"/>
              <w:left w:val="single" w:color="000000" w:sz="6" w:space="0"/>
              <w:bottom w:val="single" w:color="000000" w:sz="6" w:space="0"/>
            </w:tcBorders>
          </w:tcPr>
          <w:p>
            <w:pPr>
              <w:pStyle w:val="16"/>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项目建设地点为宁国</w:t>
            </w:r>
            <w:r>
              <w:rPr>
                <w:rFonts w:hint="eastAsia" w:ascii="Times New Roman" w:hAnsi="Times New Roman" w:eastAsia="宋体" w:cs="Times New Roman"/>
                <w:sz w:val="24"/>
                <w:szCs w:val="24"/>
                <w:lang w:eastAsia="zh-CN"/>
              </w:rPr>
              <w:t>经济技术开发区汪溪园区电镀中心</w:t>
            </w:r>
            <w:r>
              <w:rPr>
                <w:rFonts w:hint="eastAsia" w:ascii="Times New Roman" w:hAnsi="Times New Roman" w:eastAsia="宋体" w:cs="Times New Roman"/>
                <w:sz w:val="24"/>
                <w:szCs w:val="24"/>
                <w:lang w:val="en-US" w:eastAsia="zh-CN"/>
              </w:rPr>
              <w:t>4#厂房，</w:t>
            </w:r>
            <w:r>
              <w:rPr>
                <w:rFonts w:hint="eastAsia" w:ascii="Times New Roman" w:hAnsi="Times New Roman" w:eastAsia="宋体" w:cs="Times New Roman"/>
                <w:sz w:val="24"/>
                <w:szCs w:val="24"/>
              </w:rPr>
              <w:t>经纬度为东经11</w:t>
            </w:r>
            <w:r>
              <w:rPr>
                <w:rFonts w:hint="eastAsia" w:ascii="Times New Roman" w:hAnsi="Times New Roman" w:eastAsia="宋体" w:cs="Times New Roman"/>
                <w:sz w:val="24"/>
                <w:szCs w:val="24"/>
                <w:lang w:val="en-US" w:eastAsia="zh-CN"/>
              </w:rPr>
              <w:t>9</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0</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3.17</w:t>
            </w:r>
            <w:r>
              <w:rPr>
                <w:rFonts w:hint="eastAsia" w:ascii="Times New Roman" w:hAnsi="Times New Roman" w:eastAsia="宋体" w:cs="Times New Roman"/>
                <w:sz w:val="24"/>
                <w:szCs w:val="24"/>
              </w:rPr>
              <w:t>″，北纬30°</w:t>
            </w:r>
            <w:r>
              <w:rPr>
                <w:rFonts w:hint="eastAsia" w:ascii="Times New Roman" w:hAnsi="Times New Roman" w:eastAsia="宋体" w:cs="Times New Roman"/>
                <w:sz w:val="24"/>
                <w:szCs w:val="24"/>
                <w:lang w:val="en-US" w:eastAsia="zh-CN"/>
              </w:rPr>
              <w:t>40</w:t>
            </w:r>
            <w:r>
              <w:rPr>
                <w:rFonts w:hint="eastAsia" w:ascii="Times New Roman" w:hAnsi="Times New Roman" w:eastAsia="宋体" w:cs="Times New Roman"/>
                <w:sz w:val="24"/>
                <w:szCs w:val="24"/>
              </w:rPr>
              <w:t>′5</w:t>
            </w:r>
            <w:r>
              <w:rPr>
                <w:rFonts w:hint="eastAsia" w:ascii="Times New Roman" w:hAnsi="Times New Roman" w:eastAsia="宋体" w:cs="Times New Roman"/>
                <w:sz w:val="24"/>
                <w:szCs w:val="24"/>
                <w:lang w:val="en-US" w:eastAsia="zh-CN"/>
              </w:rPr>
              <w:t>8.22</w:t>
            </w:r>
            <w:r>
              <w:rPr>
                <w:rFonts w:hint="eastAsia" w:ascii="Times New Roman" w:hAnsi="Times New Roman" w:eastAsia="宋体" w:cs="Times New Roman"/>
                <w:sz w:val="24"/>
                <w:szCs w:val="24"/>
              </w:rPr>
              <w:t>″。</w:t>
            </w:r>
          </w:p>
          <w:p>
            <w:pPr>
              <w:pStyle w:val="16"/>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114300" distR="114300">
                  <wp:extent cx="4024630" cy="1934845"/>
                  <wp:effectExtent l="0" t="0" r="13970" b="8255"/>
                  <wp:docPr id="1" name="图片 1" descr="C:\Users\Administrator.USER-20201122MB\Desktop\三鼎.png三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USER-20201122MB\Desktop\三鼎.png三鼎"/>
                          <pic:cNvPicPr>
                            <a:picLocks noChangeAspect="1"/>
                          </pic:cNvPicPr>
                        </pic:nvPicPr>
                        <pic:blipFill>
                          <a:blip r:embed="rId6"/>
                          <a:srcRect/>
                          <a:stretch>
                            <a:fillRect/>
                          </a:stretch>
                        </pic:blipFill>
                        <pic:spPr>
                          <a:xfrm>
                            <a:off x="0" y="0"/>
                            <a:ext cx="4024630" cy="1934845"/>
                          </a:xfrm>
                          <a:prstGeom prst="rect">
                            <a:avLst/>
                          </a:prstGeom>
                        </pic:spPr>
                      </pic:pic>
                    </a:graphicData>
                  </a:graphic>
                </wp:inline>
              </w:drawing>
            </w:r>
          </w:p>
          <w:p>
            <w:pPr>
              <w:pStyle w:val="16"/>
              <w:jc w:val="center"/>
              <w:rPr>
                <w:rFonts w:ascii="Times New Roman" w:hAnsi="Times New Roman" w:eastAsia="宋体" w:cs="Times New Roman"/>
                <w:b/>
                <w:bCs/>
                <w:sz w:val="24"/>
                <w:szCs w:val="24"/>
              </w:rPr>
            </w:pPr>
            <w:r>
              <w:rPr>
                <w:rFonts w:hint="eastAsia" w:ascii="Times New Roman" w:hAnsi="Times New Roman" w:eastAsia="宋体" w:cs="Times New Roman"/>
                <w:b/>
                <w:bCs/>
                <w:sz w:val="21"/>
                <w:szCs w:val="21"/>
              </w:rPr>
              <w:t xml:space="preserve">图3-1 </w:t>
            </w:r>
            <w:r>
              <w:rPr>
                <w:rFonts w:hint="eastAsia" w:ascii="Times New Roman" w:hAnsi="Times New Roman" w:eastAsia="宋体" w:cs="Times New Roman"/>
                <w:b/>
                <w:bCs/>
                <w:sz w:val="21"/>
                <w:szCs w:val="21"/>
                <w:lang w:eastAsia="zh-CN"/>
              </w:rPr>
              <w:t>项目</w:t>
            </w:r>
            <w:r>
              <w:rPr>
                <w:rFonts w:hint="eastAsia" w:ascii="Times New Roman" w:hAnsi="Times New Roman" w:eastAsia="宋体" w:cs="Times New Roman"/>
                <w:b/>
                <w:bCs/>
                <w:sz w:val="21"/>
                <w:szCs w:val="21"/>
              </w:rPr>
              <w:t>地理位置图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5000" w:type="pct"/>
            <w:gridSpan w:val="2"/>
            <w:tcBorders>
              <w:top w:val="single" w:color="000000" w:sz="6" w:space="0"/>
            </w:tcBorders>
          </w:tcPr>
          <w:p>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ascii="Times New Roman" w:hAnsi="Times New Roman" w:eastAsia="宋体" w:cs="Times New Roman"/>
                <w:sz w:val="24"/>
                <w:szCs w:val="24"/>
              </w:rPr>
              <w:t>主要</w:t>
            </w:r>
            <w:r>
              <w:rPr>
                <w:rFonts w:hint="default" w:ascii="Times New Roman" w:hAnsi="Times New Roman" w:eastAsia="宋体" w:cs="Times New Roman"/>
                <w:sz w:val="24"/>
                <w:szCs w:val="24"/>
              </w:rPr>
              <w:t>工程内容及规模：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本项目在宁国经济技术开发区电镀中心内租用</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rPr>
              <w:t>生产车间。建设单位</w:t>
            </w:r>
            <w:r>
              <w:rPr>
                <w:rFonts w:hint="default" w:ascii="Times New Roman" w:hAnsi="Times New Roman" w:cs="Times New Roman"/>
                <w:sz w:val="24"/>
                <w:szCs w:val="24"/>
                <w:lang w:val="en-US" w:eastAsia="zh-CN"/>
              </w:rPr>
              <w:t>已建设1条直线挂镀锌线、1条滚镀锌线、1条镀镍铬线、3条镀硬铬线共计6条电镀生产线，1条镀硬铬线、1条镀</w:t>
            </w:r>
            <w:r>
              <w:rPr>
                <w:rFonts w:hint="eastAsia" w:cs="Times New Roman"/>
                <w:sz w:val="24"/>
                <w:szCs w:val="24"/>
                <w:lang w:val="en-US" w:eastAsia="zh-CN"/>
              </w:rPr>
              <w:t>镍铬线未建设</w:t>
            </w:r>
            <w:r>
              <w:rPr>
                <w:rFonts w:hint="default" w:ascii="Times New Roman" w:hAnsi="Times New Roman" w:cs="Times New Roman"/>
                <w:sz w:val="24"/>
                <w:szCs w:val="24"/>
              </w:rPr>
              <w:t>。项目依托电镀中心相关配套基础设施，主要包括废水处理站、危化品配供中心、集中供热锅炉</w:t>
            </w:r>
            <w:r>
              <w:rPr>
                <w:rFonts w:hint="eastAsia" w:ascii="Times New Roman" w:hAnsi="Times New Roman" w:cs="Times New Roman"/>
                <w:sz w:val="24"/>
                <w:szCs w:val="24"/>
                <w:lang w:eastAsia="zh-CN"/>
              </w:rPr>
              <w:t>，</w:t>
            </w:r>
            <w:r>
              <w:rPr>
                <w:rFonts w:hint="default" w:ascii="Times New Roman" w:hAnsi="Times New Roman" w:cs="Times New Roman"/>
                <w:sz w:val="24"/>
                <w:szCs w:val="24"/>
              </w:rPr>
              <w:t>生活污水依托</w:t>
            </w:r>
            <w:r>
              <w:rPr>
                <w:rFonts w:hint="default" w:ascii="Times New Roman" w:hAnsi="Times New Roman" w:cs="Times New Roman"/>
                <w:sz w:val="24"/>
                <w:szCs w:val="24"/>
                <w:lang w:eastAsia="zh-CN"/>
              </w:rPr>
              <w:t>电镀中心</w:t>
            </w:r>
            <w:r>
              <w:rPr>
                <w:rFonts w:hint="default" w:ascii="Times New Roman" w:hAnsi="Times New Roman" w:cs="Times New Roman"/>
                <w:sz w:val="24"/>
                <w:szCs w:val="24"/>
              </w:rPr>
              <w:t>污水处理厂处理。</w:t>
            </w:r>
            <w:r>
              <w:rPr>
                <w:rFonts w:hint="eastAsia" w:ascii="Times New Roman" w:hAnsi="Times New Roman" w:cs="Times New Roman"/>
                <w:sz w:val="24"/>
                <w:szCs w:val="24"/>
                <w:lang w:eastAsia="zh-CN"/>
              </w:rPr>
              <w:t>环评与实际建设内容对照</w:t>
            </w:r>
            <w:r>
              <w:rPr>
                <w:rFonts w:hint="default" w:ascii="Times New Roman" w:hAnsi="Times New Roman" w:eastAsia="宋体" w:cs="Times New Roman"/>
                <w:sz w:val="24"/>
                <w:szCs w:val="24"/>
                <w:lang w:eastAsia="zh-CN"/>
              </w:rPr>
              <w:t>见下表</w:t>
            </w:r>
            <w:r>
              <w:rPr>
                <w:rFonts w:hint="default" w:ascii="Times New Roman" w:hAnsi="Times New Roman" w:cs="Times New Roman"/>
                <w:sz w:val="24"/>
                <w:szCs w:val="24"/>
              </w:rPr>
              <w:t>：</w:t>
            </w:r>
          </w:p>
          <w:p>
            <w:pPr>
              <w:ind w:left="0" w:leftChars="0" w:firstLine="0" w:firstLineChars="0"/>
              <w:jc w:val="center"/>
              <w:rPr>
                <w:rStyle w:val="17"/>
                <w:rFonts w:hint="eastAsia" w:ascii="Times New Roman" w:hAnsi="Times New Roman" w:eastAsia="宋体" w:cs="Times New Roman"/>
                <w:color w:val="auto"/>
                <w:lang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1235710</wp:posOffset>
                      </wp:positionH>
                      <wp:positionV relativeFrom="paragraph">
                        <wp:posOffset>8001635</wp:posOffset>
                      </wp:positionV>
                      <wp:extent cx="3609975" cy="464185"/>
                      <wp:effectExtent l="0" t="0" r="9525" b="12065"/>
                      <wp:wrapNone/>
                      <wp:docPr id="4" name="文本框 4"/>
                      <wp:cNvGraphicFramePr/>
                      <a:graphic xmlns:a="http://schemas.openxmlformats.org/drawingml/2006/main">
                        <a:graphicData uri="http://schemas.microsoft.com/office/word/2010/wordprocessingShape">
                          <wps:wsp>
                            <wps:cNvSpPr txBox="1"/>
                            <wps:spPr>
                              <a:xfrm>
                                <a:off x="0" y="0"/>
                                <a:ext cx="3609975" cy="464185"/>
                              </a:xfrm>
                              <a:prstGeom prst="rect">
                                <a:avLst/>
                              </a:prstGeom>
                              <a:solidFill>
                                <a:srgbClr val="FFFFFF"/>
                              </a:solidFill>
                              <a:ln>
                                <a:noFill/>
                              </a:ln>
                            </wps:spPr>
                            <wps:txbx>
                              <w:txbxContent>
                                <w:p>
                                  <w:pPr>
                                    <w:rPr>
                                      <w:rFonts w:hint="default" w:eastAsia="仿宋"/>
                                      <w:lang w:val="en-US" w:eastAsia="zh-CN"/>
                                    </w:rPr>
                                  </w:pPr>
                                  <w:r>
                                    <w:rPr>
                                      <w:rFonts w:hint="eastAsia"/>
                                      <w:lang w:val="en-US" w:eastAsia="zh-CN"/>
                                    </w:rPr>
                                    <w:t>图3-4三楼平面布局图</w:t>
                                  </w:r>
                                </w:p>
                              </w:txbxContent>
                            </wps:txbx>
                            <wps:bodyPr upright="1"/>
                          </wps:wsp>
                        </a:graphicData>
                      </a:graphic>
                    </wp:anchor>
                  </w:drawing>
                </mc:Choice>
                <mc:Fallback>
                  <w:pict>
                    <v:shape id="_x0000_s1026" o:spid="_x0000_s1026" o:spt="202" type="#_x0000_t202" style="position:absolute;left:0pt;margin-left:97.3pt;margin-top:630.05pt;height:36.55pt;width:284.25pt;z-index:251660288;mso-width-relative:page;mso-height-relative:page;" fillcolor="#FFFFFF" filled="t" stroked="f" coordsize="21600,21600" o:gfxdata="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WBNb7ZAAAADQEAAA8AAAAAAAAAAQAgAAAAIgAAAGRycy9kb3ducmV2&#10;LnhtbFBLAQIUABQAAAAIAIdO4kDHON2VwgEAAHcDAAAOAAAAAAAAAAEAIAAAACgBAABkcnMvZTJv&#10;RG9jLnhtbFBLBQYAAAAABgAGAFkBAABcBQAAAAA=&#10;">
                      <v:fill on="t" focussize="0,0"/>
                      <v:stroke on="f"/>
                      <v:imagedata o:title=""/>
                      <o:lock v:ext="edit" aspectratio="f"/>
                      <v:textbox>
                        <w:txbxContent>
                          <w:p>
                            <w:pPr>
                              <w:rPr>
                                <w:rFonts w:hint="default" w:eastAsia="仿宋"/>
                                <w:lang w:val="en-US" w:eastAsia="zh-CN"/>
                              </w:rPr>
                            </w:pPr>
                            <w:r>
                              <w:rPr>
                                <w:rFonts w:hint="eastAsia"/>
                                <w:lang w:val="en-US" w:eastAsia="zh-CN"/>
                              </w:rPr>
                              <w:t>图3-4三楼平面布局图</w:t>
                            </w:r>
                          </w:p>
                        </w:txbxContent>
                      </v:textbox>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3888105</wp:posOffset>
                      </wp:positionH>
                      <wp:positionV relativeFrom="paragraph">
                        <wp:posOffset>6659245</wp:posOffset>
                      </wp:positionV>
                      <wp:extent cx="76200" cy="191770"/>
                      <wp:effectExtent l="40640" t="13335" r="54610" b="23495"/>
                      <wp:wrapNone/>
                      <wp:docPr id="2" name="矩形 2"/>
                      <wp:cNvGraphicFramePr/>
                      <a:graphic xmlns:a="http://schemas.openxmlformats.org/drawingml/2006/main">
                        <a:graphicData uri="http://schemas.microsoft.com/office/word/2010/wordprocessingShape">
                          <wps:wsp>
                            <wps:cNvSpPr/>
                            <wps:spPr>
                              <a:xfrm rot="-1380000" flipH="1">
                                <a:off x="0" y="0"/>
                                <a:ext cx="76200" cy="191770"/>
                              </a:xfrm>
                              <a:prstGeom prst="rect">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flip:x;margin-left:306.15pt;margin-top:524.35pt;height:15.1pt;width:6pt;rotation:1507328f;z-index:251659264;mso-width-relative:page;mso-height-relative:page;" fillcolor="#FF0000" filled="t" stroked="t" coordsize="21600,21600" o:gfxdata="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Tc0Z2QAAAA0BAAAPAAAAAAAAAAEAIAAAACIA&#10;AABkcnMvZG93bnJldi54bWxQSwECFAAUAAAACACHTuJAfBWt2QgCAAA1BAAADgAAAAAAAAABACAA&#10;AAAoAQAAZHJzL2Uyb0RvYy54bWxQSwUGAAAAAAYABgBZAQAAogUAAAAA&#10;">
                      <v:fill on="t" focussize="0,0"/>
                      <v:stroke color="#FF0000" joinstyle="miter"/>
                      <v:imagedata o:title=""/>
                      <o:lock v:ext="edit" aspectratio="f"/>
                    </v:rect>
                  </w:pict>
                </mc:Fallback>
              </mc:AlternateContent>
            </w:r>
            <w:r>
              <w:rPr>
                <w:rStyle w:val="17"/>
                <w:rFonts w:hint="default" w:ascii="Times New Roman" w:hAnsi="Times New Roman" w:cs="Times New Roman"/>
                <w:color w:val="auto"/>
              </w:rPr>
              <w:t>表3-</w:t>
            </w:r>
            <w:r>
              <w:rPr>
                <w:rStyle w:val="17"/>
                <w:rFonts w:hint="eastAsia" w:eastAsia="宋体" w:cs="Times New Roman"/>
                <w:color w:val="auto"/>
                <w:lang w:val="en-US" w:eastAsia="zh-CN"/>
              </w:rPr>
              <w:t xml:space="preserve">1 </w:t>
            </w:r>
            <w:r>
              <w:rPr>
                <w:rStyle w:val="17"/>
                <w:rFonts w:hint="default" w:ascii="Times New Roman" w:hAnsi="Times New Roman" w:cs="Times New Roman"/>
                <w:color w:val="auto"/>
              </w:rPr>
              <w:t>项目</w:t>
            </w:r>
            <w:r>
              <w:rPr>
                <w:rStyle w:val="17"/>
                <w:rFonts w:hint="eastAsia" w:ascii="Times New Roman" w:hAnsi="Times New Roman" w:eastAsia="宋体" w:cs="Times New Roman"/>
                <w:color w:val="auto"/>
                <w:lang w:eastAsia="zh-CN"/>
              </w:rPr>
              <w:t>环评与实际</w:t>
            </w:r>
            <w:r>
              <w:rPr>
                <w:rStyle w:val="17"/>
                <w:rFonts w:hint="default" w:ascii="Times New Roman" w:hAnsi="Times New Roman" w:cs="Times New Roman"/>
                <w:color w:val="auto"/>
              </w:rPr>
              <w:t>建设内容</w:t>
            </w:r>
            <w:r>
              <w:rPr>
                <w:rStyle w:val="17"/>
                <w:rFonts w:hint="eastAsia" w:ascii="Times New Roman" w:hAnsi="Times New Roman" w:eastAsia="宋体" w:cs="Times New Roman"/>
                <w:color w:val="auto"/>
                <w:lang w:eastAsia="zh-CN"/>
              </w:rPr>
              <w:t>对照一览表</w:t>
            </w:r>
          </w:p>
          <w:tbl>
            <w:tblPr>
              <w:tblStyle w:val="1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777"/>
              <w:gridCol w:w="856"/>
              <w:gridCol w:w="2140"/>
              <w:gridCol w:w="3089"/>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工程类别</w:t>
                  </w:r>
                </w:p>
              </w:tc>
              <w:tc>
                <w:tcPr>
                  <w:tcW w:w="4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工程名称</w:t>
                  </w:r>
                </w:p>
              </w:tc>
              <w:tc>
                <w:tcPr>
                  <w:tcW w:w="1803"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lang w:eastAsia="zh-CN"/>
                    </w:rPr>
                    <w:t>环评</w:t>
                  </w:r>
                  <w:r>
                    <w:rPr>
                      <w:rFonts w:hint="default" w:ascii="Times New Roman" w:hAnsi="Times New Roman" w:eastAsia="宋体" w:cs="Times New Roman"/>
                      <w:color w:val="000000"/>
                      <w:kern w:val="2"/>
                      <w:sz w:val="21"/>
                      <w:szCs w:val="21"/>
                    </w:rPr>
                    <w:t>建设内容</w:t>
                  </w:r>
                </w:p>
              </w:tc>
              <w:tc>
                <w:tcPr>
                  <w:tcW w:w="1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实际建设内容</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主体工程</w:t>
                  </w:r>
                </w:p>
              </w:tc>
              <w:tc>
                <w:tcPr>
                  <w:tcW w:w="4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#生产车间</w:t>
                  </w:r>
                </w:p>
              </w:tc>
              <w:tc>
                <w:tcPr>
                  <w:tcW w:w="1803" w:type="pct"/>
                  <w:gridSpan w:val="2"/>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color w:val="000000"/>
                      <w:kern w:val="2"/>
                      <w:sz w:val="21"/>
                      <w:szCs w:val="21"/>
                      <w:lang w:eastAsia="zh-CN"/>
                    </w:rPr>
                  </w:pPr>
                  <w:r>
                    <w:rPr>
                      <w:rFonts w:hint="eastAsia" w:ascii="Times New Roman" w:hAnsi="Times New Roman" w:cs="Times New Roman"/>
                      <w:color w:val="000000"/>
                      <w:kern w:val="2"/>
                      <w:sz w:val="21"/>
                      <w:szCs w:val="21"/>
                    </w:rPr>
                    <w:t>设置</w:t>
                  </w:r>
                  <w:r>
                    <w:rPr>
                      <w:rFonts w:hint="default" w:ascii="Times New Roman" w:hAnsi="Times New Roman" w:cs="Times New Roman"/>
                      <w:color w:val="000000"/>
                      <w:kern w:val="2"/>
                      <w:sz w:val="21"/>
                      <w:szCs w:val="21"/>
                    </w:rPr>
                    <w:t>8</w:t>
                  </w:r>
                  <w:r>
                    <w:rPr>
                      <w:rFonts w:hint="eastAsia" w:ascii="Times New Roman" w:hAnsi="Times New Roman" w:cs="Times New Roman"/>
                      <w:color w:val="000000"/>
                      <w:kern w:val="2"/>
                      <w:sz w:val="21"/>
                      <w:szCs w:val="21"/>
                    </w:rPr>
                    <w:t>条生产线；一层布置办公区、产品放置区、化工材料库以及危废暂存库等；二层布置1条硬铬线、</w:t>
                  </w:r>
                  <w:r>
                    <w:rPr>
                      <w:rFonts w:hint="default" w:ascii="Times New Roman" w:hAnsi="Times New Roman" w:cs="Times New Roman"/>
                      <w:color w:val="000000"/>
                      <w:kern w:val="2"/>
                      <w:sz w:val="21"/>
                      <w:szCs w:val="21"/>
                    </w:rPr>
                    <w:t>1</w:t>
                  </w:r>
                  <w:r>
                    <w:rPr>
                      <w:rFonts w:hint="eastAsia" w:ascii="Times New Roman" w:hAnsi="Times New Roman" w:cs="Times New Roman"/>
                      <w:color w:val="000000"/>
                      <w:kern w:val="2"/>
                      <w:sz w:val="21"/>
                      <w:szCs w:val="21"/>
                    </w:rPr>
                    <w:t>条镍铬线、1条滚镀锌线、1条挂镀锌线；三层设置</w:t>
                  </w:r>
                  <w:r>
                    <w:rPr>
                      <w:rFonts w:hint="default" w:ascii="Times New Roman" w:hAnsi="Times New Roman" w:cs="Times New Roman"/>
                      <w:color w:val="000000"/>
                      <w:kern w:val="2"/>
                      <w:sz w:val="21"/>
                      <w:szCs w:val="21"/>
                    </w:rPr>
                    <w:t>3</w:t>
                  </w:r>
                  <w:r>
                    <w:rPr>
                      <w:rFonts w:hint="eastAsia" w:ascii="Times New Roman" w:hAnsi="Times New Roman" w:cs="Times New Roman"/>
                      <w:color w:val="000000"/>
                      <w:kern w:val="2"/>
                      <w:sz w:val="21"/>
                      <w:szCs w:val="21"/>
                    </w:rPr>
                    <w:t>条硬铬线、</w:t>
                  </w:r>
                  <w:r>
                    <w:rPr>
                      <w:rFonts w:hint="default" w:ascii="Times New Roman" w:hAnsi="Times New Roman" w:cs="Times New Roman"/>
                      <w:color w:val="000000"/>
                      <w:kern w:val="2"/>
                      <w:sz w:val="21"/>
                      <w:szCs w:val="21"/>
                    </w:rPr>
                    <w:t>1</w:t>
                  </w:r>
                  <w:r>
                    <w:rPr>
                      <w:rFonts w:hint="eastAsia" w:ascii="Times New Roman" w:hAnsi="Times New Roman" w:cs="Times New Roman"/>
                      <w:color w:val="000000"/>
                      <w:kern w:val="2"/>
                      <w:sz w:val="21"/>
                      <w:szCs w:val="21"/>
                    </w:rPr>
                    <w:t>条镍铬线</w:t>
                  </w:r>
                  <w:r>
                    <w:rPr>
                      <w:rFonts w:hint="eastAsia" w:ascii="Times New Roman" w:hAnsi="Times New Roman" w:cs="Times New Roman"/>
                      <w:color w:val="000000"/>
                      <w:kern w:val="2"/>
                      <w:sz w:val="21"/>
                      <w:szCs w:val="21"/>
                      <w:lang w:eastAsia="zh-CN"/>
                    </w:rPr>
                    <w:t>。</w:t>
                  </w:r>
                  <w:r>
                    <w:rPr>
                      <w:rFonts w:hint="eastAsia" w:ascii="Times New Roman" w:hAnsi="Times New Roman" w:cs="Times New Roman"/>
                      <w:color w:val="000000"/>
                      <w:kern w:val="2"/>
                      <w:sz w:val="21"/>
                      <w:szCs w:val="21"/>
                    </w:rPr>
                    <w:t>占地面积2400m</w:t>
                  </w:r>
                  <w:r>
                    <w:rPr>
                      <w:rFonts w:hint="eastAsia" w:ascii="Times New Roman" w:hAnsi="Times New Roman" w:cs="Times New Roman"/>
                      <w:color w:val="000000"/>
                      <w:kern w:val="2"/>
                      <w:sz w:val="21"/>
                      <w:szCs w:val="21"/>
                      <w:vertAlign w:val="superscript"/>
                    </w:rPr>
                    <w:t>2</w:t>
                  </w:r>
                  <w:r>
                    <w:rPr>
                      <w:rFonts w:hint="eastAsia" w:ascii="Times New Roman" w:hAnsi="Times New Roman" w:cs="Times New Roman"/>
                      <w:color w:val="000000"/>
                      <w:kern w:val="2"/>
                      <w:sz w:val="21"/>
                      <w:szCs w:val="21"/>
                    </w:rPr>
                    <w:t>，</w:t>
                  </w:r>
                  <w:r>
                    <w:rPr>
                      <w:rFonts w:hint="default" w:ascii="Times New Roman" w:hAnsi="Times New Roman" w:cs="Times New Roman"/>
                      <w:color w:val="000000"/>
                      <w:kern w:val="2"/>
                      <w:sz w:val="21"/>
                      <w:szCs w:val="21"/>
                    </w:rPr>
                    <w:t>3</w:t>
                  </w:r>
                  <w:r>
                    <w:rPr>
                      <w:rFonts w:hint="eastAsia" w:ascii="Times New Roman" w:hAnsi="Times New Roman" w:cs="Times New Roman"/>
                      <w:color w:val="000000"/>
                      <w:kern w:val="2"/>
                      <w:sz w:val="21"/>
                      <w:szCs w:val="21"/>
                    </w:rPr>
                    <w:t>F，一层高5.9m，二层高6m，三层6.5m</w:t>
                  </w:r>
                  <w:r>
                    <w:rPr>
                      <w:rFonts w:hint="eastAsia" w:cs="Times New Roman"/>
                      <w:color w:val="000000"/>
                      <w:kern w:val="2"/>
                      <w:sz w:val="21"/>
                      <w:szCs w:val="21"/>
                      <w:lang w:eastAsia="zh-CN"/>
                    </w:rPr>
                    <w:t>。</w:t>
                  </w:r>
                </w:p>
              </w:tc>
              <w:tc>
                <w:tcPr>
                  <w:tcW w:w="1859"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color w:val="000000"/>
                      <w:kern w:val="2"/>
                      <w:sz w:val="21"/>
                      <w:szCs w:val="21"/>
                      <w:lang w:val="en-US" w:eastAsia="zh-CN"/>
                    </w:rPr>
                  </w:pPr>
                  <w:r>
                    <w:rPr>
                      <w:rFonts w:hint="eastAsia" w:cs="Times New Roman"/>
                      <w:color w:val="000000"/>
                      <w:kern w:val="2"/>
                      <w:sz w:val="21"/>
                      <w:szCs w:val="21"/>
                      <w:lang w:val="en-US" w:eastAsia="zh-CN"/>
                    </w:rPr>
                    <w:t>建成6</w:t>
                  </w:r>
                  <w:r>
                    <w:rPr>
                      <w:rFonts w:hint="eastAsia" w:ascii="Times New Roman" w:hAnsi="Times New Roman" w:cs="Times New Roman"/>
                      <w:color w:val="000000"/>
                      <w:kern w:val="2"/>
                      <w:sz w:val="21"/>
                      <w:szCs w:val="21"/>
                    </w:rPr>
                    <w:t>条生产线；一层布置办公区、产品放置区、化工材料库以及危废暂存库等；二层布置1条滚镀锌线、1条挂镀锌线；三层设置</w:t>
                  </w:r>
                  <w:r>
                    <w:rPr>
                      <w:rFonts w:hint="default" w:ascii="Times New Roman" w:hAnsi="Times New Roman" w:cs="Times New Roman"/>
                      <w:color w:val="000000"/>
                      <w:kern w:val="2"/>
                      <w:sz w:val="21"/>
                      <w:szCs w:val="21"/>
                    </w:rPr>
                    <w:t>3</w:t>
                  </w:r>
                  <w:r>
                    <w:rPr>
                      <w:rFonts w:hint="eastAsia" w:ascii="Times New Roman" w:hAnsi="Times New Roman" w:cs="Times New Roman"/>
                      <w:color w:val="000000"/>
                      <w:kern w:val="2"/>
                      <w:sz w:val="21"/>
                      <w:szCs w:val="21"/>
                    </w:rPr>
                    <w:t>条硬铬线、</w:t>
                  </w:r>
                  <w:r>
                    <w:rPr>
                      <w:rFonts w:hint="default" w:ascii="Times New Roman" w:hAnsi="Times New Roman" w:cs="Times New Roman"/>
                      <w:color w:val="000000"/>
                      <w:kern w:val="2"/>
                      <w:sz w:val="21"/>
                      <w:szCs w:val="21"/>
                    </w:rPr>
                    <w:t>1</w:t>
                  </w:r>
                  <w:r>
                    <w:rPr>
                      <w:rFonts w:hint="eastAsia" w:ascii="Times New Roman" w:hAnsi="Times New Roman" w:cs="Times New Roman"/>
                      <w:color w:val="000000"/>
                      <w:kern w:val="2"/>
                      <w:sz w:val="21"/>
                      <w:szCs w:val="21"/>
                    </w:rPr>
                    <w:t>条镍铬线；占地面积2400m</w:t>
                  </w:r>
                  <w:r>
                    <w:rPr>
                      <w:rFonts w:hint="eastAsia" w:ascii="Times New Roman" w:hAnsi="Times New Roman" w:cs="Times New Roman"/>
                      <w:color w:val="000000"/>
                      <w:kern w:val="2"/>
                      <w:sz w:val="21"/>
                      <w:szCs w:val="21"/>
                      <w:vertAlign w:val="superscript"/>
                    </w:rPr>
                    <w:t>2</w:t>
                  </w:r>
                  <w:r>
                    <w:rPr>
                      <w:rFonts w:hint="eastAsia" w:ascii="Times New Roman" w:hAnsi="Times New Roman" w:cs="Times New Roman"/>
                      <w:color w:val="000000"/>
                      <w:kern w:val="2"/>
                      <w:sz w:val="21"/>
                      <w:szCs w:val="21"/>
                    </w:rPr>
                    <w:t>，</w:t>
                  </w:r>
                  <w:r>
                    <w:rPr>
                      <w:rFonts w:hint="default" w:ascii="Times New Roman" w:hAnsi="Times New Roman" w:cs="Times New Roman"/>
                      <w:color w:val="000000"/>
                      <w:kern w:val="2"/>
                      <w:sz w:val="21"/>
                      <w:szCs w:val="21"/>
                    </w:rPr>
                    <w:t>3</w:t>
                  </w:r>
                  <w:r>
                    <w:rPr>
                      <w:rFonts w:hint="eastAsia" w:ascii="Times New Roman" w:hAnsi="Times New Roman" w:cs="Times New Roman"/>
                      <w:color w:val="000000"/>
                      <w:kern w:val="2"/>
                      <w:sz w:val="21"/>
                      <w:szCs w:val="21"/>
                    </w:rPr>
                    <w:t>F，一层高5.9m，二层高6m，三层6.5m</w:t>
                  </w:r>
                  <w:r>
                    <w:rPr>
                      <w:rFonts w:hint="eastAsia" w:cs="Times New Roman"/>
                      <w:color w:val="000000"/>
                      <w:kern w:val="2"/>
                      <w:sz w:val="21"/>
                      <w:szCs w:val="21"/>
                      <w:lang w:eastAsia="zh-CN"/>
                    </w:rPr>
                    <w:t>。</w:t>
                  </w:r>
                </w:p>
              </w:tc>
              <w:tc>
                <w:tcPr>
                  <w:tcW w:w="5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rPr>
                  </w:pPr>
                  <w:r>
                    <w:rPr>
                      <w:rFonts w:hint="eastAsia" w:cs="Times New Roman"/>
                      <w:color w:val="000000"/>
                      <w:kern w:val="2"/>
                      <w:sz w:val="21"/>
                      <w:szCs w:val="21"/>
                      <w:lang w:val="en-US" w:eastAsia="zh-CN"/>
                    </w:rPr>
                    <w:t>二层</w:t>
                  </w:r>
                  <w:r>
                    <w:rPr>
                      <w:rFonts w:hint="eastAsia" w:ascii="Times New Roman" w:hAnsi="Times New Roman" w:cs="Times New Roman"/>
                      <w:color w:val="000000"/>
                      <w:kern w:val="2"/>
                      <w:sz w:val="21"/>
                      <w:szCs w:val="21"/>
                    </w:rPr>
                    <w:t>1条硬铬线、</w:t>
                  </w:r>
                  <w:r>
                    <w:rPr>
                      <w:rFonts w:hint="default" w:ascii="Times New Roman" w:hAnsi="Times New Roman" w:cs="Times New Roman"/>
                      <w:color w:val="000000"/>
                      <w:kern w:val="2"/>
                      <w:sz w:val="21"/>
                      <w:szCs w:val="21"/>
                    </w:rPr>
                    <w:t>1</w:t>
                  </w:r>
                  <w:r>
                    <w:rPr>
                      <w:rFonts w:hint="eastAsia" w:ascii="Times New Roman" w:hAnsi="Times New Roman" w:cs="Times New Roman"/>
                      <w:color w:val="000000"/>
                      <w:kern w:val="2"/>
                      <w:sz w:val="21"/>
                      <w:szCs w:val="21"/>
                    </w:rPr>
                    <w:t>条镍铬线</w:t>
                  </w:r>
                  <w:r>
                    <w:rPr>
                      <w:rFonts w:hint="eastAsia" w:cs="Times New Roman"/>
                      <w:color w:val="000000"/>
                      <w:kern w:val="2"/>
                      <w:sz w:val="21"/>
                      <w:szCs w:val="21"/>
                      <w:lang w:val="en-US" w:eastAsia="zh-CN"/>
                    </w:rPr>
                    <w:t>暂未建设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辅助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工程</w:t>
                  </w:r>
                </w:p>
              </w:tc>
              <w:tc>
                <w:tcPr>
                  <w:tcW w:w="4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办公间</w:t>
                  </w:r>
                </w:p>
              </w:tc>
              <w:tc>
                <w:tcPr>
                  <w:tcW w:w="1803"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eastAsia="zh-CN"/>
                    </w:rPr>
                  </w:pPr>
                  <w:r>
                    <w:rPr>
                      <w:rFonts w:hint="eastAsia" w:ascii="Times New Roman" w:hAnsi="Times New Roman" w:cs="Times New Roman"/>
                      <w:color w:val="000000"/>
                      <w:kern w:val="2"/>
                      <w:sz w:val="21"/>
                      <w:szCs w:val="21"/>
                    </w:rPr>
                    <w:t>生产车间一层生产车间内部布置办公区域，用于员工办公、会议、产品检测等。占地</w:t>
                  </w:r>
                  <w:r>
                    <w:rPr>
                      <w:rFonts w:hint="default" w:ascii="Times New Roman" w:hAnsi="Times New Roman" w:cs="Times New Roman"/>
                      <w:color w:val="000000"/>
                      <w:kern w:val="2"/>
                      <w:sz w:val="21"/>
                      <w:szCs w:val="21"/>
                    </w:rPr>
                    <w:t>面积3</w:t>
                  </w:r>
                  <w:r>
                    <w:rPr>
                      <w:rFonts w:hint="eastAsia" w:ascii="Times New Roman" w:hAnsi="Times New Roman" w:cs="Times New Roman"/>
                      <w:color w:val="000000"/>
                      <w:kern w:val="2"/>
                      <w:sz w:val="21"/>
                      <w:szCs w:val="21"/>
                    </w:rPr>
                    <w:t>00</w:t>
                  </w:r>
                  <w:r>
                    <w:rPr>
                      <w:rFonts w:hint="default" w:ascii="Times New Roman" w:hAnsi="Times New Roman" w:cs="Times New Roman"/>
                      <w:color w:val="000000"/>
                      <w:kern w:val="2"/>
                      <w:sz w:val="21"/>
                      <w:szCs w:val="21"/>
                    </w:rPr>
                    <w:t>m</w:t>
                  </w:r>
                  <w:r>
                    <w:rPr>
                      <w:rFonts w:hint="default" w:ascii="Times New Roman" w:hAnsi="Times New Roman" w:cs="Times New Roman"/>
                      <w:color w:val="000000"/>
                      <w:kern w:val="2"/>
                      <w:sz w:val="21"/>
                      <w:szCs w:val="21"/>
                      <w:vertAlign w:val="superscript"/>
                    </w:rPr>
                    <w:t>2</w:t>
                  </w:r>
                </w:p>
              </w:tc>
              <w:tc>
                <w:tcPr>
                  <w:tcW w:w="18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eastAsia" w:ascii="Times New Roman" w:hAnsi="Times New Roman" w:cs="Times New Roman"/>
                      <w:color w:val="000000"/>
                      <w:kern w:val="2"/>
                      <w:sz w:val="21"/>
                      <w:szCs w:val="21"/>
                    </w:rPr>
                    <w:t>生产车间一层生产车间内部布置办公区域，用于员工办公、会议、产品检测等。占地</w:t>
                  </w:r>
                  <w:r>
                    <w:rPr>
                      <w:rFonts w:hint="default" w:ascii="Times New Roman" w:hAnsi="Times New Roman" w:cs="Times New Roman"/>
                      <w:color w:val="000000"/>
                      <w:kern w:val="2"/>
                      <w:sz w:val="21"/>
                      <w:szCs w:val="21"/>
                    </w:rPr>
                    <w:t>面积3</w:t>
                  </w:r>
                  <w:r>
                    <w:rPr>
                      <w:rFonts w:hint="eastAsia" w:ascii="Times New Roman" w:hAnsi="Times New Roman" w:cs="Times New Roman"/>
                      <w:color w:val="000000"/>
                      <w:kern w:val="2"/>
                      <w:sz w:val="21"/>
                      <w:szCs w:val="21"/>
                    </w:rPr>
                    <w:t>00</w:t>
                  </w:r>
                  <w:r>
                    <w:rPr>
                      <w:rFonts w:hint="default" w:ascii="Times New Roman" w:hAnsi="Times New Roman" w:cs="Times New Roman"/>
                      <w:color w:val="000000"/>
                      <w:kern w:val="2"/>
                      <w:sz w:val="21"/>
                      <w:szCs w:val="21"/>
                    </w:rPr>
                    <w:t>m</w:t>
                  </w:r>
                  <w:r>
                    <w:rPr>
                      <w:rFonts w:hint="default" w:ascii="Times New Roman" w:hAnsi="Times New Roman" w:cs="Times New Roman"/>
                      <w:color w:val="000000"/>
                      <w:kern w:val="2"/>
                      <w:sz w:val="21"/>
                      <w:szCs w:val="21"/>
                      <w:vertAlign w:val="superscript"/>
                    </w:rPr>
                    <w:t>2</w:t>
                  </w:r>
                </w:p>
              </w:tc>
              <w:tc>
                <w:tcPr>
                  <w:tcW w:w="5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p>
              </w:tc>
              <w:tc>
                <w:tcPr>
                  <w:tcW w:w="4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kern w:val="2"/>
                      <w:sz w:val="21"/>
                      <w:szCs w:val="21"/>
                    </w:rPr>
                  </w:pPr>
                  <w:r>
                    <w:rPr>
                      <w:rFonts w:hint="eastAsia" w:ascii="Times New Roman" w:hAnsi="Times New Roman" w:cs="Times New Roman"/>
                      <w:color w:val="000000"/>
                      <w:kern w:val="2"/>
                      <w:sz w:val="21"/>
                      <w:szCs w:val="21"/>
                    </w:rPr>
                    <w:t>挂具车间</w:t>
                  </w:r>
                </w:p>
              </w:tc>
              <w:tc>
                <w:tcPr>
                  <w:tcW w:w="1803"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kern w:val="2"/>
                      <w:sz w:val="21"/>
                      <w:szCs w:val="21"/>
                    </w:rPr>
                  </w:pPr>
                  <w:r>
                    <w:rPr>
                      <w:rFonts w:hint="eastAsia" w:ascii="Times New Roman" w:hAnsi="Times New Roman" w:cs="Times New Roman"/>
                      <w:color w:val="000000"/>
                      <w:kern w:val="2"/>
                      <w:sz w:val="21"/>
                      <w:szCs w:val="21"/>
                    </w:rPr>
                    <w:t>生产车间一层设置产品工装挂具间</w:t>
                  </w:r>
                  <w:r>
                    <w:rPr>
                      <w:rFonts w:hint="eastAsia" w:ascii="Times New Roman" w:hAnsi="Times New Roman" w:cs="Times New Roman"/>
                      <w:color w:val="000000"/>
                      <w:kern w:val="2"/>
                      <w:sz w:val="21"/>
                      <w:szCs w:val="21"/>
                      <w:lang w:eastAsia="zh-CN"/>
                    </w:rPr>
                    <w:t>。</w:t>
                  </w:r>
                  <w:r>
                    <w:rPr>
                      <w:rFonts w:hint="eastAsia" w:ascii="Times New Roman" w:hAnsi="Times New Roman" w:cs="Times New Roman"/>
                      <w:color w:val="000000"/>
                      <w:kern w:val="2"/>
                      <w:sz w:val="21"/>
                      <w:szCs w:val="21"/>
                    </w:rPr>
                    <w:t>占地面积5</w:t>
                  </w:r>
                  <w:r>
                    <w:rPr>
                      <w:rFonts w:hint="default" w:ascii="Times New Roman" w:hAnsi="Times New Roman" w:cs="Times New Roman"/>
                      <w:color w:val="000000"/>
                      <w:kern w:val="2"/>
                      <w:sz w:val="21"/>
                      <w:szCs w:val="21"/>
                    </w:rPr>
                    <w:t>0m</w:t>
                  </w:r>
                  <w:r>
                    <w:rPr>
                      <w:rFonts w:hint="default" w:ascii="Times New Roman" w:hAnsi="Times New Roman" w:cs="Times New Roman"/>
                      <w:color w:val="000000"/>
                      <w:kern w:val="2"/>
                      <w:sz w:val="21"/>
                      <w:szCs w:val="21"/>
                      <w:vertAlign w:val="superscript"/>
                    </w:rPr>
                    <w:t>2</w:t>
                  </w:r>
                </w:p>
              </w:tc>
              <w:tc>
                <w:tcPr>
                  <w:tcW w:w="18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cs="Times New Roman"/>
                      <w:color w:val="000000"/>
                      <w:kern w:val="2"/>
                      <w:sz w:val="21"/>
                      <w:szCs w:val="21"/>
                    </w:rPr>
                    <w:t>生产车间一层设置产品工装挂具间</w:t>
                  </w:r>
                  <w:r>
                    <w:rPr>
                      <w:rFonts w:hint="eastAsia" w:ascii="Times New Roman" w:hAnsi="Times New Roman" w:cs="Times New Roman"/>
                      <w:color w:val="000000"/>
                      <w:kern w:val="2"/>
                      <w:sz w:val="21"/>
                      <w:szCs w:val="21"/>
                      <w:lang w:eastAsia="zh-CN"/>
                    </w:rPr>
                    <w:t>。</w:t>
                  </w:r>
                  <w:r>
                    <w:rPr>
                      <w:rFonts w:hint="eastAsia" w:ascii="Times New Roman" w:hAnsi="Times New Roman" w:cs="Times New Roman"/>
                      <w:color w:val="000000"/>
                      <w:kern w:val="2"/>
                      <w:sz w:val="21"/>
                      <w:szCs w:val="21"/>
                    </w:rPr>
                    <w:t>占地面积5</w:t>
                  </w:r>
                  <w:r>
                    <w:rPr>
                      <w:rFonts w:hint="default" w:ascii="Times New Roman" w:hAnsi="Times New Roman" w:cs="Times New Roman"/>
                      <w:color w:val="000000"/>
                      <w:kern w:val="2"/>
                      <w:sz w:val="21"/>
                      <w:szCs w:val="21"/>
                    </w:rPr>
                    <w:t>0m</w:t>
                  </w:r>
                  <w:r>
                    <w:rPr>
                      <w:rFonts w:hint="default" w:ascii="Times New Roman" w:hAnsi="Times New Roman" w:cs="Times New Roman"/>
                      <w:color w:val="000000"/>
                      <w:kern w:val="2"/>
                      <w:sz w:val="21"/>
                      <w:szCs w:val="21"/>
                      <w:vertAlign w:val="superscript"/>
                    </w:rPr>
                    <w:t>2</w:t>
                  </w:r>
                </w:p>
              </w:tc>
              <w:tc>
                <w:tcPr>
                  <w:tcW w:w="5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rPr>
                    <w:t>公用</w:t>
                  </w:r>
                  <w:r>
                    <w:rPr>
                      <w:rFonts w:hint="default" w:ascii="Times New Roman" w:hAnsi="Times New Roman" w:eastAsia="宋体" w:cs="Times New Roman"/>
                      <w:color w:val="000000"/>
                      <w:kern w:val="2"/>
                      <w:sz w:val="21"/>
                      <w:szCs w:val="21"/>
                    </w:rPr>
                    <w:t>工程</w:t>
                  </w:r>
                </w:p>
              </w:tc>
              <w:tc>
                <w:tcPr>
                  <w:tcW w:w="4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供热</w:t>
                  </w:r>
                </w:p>
              </w:tc>
              <w:tc>
                <w:tcPr>
                  <w:tcW w:w="1803"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rPr>
                    <w:t>依托电镀中心天然气锅炉供热</w:t>
                  </w:r>
                  <w:r>
                    <w:rPr>
                      <w:rFonts w:hint="default" w:ascii="Times New Roman" w:hAnsi="Times New Roman" w:eastAsia="宋体" w:cs="Times New Roman"/>
                      <w:color w:val="000000"/>
                      <w:kern w:val="2"/>
                      <w:sz w:val="21"/>
                      <w:szCs w:val="21"/>
                      <w:lang w:eastAsia="zh-CN"/>
                    </w:rPr>
                    <w:t>。</w:t>
                  </w:r>
                </w:p>
              </w:tc>
              <w:tc>
                <w:tcPr>
                  <w:tcW w:w="18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依托电镀中心天然气锅炉供热</w:t>
                  </w:r>
                  <w:r>
                    <w:rPr>
                      <w:rFonts w:hint="default" w:ascii="Times New Roman" w:hAnsi="Times New Roman" w:eastAsia="宋体" w:cs="Times New Roman"/>
                      <w:color w:val="000000"/>
                      <w:kern w:val="2"/>
                      <w:sz w:val="21"/>
                      <w:szCs w:val="21"/>
                      <w:lang w:eastAsia="zh-CN"/>
                    </w:rPr>
                    <w:t>。</w:t>
                  </w:r>
                </w:p>
              </w:tc>
              <w:tc>
                <w:tcPr>
                  <w:tcW w:w="5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p>
              </w:tc>
              <w:tc>
                <w:tcPr>
                  <w:tcW w:w="4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供电</w:t>
                  </w:r>
                </w:p>
              </w:tc>
              <w:tc>
                <w:tcPr>
                  <w:tcW w:w="1803"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由电镀中心变电所10kV高压电缆接入车间变压器室</w:t>
                  </w:r>
                  <w:r>
                    <w:rPr>
                      <w:rFonts w:hint="default" w:ascii="Times New Roman" w:hAnsi="Times New Roman" w:eastAsia="宋体" w:cs="Times New Roman"/>
                      <w:color w:val="000000"/>
                      <w:kern w:val="2"/>
                      <w:sz w:val="21"/>
                      <w:szCs w:val="21"/>
                      <w:lang w:eastAsia="zh-CN"/>
                    </w:rPr>
                    <w:t>。</w:t>
                  </w:r>
                </w:p>
              </w:tc>
              <w:tc>
                <w:tcPr>
                  <w:tcW w:w="18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rPr>
                    <w:t>由电镀中心变电所10kV高压电缆接入车间变压器室</w:t>
                  </w:r>
                  <w:r>
                    <w:rPr>
                      <w:rFonts w:hint="default" w:ascii="Times New Roman" w:hAnsi="Times New Roman" w:eastAsia="宋体" w:cs="Times New Roman"/>
                      <w:color w:val="000000"/>
                      <w:kern w:val="2"/>
                      <w:sz w:val="21"/>
                      <w:szCs w:val="21"/>
                      <w:lang w:eastAsia="zh-CN"/>
                    </w:rPr>
                    <w:t>。</w:t>
                  </w:r>
                </w:p>
              </w:tc>
              <w:tc>
                <w:tcPr>
                  <w:tcW w:w="5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p>
              </w:tc>
              <w:tc>
                <w:tcPr>
                  <w:tcW w:w="4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供水</w:t>
                  </w:r>
                </w:p>
              </w:tc>
              <w:tc>
                <w:tcPr>
                  <w:tcW w:w="1803"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市政管网直接供水</w:t>
                  </w:r>
                  <w:r>
                    <w:rPr>
                      <w:rFonts w:hint="default" w:ascii="Times New Roman" w:hAnsi="Times New Roman" w:eastAsia="宋体" w:cs="Times New Roman"/>
                      <w:color w:val="000000"/>
                      <w:kern w:val="2"/>
                      <w:sz w:val="21"/>
                      <w:szCs w:val="21"/>
                      <w:lang w:eastAsia="zh-CN"/>
                    </w:rPr>
                    <w:t>。</w:t>
                  </w:r>
                </w:p>
              </w:tc>
              <w:tc>
                <w:tcPr>
                  <w:tcW w:w="18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rPr>
                    <w:t>市政管网直接供水</w:t>
                  </w:r>
                  <w:r>
                    <w:rPr>
                      <w:rFonts w:hint="default" w:ascii="Times New Roman" w:hAnsi="Times New Roman" w:eastAsia="宋体" w:cs="Times New Roman"/>
                      <w:color w:val="000000"/>
                      <w:kern w:val="2"/>
                      <w:sz w:val="21"/>
                      <w:szCs w:val="21"/>
                      <w:lang w:eastAsia="zh-CN"/>
                    </w:rPr>
                    <w:t>。</w:t>
                  </w:r>
                </w:p>
              </w:tc>
              <w:tc>
                <w:tcPr>
                  <w:tcW w:w="5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p>
              </w:tc>
              <w:tc>
                <w:tcPr>
                  <w:tcW w:w="4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rPr>
                    <w:t>纯水制备</w:t>
                  </w:r>
                </w:p>
              </w:tc>
              <w:tc>
                <w:tcPr>
                  <w:tcW w:w="1803"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000000"/>
                      <w:kern w:val="2"/>
                      <w:sz w:val="21"/>
                      <w:szCs w:val="21"/>
                      <w:lang w:eastAsia="zh-CN"/>
                    </w:rPr>
                  </w:pPr>
                  <w:r>
                    <w:rPr>
                      <w:rFonts w:hint="eastAsia" w:ascii="Times New Roman" w:hAnsi="Times New Roman" w:cs="Times New Roman"/>
                      <w:color w:val="000000"/>
                      <w:kern w:val="2"/>
                      <w:sz w:val="21"/>
                      <w:szCs w:val="21"/>
                    </w:rPr>
                    <w:t>车间共设置</w:t>
                  </w:r>
                  <w:r>
                    <w:rPr>
                      <w:rFonts w:hint="default" w:ascii="Times New Roman" w:hAnsi="Times New Roman" w:cs="Times New Roman"/>
                      <w:color w:val="000000"/>
                      <w:kern w:val="2"/>
                      <w:sz w:val="21"/>
                      <w:szCs w:val="21"/>
                    </w:rPr>
                    <w:t>2</w:t>
                  </w:r>
                  <w:r>
                    <w:rPr>
                      <w:rFonts w:hint="eastAsia" w:ascii="Times New Roman" w:hAnsi="Times New Roman" w:cs="Times New Roman"/>
                      <w:color w:val="000000"/>
                      <w:kern w:val="2"/>
                      <w:sz w:val="21"/>
                      <w:szCs w:val="21"/>
                    </w:rPr>
                    <w:t>台</w:t>
                  </w:r>
                  <w:r>
                    <w:rPr>
                      <w:rFonts w:hint="default" w:ascii="Times New Roman" w:hAnsi="Times New Roman" w:cs="Times New Roman"/>
                      <w:color w:val="000000"/>
                      <w:kern w:val="2"/>
                      <w:sz w:val="21"/>
                      <w:szCs w:val="21"/>
                    </w:rPr>
                    <w:t>纯水设备</w:t>
                  </w:r>
                  <w:r>
                    <w:rPr>
                      <w:rFonts w:hint="eastAsia" w:ascii="Times New Roman" w:hAnsi="Times New Roman" w:cs="Times New Roman"/>
                      <w:color w:val="000000"/>
                      <w:kern w:val="2"/>
                      <w:sz w:val="21"/>
                      <w:szCs w:val="21"/>
                      <w:lang w:eastAsia="zh-CN"/>
                    </w:rPr>
                    <w:t>。</w:t>
                  </w:r>
                  <w:r>
                    <w:rPr>
                      <w:rFonts w:hint="default" w:ascii="Times New Roman" w:hAnsi="Times New Roman" w:cs="Times New Roman"/>
                      <w:color w:val="000000"/>
                      <w:kern w:val="2"/>
                      <w:sz w:val="21"/>
                      <w:szCs w:val="21"/>
                    </w:rPr>
                    <w:t>1</w:t>
                  </w:r>
                  <w:r>
                    <w:rPr>
                      <w:rFonts w:hint="eastAsia" w:ascii="Times New Roman" w:hAnsi="Times New Roman" w:cs="Times New Roman"/>
                      <w:color w:val="000000"/>
                      <w:kern w:val="2"/>
                      <w:sz w:val="21"/>
                      <w:szCs w:val="21"/>
                    </w:rPr>
                    <w:t>台制水能力为3t/h、</w:t>
                  </w:r>
                  <w:r>
                    <w:rPr>
                      <w:rFonts w:hint="default" w:ascii="Times New Roman" w:hAnsi="Times New Roman" w:cs="Times New Roman"/>
                      <w:color w:val="000000"/>
                      <w:kern w:val="2"/>
                      <w:sz w:val="21"/>
                      <w:szCs w:val="21"/>
                    </w:rPr>
                    <w:t>1</w:t>
                  </w:r>
                  <w:r>
                    <w:rPr>
                      <w:rFonts w:hint="eastAsia" w:ascii="Times New Roman" w:hAnsi="Times New Roman" w:cs="Times New Roman"/>
                      <w:color w:val="000000"/>
                      <w:kern w:val="2"/>
                      <w:sz w:val="21"/>
                      <w:szCs w:val="21"/>
                    </w:rPr>
                    <w:t>台制水能力为2t/h</w:t>
                  </w:r>
                  <w:r>
                    <w:rPr>
                      <w:rFonts w:hint="eastAsia" w:ascii="Times New Roman" w:hAnsi="Times New Roman" w:cs="Times New Roman"/>
                      <w:color w:val="000000"/>
                      <w:kern w:val="2"/>
                      <w:sz w:val="21"/>
                      <w:szCs w:val="21"/>
                      <w:lang w:eastAsia="zh-CN"/>
                    </w:rPr>
                    <w:t>。</w:t>
                  </w:r>
                </w:p>
              </w:tc>
              <w:tc>
                <w:tcPr>
                  <w:tcW w:w="18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rPr>
                  </w:pPr>
                  <w:r>
                    <w:rPr>
                      <w:rFonts w:hint="eastAsia" w:ascii="Times New Roman" w:hAnsi="Times New Roman" w:cs="Times New Roman"/>
                      <w:color w:val="000000"/>
                      <w:kern w:val="2"/>
                      <w:sz w:val="21"/>
                      <w:szCs w:val="21"/>
                    </w:rPr>
                    <w:t>车间共设置</w:t>
                  </w:r>
                  <w:r>
                    <w:rPr>
                      <w:rFonts w:hint="default" w:ascii="Times New Roman" w:hAnsi="Times New Roman" w:cs="Times New Roman"/>
                      <w:color w:val="000000"/>
                      <w:kern w:val="2"/>
                      <w:sz w:val="21"/>
                      <w:szCs w:val="21"/>
                    </w:rPr>
                    <w:t>2</w:t>
                  </w:r>
                  <w:r>
                    <w:rPr>
                      <w:rFonts w:hint="eastAsia" w:ascii="Times New Roman" w:hAnsi="Times New Roman" w:cs="Times New Roman"/>
                      <w:color w:val="000000"/>
                      <w:kern w:val="2"/>
                      <w:sz w:val="21"/>
                      <w:szCs w:val="21"/>
                    </w:rPr>
                    <w:t>台</w:t>
                  </w:r>
                  <w:r>
                    <w:rPr>
                      <w:rFonts w:hint="default" w:ascii="Times New Roman" w:hAnsi="Times New Roman" w:cs="Times New Roman"/>
                      <w:color w:val="000000"/>
                      <w:kern w:val="2"/>
                      <w:sz w:val="21"/>
                      <w:szCs w:val="21"/>
                    </w:rPr>
                    <w:t>纯水设备</w:t>
                  </w:r>
                  <w:r>
                    <w:rPr>
                      <w:rFonts w:hint="eastAsia" w:ascii="Times New Roman" w:hAnsi="Times New Roman" w:cs="Times New Roman"/>
                      <w:color w:val="000000"/>
                      <w:kern w:val="2"/>
                      <w:sz w:val="21"/>
                      <w:szCs w:val="21"/>
                      <w:lang w:eastAsia="zh-CN"/>
                    </w:rPr>
                    <w:t>。</w:t>
                  </w:r>
                  <w:r>
                    <w:rPr>
                      <w:rFonts w:hint="default" w:ascii="Times New Roman" w:hAnsi="Times New Roman" w:cs="Times New Roman"/>
                      <w:color w:val="000000"/>
                      <w:kern w:val="2"/>
                      <w:sz w:val="21"/>
                      <w:szCs w:val="21"/>
                    </w:rPr>
                    <w:t>1</w:t>
                  </w:r>
                  <w:r>
                    <w:rPr>
                      <w:rFonts w:hint="eastAsia" w:ascii="Times New Roman" w:hAnsi="Times New Roman" w:cs="Times New Roman"/>
                      <w:color w:val="000000"/>
                      <w:kern w:val="2"/>
                      <w:sz w:val="21"/>
                      <w:szCs w:val="21"/>
                    </w:rPr>
                    <w:t>台制水能力为3t/h、</w:t>
                  </w:r>
                  <w:r>
                    <w:rPr>
                      <w:rFonts w:hint="default" w:ascii="Times New Roman" w:hAnsi="Times New Roman" w:cs="Times New Roman"/>
                      <w:color w:val="000000"/>
                      <w:kern w:val="2"/>
                      <w:sz w:val="21"/>
                      <w:szCs w:val="21"/>
                    </w:rPr>
                    <w:t>1</w:t>
                  </w:r>
                  <w:r>
                    <w:rPr>
                      <w:rFonts w:hint="eastAsia" w:ascii="Times New Roman" w:hAnsi="Times New Roman" w:cs="Times New Roman"/>
                      <w:color w:val="000000"/>
                      <w:kern w:val="2"/>
                      <w:sz w:val="21"/>
                      <w:szCs w:val="21"/>
                    </w:rPr>
                    <w:t>台制水能力为2t/h</w:t>
                  </w:r>
                  <w:r>
                    <w:rPr>
                      <w:rFonts w:hint="eastAsia" w:ascii="Times New Roman" w:hAnsi="Times New Roman" w:cs="Times New Roman"/>
                      <w:color w:val="000000"/>
                      <w:kern w:val="2"/>
                      <w:sz w:val="21"/>
                      <w:szCs w:val="21"/>
                      <w:lang w:eastAsia="zh-CN"/>
                    </w:rPr>
                    <w:t>。</w:t>
                  </w:r>
                </w:p>
              </w:tc>
              <w:tc>
                <w:tcPr>
                  <w:tcW w:w="5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rPr>
                    <w:t>储运</w:t>
                  </w:r>
                  <w:r>
                    <w:rPr>
                      <w:rFonts w:hint="default" w:ascii="Times New Roman" w:hAnsi="Times New Roman" w:eastAsia="宋体" w:cs="Times New Roman"/>
                      <w:color w:val="000000"/>
                      <w:kern w:val="2"/>
                      <w:sz w:val="21"/>
                      <w:szCs w:val="21"/>
                    </w:rPr>
                    <w:t>工程</w:t>
                  </w:r>
                </w:p>
              </w:tc>
              <w:tc>
                <w:tcPr>
                  <w:tcW w:w="468"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auto"/>
                      <w:sz w:val="21"/>
                      <w:szCs w:val="21"/>
                    </w:rPr>
                    <w:t>原料堆区</w:t>
                  </w:r>
                </w:p>
              </w:tc>
              <w:tc>
                <w:tcPr>
                  <w:tcW w:w="1803" w:type="pct"/>
                  <w:gridSpan w:val="2"/>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auto"/>
                      <w:sz w:val="21"/>
                      <w:szCs w:val="21"/>
                    </w:rPr>
                    <w:t>待镀工件储存于一层内</w:t>
                  </w:r>
                  <w:r>
                    <w:rPr>
                      <w:rFonts w:hint="default" w:ascii="Times New Roman" w:hAnsi="Times New Roman" w:eastAsia="宋体" w:cs="Times New Roman"/>
                      <w:color w:val="000000"/>
                      <w:kern w:val="2"/>
                      <w:sz w:val="21"/>
                      <w:szCs w:val="21"/>
                      <w:lang w:eastAsia="zh-CN"/>
                    </w:rPr>
                    <w:t>。</w:t>
                  </w:r>
                </w:p>
              </w:tc>
              <w:tc>
                <w:tcPr>
                  <w:tcW w:w="1859"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auto"/>
                      <w:sz w:val="21"/>
                      <w:szCs w:val="21"/>
                    </w:rPr>
                    <w:t>待镀工件储存于一层内</w:t>
                  </w:r>
                  <w:r>
                    <w:rPr>
                      <w:rFonts w:hint="default" w:ascii="Times New Roman" w:hAnsi="Times New Roman" w:eastAsia="宋体" w:cs="Times New Roman"/>
                      <w:color w:val="000000"/>
                      <w:kern w:val="2"/>
                      <w:sz w:val="21"/>
                      <w:szCs w:val="21"/>
                      <w:lang w:eastAsia="zh-CN"/>
                    </w:rPr>
                    <w:t>。</w:t>
                  </w:r>
                </w:p>
              </w:tc>
              <w:tc>
                <w:tcPr>
                  <w:tcW w:w="5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p>
              </w:tc>
              <w:tc>
                <w:tcPr>
                  <w:tcW w:w="468"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成品放置</w:t>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auto"/>
                      <w:sz w:val="21"/>
                      <w:szCs w:val="21"/>
                    </w:rPr>
                    <w:t>区</w:t>
                  </w:r>
                </w:p>
              </w:tc>
              <w:tc>
                <w:tcPr>
                  <w:tcW w:w="1803" w:type="pct"/>
                  <w:gridSpan w:val="2"/>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auto"/>
                      <w:sz w:val="21"/>
                      <w:szCs w:val="21"/>
                    </w:rPr>
                    <w:t>成品镀工件储存于生产车间一层内</w:t>
                  </w:r>
                  <w:r>
                    <w:rPr>
                      <w:rFonts w:hint="default" w:ascii="Times New Roman" w:hAnsi="Times New Roman" w:eastAsia="宋体" w:cs="Times New Roman"/>
                      <w:color w:val="000000"/>
                      <w:kern w:val="2"/>
                      <w:sz w:val="21"/>
                      <w:szCs w:val="21"/>
                      <w:lang w:eastAsia="zh-CN"/>
                    </w:rPr>
                    <w:t>。</w:t>
                  </w:r>
                </w:p>
              </w:tc>
              <w:tc>
                <w:tcPr>
                  <w:tcW w:w="1859"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auto"/>
                      <w:sz w:val="21"/>
                      <w:szCs w:val="21"/>
                    </w:rPr>
                    <w:t>成品镀工件储存于生产车间一层内</w:t>
                  </w:r>
                  <w:r>
                    <w:rPr>
                      <w:rFonts w:hint="default" w:ascii="Times New Roman" w:hAnsi="Times New Roman" w:eastAsia="宋体" w:cs="Times New Roman"/>
                      <w:color w:val="000000"/>
                      <w:kern w:val="2"/>
                      <w:sz w:val="21"/>
                      <w:szCs w:val="21"/>
                      <w:lang w:eastAsia="zh-CN"/>
                    </w:rPr>
                    <w:t>。</w:t>
                  </w:r>
                </w:p>
              </w:tc>
              <w:tc>
                <w:tcPr>
                  <w:tcW w:w="5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29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p>
              </w:tc>
              <w:tc>
                <w:tcPr>
                  <w:tcW w:w="468"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auto"/>
                      <w:sz w:val="21"/>
                      <w:szCs w:val="21"/>
                    </w:rPr>
                    <w:t>化学品储存</w:t>
                  </w:r>
                </w:p>
              </w:tc>
              <w:tc>
                <w:tcPr>
                  <w:tcW w:w="1803" w:type="pct"/>
                  <w:gridSpan w:val="2"/>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eastAsia="zh-CN"/>
                    </w:rPr>
                  </w:pPr>
                  <w:r>
                    <w:rPr>
                      <w:rFonts w:hint="eastAsia" w:ascii="Times New Roman" w:hAnsi="Times New Roman" w:cs="Times New Roman"/>
                      <w:color w:val="000000"/>
                      <w:kern w:val="2"/>
                      <w:sz w:val="21"/>
                      <w:szCs w:val="21"/>
                    </w:rPr>
                    <w:t>硫酸、盐酸、硝酸依托电镀中心危化品供配中心储罐提供；车间内设置临时暂存处：</w:t>
                  </w:r>
                  <w:r>
                    <w:rPr>
                      <w:rFonts w:hint="default" w:ascii="Times New Roman" w:hAnsi="Times New Roman" w:cs="Times New Roman"/>
                      <w:color w:val="000000"/>
                      <w:kern w:val="2"/>
                      <w:sz w:val="21"/>
                      <w:szCs w:val="21"/>
                    </w:rPr>
                    <w:t>4</w:t>
                  </w:r>
                  <w:r>
                    <w:rPr>
                      <w:rFonts w:hint="eastAsia" w:ascii="Times New Roman" w:hAnsi="Times New Roman" w:cs="Times New Roman"/>
                      <w:color w:val="000000"/>
                      <w:kern w:val="2"/>
                      <w:sz w:val="21"/>
                      <w:szCs w:val="21"/>
                    </w:rPr>
                    <w:t>#生产车间一层设置2个短期化学品暂存库</w:t>
                  </w:r>
                  <w:r>
                    <w:rPr>
                      <w:rFonts w:hint="eastAsia" w:ascii="Times New Roman" w:hAnsi="Times New Roman" w:cs="Times New Roman"/>
                      <w:color w:val="000000"/>
                      <w:kern w:val="2"/>
                      <w:sz w:val="21"/>
                      <w:szCs w:val="21"/>
                      <w:lang w:eastAsia="zh-CN"/>
                    </w:rPr>
                    <w:t>。</w:t>
                  </w:r>
                  <w:r>
                    <w:rPr>
                      <w:rFonts w:hint="eastAsia" w:ascii="Times New Roman" w:hAnsi="Times New Roman" w:cs="Times New Roman"/>
                      <w:color w:val="000000"/>
                      <w:kern w:val="2"/>
                      <w:sz w:val="21"/>
                      <w:szCs w:val="21"/>
                    </w:rPr>
                    <w:t>单个暂存面积约100m</w:t>
                  </w:r>
                  <w:r>
                    <w:rPr>
                      <w:rFonts w:hint="default" w:ascii="Times New Roman" w:hAnsi="Times New Roman" w:cs="Times New Roman"/>
                      <w:color w:val="000000"/>
                      <w:kern w:val="2"/>
                      <w:sz w:val="21"/>
                      <w:szCs w:val="21"/>
                      <w:vertAlign w:val="superscript"/>
                    </w:rPr>
                    <w:t>2</w:t>
                  </w:r>
                </w:p>
              </w:tc>
              <w:tc>
                <w:tcPr>
                  <w:tcW w:w="1859"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rPr>
                  </w:pPr>
                  <w:r>
                    <w:rPr>
                      <w:rFonts w:hint="eastAsia" w:ascii="Times New Roman" w:hAnsi="Times New Roman" w:cs="Times New Roman"/>
                      <w:color w:val="000000"/>
                      <w:kern w:val="2"/>
                      <w:sz w:val="21"/>
                      <w:szCs w:val="21"/>
                    </w:rPr>
                    <w:t>硫酸、盐酸、硝酸依托电镀中心危化品供配中心储罐提供；车间内设置临时暂存处：</w:t>
                  </w:r>
                  <w:r>
                    <w:rPr>
                      <w:rFonts w:hint="default" w:ascii="Times New Roman" w:hAnsi="Times New Roman" w:cs="Times New Roman"/>
                      <w:color w:val="000000"/>
                      <w:kern w:val="2"/>
                      <w:sz w:val="21"/>
                      <w:szCs w:val="21"/>
                    </w:rPr>
                    <w:t>4</w:t>
                  </w:r>
                  <w:r>
                    <w:rPr>
                      <w:rFonts w:hint="eastAsia" w:ascii="Times New Roman" w:hAnsi="Times New Roman" w:cs="Times New Roman"/>
                      <w:color w:val="000000"/>
                      <w:kern w:val="2"/>
                      <w:sz w:val="21"/>
                      <w:szCs w:val="21"/>
                    </w:rPr>
                    <w:t>#生产车间一层设置2个短期化学品暂存库</w:t>
                  </w:r>
                  <w:r>
                    <w:rPr>
                      <w:rFonts w:hint="eastAsia" w:ascii="Times New Roman" w:hAnsi="Times New Roman" w:cs="Times New Roman"/>
                      <w:color w:val="000000"/>
                      <w:kern w:val="2"/>
                      <w:sz w:val="21"/>
                      <w:szCs w:val="21"/>
                      <w:lang w:eastAsia="zh-CN"/>
                    </w:rPr>
                    <w:t>。</w:t>
                  </w:r>
                  <w:r>
                    <w:rPr>
                      <w:rFonts w:hint="eastAsia" w:ascii="Times New Roman" w:hAnsi="Times New Roman" w:cs="Times New Roman"/>
                      <w:color w:val="000000"/>
                      <w:kern w:val="2"/>
                      <w:sz w:val="21"/>
                      <w:szCs w:val="21"/>
                    </w:rPr>
                    <w:t>单个暂存面积约100m</w:t>
                  </w:r>
                  <w:r>
                    <w:rPr>
                      <w:rFonts w:hint="default" w:ascii="Times New Roman" w:hAnsi="Times New Roman" w:cs="Times New Roman"/>
                      <w:color w:val="000000"/>
                      <w:kern w:val="2"/>
                      <w:sz w:val="21"/>
                      <w:szCs w:val="21"/>
                      <w:vertAlign w:val="superscript"/>
                    </w:rPr>
                    <w:t>2</w:t>
                  </w:r>
                </w:p>
              </w:tc>
              <w:tc>
                <w:tcPr>
                  <w:tcW w:w="5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29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p>
              </w:tc>
              <w:tc>
                <w:tcPr>
                  <w:tcW w:w="46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cs="Times New Roman"/>
                      <w:color w:val="000000"/>
                      <w:kern w:val="2"/>
                      <w:sz w:val="21"/>
                      <w:szCs w:val="21"/>
                    </w:rPr>
                    <w:t>五金库</w:t>
                  </w:r>
                </w:p>
              </w:tc>
              <w:tc>
                <w:tcPr>
                  <w:tcW w:w="1803"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eastAsia="zh-CN"/>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4</w:t>
                  </w:r>
                  <w:r>
                    <w:rPr>
                      <w:rFonts w:hint="eastAsia" w:ascii="Times New Roman" w:hAnsi="Times New Roman" w:cs="Times New Roman"/>
                      <w:color w:val="000000" w:themeColor="text1"/>
                      <w:kern w:val="2"/>
                      <w:sz w:val="21"/>
                      <w:szCs w:val="21"/>
                      <w14:textFill>
                        <w14:solidFill>
                          <w14:schemeClr w14:val="tx1"/>
                        </w14:solidFill>
                      </w14:textFill>
                    </w:rPr>
                    <w:t>#生产车间一层均设置一处五金仓库</w:t>
                  </w:r>
                  <w:r>
                    <w:rPr>
                      <w:rFonts w:hint="eastAsia" w:ascii="Times New Roman" w:hAnsi="Times New Roman" w:cs="Times New Roman"/>
                      <w:color w:val="000000" w:themeColor="text1"/>
                      <w:kern w:val="2"/>
                      <w:sz w:val="21"/>
                      <w:szCs w:val="21"/>
                      <w:lang w:eastAsia="zh-CN"/>
                      <w14:textFill>
                        <w14:solidFill>
                          <w14:schemeClr w14:val="tx1"/>
                        </w14:solidFill>
                      </w14:textFill>
                    </w:rPr>
                    <w:t>。</w:t>
                  </w:r>
                  <w:r>
                    <w:rPr>
                      <w:rFonts w:hint="eastAsia" w:ascii="Times New Roman" w:hAnsi="Times New Roman" w:cs="Times New Roman"/>
                      <w:color w:val="000000" w:themeColor="text1"/>
                      <w:kern w:val="2"/>
                      <w:sz w:val="21"/>
                      <w:szCs w:val="21"/>
                      <w14:textFill>
                        <w14:solidFill>
                          <w14:schemeClr w14:val="tx1"/>
                        </w14:solidFill>
                      </w14:textFill>
                    </w:rPr>
                    <w:t>单个暂存面积约100m</w:t>
                  </w:r>
                  <w:r>
                    <w:rPr>
                      <w:rFonts w:hint="default" w:ascii="Times New Roman" w:hAnsi="Times New Roman" w:cs="Times New Roman"/>
                      <w:color w:val="000000" w:themeColor="text1"/>
                      <w:kern w:val="2"/>
                      <w:sz w:val="21"/>
                      <w:szCs w:val="21"/>
                      <w:vertAlign w:val="superscript"/>
                      <w14:textFill>
                        <w14:solidFill>
                          <w14:schemeClr w14:val="tx1"/>
                        </w14:solidFill>
                      </w14:textFill>
                    </w:rPr>
                    <w:t>2</w:t>
                  </w:r>
                </w:p>
              </w:tc>
              <w:tc>
                <w:tcPr>
                  <w:tcW w:w="18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rPr>
                  </w:pPr>
                  <w:r>
                    <w:rPr>
                      <w:rFonts w:hint="default" w:ascii="Times New Roman" w:hAnsi="Times New Roman" w:cs="Times New Roman"/>
                      <w:color w:val="000000" w:themeColor="text1"/>
                      <w:kern w:val="2"/>
                      <w:sz w:val="21"/>
                      <w:szCs w:val="21"/>
                      <w14:textFill>
                        <w14:solidFill>
                          <w14:schemeClr w14:val="tx1"/>
                        </w14:solidFill>
                      </w14:textFill>
                    </w:rPr>
                    <w:t>4</w:t>
                  </w:r>
                  <w:r>
                    <w:rPr>
                      <w:rFonts w:hint="eastAsia" w:ascii="Times New Roman" w:hAnsi="Times New Roman" w:cs="Times New Roman"/>
                      <w:color w:val="000000" w:themeColor="text1"/>
                      <w:kern w:val="2"/>
                      <w:sz w:val="21"/>
                      <w:szCs w:val="21"/>
                      <w14:textFill>
                        <w14:solidFill>
                          <w14:schemeClr w14:val="tx1"/>
                        </w14:solidFill>
                      </w14:textFill>
                    </w:rPr>
                    <w:t>#生产车间一层均设置一处五金仓库</w:t>
                  </w:r>
                  <w:r>
                    <w:rPr>
                      <w:rFonts w:hint="eastAsia" w:ascii="Times New Roman" w:hAnsi="Times New Roman" w:cs="Times New Roman"/>
                      <w:color w:val="000000" w:themeColor="text1"/>
                      <w:kern w:val="2"/>
                      <w:sz w:val="21"/>
                      <w:szCs w:val="21"/>
                      <w:lang w:eastAsia="zh-CN"/>
                      <w14:textFill>
                        <w14:solidFill>
                          <w14:schemeClr w14:val="tx1"/>
                        </w14:solidFill>
                      </w14:textFill>
                    </w:rPr>
                    <w:t>。</w:t>
                  </w:r>
                  <w:r>
                    <w:rPr>
                      <w:rFonts w:hint="eastAsia" w:ascii="Times New Roman" w:hAnsi="Times New Roman" w:cs="Times New Roman"/>
                      <w:color w:val="000000" w:themeColor="text1"/>
                      <w:kern w:val="2"/>
                      <w:sz w:val="21"/>
                      <w:szCs w:val="21"/>
                      <w14:textFill>
                        <w14:solidFill>
                          <w14:schemeClr w14:val="tx1"/>
                        </w14:solidFill>
                      </w14:textFill>
                    </w:rPr>
                    <w:t>单个暂存面积约100m</w:t>
                  </w:r>
                  <w:r>
                    <w:rPr>
                      <w:rFonts w:hint="default" w:ascii="Times New Roman" w:hAnsi="Times New Roman" w:cs="Times New Roman"/>
                      <w:color w:val="000000" w:themeColor="text1"/>
                      <w:kern w:val="2"/>
                      <w:sz w:val="21"/>
                      <w:szCs w:val="21"/>
                      <w:vertAlign w:val="superscript"/>
                      <w14:textFill>
                        <w14:solidFill>
                          <w14:schemeClr w14:val="tx1"/>
                        </w14:solidFill>
                      </w14:textFill>
                    </w:rPr>
                    <w:t>2</w:t>
                  </w:r>
                </w:p>
              </w:tc>
              <w:tc>
                <w:tcPr>
                  <w:tcW w:w="57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299" w:type="pct"/>
                  <w:vMerge w:val="restar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环保工程</w:t>
                  </w:r>
                </w:p>
              </w:tc>
              <w:tc>
                <w:tcPr>
                  <w:tcW w:w="468" w:type="pct"/>
                  <w:vMerge w:val="restar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固废处理措施</w:t>
                  </w:r>
                </w:p>
              </w:tc>
              <w:tc>
                <w:tcPr>
                  <w:tcW w:w="515" w:type="pct"/>
                  <w:tcBorders>
                    <w:top w:val="single" w:color="auto" w:sz="4" w:space="0"/>
                    <w:left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auto"/>
                      <w:sz w:val="21"/>
                      <w:szCs w:val="21"/>
                    </w:rPr>
                    <w:t>危险废物</w:t>
                  </w:r>
                </w:p>
              </w:tc>
              <w:tc>
                <w:tcPr>
                  <w:tcW w:w="1287"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000000"/>
                      <w:kern w:val="2"/>
                      <w:sz w:val="21"/>
                      <w:szCs w:val="21"/>
                      <w:lang w:eastAsia="zh-CN"/>
                    </w:rPr>
                  </w:pPr>
                  <w:r>
                    <w:rPr>
                      <w:rFonts w:hint="eastAsia" w:ascii="Times New Roman" w:hAnsi="Times New Roman" w:cs="Times New Roman"/>
                      <w:color w:val="000000"/>
                      <w:kern w:val="2"/>
                      <w:sz w:val="21"/>
                      <w:szCs w:val="21"/>
                    </w:rPr>
                    <w:t>依托电镀中心危险废物暂存中心暂存，由企业自行委托资质单位处置</w:t>
                  </w:r>
                  <w:r>
                    <w:rPr>
                      <w:rFonts w:hint="eastAsia" w:ascii="Times New Roman" w:hAnsi="Times New Roman" w:cs="Times New Roman"/>
                      <w:color w:val="000000"/>
                      <w:kern w:val="2"/>
                      <w:sz w:val="21"/>
                      <w:szCs w:val="21"/>
                      <w:lang w:eastAsia="zh-CN"/>
                    </w:rPr>
                    <w:t>。</w:t>
                  </w:r>
                  <w:r>
                    <w:rPr>
                      <w:rFonts w:hint="eastAsia" w:ascii="Times New Roman" w:hAnsi="Times New Roman" w:cs="Times New Roman"/>
                      <w:color w:val="000000"/>
                      <w:kern w:val="2"/>
                      <w:sz w:val="21"/>
                      <w:szCs w:val="21"/>
                    </w:rPr>
                    <w:t>暂存库占地</w:t>
                  </w:r>
                  <w:r>
                    <w:rPr>
                      <w:rFonts w:hint="default" w:ascii="Times New Roman" w:hAnsi="Times New Roman" w:cs="Times New Roman"/>
                      <w:color w:val="000000"/>
                      <w:kern w:val="2"/>
                      <w:sz w:val="21"/>
                      <w:szCs w:val="21"/>
                    </w:rPr>
                    <w:t>面积约150m</w:t>
                  </w:r>
                  <w:r>
                    <w:rPr>
                      <w:rFonts w:hint="default" w:ascii="Times New Roman" w:hAnsi="Times New Roman" w:cs="Times New Roman"/>
                      <w:color w:val="000000"/>
                      <w:kern w:val="2"/>
                      <w:sz w:val="21"/>
                      <w:szCs w:val="21"/>
                      <w:vertAlign w:val="superscript"/>
                    </w:rPr>
                    <w:t>2</w:t>
                  </w:r>
                </w:p>
              </w:tc>
              <w:tc>
                <w:tcPr>
                  <w:tcW w:w="1859" w:type="pct"/>
                  <w:tcBorders>
                    <w:top w:val="single" w:color="auto" w:sz="4" w:space="0"/>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val="en-US" w:eastAsia="zh-CN"/>
                    </w:rPr>
                  </w:pPr>
                  <w:r>
                    <w:rPr>
                      <w:rFonts w:hint="eastAsia" w:cs="Times New Roman"/>
                      <w:color w:val="000000"/>
                      <w:kern w:val="2"/>
                      <w:sz w:val="21"/>
                      <w:szCs w:val="21"/>
                      <w:lang w:val="en-US" w:eastAsia="zh-CN"/>
                    </w:rPr>
                    <w:t>自建</w:t>
                  </w:r>
                  <w:r>
                    <w:rPr>
                      <w:rFonts w:hint="eastAsia" w:ascii="Times New Roman" w:hAnsi="Times New Roman" w:cs="Times New Roman"/>
                      <w:color w:val="000000"/>
                      <w:kern w:val="2"/>
                      <w:sz w:val="21"/>
                      <w:szCs w:val="21"/>
                    </w:rPr>
                    <w:t>危险废物暂存中心暂存，由企业自行委托资质单位处置</w:t>
                  </w:r>
                  <w:r>
                    <w:rPr>
                      <w:rFonts w:hint="eastAsia" w:ascii="Times New Roman" w:hAnsi="Times New Roman" w:cs="Times New Roman"/>
                      <w:color w:val="000000"/>
                      <w:kern w:val="2"/>
                      <w:sz w:val="21"/>
                      <w:szCs w:val="21"/>
                      <w:lang w:eastAsia="zh-CN"/>
                    </w:rPr>
                    <w:t>。</w:t>
                  </w:r>
                  <w:r>
                    <w:rPr>
                      <w:rFonts w:hint="eastAsia" w:ascii="Times New Roman" w:hAnsi="Times New Roman" w:cs="Times New Roman"/>
                      <w:color w:val="000000"/>
                      <w:kern w:val="2"/>
                      <w:sz w:val="21"/>
                      <w:szCs w:val="21"/>
                    </w:rPr>
                    <w:t>暂存库占地</w:t>
                  </w:r>
                  <w:r>
                    <w:rPr>
                      <w:rFonts w:hint="default" w:ascii="Times New Roman" w:hAnsi="Times New Roman" w:cs="Times New Roman"/>
                      <w:color w:val="000000"/>
                      <w:kern w:val="2"/>
                      <w:sz w:val="21"/>
                      <w:szCs w:val="21"/>
                    </w:rPr>
                    <w:t>面积约150m</w:t>
                  </w:r>
                  <w:r>
                    <w:rPr>
                      <w:rFonts w:hint="default" w:ascii="Times New Roman" w:hAnsi="Times New Roman" w:cs="Times New Roman"/>
                      <w:color w:val="000000"/>
                      <w:kern w:val="2"/>
                      <w:sz w:val="21"/>
                      <w:szCs w:val="21"/>
                      <w:vertAlign w:val="superscript"/>
                    </w:rPr>
                    <w:t>2</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kern w:val="2"/>
                      <w:sz w:val="21"/>
                      <w:szCs w:val="21"/>
                    </w:rPr>
                  </w:pPr>
                  <w:r>
                    <w:rPr>
                      <w:rFonts w:hint="eastAsia" w:cs="Times New Roman"/>
                      <w:color w:val="000000"/>
                      <w:kern w:val="2"/>
                      <w:sz w:val="21"/>
                      <w:szCs w:val="21"/>
                      <w:lang w:val="en-US" w:eastAsia="zh-CN"/>
                    </w:rPr>
                    <w:t>由电镀中心统一收集处置变更为自行收集处置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299"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p>
              </w:tc>
              <w:tc>
                <w:tcPr>
                  <w:tcW w:w="468"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p>
              </w:tc>
              <w:tc>
                <w:tcPr>
                  <w:tcW w:w="515" w:type="pct"/>
                  <w:tcBorders>
                    <w:top w:val="single" w:color="auto" w:sz="4" w:space="0"/>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auto"/>
                      <w:sz w:val="21"/>
                      <w:szCs w:val="21"/>
                    </w:rPr>
                    <w:t>一般固废</w:t>
                  </w:r>
                </w:p>
              </w:tc>
              <w:tc>
                <w:tcPr>
                  <w:tcW w:w="12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kern w:val="2"/>
                      <w:sz w:val="21"/>
                      <w:szCs w:val="21"/>
                      <w:lang w:eastAsia="zh-CN"/>
                    </w:rPr>
                  </w:pPr>
                  <w:r>
                    <w:rPr>
                      <w:rFonts w:hint="eastAsia" w:ascii="Times New Roman" w:hAnsi="Times New Roman" w:cs="Times New Roman"/>
                      <w:color w:val="000000"/>
                      <w:kern w:val="2"/>
                      <w:sz w:val="21"/>
                      <w:szCs w:val="21"/>
                    </w:rPr>
                    <w:t>不合格产品</w:t>
                  </w:r>
                  <w:r>
                    <w:rPr>
                      <w:rFonts w:hint="eastAsia" w:ascii="Times New Roman" w:hAnsi="Times New Roman" w:cs="Times New Roman"/>
                      <w:color w:val="000000"/>
                      <w:kern w:val="2"/>
                      <w:sz w:val="21"/>
                      <w:szCs w:val="21"/>
                      <w:lang w:eastAsia="zh-CN"/>
                    </w:rPr>
                    <w:t>。</w:t>
                  </w:r>
                  <w:r>
                    <w:rPr>
                      <w:rFonts w:hint="eastAsia" w:ascii="Times New Roman" w:hAnsi="Times New Roman" w:cs="Times New Roman"/>
                      <w:color w:val="000000"/>
                      <w:kern w:val="2"/>
                      <w:sz w:val="21"/>
                      <w:szCs w:val="21"/>
                    </w:rPr>
                    <w:t>厂房内设置一处一般固废暂存处，占地面积约</w:t>
                  </w:r>
                  <w:r>
                    <w:rPr>
                      <w:rFonts w:hint="default" w:ascii="Times New Roman" w:hAnsi="Times New Roman" w:cs="Times New Roman"/>
                      <w:color w:val="000000"/>
                      <w:kern w:val="2"/>
                      <w:sz w:val="21"/>
                      <w:szCs w:val="21"/>
                    </w:rPr>
                    <w:t>30m</w:t>
                  </w:r>
                  <w:r>
                    <w:rPr>
                      <w:rFonts w:hint="default" w:ascii="Times New Roman" w:hAnsi="Times New Roman" w:cs="Times New Roman"/>
                      <w:color w:val="000000"/>
                      <w:kern w:val="2"/>
                      <w:sz w:val="21"/>
                      <w:szCs w:val="21"/>
                      <w:vertAlign w:val="superscript"/>
                    </w:rPr>
                    <w:t>2</w:t>
                  </w:r>
                </w:p>
              </w:tc>
              <w:tc>
                <w:tcPr>
                  <w:tcW w:w="1859" w:type="pct"/>
                  <w:tcBorders>
                    <w:top w:val="single" w:color="auto" w:sz="4" w:space="0"/>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auto"/>
                      <w:sz w:val="21"/>
                      <w:szCs w:val="21"/>
                    </w:rPr>
                    <w:t>不合格产品</w:t>
                  </w:r>
                  <w:r>
                    <w:rPr>
                      <w:rFonts w:hint="eastAsia" w:cs="Times New Roman"/>
                      <w:color w:val="auto"/>
                      <w:sz w:val="21"/>
                      <w:szCs w:val="21"/>
                      <w:lang w:eastAsia="zh-CN"/>
                    </w:rPr>
                    <w:t>产生后进行退镀处理，</w:t>
                  </w:r>
                  <w:r>
                    <w:rPr>
                      <w:rFonts w:hint="default" w:ascii="Times New Roman" w:hAnsi="Times New Roman" w:eastAsia="宋体" w:cs="Times New Roman"/>
                      <w:color w:val="auto"/>
                      <w:sz w:val="21"/>
                      <w:szCs w:val="21"/>
                    </w:rPr>
                    <w:t>重新上镀</w:t>
                  </w:r>
                  <w:r>
                    <w:rPr>
                      <w:rFonts w:hint="eastAsia" w:ascii="Times New Roman" w:hAnsi="Times New Roman" w:cs="Times New Roman"/>
                      <w:color w:val="auto"/>
                      <w:sz w:val="21"/>
                      <w:szCs w:val="21"/>
                      <w:lang w:eastAsia="zh-CN"/>
                    </w:rPr>
                    <w:t>。</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000000"/>
                      <w:kern w:val="2"/>
                      <w:sz w:val="21"/>
                      <w:szCs w:val="21"/>
                      <w:lang w:eastAsia="zh-CN"/>
                    </w:rPr>
                  </w:pPr>
                  <w:r>
                    <w:rPr>
                      <w:rFonts w:hint="eastAsia" w:ascii="Times New Roman" w:hAnsi="Times New Roman" w:cs="Times New Roman"/>
                      <w:color w:val="000000"/>
                      <w:kern w:val="2"/>
                      <w:sz w:val="21"/>
                      <w:szCs w:val="21"/>
                      <w:lang w:eastAsia="zh-CN"/>
                    </w:rPr>
                    <w:t>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299"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p>
              </w:tc>
              <w:tc>
                <w:tcPr>
                  <w:tcW w:w="468"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p>
              </w:tc>
              <w:tc>
                <w:tcPr>
                  <w:tcW w:w="515" w:type="pct"/>
                  <w:tcBorders>
                    <w:top w:val="single" w:color="auto" w:sz="4" w:space="0"/>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auto"/>
                      <w:sz w:val="21"/>
                      <w:szCs w:val="21"/>
                    </w:rPr>
                    <w:t>生活垃圾</w:t>
                  </w:r>
                </w:p>
              </w:tc>
              <w:tc>
                <w:tcPr>
                  <w:tcW w:w="12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000000"/>
                      <w:kern w:val="2"/>
                      <w:sz w:val="21"/>
                      <w:szCs w:val="21"/>
                      <w:lang w:eastAsia="zh-CN"/>
                    </w:rPr>
                  </w:pPr>
                  <w:r>
                    <w:rPr>
                      <w:rFonts w:hint="eastAsia" w:ascii="Times New Roman" w:hAnsi="Times New Roman" w:cs="Times New Roman"/>
                      <w:color w:val="000000"/>
                      <w:kern w:val="2"/>
                      <w:sz w:val="21"/>
                      <w:szCs w:val="21"/>
                    </w:rPr>
                    <w:t>生活垃圾交由环卫部门统一收运</w:t>
                  </w:r>
                  <w:r>
                    <w:rPr>
                      <w:rFonts w:hint="eastAsia" w:ascii="Times New Roman" w:hAnsi="Times New Roman" w:cs="Times New Roman"/>
                      <w:color w:val="000000"/>
                      <w:kern w:val="2"/>
                      <w:sz w:val="21"/>
                      <w:szCs w:val="21"/>
                      <w:lang w:eastAsia="zh-CN"/>
                    </w:rPr>
                    <w:t>。</w:t>
                  </w:r>
                  <w:r>
                    <w:rPr>
                      <w:rFonts w:hint="eastAsia" w:ascii="Times New Roman" w:hAnsi="Times New Roman" w:cs="Times New Roman"/>
                      <w:color w:val="000000"/>
                      <w:kern w:val="2"/>
                      <w:sz w:val="21"/>
                      <w:szCs w:val="21"/>
                    </w:rPr>
                    <w:t>设置若干垃圾桶</w:t>
                  </w:r>
                </w:p>
              </w:tc>
              <w:tc>
                <w:tcPr>
                  <w:tcW w:w="1859" w:type="pct"/>
                  <w:tcBorders>
                    <w:top w:val="single" w:color="auto" w:sz="4" w:space="0"/>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auto"/>
                      <w:sz w:val="21"/>
                      <w:szCs w:val="21"/>
                    </w:rPr>
                    <w:t>生活垃圾交由环卫部门统一收运</w:t>
                  </w:r>
                  <w:r>
                    <w:rPr>
                      <w:rFonts w:hint="eastAsia" w:cs="Times New Roman"/>
                      <w:color w:val="auto"/>
                      <w:sz w:val="21"/>
                      <w:szCs w:val="21"/>
                      <w:lang w:eastAsia="zh-CN"/>
                    </w:rPr>
                    <w:t>。</w:t>
                  </w:r>
                  <w:r>
                    <w:rPr>
                      <w:rFonts w:hint="eastAsia" w:ascii="Times New Roman" w:hAnsi="Times New Roman" w:cs="Times New Roman"/>
                      <w:color w:val="000000"/>
                      <w:kern w:val="2"/>
                      <w:sz w:val="21"/>
                      <w:szCs w:val="21"/>
                    </w:rPr>
                    <w:t>设置若干垃圾桶</w:t>
                  </w:r>
                </w:p>
              </w:tc>
              <w:tc>
                <w:tcPr>
                  <w:tcW w:w="5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000000"/>
                      <w:kern w:val="2"/>
                      <w:sz w:val="21"/>
                      <w:szCs w:val="21"/>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299"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p>
              </w:tc>
              <w:tc>
                <w:tcPr>
                  <w:tcW w:w="468" w:type="pct"/>
                  <w:tcBorders>
                    <w:left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auto"/>
                      <w:sz w:val="21"/>
                      <w:szCs w:val="21"/>
                    </w:rPr>
                    <w:t>环境风险防范</w:t>
                  </w:r>
                </w:p>
              </w:tc>
              <w:tc>
                <w:tcPr>
                  <w:tcW w:w="1803" w:type="pct"/>
                  <w:gridSpan w:val="2"/>
                  <w:tcBorders>
                    <w:top w:val="single" w:color="auto" w:sz="4" w:space="0"/>
                    <w:left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cs="Times New Roman"/>
                      <w:color w:val="000000"/>
                      <w:kern w:val="2"/>
                      <w:sz w:val="21"/>
                      <w:szCs w:val="21"/>
                    </w:rPr>
                    <w:t>依托电镀中心车间地下事故水池</w:t>
                  </w:r>
                  <w:r>
                    <w:rPr>
                      <w:rFonts w:hint="eastAsia" w:ascii="Times New Roman" w:hAnsi="Times New Roman" w:cs="Times New Roman"/>
                      <w:color w:val="000000"/>
                      <w:kern w:val="2"/>
                      <w:sz w:val="21"/>
                      <w:szCs w:val="21"/>
                    </w:rPr>
                    <w:t>，</w:t>
                  </w:r>
                  <w:r>
                    <w:rPr>
                      <w:rFonts w:hint="default" w:ascii="Times New Roman" w:hAnsi="Times New Roman" w:cs="Times New Roman"/>
                      <w:color w:val="000000"/>
                      <w:kern w:val="2"/>
                      <w:sz w:val="21"/>
                      <w:szCs w:val="21"/>
                    </w:rPr>
                    <w:t>配套应急切换、截断装置。编制环境风险应急预案并经主管部门备案</w:t>
                  </w:r>
                  <w:r>
                    <w:rPr>
                      <w:rFonts w:hint="eastAsia" w:ascii="Times New Roman" w:hAnsi="Times New Roman" w:cs="Times New Roman"/>
                      <w:color w:val="000000"/>
                      <w:kern w:val="2"/>
                      <w:sz w:val="21"/>
                      <w:szCs w:val="21"/>
                    </w:rPr>
                    <w:t>。4#生产车间地下室</w:t>
                  </w:r>
                  <w:r>
                    <w:rPr>
                      <w:rFonts w:hint="default" w:ascii="Times New Roman" w:hAnsi="Times New Roman" w:cs="Times New Roman"/>
                      <w:color w:val="000000"/>
                      <w:kern w:val="2"/>
                      <w:sz w:val="21"/>
                      <w:szCs w:val="21"/>
                    </w:rPr>
                    <w:t>事故水池的容积为270m</w:t>
                  </w:r>
                  <w:r>
                    <w:rPr>
                      <w:rFonts w:hint="default" w:ascii="Times New Roman" w:hAnsi="Times New Roman" w:cs="Times New Roman"/>
                      <w:color w:val="000000"/>
                      <w:kern w:val="2"/>
                      <w:sz w:val="21"/>
                      <w:szCs w:val="21"/>
                      <w:vertAlign w:val="superscript"/>
                    </w:rPr>
                    <w:t>3</w:t>
                  </w:r>
                </w:p>
              </w:tc>
              <w:tc>
                <w:tcPr>
                  <w:tcW w:w="1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rPr>
                  </w:pPr>
                  <w:r>
                    <w:rPr>
                      <w:rFonts w:hint="default" w:ascii="Times New Roman" w:hAnsi="Times New Roman" w:cs="Times New Roman"/>
                      <w:color w:val="000000"/>
                      <w:kern w:val="2"/>
                      <w:sz w:val="21"/>
                      <w:szCs w:val="21"/>
                    </w:rPr>
                    <w:t>依托电镀中心车间地下事故水池</w:t>
                  </w:r>
                  <w:r>
                    <w:rPr>
                      <w:rFonts w:hint="eastAsia" w:ascii="Times New Roman" w:hAnsi="Times New Roman" w:cs="Times New Roman"/>
                      <w:color w:val="000000"/>
                      <w:kern w:val="2"/>
                      <w:sz w:val="21"/>
                      <w:szCs w:val="21"/>
                    </w:rPr>
                    <w:t>，</w:t>
                  </w:r>
                  <w:r>
                    <w:rPr>
                      <w:rFonts w:hint="default" w:ascii="Times New Roman" w:hAnsi="Times New Roman" w:cs="Times New Roman"/>
                      <w:color w:val="000000"/>
                      <w:kern w:val="2"/>
                      <w:sz w:val="21"/>
                      <w:szCs w:val="21"/>
                    </w:rPr>
                    <w:t>配套应急切换、截断装置。编制环境风险应急预案并经主管部门备案</w:t>
                  </w:r>
                  <w:r>
                    <w:rPr>
                      <w:rFonts w:hint="eastAsia" w:ascii="Times New Roman" w:hAnsi="Times New Roman" w:cs="Times New Roman"/>
                      <w:color w:val="000000"/>
                      <w:kern w:val="2"/>
                      <w:sz w:val="21"/>
                      <w:szCs w:val="21"/>
                    </w:rPr>
                    <w:t>。4#生产车间地下室</w:t>
                  </w:r>
                  <w:r>
                    <w:rPr>
                      <w:rFonts w:hint="default" w:ascii="Times New Roman" w:hAnsi="Times New Roman" w:cs="Times New Roman"/>
                      <w:color w:val="000000"/>
                      <w:kern w:val="2"/>
                      <w:sz w:val="21"/>
                      <w:szCs w:val="21"/>
                    </w:rPr>
                    <w:t>事故水池的容积为270m</w:t>
                  </w:r>
                  <w:r>
                    <w:rPr>
                      <w:rFonts w:hint="default" w:ascii="Times New Roman" w:hAnsi="Times New Roman" w:cs="Times New Roman"/>
                      <w:color w:val="000000"/>
                      <w:kern w:val="2"/>
                      <w:sz w:val="21"/>
                      <w:szCs w:val="21"/>
                      <w:vertAlign w:val="superscript"/>
                    </w:rPr>
                    <w:t>3</w:t>
                  </w:r>
                </w:p>
              </w:tc>
              <w:tc>
                <w:tcPr>
                  <w:tcW w:w="57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一致</w:t>
                  </w:r>
                </w:p>
              </w:tc>
            </w:tr>
          </w:tbl>
          <w:p>
            <w:pPr>
              <w:pStyle w:val="16"/>
              <w:spacing w:before="170"/>
              <w:rPr>
                <w:rFonts w:ascii="Times New Roman" w:hAnsi="Times New Roman" w:eastAsia="宋体"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 w:hRule="atLeast"/>
        </w:trPr>
        <w:tc>
          <w:tcPr>
            <w:tcW w:w="5000" w:type="pct"/>
            <w:gridSpan w:val="2"/>
          </w:tcPr>
          <w:p>
            <w:pPr>
              <w:pStyle w:val="16"/>
              <w:spacing w:line="360" w:lineRule="auto"/>
              <w:ind w:firstLine="420" w:firstLineChars="200"/>
              <w:rPr>
                <w:rFonts w:ascii="Times New Roman" w:hAnsi="Times New Roman" w:eastAsia="宋体" w:cs="Times New Roman"/>
              </w:rPr>
            </w:pPr>
          </w:p>
        </w:tc>
      </w:tr>
    </w:tbl>
    <w:p>
      <w:pPr>
        <w:pStyle w:val="4"/>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4" w:hRule="atLeast"/>
        </w:trPr>
        <w:tc>
          <w:tcPr>
            <w:tcW w:w="5000" w:type="pct"/>
          </w:tcPr>
          <w:p>
            <w:pPr>
              <w:pStyle w:val="16"/>
              <w:keepNext w:val="0"/>
              <w:keepLines w:val="0"/>
              <w:pageBreakBefore w:val="0"/>
              <w:widowControl w:val="0"/>
              <w:kinsoku/>
              <w:wordWrap/>
              <w:overflowPunct/>
              <w:topLinePunct w:val="0"/>
              <w:autoSpaceDE/>
              <w:autoSpaceDN/>
              <w:bidi w:val="0"/>
              <w:adjustRightInd w:val="0"/>
              <w:snapToGrid/>
              <w:spacing w:line="360" w:lineRule="auto"/>
              <w:textAlignment w:val="auto"/>
              <w:rPr>
                <w:rFonts w:ascii="Times New Roman" w:hAnsi="Times New Roman" w:eastAsia="宋体" w:cs="Times New Roman"/>
                <w:sz w:val="24"/>
                <w:szCs w:val="24"/>
              </w:rPr>
            </w:pPr>
            <w:r>
              <w:rPr>
                <w:rFonts w:ascii="Times New Roman" w:hAnsi="Times New Roman" w:eastAsia="宋体" w:cs="Times New Roman"/>
                <w:sz w:val="24"/>
                <w:szCs w:val="24"/>
              </w:rPr>
              <w:t>生产工艺流程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本</w:t>
            </w:r>
            <w:r>
              <w:rPr>
                <w:rFonts w:hint="default" w:ascii="Times New Roman" w:hAnsi="Times New Roman" w:eastAsia="宋体" w:cs="Times New Roman"/>
                <w:color w:val="000000"/>
                <w:sz w:val="24"/>
                <w:szCs w:val="24"/>
              </w:rPr>
              <w:t>项目</w:t>
            </w:r>
            <w:r>
              <w:rPr>
                <w:rFonts w:hint="default"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rPr>
              <w:t>条电镀生产线全部离地建设，每条电镀线底部安装托盘收集清洗液和槽液，车间内每条废水管线均进行明示，张贴分类水质标签。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一、</w:t>
            </w:r>
            <w:r>
              <w:rPr>
                <w:rFonts w:hint="default" w:ascii="Times New Roman" w:hAnsi="Times New Roman" w:eastAsia="宋体" w:cs="Times New Roman"/>
                <w:sz w:val="24"/>
                <w:szCs w:val="24"/>
              </w:rPr>
              <w:t>镀锌线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default" w:ascii="Times New Roman" w:hAnsi="Times New Roman" w:eastAsia="宋体" w:cs="Times New Roman"/>
                <w:sz w:val="24"/>
                <w:szCs w:val="24"/>
                <w:lang w:val="en-US" w:eastAsia="zh-CN"/>
              </w:rPr>
              <w:t>建设</w:t>
            </w:r>
            <w:r>
              <w:rPr>
                <w:rFonts w:hint="default" w:ascii="Times New Roman" w:hAnsi="Times New Roman" w:eastAsia="宋体" w:cs="Times New Roman"/>
                <w:sz w:val="24"/>
                <w:szCs w:val="24"/>
              </w:rPr>
              <w:t>2条镀锌线，包括1条直线挂镀锌线，1条滚镀锌生产线。直线挂镀锌线的主要工艺流程如下所述：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（1）镀件上挂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各类镀件放置于挂架上，待处理。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（2）化学除油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将零部件件移至化学除油槽，除油槽主要成分为氢氧化钠、碳酸钠等，设置3个化学除油槽，槽液温度为45-65℃，浸泡18分钟，移至下道工序。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（3）二级逆流水洗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化学除油后的工件移入水洗槽，室温下采取两级逆流漂洗方式进行水洗，不添加任何清洗剂，水洗清洗时间10s，溢流流量按照3小时1个水洗槽容积循环，即0.3L/s。第二道清洗水水质较好，通过槽间溢流口直接套用至第一次清洗工序，即只有第一次清洗槽有废水排出，第二道清洗槽内补充用水。项目逆流水洗工序采用电磁阀和流量计装置只能控制，工件进入水洗槽内水洗时，系统自动启动补水、排水操作，待工件从水洗槽内水洗完毕提出后，系统自动停止补水、排水操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（4）酸洗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级逆流水洗后镀件放入酸洗槽（26%盐酸）常温酸洗活化6-18分钟，添加酸雾抑制剂（a-异癸基-ω-羟基-聚（氧-1，2-亚乙基）），加槽盖，挂镀锌生产线采用三道酸洗槽，酸洗完成后镀件在酸槽上稍作停留沥去表面酸液，以减少盐酸带出量，再进入下一道酸洗槽。酸洗槽间设置酸液托盘收集遗撒的酸洗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（5）二级逆流水洗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酸洗后镀件再次放入水洗槽进行逆流水洗，与上述“二级逆流水洗”中工艺完全一致</w:t>
            </w:r>
            <w:bookmarkStart w:id="0" w:name="_Hlk527034242"/>
            <w:r>
              <w:rPr>
                <w:rFonts w:hint="default" w:ascii="Times New Roman" w:hAnsi="Times New Roman" w:eastAsia="宋体" w:cs="Times New Roman"/>
                <w:sz w:val="24"/>
                <w:szCs w:val="24"/>
              </w:rPr>
              <w:t>。</w:t>
            </w:r>
            <w:bookmarkEnd w:id="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（6）电解除油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电解除油是将待镀件在碱性电解液的阴极或阳极上，在直流电的作用下将零件表面的油脂除去除油彻底、效果好。挂镀锌生产线水洗工序后待镀件进入电解除油工序，电解除油采用100~150g/L的电解除油粉（主要成分氢氧化钠等），镀件静置于脱脂槽内3min左右，温度控制在30℃，可将大部分油污去除。除油方式与“化学除油”工段一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（6）水洗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与上述生产线中“二级逆流水洗”工艺基本一致，仅一道水洗。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（7）活化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为了保证后段电镀层与工件基体的结合力，将镀件再次通过酸溶液侵蚀，使其表面的氧化膜进一步溶解，以露出金属界面。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与上述“酸洗”中工艺基本一致。主要区别在于盐酸溶液约10-15%，操作时间持续约3min。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（8）中和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活化后镀件进入中和工序，中和采用100~150g/L的氢氧化钠，镀件静置于中和槽内60s左右，槽液温度为室温。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（9）电镀锌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镀锌生产线采用无氰镀锌工艺，无氰镀锌为环保型镀锌，镀液不含剧毒氰化物，废水易处理。镀液主要成份为氧化锌10g/L、氢氧化钠130g/L，添加剂0.05~0.1g/L，添加剂主要包括光亮剂（1-苄基烟酸盐）、柔软剂（N,N'-双[3-(二甲基氨基)丙基]脲与1,1'-氧双[2-氯乙烷]的聚合物）和净化剂（硫脲）。槽液温度控制在25℃，操作时间约36-60min。生产线配置6个镀锌槽便于镀件分批操作。镀锌完成后镀件在镀锌槽上稍作停留沥去表面槽液，以减少槽液带出量。镀锌槽液不更换，定期分析进行主盐补充，生产过程槽液进行连续过滤处理，产生废过滤芯（S-废滤芯），平均更换周期为2个月，暂存后委托有资质单位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（10）三级逆流水洗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镀锌后将镀件移入水洗槽，与上述“二级逆流水洗”中工艺和原理基本一致。主要区别在于第三道水洗槽采用超声波清洗工艺</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（11）出光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钝化前把镀锌件在稀硝酸溶液中浸一下，可提高镀锌层的光亮度，还可以中和零件表面未清洗干净的碱液，有利于钝化液稳定。出光工序槽液是以自来水配置的稀硝酸溶液约5g/L，操作时间约30s，控制温度为常温，该工序不产生硝酸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（12）钝化、水洗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锌的化学性质活泼，在大气中容易氧化变暗，最后产生“白锈”腐蚀。镀锌后经过铬酸盐处理，以便在锌上覆盖一层化学转化膜，使活泼的金属处于钝态，这就叫锌层铬酸盐钝化处理。铬酸盐薄膜能使锌的耐蚀性能提高6~8倍，并赋予锌以美丽的装饰外观和抗污能力。目前钝化主要有六价铬钝化与三价铬钝化，项目采用低毒性三价铬钝化工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三价铬膜层是通过锌的溶解形成锌离子，同时锌离子的溶解造成锌表面溶液的pH值上升，三价铬直接与锌离子、氢氧根等反应，形成不溶性化合物沉淀在锌表面上而形成钝化膜。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钝化过程包括三价铬白色钝化——二级逆流水洗——热水洗——三价铬彩色钝化——水洗——热水洗。三价铬钝化液主要成份为三价铬100g/L，温度常温，操作时间约30s；二级逆流水洗与上述“二级逆流水洗”工艺基本一致。热水洗温度控制在70℃，操作时间为10s，热水更换频次为15天/次。水洗完成后镀件在水洗槽上方稍作停留沥去表面残留的水，以减少水洗水的带出量。钝化槽液定期分析补充钝化液，减少钝化液废弃或重新配置的次数，延长钝化液使用寿命，根据业主生产经验，钝化槽液（S-废槽液）平均更换周期为12个月</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暂存后委托有资质单位处理。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（13）封闭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为了弥补镀层缺陷，提高镀层防护性能，采用自来水配置300g/L封闭溶液（水溶性环保有机硅烷封闭剂）进行封闭处理，设置1个封闭槽，操作温度为常温，操作时间30s。封闭槽液不更换，定期分析补充添加</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（14）烘干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项目采用蒸汽间接加热对镀件烘干，烘干温度控制50~70℃，烘干时间约15min。</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滚镀锌线主要工序包括化学除油、酸洗、活化、滚镀锌、出光、钝化；上述工艺与前述工艺类似，在此不赘述，电镀液为酸性电镀，项目钝化采用三价铬钝化。</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outlineLvl w:val="3"/>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二、</w:t>
            </w:r>
            <w:r>
              <w:rPr>
                <w:rFonts w:hint="default" w:ascii="Times New Roman" w:hAnsi="Times New Roman" w:eastAsia="宋体" w:cs="Times New Roman"/>
                <w:sz w:val="24"/>
                <w:szCs w:val="24"/>
              </w:rPr>
              <w:t>镀镍铬线</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项目建设1</w:t>
            </w:r>
            <w:r>
              <w:rPr>
                <w:rFonts w:hint="default" w:ascii="Times New Roman" w:hAnsi="Times New Roman" w:eastAsia="宋体" w:cs="Times New Roman"/>
                <w:sz w:val="24"/>
                <w:szCs w:val="24"/>
              </w:rPr>
              <w:t>条镍铬线。镀镍铬线的主要生产工艺包括除腊、除油、活化、镀半亮镍、光亮镍、微孔镍、镀铬、还原、水洗等工序。</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主要工艺描述如下：</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（1）镀件上挂</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各类镀件放置于挂架上，待处理。</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（2）浸泡除蜡</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项目镀镍铬生产线浸泡除蜡采用60~80g/L的除蜡水（主要成分NaOH碳酸钠等），镀件静置于脱脂槽内20min左右，温度控制在60~80℃，可将部分油污去除，设置5个化学除蜡槽。</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）超声波除蜡</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超声波清洗是利用超声波在液体中的空化作用、加速度作用及直进流作用对液体和污物直接、间接的作用，使污物层被分散、乳化、剥离而达到清洗目</w:t>
            </w:r>
            <w:r>
              <w:rPr>
                <w:rFonts w:hint="eastAsia" w:ascii="Times New Roman" w:hAnsi="Times New Roman" w:eastAsia="宋体" w:cs="Times New Roman"/>
                <w:sz w:val="24"/>
                <w:szCs w:val="24"/>
                <w:lang w:eastAsia="zh-CN"/>
              </w:rPr>
              <w:t>的</w:t>
            </w:r>
            <w:r>
              <w:rPr>
                <w:rFonts w:hint="default" w:ascii="Times New Roman" w:hAnsi="Times New Roman" w:eastAsia="宋体" w:cs="Times New Roman"/>
                <w:sz w:val="24"/>
                <w:szCs w:val="24"/>
              </w:rPr>
              <w:t>；通常在超声波除油槽中添加一定量的除腊水、以增加破乳的效果。</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）水洗</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镀件超声波除油后，通过水浸洗洗去镀件表面附着残余碱液。室温下采取二级逆流漂洗方式进行水洗，不添加任何清洗剂，水洗清洗时间5-10s，溢流流量按照3小时1个水洗槽容积循环，即0.3L/s。第二道清洗水水质较好，通过槽间溢流口直接套用至第一次清洗工序，即只有第一次清洗槽有废水排出，第二道清洗槽内补充用水。项目逆流水洗工序采用电磁阀和流量计装置只能控制，工件进入水洗槽内水洗时，系统自动启动补水、排水操作，待工件从水洗槽内水洗完毕提出后，系统自动停止补水、排水操作。</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）超声波除油</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超声波除油与超声波除蜡原理相同。项目采用30-50g/L U251除油粉，操作温度为60-80℃，操作时间为7-10min。</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（6）水洗</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和上述生产工艺“水洗”基本一致。</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（7）电解除油</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电解除油是将待镀件在碱性电解液的阴极或阳极上，在直流电的作用下将零件表面的油脂除去除油彻底、效果好。电解除油采用50~70g/L的电解除油粉，镀件静置于除油槽内4分钟左右，温度控制在60~80℃。</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（8）水洗</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和上述生产工艺“水洗”基本一致。</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（9）电解酸洗、水洗</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酸洗活化采用浓度为50g/L的稀盐酸进行清洗，酸洗可中和残留在工件表面少量的碱，去除工件表面的氧化皮和锈蚀物，提高零件光泽同时使使工件表面活化，提高与镀层的结合度</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（10）活化</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此活化工序所用槽液为150-200g/L的硫酸，目的是为了使金属表面进一步活化，从而在后面电镀部分有较好的效果。</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（11）预镀镍、回收、喷淋水洗、水洗</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活化后的工件移入镀镍槽进行镀镍，主要添加氯化镍，氯化镍为主盐，提供镀镍所需的Ni2+，氯化镍主要为镀镍溶液中的阳极活化剂，氯化镍的浓度为250g/L，阳极采用镍阳极的溶解，主要反应为：Ni-2e=Ni2+，阴极为镍离子，主要反应为Ni2++2e=Ni。</w:t>
            </w:r>
            <w:bookmarkStart w:id="1" w:name="_Hlk531008908"/>
            <w:bookmarkStart w:id="2" w:name="_Hlk527060915"/>
            <w:r>
              <w:rPr>
                <w:rFonts w:hint="default" w:ascii="Times New Roman" w:hAnsi="Times New Roman" w:eastAsia="宋体" w:cs="Times New Roman"/>
                <w:sz w:val="24"/>
                <w:szCs w:val="24"/>
              </w:rPr>
              <w:t>镀镍后工件采用纯水进行浸洗，回收镀件表面的电镀液，回收的电镀液经提升泵输送至镀镍槽作为镀液进行补充。</w:t>
            </w:r>
            <w:bookmarkEnd w:id="1"/>
            <w:r>
              <w:rPr>
                <w:rFonts w:hint="default" w:ascii="Times New Roman" w:hAnsi="Times New Roman" w:eastAsia="宋体" w:cs="Times New Roman"/>
                <w:sz w:val="24"/>
                <w:szCs w:val="24"/>
              </w:rPr>
              <w:t>再经喷淋水洗、水洗后进入镀镍工序。</w:t>
            </w:r>
            <w:bookmarkEnd w:id="2"/>
            <w:r>
              <w:rPr>
                <w:rFonts w:hint="default" w:ascii="Times New Roman" w:hAnsi="Times New Roman" w:eastAsia="宋体" w:cs="Times New Roman"/>
                <w:sz w:val="24"/>
                <w:szCs w:val="24"/>
              </w:rPr>
              <w:t>预镀镍镀液经过过滤机处理回用，滤芯更换频率为2月/次，此过程会产生含镍废滤芯（S-废滤芯），废滤芯暂存后委托有资质单位处理。</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（12）活化</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和上述生产工艺“活化”基本一致。</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（13）镀半光亮镍/光亮镍、回收</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镍具有良好的机械强度和韧性，能抵抗大气腐蚀，耐酸耐碱，镍镀层结晶细致平滑，因此是防护-装饰性的主要镀层。光亮镀镍能直接套铬，而省略传统的抛光工序，并为电镀的机械化自动化创造了条件。经活化后的工件移入镀镍槽进行镀镍，主要添加硫酸镍、硼酸，其中硫酸镍为主盐，提供镀镍所需的Ni2+，硼酸主要充当镀液电镀pH值缓冲剂，硫酸镍的浓度在280g/L左右，硼酸的浓度约为40g/L。阳极采用镍板的溶解，主要反应为：Ni-2e=Ni2+；阴极为镍离子，主要反应为：Ni2++2e=Ni；镀镍后工件采用纯水进行浸洗，回收镀件表面的电镀液，回收的电镀液经提升泵输送至镀镍槽作为镀液进行补充。工件再进入镀光亮镍、回收工序。镀光亮镍与镀半光亮镍工艺基本相同。镍镀液经过过滤机处理回用，滤芯更换频率为2月/次，此过程会产生含镍废滤芯（S-废滤芯），废滤芯暂存后委托有资质单位处理。</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（14）微孔镍、回收、水洗、微裂纹镍、水洗</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后续工件根据产品需求镀一层微孔镍或微裂纹镍。微孔镍和微裂纹镍属于一种添加特殊助剂，是于光镍镀层上形成一层均匀的布满极微细微孔或者微裂纹镍层，能使腐蚀电流分散变细，其结果，裂纹和微孔的电流密度变小，腐蚀减弱，以增强防腐蚀能力。镀微孔镍成分主要为硫酸镍，镀微孔镍后的工件经回收槽，回收从镀微孔镍槽带出的含镍电镀液，再经水洗、喷淋水洗后进入镀微裂纹镍工序，镀微裂纹镍成分主要为氯化镍，镀微裂纹镍与镀微孔镍工艺基本相同。镍镀液经过过滤机处理回用，滤芯更换频率为2月/次，此过程会产生含镍废滤芯（S-废滤芯），废滤芯暂存后委托有资质单位处理。</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（15）活化</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此活化工序采用铬酸对金属表面进一步活化，从而在后面电镀部分有较好的效果。</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（16）镀亮铬、回收</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主要为硬铬镀层，即在其他金属表面镀一层薄的铬镀层，作为防护装饰性组合镀层的表层，起装饰和保护作用。镀液主要成分为铬酸250g/L、硫酸1-1.5g/L及添加剂，镀槽温度40℃。镀铬后工件采用纯水进行浸洗，回收镀件表面的电镀液，回收的电镀液经提升泵输送至镀铬槽作为镀液进行补充。本项目镀亮铬设有3个镀亮铬槽，在生产运营过程中，根据镀亮铬槽中铬酸浓度定期补充铬酸、硫酸，以保证镀铬槽中的铬酸、硫酸浓度。镀亮铬需采取较高的阴极电流密度，通常在20A/dm2以上，电压大于12V。</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（17）镀黑铬、水洗、喷淋水洗、还原</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镀黑铬工艺原理与镀亮铬基本相同，区别在于镀黑铬镀液为350-400g/L的铬酸，不含硫酸，不产生硫酸雾。镀黑铬工序产生铬酸雾（W-铬），采用铬酸雾抑制剂源头控制+全密闭罩+顶部抽风装置+槽边两侧抽风系统收集，收集效率≥95%，最终进铬酸雾废气凝聚回收喷淋吸收塔进行处理。镀黑铬后进入水洗、喷淋水洗工序。</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（16）水洗、喷淋水洗、热水洗</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与前述工艺“水洗、喷淋水洗”“热水洗”基本一致。</w:t>
            </w:r>
          </w:p>
          <w:p>
            <w:pPr>
              <w:keepNext w:val="0"/>
              <w:keepLines w:val="0"/>
              <w:pageBreakBefore w:val="0"/>
              <w:widowControl w:val="0"/>
              <w:kinsoku/>
              <w:wordWrap/>
              <w:overflowPunct/>
              <w:topLinePunct w:val="0"/>
              <w:autoSpaceDE/>
              <w:autoSpaceDN/>
              <w:bidi w:val="0"/>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（17）下挂</w:t>
            </w:r>
          </w:p>
          <w:p>
            <w:pPr>
              <w:keepNext w:val="0"/>
              <w:keepLines w:val="0"/>
              <w:pageBreakBefore w:val="0"/>
              <w:widowControl w:val="0"/>
              <w:kinsoku/>
              <w:wordWrap/>
              <w:overflowPunct/>
              <w:topLinePunct w:val="0"/>
              <w:autoSpaceDE/>
              <w:autoSpaceDN/>
              <w:bidi w:val="0"/>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工件经喷淋水洗、热水洗后烘干下挂。</w:t>
            </w:r>
          </w:p>
          <w:p>
            <w:pPr>
              <w:keepNext w:val="0"/>
              <w:keepLines w:val="0"/>
              <w:pageBreakBefore w:val="0"/>
              <w:widowControl w:val="0"/>
              <w:kinsoku/>
              <w:wordWrap/>
              <w:overflowPunct/>
              <w:topLinePunct w:val="0"/>
              <w:autoSpaceDE/>
              <w:autoSpaceDN/>
              <w:bidi w:val="0"/>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（18）脱挂、水洗</w:t>
            </w:r>
          </w:p>
          <w:p>
            <w:pPr>
              <w:pStyle w:val="16"/>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此线在后端设置挂镀脱挂，脱挂采用980脱挂粉，脱挂槽主要成分为柠檬酸盐，脱挂槽尺寸为180cm×120cm×150cm，设置2个脱挂挂槽，1年更换一次槽液，更换后的废槽液（S-废槽液），暂存后委托有资质单位处理。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三、</w:t>
            </w:r>
            <w:r>
              <w:rPr>
                <w:rFonts w:hint="default" w:ascii="Times New Roman" w:hAnsi="Times New Roman" w:eastAsia="宋体" w:cs="Times New Roman"/>
                <w:sz w:val="24"/>
                <w:szCs w:val="24"/>
              </w:rPr>
              <w:t>镀硬铬线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kern w:val="0"/>
                <w:sz w:val="30"/>
                <w:szCs w:val="30"/>
              </w:rPr>
            </w:pPr>
            <w:r>
              <w:rPr>
                <w:rFonts w:hint="default" w:ascii="Times New Roman" w:hAnsi="Times New Roman" w:eastAsia="宋体" w:cs="Times New Roman"/>
                <w:kern w:val="0"/>
                <w:sz w:val="24"/>
                <w:szCs w:val="24"/>
              </w:rPr>
              <w:t>项目</w:t>
            </w:r>
            <w:r>
              <w:rPr>
                <w:rFonts w:hint="default" w:ascii="Times New Roman" w:hAnsi="Times New Roman" w:eastAsia="宋体" w:cs="Times New Roman"/>
                <w:kern w:val="0"/>
                <w:sz w:val="24"/>
                <w:szCs w:val="24"/>
                <w:lang w:val="en-US" w:eastAsia="zh-CN"/>
              </w:rPr>
              <w:t>建设3</w:t>
            </w:r>
            <w:r>
              <w:rPr>
                <w:rFonts w:hint="default" w:ascii="Times New Roman" w:hAnsi="Times New Roman" w:eastAsia="宋体" w:cs="Times New Roman"/>
                <w:kern w:val="0"/>
                <w:sz w:val="24"/>
                <w:szCs w:val="24"/>
              </w:rPr>
              <w:t>条直线式龙门硬铬挂镀线，镀硬铬线主要生产工艺为浸泡除蜡、电解除油、超声波除油、电解酸洗、镀铬、碱中和、回收等工序。上述工艺中浸泡除蜡、电解除油、超声波除油、酸洗、镀铬、回收等工艺与前述生产线工艺类似，在此不赘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四、</w:t>
            </w:r>
            <w:r>
              <w:rPr>
                <w:rFonts w:hint="default" w:ascii="Times New Roman" w:hAnsi="Times New Roman" w:eastAsia="宋体" w:cs="Times New Roman"/>
                <w:sz w:val="24"/>
                <w:szCs w:val="24"/>
              </w:rPr>
              <w:t>退镀工序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拟建项目镀镍铬生产线和镀硬铬线生产线的不合格品需经过退镀工序处理后重新上挂。项目退镀工序主要如下：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）酸洗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不合格镀件放入酸洗槽（26%盐酸）常温酸洗活化5分钟，添加酸雾抑制剂（a-异癸基-ω-羟基-聚（氧-1，2-亚乙基）），加槽盖，退镀工序采用两道酸洗槽，酸洗完成后镀件在酸槽上稍作停留沥去表面酸液，以减少盐酸带出量，再进入下一道酸洗槽。酸洗槽间设置酸液托盘收集遗撒的酸洗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（2）水洗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酸洗后进入水洗工序，水洗工序同前述“二级逆流水洗”工序基本一致，仅一道水洗工序。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（3）电解退镍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水洗后镍铬镀件进入电解退镍槽，退镍槽主要为180g/L退镀粉，退镀粉主要成分为硝基氮化肥和柠檬酸盐。操作温度为室温，退镀操作时间15min左右，在通入电流的作用下去除挂具上的镀层。槽液定期检测分析，及时添加，退镀槽液更换周期为1次/1年，暂存后委托有资质单位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（4）水洗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镀件退镍后进入水洗工序，水洗工序同前述“水洗”工序基本一致，水洗含镍废水（W-镍）通过支管进入车间含镍废水收集池内经园区含镍废水专用管道进电镀中心污水处理站处理。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（5）电解退铬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水洗后镍铬镀件/硬铬镀件进入电解退铬槽，退镍槽主要为180g/L退镀粉，退镀粉主要成分为硝基氮化肥和柠檬酸盐。操作温度为室温，退镀操作时间30min左右，在通入电流的作用下去除挂具上的镀层。槽液定期检测分析，及时添加，退镀槽液更换周期为1次/1年，暂存后委托有资质单位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（6）热水洗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eastAsia="zh-CN"/>
              </w:rPr>
            </w:pPr>
            <w:r>
              <w:rPr>
                <w:rFonts w:hint="default" w:ascii="Times New Roman" w:hAnsi="Times New Roman" w:eastAsia="宋体" w:cs="Times New Roman"/>
                <w:sz w:val="24"/>
                <w:szCs w:val="24"/>
              </w:rPr>
              <w:t>工件静置于热水洗槽内10s左右，温度控制在70℃，水洗完成后镀件在水洗槽上方稍作停留沥去表面残留的水，以减少水洗水的带出量。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4" w:hRule="atLeast"/>
        </w:trPr>
        <w:tc>
          <w:tcPr>
            <w:tcW w:w="5000" w:type="pct"/>
          </w:tcPr>
          <w:p>
            <w:pPr>
              <w:pStyle w:val="16"/>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工程占地及平面布置</w:t>
            </w:r>
          </w:p>
          <w:p>
            <w:pPr>
              <w:pStyle w:val="16"/>
              <w:spacing w:line="360" w:lineRule="auto"/>
              <w:jc w:val="center"/>
            </w:pPr>
            <w:r>
              <w:drawing>
                <wp:inline distT="0" distB="0" distL="114300" distR="114300">
                  <wp:extent cx="5100320" cy="3555365"/>
                  <wp:effectExtent l="0" t="0" r="5080" b="6985"/>
                  <wp:docPr id="11" name="图片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51"/>
                          <pic:cNvPicPr>
                            <a:picLocks noChangeAspect="1"/>
                          </pic:cNvPicPr>
                        </pic:nvPicPr>
                        <pic:blipFill>
                          <a:blip r:embed="rId7"/>
                          <a:srcRect l="-2" r="-5" b="1770"/>
                          <a:stretch>
                            <a:fillRect/>
                          </a:stretch>
                        </pic:blipFill>
                        <pic:spPr>
                          <a:xfrm>
                            <a:off x="0" y="0"/>
                            <a:ext cx="5100320" cy="3555365"/>
                          </a:xfrm>
                          <a:prstGeom prst="rect">
                            <a:avLst/>
                          </a:prstGeom>
                          <a:noFill/>
                          <a:ln>
                            <a:noFill/>
                          </a:ln>
                        </pic:spPr>
                      </pic:pic>
                    </a:graphicData>
                  </a:graphic>
                </wp:inline>
              </w:drawing>
            </w:r>
          </w:p>
          <w:p>
            <w:pPr>
              <w:pStyle w:val="16"/>
              <w:spacing w:line="360" w:lineRule="auto"/>
              <w:jc w:val="center"/>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图</w:t>
            </w:r>
            <w:r>
              <w:rPr>
                <w:rFonts w:hint="eastAsia" w:ascii="Times New Roman" w:hAnsi="Times New Roman" w:eastAsia="宋体" w:cs="Times New Roman"/>
                <w:b/>
                <w:bCs/>
                <w:sz w:val="24"/>
                <w:szCs w:val="24"/>
                <w:lang w:val="en-US" w:eastAsia="zh-CN"/>
              </w:rPr>
              <w:t>4</w:t>
            </w:r>
            <w:r>
              <w:rPr>
                <w:rFonts w:hint="eastAsia"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1</w:t>
            </w:r>
            <w:r>
              <w:rPr>
                <w:rFonts w:hint="eastAsia" w:ascii="Times New Roman" w:hAnsi="Times New Roman" w:eastAsia="宋体" w:cs="Times New Roman"/>
                <w:b/>
                <w:bCs/>
                <w:sz w:val="24"/>
                <w:szCs w:val="24"/>
              </w:rPr>
              <w:t xml:space="preserve"> </w:t>
            </w:r>
            <w:r>
              <w:rPr>
                <w:rFonts w:hint="default" w:ascii="Times New Roman" w:hAnsi="Times New Roman" w:cs="Times New Roman"/>
                <w:b/>
                <w:bCs/>
                <w:sz w:val="24"/>
                <w:szCs w:val="24"/>
              </w:rPr>
              <w:t>电镀中心</w:t>
            </w:r>
            <w:r>
              <w:rPr>
                <w:rFonts w:hint="eastAsia" w:ascii="Times New Roman" w:hAnsi="Times New Roman" w:eastAsia="宋体" w:cs="Times New Roman"/>
                <w:b/>
                <w:bCs/>
                <w:sz w:val="24"/>
                <w:szCs w:val="24"/>
                <w:lang w:eastAsia="zh-CN"/>
              </w:rPr>
              <w:t>布局</w:t>
            </w:r>
            <w:r>
              <w:rPr>
                <w:rFonts w:hint="default" w:ascii="Times New Roman" w:hAnsi="Times New Roman" w:cs="Times New Roman"/>
                <w:b/>
                <w:bCs/>
                <w:sz w:val="24"/>
                <w:szCs w:val="24"/>
              </w:rPr>
              <w:t>示意图</w:t>
            </w:r>
          </w:p>
          <w:p>
            <w:pPr>
              <w:pStyle w:val="16"/>
              <w:spacing w:line="360" w:lineRule="auto"/>
              <w:jc w:val="center"/>
              <w:rPr>
                <w:rStyle w:val="17"/>
                <w:rFonts w:hint="eastAsia" w:ascii="Times New Roman" w:hAnsi="Times New Roman" w:eastAsia="宋体" w:cs="Times New Roman"/>
                <w:color w:val="auto"/>
                <w:lang w:eastAsia="zh-CN"/>
              </w:rPr>
            </w:pPr>
            <w:r>
              <w:rPr>
                <w:rStyle w:val="17"/>
                <w:rFonts w:hint="eastAsia" w:ascii="Times New Roman" w:hAnsi="Times New Roman" w:eastAsia="宋体" w:cs="Times New Roman"/>
                <w:color w:val="auto"/>
                <w:lang w:eastAsia="zh-CN"/>
              </w:rPr>
              <w:drawing>
                <wp:inline distT="0" distB="0" distL="114300" distR="114300">
                  <wp:extent cx="5272405" cy="7131050"/>
                  <wp:effectExtent l="0" t="0" r="4445" b="12700"/>
                  <wp:docPr id="12" name="图片 12" descr="14d8c12377e84c7dfff9ab0d5800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4d8c12377e84c7dfff9ab0d58000d4"/>
                          <pic:cNvPicPr>
                            <a:picLocks noChangeAspect="1"/>
                          </pic:cNvPicPr>
                        </pic:nvPicPr>
                        <pic:blipFill>
                          <a:blip r:embed="rId8"/>
                          <a:stretch>
                            <a:fillRect/>
                          </a:stretch>
                        </pic:blipFill>
                        <pic:spPr>
                          <a:xfrm>
                            <a:off x="0" y="0"/>
                            <a:ext cx="5272405" cy="7131050"/>
                          </a:xfrm>
                          <a:prstGeom prst="rect">
                            <a:avLst/>
                          </a:prstGeom>
                        </pic:spPr>
                      </pic:pic>
                    </a:graphicData>
                  </a:graphic>
                </wp:inline>
              </w:drawing>
            </w:r>
          </w:p>
          <w:p>
            <w:pPr>
              <w:pStyle w:val="16"/>
              <w:spacing w:line="360" w:lineRule="auto"/>
              <w:jc w:val="center"/>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图</w:t>
            </w:r>
            <w:r>
              <w:rPr>
                <w:rFonts w:hint="eastAsia" w:ascii="Times New Roman" w:hAnsi="Times New Roman" w:eastAsia="宋体" w:cs="Times New Roman"/>
                <w:b/>
                <w:bCs/>
                <w:sz w:val="24"/>
                <w:szCs w:val="24"/>
                <w:lang w:val="en-US" w:eastAsia="zh-CN"/>
              </w:rPr>
              <w:t>4</w:t>
            </w:r>
            <w:r>
              <w:rPr>
                <w:rFonts w:hint="eastAsia"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2</w:t>
            </w:r>
            <w:r>
              <w:rPr>
                <w:rFonts w:hint="eastAsia" w:ascii="Times New Roman" w:hAnsi="Times New Roman" w:eastAsia="宋体" w:cs="Times New Roman"/>
                <w:b/>
                <w:bCs/>
                <w:sz w:val="24"/>
                <w:szCs w:val="24"/>
              </w:rPr>
              <w:t xml:space="preserve"> 项目</w:t>
            </w:r>
            <w:r>
              <w:rPr>
                <w:rFonts w:hint="eastAsia" w:ascii="Times New Roman" w:hAnsi="Times New Roman" w:eastAsia="宋体" w:cs="Times New Roman"/>
                <w:b/>
                <w:bCs/>
                <w:sz w:val="24"/>
                <w:szCs w:val="24"/>
                <w:lang w:val="en-US" w:eastAsia="zh-CN"/>
              </w:rPr>
              <w:t>2层</w:t>
            </w:r>
            <w:r>
              <w:rPr>
                <w:rFonts w:hint="eastAsia" w:ascii="Times New Roman" w:hAnsi="Times New Roman" w:eastAsia="宋体" w:cs="Times New Roman"/>
                <w:b/>
                <w:bCs/>
                <w:sz w:val="24"/>
                <w:szCs w:val="24"/>
                <w:lang w:eastAsia="zh-CN"/>
              </w:rPr>
              <w:t>平面布置</w:t>
            </w:r>
            <w:r>
              <w:rPr>
                <w:rFonts w:hint="eastAsia" w:ascii="Times New Roman" w:hAnsi="Times New Roman" w:eastAsia="宋体" w:cs="Times New Roman"/>
                <w:b/>
                <w:bCs/>
                <w:sz w:val="24"/>
                <w:szCs w:val="24"/>
              </w:rPr>
              <w:t>图</w:t>
            </w:r>
          </w:p>
          <w:p>
            <w:pPr>
              <w:pStyle w:val="16"/>
              <w:spacing w:line="360" w:lineRule="auto"/>
              <w:jc w:val="center"/>
              <w:rPr>
                <w:rStyle w:val="17"/>
                <w:rFonts w:hint="eastAsia" w:ascii="Times New Roman" w:hAnsi="Times New Roman" w:eastAsia="宋体" w:cs="Times New Roman"/>
                <w:color w:val="auto"/>
                <w:lang w:eastAsia="zh-CN"/>
              </w:rPr>
            </w:pPr>
            <w:r>
              <w:rPr>
                <w:rStyle w:val="17"/>
                <w:rFonts w:hint="eastAsia" w:ascii="Times New Roman" w:hAnsi="Times New Roman" w:eastAsia="宋体" w:cs="Times New Roman"/>
                <w:color w:val="auto"/>
                <w:lang w:eastAsia="zh-CN"/>
              </w:rPr>
              <w:drawing>
                <wp:inline distT="0" distB="0" distL="114300" distR="114300">
                  <wp:extent cx="5272405" cy="6496050"/>
                  <wp:effectExtent l="0" t="0" r="4445" b="0"/>
                  <wp:docPr id="13" name="图片 13" descr="a0d7bb59b0b5a2acb1670a3b0e4f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0d7bb59b0b5a2acb1670a3b0e4fb87"/>
                          <pic:cNvPicPr>
                            <a:picLocks noChangeAspect="1"/>
                          </pic:cNvPicPr>
                        </pic:nvPicPr>
                        <pic:blipFill>
                          <a:blip r:embed="rId9"/>
                          <a:stretch>
                            <a:fillRect/>
                          </a:stretch>
                        </pic:blipFill>
                        <pic:spPr>
                          <a:xfrm>
                            <a:off x="0" y="0"/>
                            <a:ext cx="5272405" cy="6496050"/>
                          </a:xfrm>
                          <a:prstGeom prst="rect">
                            <a:avLst/>
                          </a:prstGeom>
                        </pic:spPr>
                      </pic:pic>
                    </a:graphicData>
                  </a:graphic>
                </wp:inline>
              </w:drawing>
            </w:r>
          </w:p>
          <w:p>
            <w:pPr>
              <w:pStyle w:val="16"/>
              <w:spacing w:line="360" w:lineRule="auto"/>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4"/>
                <w:szCs w:val="24"/>
              </w:rPr>
              <w:t>图</w:t>
            </w:r>
            <w:r>
              <w:rPr>
                <w:rFonts w:hint="eastAsia" w:ascii="Times New Roman" w:hAnsi="Times New Roman" w:eastAsia="宋体" w:cs="Times New Roman"/>
                <w:b/>
                <w:bCs/>
                <w:sz w:val="24"/>
                <w:szCs w:val="24"/>
                <w:lang w:val="en-US" w:eastAsia="zh-CN"/>
              </w:rPr>
              <w:t>4</w:t>
            </w:r>
            <w:r>
              <w:rPr>
                <w:rFonts w:hint="eastAsia"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3</w:t>
            </w:r>
            <w:r>
              <w:rPr>
                <w:rFonts w:hint="eastAsia" w:ascii="Times New Roman" w:hAnsi="Times New Roman" w:eastAsia="宋体" w:cs="Times New Roman"/>
                <w:b/>
                <w:bCs/>
                <w:sz w:val="24"/>
                <w:szCs w:val="24"/>
              </w:rPr>
              <w:t xml:space="preserve"> 项目</w:t>
            </w:r>
            <w:r>
              <w:rPr>
                <w:rFonts w:hint="eastAsia" w:ascii="Times New Roman" w:hAnsi="Times New Roman" w:eastAsia="宋体" w:cs="Times New Roman"/>
                <w:b/>
                <w:bCs/>
                <w:sz w:val="24"/>
                <w:szCs w:val="24"/>
                <w:lang w:val="en-US" w:eastAsia="zh-CN"/>
              </w:rPr>
              <w:t>3层</w:t>
            </w:r>
            <w:r>
              <w:rPr>
                <w:rFonts w:hint="eastAsia" w:ascii="Times New Roman" w:hAnsi="Times New Roman" w:eastAsia="宋体" w:cs="Times New Roman"/>
                <w:b/>
                <w:bCs/>
                <w:sz w:val="24"/>
                <w:szCs w:val="24"/>
                <w:lang w:eastAsia="zh-CN"/>
              </w:rPr>
              <w:t>平面布置</w:t>
            </w:r>
            <w:r>
              <w:rPr>
                <w:rFonts w:hint="eastAsia" w:ascii="Times New Roman" w:hAnsi="Times New Roman" w:eastAsia="宋体" w:cs="Times New Roman"/>
                <w:b/>
                <w:bCs/>
                <w:sz w:val="24"/>
                <w:szCs w:val="24"/>
              </w:rPr>
              <w:t>图</w:t>
            </w:r>
          </w:p>
        </w:tc>
      </w:tr>
    </w:tbl>
    <w:p>
      <w:pPr>
        <w:pStyle w:val="5"/>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20" w:hRule="atLeast"/>
        </w:trPr>
        <w:tc>
          <w:tcPr>
            <w:tcW w:w="5000" w:type="pct"/>
          </w:tcPr>
          <w:p>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Times New Roman"/>
                <w:sz w:val="24"/>
                <w:szCs w:val="24"/>
              </w:rPr>
            </w:pPr>
            <w:r>
              <w:rPr>
                <w:rFonts w:ascii="Times New Roman" w:hAnsi="Times New Roman" w:eastAsia="宋体" w:cs="Times New Roman"/>
                <w:sz w:val="24"/>
                <w:szCs w:val="24"/>
              </w:rPr>
              <w:t>工程环境保护投资明细</w:t>
            </w:r>
          </w:p>
          <w:p>
            <w:pPr>
              <w:pStyle w:val="16"/>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根据建设单位提供的资料，本项目计划总投资</w:t>
            </w:r>
            <w:r>
              <w:rPr>
                <w:rFonts w:hint="eastAsia" w:ascii="Times New Roman" w:hAnsi="Times New Roman" w:eastAsia="宋体" w:cs="Times New Roman"/>
                <w:sz w:val="24"/>
                <w:szCs w:val="24"/>
                <w:lang w:val="en-US" w:eastAsia="zh-CN"/>
              </w:rPr>
              <w:t>9600</w:t>
            </w:r>
            <w:r>
              <w:rPr>
                <w:rFonts w:hint="eastAsia" w:ascii="Times New Roman" w:hAnsi="Times New Roman" w:eastAsia="宋体" w:cs="Times New Roman"/>
                <w:sz w:val="24"/>
                <w:szCs w:val="24"/>
              </w:rPr>
              <w:t>万元，计划环保投资</w:t>
            </w:r>
            <w:r>
              <w:rPr>
                <w:rFonts w:hint="eastAsia" w:ascii="Times New Roman" w:hAnsi="Times New Roman" w:eastAsia="宋体" w:cs="Times New Roman"/>
                <w:sz w:val="24"/>
                <w:szCs w:val="24"/>
                <w:lang w:val="en-US" w:eastAsia="zh-CN"/>
              </w:rPr>
              <w:t>600</w:t>
            </w:r>
            <w:r>
              <w:rPr>
                <w:rFonts w:hint="eastAsia" w:ascii="Times New Roman" w:hAnsi="Times New Roman" w:eastAsia="宋体" w:cs="Times New Roman"/>
                <w:sz w:val="24"/>
                <w:szCs w:val="24"/>
              </w:rPr>
              <w:t>万元，</w:t>
            </w:r>
            <w:r>
              <w:rPr>
                <w:rFonts w:hint="default" w:ascii="Times New Roman" w:hAnsi="Times New Roman" w:cs="Times New Roman"/>
                <w:color w:val="auto"/>
                <w:sz w:val="24"/>
                <w:szCs w:val="24"/>
              </w:rPr>
              <w:t>约占总投资的</w:t>
            </w:r>
            <w:r>
              <w:rPr>
                <w:rFonts w:hint="eastAsia" w:ascii="Times New Roman" w:hAnsi="Times New Roman" w:cs="Times New Roman"/>
                <w:color w:val="auto"/>
                <w:sz w:val="24"/>
                <w:szCs w:val="24"/>
                <w:lang w:val="en-US" w:eastAsia="zh-CN"/>
              </w:rPr>
              <w:t>6.25</w:t>
            </w:r>
            <w:r>
              <w:rPr>
                <w:rFonts w:hint="default" w:ascii="Times New Roman" w:hAnsi="Times New Roman" w:cs="Times New Roman"/>
                <w:color w:val="auto"/>
                <w:sz w:val="24"/>
                <w:szCs w:val="24"/>
              </w:rPr>
              <w:t>%</w:t>
            </w:r>
            <w:r>
              <w:rPr>
                <w:rFonts w:hint="eastAsia" w:ascii="Times New Roman" w:hAnsi="Times New Roman" w:eastAsia="宋体" w:cs="Times New Roman"/>
                <w:color w:val="auto"/>
                <w:sz w:val="24"/>
                <w:szCs w:val="24"/>
                <w:lang w:eastAsia="zh-CN"/>
              </w:rPr>
              <w:t>。本工程</w:t>
            </w:r>
            <w:r>
              <w:rPr>
                <w:rFonts w:hint="eastAsia" w:ascii="Times New Roman" w:hAnsi="Times New Roman" w:eastAsia="宋体" w:cs="Times New Roman"/>
                <w:sz w:val="24"/>
                <w:szCs w:val="24"/>
              </w:rPr>
              <w:t>实际总投资约</w:t>
            </w:r>
            <w:r>
              <w:rPr>
                <w:rFonts w:hint="eastAsia" w:ascii="Times New Roman" w:hAnsi="Times New Roman" w:eastAsia="宋体" w:cs="Times New Roman"/>
                <w:sz w:val="24"/>
                <w:szCs w:val="24"/>
                <w:lang w:val="en-US" w:eastAsia="zh-CN"/>
              </w:rPr>
              <w:t>9600</w:t>
            </w:r>
            <w:r>
              <w:rPr>
                <w:rFonts w:hint="eastAsia" w:ascii="Times New Roman" w:hAnsi="Times New Roman" w:eastAsia="宋体" w:cs="Times New Roman"/>
                <w:sz w:val="24"/>
                <w:szCs w:val="24"/>
              </w:rPr>
              <w:t>万元，环保投资</w:t>
            </w:r>
            <w:r>
              <w:rPr>
                <w:rFonts w:hint="eastAsia" w:ascii="Times New Roman" w:hAnsi="Times New Roman" w:eastAsia="宋体" w:cs="Times New Roman"/>
                <w:sz w:val="24"/>
                <w:szCs w:val="24"/>
                <w:lang w:val="en-US" w:eastAsia="zh-CN"/>
              </w:rPr>
              <w:t>367</w:t>
            </w:r>
            <w:r>
              <w:rPr>
                <w:rFonts w:hint="eastAsia" w:ascii="Times New Roman" w:hAnsi="Times New Roman" w:eastAsia="宋体" w:cs="Times New Roman"/>
                <w:sz w:val="24"/>
                <w:szCs w:val="24"/>
              </w:rPr>
              <w:t>万元，</w:t>
            </w:r>
            <w:r>
              <w:rPr>
                <w:rFonts w:hint="default" w:ascii="Times New Roman" w:hAnsi="Times New Roman" w:cs="Times New Roman"/>
                <w:color w:val="auto"/>
                <w:sz w:val="24"/>
                <w:szCs w:val="24"/>
              </w:rPr>
              <w:t>约占总投资的</w:t>
            </w:r>
            <w:r>
              <w:rPr>
                <w:rFonts w:hint="eastAsia" w:ascii="Times New Roman" w:hAnsi="Times New Roman" w:cs="Times New Roman"/>
                <w:color w:val="auto"/>
                <w:sz w:val="24"/>
                <w:szCs w:val="24"/>
                <w:lang w:val="en-US" w:eastAsia="zh-CN"/>
              </w:rPr>
              <w:t>3.8</w:t>
            </w:r>
            <w:r>
              <w:rPr>
                <w:rFonts w:hint="default" w:ascii="Times New Roman" w:hAnsi="Times New Roman" w:cs="Times New Roman"/>
                <w:color w:val="auto"/>
                <w:sz w:val="24"/>
                <w:szCs w:val="24"/>
              </w:rPr>
              <w:t>%</w:t>
            </w:r>
            <w:r>
              <w:rPr>
                <w:rFonts w:hint="default" w:ascii="Times New Roman" w:hAnsi="Times New Roman" w:eastAsia="宋体" w:cs="Times New Roman"/>
                <w:sz w:val="24"/>
                <w:szCs w:val="24"/>
              </w:rPr>
              <w:t>。由</w:t>
            </w:r>
            <w:r>
              <w:rPr>
                <w:rFonts w:hint="default" w:ascii="Times New Roman" w:hAnsi="Times New Roman" w:eastAsia="宋体" w:cs="Times New Roman"/>
                <w:sz w:val="24"/>
                <w:szCs w:val="24"/>
                <w:lang w:eastAsia="zh-CN"/>
              </w:rPr>
              <w:t>下</w:t>
            </w:r>
            <w:r>
              <w:rPr>
                <w:rFonts w:hint="default" w:ascii="Times New Roman" w:hAnsi="Times New Roman" w:eastAsia="宋体" w:cs="Times New Roman"/>
                <w:sz w:val="24"/>
                <w:szCs w:val="24"/>
              </w:rPr>
              <w:t>表可知，环评中提出的</w:t>
            </w:r>
            <w:r>
              <w:rPr>
                <w:rFonts w:hint="eastAsia" w:ascii="Times New Roman" w:hAnsi="Times New Roman" w:eastAsia="宋体" w:cs="Times New Roman"/>
                <w:sz w:val="24"/>
                <w:szCs w:val="24"/>
                <w:lang w:eastAsia="zh-CN"/>
              </w:rPr>
              <w:t>固体废物、环境风险管理</w:t>
            </w:r>
            <w:r>
              <w:rPr>
                <w:rFonts w:hint="default" w:ascii="Times New Roman" w:hAnsi="Times New Roman" w:eastAsia="宋体" w:cs="Times New Roman"/>
                <w:sz w:val="24"/>
                <w:szCs w:val="24"/>
              </w:rPr>
              <w:t>等环保投资在项目运营期得到落实。</w:t>
            </w:r>
          </w:p>
          <w:p>
            <w:pPr>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工程环保实际设施投资一览表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939"/>
              <w:gridCol w:w="5436"/>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序号</w:t>
                  </w:r>
                </w:p>
              </w:tc>
              <w:tc>
                <w:tcPr>
                  <w:tcW w:w="5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污染类型</w:t>
                  </w:r>
                </w:p>
              </w:tc>
              <w:tc>
                <w:tcPr>
                  <w:tcW w:w="32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污染防治措施</w:t>
                  </w:r>
                </w:p>
              </w:tc>
              <w:tc>
                <w:tcPr>
                  <w:tcW w:w="8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56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废水</w:t>
                  </w:r>
                </w:p>
              </w:tc>
              <w:tc>
                <w:tcPr>
                  <w:tcW w:w="32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生产车间内自建分质分流污水管道，地上敷设，张贴标签</w:t>
                  </w:r>
                </w:p>
              </w:tc>
              <w:tc>
                <w:tcPr>
                  <w:tcW w:w="13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1</w:t>
                  </w:r>
                  <w:r>
                    <w:rPr>
                      <w:rFonts w:hint="default" w:ascii="Times New Roman" w:hAnsi="Times New Roman" w:cs="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56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c>
                <w:tcPr>
                  <w:tcW w:w="32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生产废水委托电镀中心污水处理厂处理</w:t>
                  </w:r>
                </w:p>
              </w:tc>
              <w:tc>
                <w:tcPr>
                  <w:tcW w:w="13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50（每年）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w:t>
                  </w:r>
                </w:p>
              </w:tc>
              <w:tc>
                <w:tcPr>
                  <w:tcW w:w="56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c>
                <w:tcPr>
                  <w:tcW w:w="32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生活污水和纯水制备浓水委托宁国市经济技术开发区污水处理厂处理。</w:t>
                  </w:r>
                </w:p>
              </w:tc>
              <w:tc>
                <w:tcPr>
                  <w:tcW w:w="13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5（每年）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4</w:t>
                  </w:r>
                </w:p>
              </w:tc>
              <w:tc>
                <w:tcPr>
                  <w:tcW w:w="56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废气</w:t>
                  </w:r>
                </w:p>
              </w:tc>
              <w:tc>
                <w:tcPr>
                  <w:tcW w:w="32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4</w:t>
                  </w:r>
                  <w:r>
                    <w:rPr>
                      <w:rFonts w:hint="default" w:ascii="Times New Roman" w:hAnsi="Times New Roman" w:eastAsia="宋体" w:cs="Times New Roman"/>
                      <w:kern w:val="0"/>
                      <w:sz w:val="21"/>
                      <w:szCs w:val="21"/>
                    </w:rPr>
                    <w:t>套全密闭罩+顶吸系统+侧吸系统</w:t>
                  </w:r>
                </w:p>
              </w:tc>
              <w:tc>
                <w:tcPr>
                  <w:tcW w:w="13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56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c>
                <w:tcPr>
                  <w:tcW w:w="32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w:t>
                  </w:r>
                  <w:r>
                    <w:rPr>
                      <w:rFonts w:hint="default" w:ascii="Times New Roman" w:hAnsi="Times New Roman" w:eastAsia="宋体" w:cs="Times New Roman"/>
                      <w:kern w:val="0"/>
                      <w:sz w:val="21"/>
                      <w:szCs w:val="21"/>
                    </w:rPr>
                    <w:t>座酸性废气喷淋吸收塔+</w:t>
                  </w:r>
                  <w:r>
                    <w:rPr>
                      <w:rFonts w:hint="default" w:ascii="Times New Roman" w:hAnsi="Times New Roman" w:eastAsia="宋体" w:cs="Times New Roman"/>
                      <w:kern w:val="0"/>
                      <w:sz w:val="21"/>
                      <w:szCs w:val="21"/>
                      <w:lang w:val="en-US" w:eastAsia="zh-CN"/>
                    </w:rPr>
                    <w:t>4</w:t>
                  </w:r>
                  <w:r>
                    <w:rPr>
                      <w:rFonts w:hint="default" w:ascii="Times New Roman" w:hAnsi="Times New Roman" w:eastAsia="宋体" w:cs="Times New Roman"/>
                      <w:kern w:val="0"/>
                      <w:sz w:val="21"/>
                      <w:szCs w:val="21"/>
                    </w:rPr>
                    <w:t>根15m排气筒</w:t>
                  </w:r>
                </w:p>
              </w:tc>
              <w:tc>
                <w:tcPr>
                  <w:tcW w:w="13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56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c>
                <w:tcPr>
                  <w:tcW w:w="32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2</w:t>
                  </w:r>
                  <w:r>
                    <w:rPr>
                      <w:rFonts w:hint="default" w:ascii="Times New Roman" w:hAnsi="Times New Roman" w:eastAsia="宋体" w:cs="Times New Roman"/>
                      <w:kern w:val="0"/>
                      <w:sz w:val="21"/>
                      <w:szCs w:val="21"/>
                    </w:rPr>
                    <w:t>座铬酸雾回收喷淋吸收塔+</w:t>
                  </w:r>
                  <w:r>
                    <w:rPr>
                      <w:rFonts w:hint="default" w:ascii="Times New Roman" w:hAnsi="Times New Roman" w:eastAsia="宋体" w:cs="Times New Roman"/>
                      <w:kern w:val="0"/>
                      <w:sz w:val="21"/>
                      <w:szCs w:val="21"/>
                      <w:lang w:val="en-US" w:eastAsia="zh-CN"/>
                    </w:rPr>
                    <w:t>2</w:t>
                  </w:r>
                  <w:r>
                    <w:rPr>
                      <w:rFonts w:hint="default" w:ascii="Times New Roman" w:hAnsi="Times New Roman" w:eastAsia="宋体" w:cs="Times New Roman"/>
                      <w:kern w:val="0"/>
                      <w:sz w:val="21"/>
                      <w:szCs w:val="21"/>
                    </w:rPr>
                    <w:t>根15m排气筒</w:t>
                  </w:r>
                </w:p>
              </w:tc>
              <w:tc>
                <w:tcPr>
                  <w:tcW w:w="13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7</w:t>
                  </w:r>
                </w:p>
              </w:tc>
              <w:tc>
                <w:tcPr>
                  <w:tcW w:w="5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固废</w:t>
                  </w:r>
                </w:p>
              </w:tc>
              <w:tc>
                <w:tcPr>
                  <w:tcW w:w="32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委托危险废物资质单位转运处置</w:t>
                  </w:r>
                </w:p>
              </w:tc>
              <w:tc>
                <w:tcPr>
                  <w:tcW w:w="13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rPr>
                    <w:t>20（每年）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8</w:t>
                  </w:r>
                </w:p>
              </w:tc>
              <w:tc>
                <w:tcPr>
                  <w:tcW w:w="5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噪声</w:t>
                  </w:r>
                </w:p>
              </w:tc>
              <w:tc>
                <w:tcPr>
                  <w:tcW w:w="32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消声设备、隔音设施等</w:t>
                  </w:r>
                </w:p>
              </w:tc>
              <w:tc>
                <w:tcPr>
                  <w:tcW w:w="13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rPr>
                  </w:pPr>
                  <w:r>
                    <w:rPr>
                      <w:rFonts w:hint="default" w:ascii="Times New Roman" w:hAnsi="Times New Roman" w:cs="Times New Roman"/>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57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9</w:t>
                  </w:r>
                </w:p>
              </w:tc>
              <w:tc>
                <w:tcPr>
                  <w:tcW w:w="56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地下水</w:t>
                  </w:r>
                </w:p>
              </w:tc>
              <w:tc>
                <w:tcPr>
                  <w:tcW w:w="32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生产车间地面加铺防渗材料措施</w:t>
                  </w:r>
                </w:p>
              </w:tc>
              <w:tc>
                <w:tcPr>
                  <w:tcW w:w="13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57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w:t>
                  </w:r>
                </w:p>
              </w:tc>
              <w:tc>
                <w:tcPr>
                  <w:tcW w:w="56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p>
              </w:tc>
              <w:tc>
                <w:tcPr>
                  <w:tcW w:w="32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制定地下水应急预案、地下水定期监测</w:t>
                  </w:r>
                </w:p>
              </w:tc>
              <w:tc>
                <w:tcPr>
                  <w:tcW w:w="13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57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1</w:t>
                  </w:r>
                  <w:r>
                    <w:rPr>
                      <w:rFonts w:hint="eastAsia" w:ascii="Times New Roman" w:hAnsi="Times New Roman" w:eastAsia="宋体" w:cs="Times New Roman"/>
                      <w:kern w:val="0"/>
                      <w:sz w:val="21"/>
                      <w:szCs w:val="21"/>
                      <w:lang w:val="en-US" w:eastAsia="zh-CN"/>
                    </w:rPr>
                    <w:t>1</w:t>
                  </w:r>
                </w:p>
              </w:tc>
              <w:tc>
                <w:tcPr>
                  <w:tcW w:w="56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环境管理</w:t>
                  </w:r>
                </w:p>
              </w:tc>
              <w:tc>
                <w:tcPr>
                  <w:tcW w:w="32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规范设置废气处理装置永久采样孔、采样测试平台、废气污染源标识牌</w:t>
                  </w:r>
                </w:p>
              </w:tc>
              <w:tc>
                <w:tcPr>
                  <w:tcW w:w="13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57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bidi="ar-SA"/>
                    </w:rPr>
                    <w:t>12</w:t>
                  </w:r>
                </w:p>
              </w:tc>
              <w:tc>
                <w:tcPr>
                  <w:tcW w:w="56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c>
                <w:tcPr>
                  <w:tcW w:w="32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槽底托盘、污水管道截断阀、事故水池截止阀等风险防范措施</w:t>
                  </w:r>
                </w:p>
              </w:tc>
              <w:tc>
                <w:tcPr>
                  <w:tcW w:w="13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5</w:t>
                  </w:r>
                  <w:r>
                    <w:rPr>
                      <w:rFonts w:hint="default" w:ascii="Times New Roman" w:hAnsi="Times New Roman" w:cs="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188"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    计</w:t>
                  </w:r>
                </w:p>
              </w:tc>
              <w:tc>
                <w:tcPr>
                  <w:tcW w:w="13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367</w:t>
                  </w:r>
                </w:p>
              </w:tc>
            </w:tr>
          </w:tbl>
          <w:p>
            <w:pPr>
              <w:pStyle w:val="16"/>
              <w:spacing w:line="374" w:lineRule="exact"/>
              <w:ind w:left="107"/>
              <w:rPr>
                <w:rFonts w:ascii="Times New Roman" w:hAnsi="Times New Roman" w:eastAsia="宋体" w:cs="Times New Roman"/>
              </w:rPr>
            </w:pPr>
          </w:p>
        </w:tc>
      </w:tr>
    </w:tbl>
    <w:p>
      <w:pPr>
        <w:spacing w:line="374" w:lineRule="exact"/>
        <w:rPr>
          <w:rFonts w:ascii="Times New Roman" w:hAnsi="Times New Roman" w:eastAsia="宋体" w:cs="Times New Roman"/>
        </w:rPr>
        <w:sectPr>
          <w:pgSz w:w="11910" w:h="16840"/>
          <w:pgMar w:top="1440" w:right="1803" w:bottom="1440" w:left="1803" w:header="863" w:footer="996" w:gutter="0"/>
          <w:pgBorders>
            <w:top w:val="none" w:sz="0" w:space="0"/>
            <w:left w:val="none" w:sz="0" w:space="0"/>
            <w:bottom w:val="none" w:sz="0" w:space="0"/>
            <w:right w:val="none" w:sz="0" w:space="0"/>
          </w:pgBorders>
          <w:cols w:space="720" w:num="1"/>
        </w:sectPr>
      </w:pPr>
    </w:p>
    <w:tbl>
      <w:tblPr>
        <w:tblStyle w:val="1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9" w:hRule="atLeast"/>
        </w:trPr>
        <w:tc>
          <w:tcPr>
            <w:tcW w:w="5000" w:type="pct"/>
          </w:tcPr>
          <w:p>
            <w:pPr>
              <w:pStyle w:val="16"/>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主要污染源、</w:t>
            </w:r>
            <w:r>
              <w:rPr>
                <w:rFonts w:ascii="Times New Roman" w:hAnsi="Times New Roman" w:eastAsia="宋体" w:cs="Times New Roman"/>
                <w:sz w:val="24"/>
                <w:szCs w:val="24"/>
              </w:rPr>
              <w:t>污染物</w:t>
            </w:r>
            <w:r>
              <w:rPr>
                <w:rFonts w:hint="eastAsia" w:ascii="Times New Roman" w:hAnsi="Times New Roman" w:eastAsia="宋体" w:cs="Times New Roman"/>
                <w:sz w:val="24"/>
                <w:szCs w:val="24"/>
                <w:lang w:eastAsia="zh-CN"/>
              </w:rPr>
              <w:t>处理和</w:t>
            </w:r>
            <w:r>
              <w:rPr>
                <w:rFonts w:ascii="Times New Roman" w:hAnsi="Times New Roman" w:eastAsia="宋体" w:cs="Times New Roman"/>
                <w:sz w:val="24"/>
                <w:szCs w:val="24"/>
              </w:rPr>
              <w:t>排放</w:t>
            </w:r>
          </w:p>
          <w:p>
            <w:pPr>
              <w:pStyle w:val="16"/>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一</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危险废物</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textAlignment w:val="auto"/>
              <w:outlineLvl w:val="9"/>
              <w:rPr>
                <w:rFonts w:hint="eastAsia"/>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1、废槽液：</w:t>
            </w:r>
            <w:r>
              <w:rPr>
                <w:rFonts w:ascii="宋体" w:hAnsi="宋体" w:eastAsia="宋体" w:cs="宋体"/>
                <w:color w:val="000000" w:themeColor="text1"/>
                <w:sz w:val="24"/>
                <w:szCs w:val="24"/>
                <w14:textFill>
                  <w14:solidFill>
                    <w14:schemeClr w14:val="tx1"/>
                  </w14:solidFill>
                </w14:textFill>
              </w:rPr>
              <w:t>退镀槽</w:t>
            </w:r>
            <w:r>
              <w:rPr>
                <w:rFonts w:hint="eastAsia" w:ascii="宋体" w:hAnsi="宋体" w:cs="宋体"/>
                <w:color w:val="000000" w:themeColor="text1"/>
                <w:sz w:val="24"/>
                <w:szCs w:val="24"/>
                <w:lang w:val="en-US" w:eastAsia="zh-CN"/>
                <w14:textFill>
                  <w14:solidFill>
                    <w14:schemeClr w14:val="tx1"/>
                  </w14:solidFill>
                </w14:textFill>
              </w:rPr>
              <w:t>、脱挂槽槽液不更换</w:t>
            </w:r>
            <w:r>
              <w:rPr>
                <w:rFonts w:hint="eastAsia" w:ascii="宋体" w:hAnsi="宋体" w:cs="宋体"/>
                <w:color w:val="000000" w:themeColor="text1"/>
                <w:sz w:val="24"/>
                <w:szCs w:val="24"/>
                <w:lang w:eastAsia="zh-CN"/>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整体槽液定期进行压滤机压滤</w:t>
            </w:r>
            <w:r>
              <w:rPr>
                <w:rFonts w:hint="eastAsia" w:ascii="宋体" w:hAnsi="宋体" w:cs="宋体"/>
                <w:color w:val="000000" w:themeColor="text1"/>
                <w:sz w:val="24"/>
                <w:szCs w:val="24"/>
                <w:lang w:eastAsia="zh-CN"/>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压滤出的污泥作为退镀槽渣</w:t>
            </w:r>
            <w:r>
              <w:rPr>
                <w:rFonts w:hint="eastAsia" w:ascii="宋体" w:hAnsi="宋体" w:eastAsia="宋体" w:cs="宋体"/>
                <w:color w:val="000000" w:themeColor="text1"/>
                <w:sz w:val="24"/>
                <w:szCs w:val="24"/>
                <w:lang w:eastAsia="zh-CN"/>
                <w14:textFill>
                  <w14:solidFill>
                    <w14:schemeClr w14:val="tx1"/>
                  </w14:solidFill>
                </w14:textFill>
              </w:rPr>
              <w:t>按</w:t>
            </w:r>
            <w:r>
              <w:rPr>
                <w:rFonts w:ascii="宋体" w:hAnsi="宋体" w:eastAsia="宋体" w:cs="宋体"/>
                <w:color w:val="000000" w:themeColor="text1"/>
                <w:sz w:val="24"/>
                <w:szCs w:val="24"/>
                <w14:textFill>
                  <w14:solidFill>
                    <w14:schemeClr w14:val="tx1"/>
                  </w14:solidFill>
                </w14:textFill>
              </w:rPr>
              <w:t>危废处置，</w:t>
            </w:r>
            <w:r>
              <w:rPr>
                <w:rFonts w:hint="eastAsia" w:ascii="Times New Roman" w:hAnsi="Times New Roman" w:cs="Times New Roman"/>
                <w:color w:val="000000" w:themeColor="text1"/>
                <w:sz w:val="24"/>
                <w:szCs w:val="24"/>
                <w:lang w:val="en-US" w:eastAsia="zh-CN"/>
                <w14:textFill>
                  <w14:solidFill>
                    <w14:schemeClr w14:val="tx1"/>
                  </w14:solidFill>
                </w14:textFill>
              </w:rPr>
              <w:t>退镀槽渣产生量为12t/a。</w:t>
            </w:r>
            <w:r>
              <w:rPr>
                <w:rFonts w:hint="eastAsia" w:ascii="宋体" w:hAnsi="宋体" w:cs="宋体"/>
                <w:color w:val="000000" w:themeColor="text1"/>
                <w:sz w:val="24"/>
                <w:szCs w:val="24"/>
                <w:lang w:eastAsia="zh-CN"/>
                <w14:textFill>
                  <w14:solidFill>
                    <w14:schemeClr w14:val="tx1"/>
                  </w14:solidFill>
                </w14:textFill>
              </w:rPr>
              <w:t>压</w:t>
            </w:r>
            <w:r>
              <w:rPr>
                <w:rFonts w:ascii="宋体" w:hAnsi="宋体" w:eastAsia="宋体" w:cs="宋体"/>
                <w:color w:val="000000" w:themeColor="text1"/>
                <w:sz w:val="24"/>
                <w:szCs w:val="24"/>
                <w14:textFill>
                  <w14:solidFill>
                    <w14:schemeClr w14:val="tx1"/>
                  </w14:solidFill>
                </w14:textFill>
              </w:rPr>
              <w:t>滤液重新回到退镀槽中继续使用，因此退镀槽</w:t>
            </w:r>
            <w:r>
              <w:rPr>
                <w:rFonts w:hint="eastAsia" w:ascii="宋体" w:hAnsi="宋体" w:cs="宋体"/>
                <w:color w:val="000000" w:themeColor="text1"/>
                <w:sz w:val="24"/>
                <w:szCs w:val="24"/>
                <w:lang w:eastAsia="zh-CN"/>
                <w14:textFill>
                  <w14:solidFill>
                    <w14:schemeClr w14:val="tx1"/>
                  </w14:solidFill>
                </w14:textFill>
              </w:rPr>
              <w:t>、脱挂</w:t>
            </w:r>
            <w:r>
              <w:rPr>
                <w:rFonts w:ascii="宋体" w:hAnsi="宋体" w:eastAsia="宋体" w:cs="宋体"/>
                <w:color w:val="000000" w:themeColor="text1"/>
                <w:sz w:val="24"/>
                <w:szCs w:val="24"/>
                <w14:textFill>
                  <w14:solidFill>
                    <w14:schemeClr w14:val="tx1"/>
                  </w14:solidFill>
                </w14:textFill>
              </w:rPr>
              <w:t>槽</w:t>
            </w:r>
            <w:r>
              <w:rPr>
                <w:rFonts w:hint="eastAsia" w:ascii="宋体" w:hAnsi="宋体" w:cs="宋体"/>
                <w:color w:val="000000" w:themeColor="text1"/>
                <w:sz w:val="24"/>
                <w:szCs w:val="24"/>
                <w:lang w:eastAsia="zh-CN"/>
                <w14:textFill>
                  <w14:solidFill>
                    <w14:schemeClr w14:val="tx1"/>
                  </w14:solidFill>
                </w14:textFill>
              </w:rPr>
              <w:t>槽</w:t>
            </w:r>
            <w:r>
              <w:rPr>
                <w:rFonts w:ascii="宋体" w:hAnsi="宋体" w:eastAsia="宋体" w:cs="宋体"/>
                <w:color w:val="000000" w:themeColor="text1"/>
                <w:sz w:val="24"/>
                <w:szCs w:val="24"/>
                <w14:textFill>
                  <w14:solidFill>
                    <w14:schemeClr w14:val="tx1"/>
                  </w14:solidFill>
                </w14:textFill>
              </w:rPr>
              <w:t>液不会进行更换</w:t>
            </w:r>
            <w:r>
              <w:rPr>
                <w:rFonts w:hint="eastAsia" w:ascii="宋体" w:hAnsi="宋体" w:cs="宋体"/>
                <w:color w:val="000000" w:themeColor="text1"/>
                <w:sz w:val="24"/>
                <w:szCs w:val="24"/>
                <w:lang w:eastAsia="zh-CN"/>
                <w14:textFill>
                  <w14:solidFill>
                    <w14:schemeClr w14:val="tx1"/>
                  </w14:solidFill>
                </w14:textFill>
              </w:rPr>
              <w:t>。</w:t>
            </w:r>
            <w:r>
              <w:rPr>
                <w:rFonts w:hint="eastAsia"/>
                <w:color w:val="000000" w:themeColor="text1"/>
                <w:sz w:val="24"/>
                <w:szCs w:val="32"/>
                <w:lang w:val="en-US" w:eastAsia="zh-CN"/>
                <w14:textFill>
                  <w14:solidFill>
                    <w14:schemeClr w14:val="tx1"/>
                  </w14:solidFill>
                </w14:textFill>
              </w:rPr>
              <w:t>钝化槽采用三价铬低铬钝化，槽液不整体更换，循环使用，生产钝化过程中槽体带出的钝化液作为含铬废水进入园区污水处理站处理。依据钝化槽液浓度及消耗量进行添加补充。</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textAlignment w:val="auto"/>
              <w:outlineLvl w:val="9"/>
              <w:rPr>
                <w:rFonts w:hint="default"/>
                <w:color w:val="000000" w:themeColor="text1"/>
                <w:sz w:val="24"/>
                <w:szCs w:val="32"/>
                <w:lang w:val="en-US" w:eastAsia="zh-CN"/>
                <w14:textFill>
                  <w14:solidFill>
                    <w14:schemeClr w14:val="tx1"/>
                  </w14:solidFill>
                </w14:textFill>
              </w:rPr>
            </w:pPr>
            <w:r>
              <w:rPr>
                <w:rFonts w:hint="default"/>
                <w:color w:val="000000" w:themeColor="text1"/>
                <w:sz w:val="24"/>
                <w:szCs w:val="32"/>
                <w:lang w:val="en-US" w:eastAsia="zh-CN"/>
                <w14:textFill>
                  <w14:solidFill>
                    <w14:schemeClr w14:val="tx1"/>
                  </w14:solidFill>
                </w14:textFill>
              </w:rPr>
              <w:drawing>
                <wp:inline distT="0" distB="0" distL="114300" distR="114300">
                  <wp:extent cx="5189855" cy="3892550"/>
                  <wp:effectExtent l="0" t="0" r="10795" b="12700"/>
                  <wp:docPr id="26" name="图片 26" descr="850637eed1d1e78a909400a5c2ec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50637eed1d1e78a909400a5c2ecd51"/>
                          <pic:cNvPicPr>
                            <a:picLocks noChangeAspect="1"/>
                          </pic:cNvPicPr>
                        </pic:nvPicPr>
                        <pic:blipFill>
                          <a:blip r:embed="rId10"/>
                          <a:stretch>
                            <a:fillRect/>
                          </a:stretch>
                        </pic:blipFill>
                        <pic:spPr>
                          <a:xfrm>
                            <a:off x="0" y="0"/>
                            <a:ext cx="5189855" cy="3892550"/>
                          </a:xfrm>
                          <a:prstGeom prst="rect">
                            <a:avLst/>
                          </a:prstGeom>
                        </pic:spPr>
                      </pic:pic>
                    </a:graphicData>
                  </a:graphic>
                </wp:inline>
              </w:drawing>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2" w:firstLineChars="200"/>
              <w:jc w:val="center"/>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图4-1 槽液压滤机</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textAlignment w:val="auto"/>
              <w:outlineLvl w:val="9"/>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废树脂：废弃树脂属于公司纯水机设备，该设备原水全部采用自来水进行纯水制备，制备的纯水用于生产线生产用水的补充，该设备树脂为再生树脂，直至目前未产生更换。纯水制备产生的废树脂依据《国家危险废物名录（2021年版）》已不属于危险废物。</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3、废机油、废油泥：实际生产中本项目无废机油及废油泥产生。公司生产线机械润滑采用固体润滑</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黄油进行机械润滑，故不产生废机油及废油泥。</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textAlignment w:val="auto"/>
              <w:outlineLvl w:val="9"/>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4、废包装物：</w:t>
            </w:r>
            <w:r>
              <w:rPr>
                <w:rFonts w:hint="default" w:ascii="Times New Roman" w:hAnsi="Times New Roman" w:cs="Times New Roman"/>
                <w:color w:val="000000" w:themeColor="text1"/>
                <w:sz w:val="24"/>
                <w:szCs w:val="24"/>
                <w:lang w:eastAsia="zh-CN"/>
                <w14:textFill>
                  <w14:solidFill>
                    <w14:schemeClr w14:val="tx1"/>
                  </w14:solidFill>
                </w14:textFill>
              </w:rPr>
              <w:t>化学原料桶由供货单位回收后重新灌装，反复使用。</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textAlignment w:val="auto"/>
              <w:outlineLvl w:val="9"/>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5、镀铬废槽液：产生量为9t/a，镀铬废槽液每年依据各个镀铬槽槽液维护保养程度情况及电镀产品质量情况，决定是否更换，正常报废周期约4年一次。</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textAlignment w:val="auto"/>
              <w:outlineLvl w:val="9"/>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6、封孔槽液废过滤芯：封闭工序为了弥补镀层缺陷，提高镀层防护性能。封闭槽液不更换，定期补充添加。实际运行中封孔槽液并不需要过滤处理，所以无废过滤芯及滤渣产生。</w:t>
            </w:r>
          </w:p>
          <w:p>
            <w:pPr>
              <w:adjustRightInd w:val="0"/>
              <w:snapToGrid w:val="0"/>
              <w:jc w:val="center"/>
              <w:rPr>
                <w:rFonts w:hint="default"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lang w:eastAsia="zh-CN"/>
                <w14:textFill>
                  <w14:solidFill>
                    <w14:schemeClr w14:val="tx1"/>
                  </w14:solidFill>
                </w14:textFill>
              </w:rPr>
              <w:t>表</w:t>
            </w:r>
            <w:r>
              <w:rPr>
                <w:rFonts w:hint="eastAsia" w:ascii="Times New Roman" w:hAnsi="Times New Roman" w:cs="Times New Roman"/>
                <w:b/>
                <w:color w:val="000000" w:themeColor="text1"/>
                <w:sz w:val="24"/>
                <w:szCs w:val="24"/>
                <w:lang w:val="en-US" w:eastAsia="zh-CN"/>
                <w14:textFill>
                  <w14:solidFill>
                    <w14:schemeClr w14:val="tx1"/>
                  </w14:solidFill>
                </w14:textFill>
              </w:rPr>
              <w:t xml:space="preserve">4-1 </w:t>
            </w:r>
            <w:r>
              <w:rPr>
                <w:rFonts w:hint="eastAsia" w:ascii="Times New Roman" w:hAnsi="Times New Roman" w:cs="Times New Roman"/>
                <w:b/>
                <w:color w:val="000000" w:themeColor="text1"/>
                <w:sz w:val="24"/>
                <w:szCs w:val="24"/>
                <w:lang w:eastAsia="zh-CN"/>
                <w14:textFill>
                  <w14:solidFill>
                    <w14:schemeClr w14:val="tx1"/>
                  </w14:solidFill>
                </w14:textFill>
              </w:rPr>
              <w:t>危废产生情况</w:t>
            </w:r>
            <w:r>
              <w:rPr>
                <w:rFonts w:hint="default" w:ascii="Times New Roman" w:hAnsi="Times New Roman" w:cs="Times New Roman"/>
                <w:b/>
                <w:color w:val="000000" w:themeColor="text1"/>
                <w:sz w:val="24"/>
                <w:szCs w:val="24"/>
                <w14:textFill>
                  <w14:solidFill>
                    <w14:schemeClr w14:val="tx1"/>
                  </w14:solidFill>
                </w14:textFill>
              </w:rPr>
              <w:t>一览表</w:t>
            </w:r>
          </w:p>
          <w:tbl>
            <w:tblPr>
              <w:tblStyle w:val="13"/>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1030"/>
              <w:gridCol w:w="684"/>
              <w:gridCol w:w="686"/>
              <w:gridCol w:w="686"/>
              <w:gridCol w:w="447"/>
              <w:gridCol w:w="449"/>
              <w:gridCol w:w="686"/>
              <w:gridCol w:w="815"/>
              <w:gridCol w:w="1257"/>
              <w:gridCol w:w="834"/>
              <w:gridCol w:w="7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5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序号</w:t>
                  </w:r>
                </w:p>
              </w:tc>
              <w:tc>
                <w:tcPr>
                  <w:tcW w:w="59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固体废物名称</w:t>
                  </w:r>
                </w:p>
              </w:tc>
              <w:tc>
                <w:tcPr>
                  <w:tcW w:w="39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产生工序</w:t>
                  </w:r>
                </w:p>
              </w:tc>
              <w:tc>
                <w:tcPr>
                  <w:tcW w:w="39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主要成分</w:t>
                  </w:r>
                </w:p>
              </w:tc>
              <w:tc>
                <w:tcPr>
                  <w:tcW w:w="39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形态</w:t>
                  </w:r>
                </w:p>
              </w:tc>
              <w:tc>
                <w:tcPr>
                  <w:tcW w:w="513"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产废周期</w:t>
                  </w:r>
                </w:p>
              </w:tc>
              <w:tc>
                <w:tcPr>
                  <w:tcW w:w="39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危险特性</w:t>
                  </w:r>
                </w:p>
              </w:tc>
              <w:tc>
                <w:tcPr>
                  <w:tcW w:w="46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废物类别</w:t>
                  </w:r>
                </w:p>
              </w:tc>
              <w:tc>
                <w:tcPr>
                  <w:tcW w:w="72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危废代码</w:t>
                  </w:r>
                </w:p>
              </w:tc>
              <w:tc>
                <w:tcPr>
                  <w:tcW w:w="879"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5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59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39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3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3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lang w:eastAsia="zh-CN"/>
                    </w:rPr>
                  </w:pPr>
                  <w:r>
                    <w:rPr>
                      <w:rFonts w:hint="eastAsia"/>
                      <w:lang w:eastAsia="zh-CN"/>
                    </w:rPr>
                    <w:t>环评</w:t>
                  </w:r>
                </w:p>
              </w:tc>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lang w:eastAsia="zh-CN"/>
                    </w:rPr>
                  </w:pPr>
                  <w:r>
                    <w:rPr>
                      <w:rFonts w:hint="eastAsia"/>
                      <w:lang w:eastAsia="zh-CN"/>
                    </w:rPr>
                    <w:t>实际</w:t>
                  </w:r>
                </w:p>
              </w:tc>
              <w:tc>
                <w:tcPr>
                  <w:tcW w:w="3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46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72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p>
              </w:tc>
              <w:tc>
                <w:tcPr>
                  <w:tcW w:w="4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lang w:eastAsia="zh-CN"/>
                    </w:rPr>
                    <w:t>环评量</w:t>
                  </w:r>
                </w:p>
              </w:tc>
              <w:tc>
                <w:tcPr>
                  <w:tcW w:w="4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lang w:eastAsia="zh-CN"/>
                    </w:rPr>
                    <w:t>实际发生量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废机油</w:t>
                  </w:r>
                </w:p>
              </w:tc>
              <w:tc>
                <w:tcPr>
                  <w:tcW w:w="39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设备维护</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机油</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液态</w:t>
                  </w:r>
                </w:p>
              </w:tc>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T/I</w:t>
                  </w:r>
                </w:p>
              </w:tc>
              <w:tc>
                <w:tcPr>
                  <w:tcW w:w="4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HW08</w:t>
                  </w:r>
                </w:p>
              </w:tc>
              <w:tc>
                <w:tcPr>
                  <w:tcW w:w="7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900-249-08</w:t>
                  </w:r>
                </w:p>
              </w:tc>
              <w:tc>
                <w:tcPr>
                  <w:tcW w:w="4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4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废油泥</w:t>
                  </w:r>
                </w:p>
              </w:tc>
              <w:tc>
                <w:tcPr>
                  <w:tcW w:w="39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除油</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油水混合物</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半固态</w:t>
                  </w:r>
                </w:p>
              </w:tc>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每天</w:t>
                  </w:r>
                </w:p>
              </w:tc>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T/I</w:t>
                  </w:r>
                </w:p>
              </w:tc>
              <w:tc>
                <w:tcPr>
                  <w:tcW w:w="4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HW17</w:t>
                  </w:r>
                </w:p>
              </w:tc>
              <w:tc>
                <w:tcPr>
                  <w:tcW w:w="7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336-064-17</w:t>
                  </w:r>
                </w:p>
              </w:tc>
              <w:tc>
                <w:tcPr>
                  <w:tcW w:w="4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3.5</w:t>
                  </w:r>
                </w:p>
              </w:tc>
              <w:tc>
                <w:tcPr>
                  <w:tcW w:w="4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退镀槽渣</w:t>
                  </w:r>
                </w:p>
              </w:tc>
              <w:tc>
                <w:tcPr>
                  <w:tcW w:w="39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压滤</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废渣</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半固态</w:t>
                  </w:r>
                </w:p>
              </w:tc>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6个月</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w:t>
                  </w:r>
                </w:p>
              </w:tc>
              <w:tc>
                <w:tcPr>
                  <w:tcW w:w="4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HW17</w:t>
                  </w:r>
                </w:p>
              </w:tc>
              <w:tc>
                <w:tcPr>
                  <w:tcW w:w="7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336-066-17</w:t>
                  </w:r>
                </w:p>
              </w:tc>
              <w:tc>
                <w:tcPr>
                  <w:tcW w:w="4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4</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镀铬废槽液</w:t>
                  </w:r>
                </w:p>
              </w:tc>
              <w:tc>
                <w:tcPr>
                  <w:tcW w:w="39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镀铬</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槽液</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液态</w:t>
                  </w:r>
                </w:p>
              </w:tc>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w:t>
                  </w:r>
                </w:p>
              </w:tc>
              <w:tc>
                <w:tcPr>
                  <w:tcW w:w="4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HW17</w:t>
                  </w:r>
                </w:p>
              </w:tc>
              <w:tc>
                <w:tcPr>
                  <w:tcW w:w="7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336-068-17</w:t>
                  </w:r>
                </w:p>
              </w:tc>
              <w:tc>
                <w:tcPr>
                  <w:tcW w:w="4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5</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废滤芯</w:t>
                  </w:r>
                </w:p>
              </w:tc>
              <w:tc>
                <w:tcPr>
                  <w:tcW w:w="39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电镀</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重金属离子</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半固态</w:t>
                  </w:r>
                </w:p>
              </w:tc>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2个月</w:t>
                  </w:r>
                </w:p>
              </w:tc>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2个月</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w:t>
                  </w:r>
                </w:p>
              </w:tc>
              <w:tc>
                <w:tcPr>
                  <w:tcW w:w="4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HW17</w:t>
                  </w:r>
                </w:p>
              </w:tc>
              <w:tc>
                <w:tcPr>
                  <w:tcW w:w="7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336-055-17</w:t>
                  </w:r>
                </w:p>
              </w:tc>
              <w:tc>
                <w:tcPr>
                  <w:tcW w:w="4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4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6</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废包装物</w:t>
                  </w:r>
                </w:p>
              </w:tc>
              <w:tc>
                <w:tcPr>
                  <w:tcW w:w="39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生产</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沾染化学品包装物</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固态</w:t>
                  </w:r>
                </w:p>
              </w:tc>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T/I</w:t>
                  </w:r>
                </w:p>
              </w:tc>
              <w:tc>
                <w:tcPr>
                  <w:tcW w:w="4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HW08</w:t>
                  </w:r>
                </w:p>
              </w:tc>
              <w:tc>
                <w:tcPr>
                  <w:tcW w:w="7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900-041-49</w:t>
                  </w:r>
                </w:p>
              </w:tc>
              <w:tc>
                <w:tcPr>
                  <w:tcW w:w="4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4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7</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钝化槽废槽液</w:t>
                  </w:r>
                </w:p>
              </w:tc>
              <w:tc>
                <w:tcPr>
                  <w:tcW w:w="39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钝化</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槽液</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液态</w:t>
                  </w:r>
                </w:p>
              </w:tc>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1年</w:t>
                  </w:r>
                </w:p>
              </w:tc>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循环使用</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w:t>
                  </w:r>
                </w:p>
              </w:tc>
              <w:tc>
                <w:tcPr>
                  <w:tcW w:w="4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HW17</w:t>
                  </w:r>
                </w:p>
              </w:tc>
              <w:tc>
                <w:tcPr>
                  <w:tcW w:w="7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336-068-17</w:t>
                  </w:r>
                </w:p>
              </w:tc>
              <w:tc>
                <w:tcPr>
                  <w:tcW w:w="4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11.02</w:t>
                  </w:r>
                </w:p>
              </w:tc>
              <w:tc>
                <w:tcPr>
                  <w:tcW w:w="4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脱挂槽废槽液</w:t>
                  </w:r>
                </w:p>
              </w:tc>
              <w:tc>
                <w:tcPr>
                  <w:tcW w:w="39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脱挂</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槽液</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液态</w:t>
                  </w:r>
                </w:p>
              </w:tc>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1年</w:t>
                  </w:r>
                </w:p>
              </w:tc>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循环使用</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w:t>
                  </w:r>
                </w:p>
              </w:tc>
              <w:tc>
                <w:tcPr>
                  <w:tcW w:w="4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HW17</w:t>
                  </w:r>
                </w:p>
              </w:tc>
              <w:tc>
                <w:tcPr>
                  <w:tcW w:w="7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336-063-17</w:t>
                  </w:r>
                </w:p>
              </w:tc>
              <w:tc>
                <w:tcPr>
                  <w:tcW w:w="4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6.61</w:t>
                  </w:r>
                </w:p>
              </w:tc>
              <w:tc>
                <w:tcPr>
                  <w:tcW w:w="4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9</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抛光槽废槽液</w:t>
                  </w:r>
                </w:p>
              </w:tc>
              <w:tc>
                <w:tcPr>
                  <w:tcW w:w="39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抛光</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槽液</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液态</w:t>
                  </w:r>
                </w:p>
              </w:tc>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1年</w:t>
                  </w:r>
                </w:p>
              </w:tc>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1年</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w:t>
                  </w:r>
                </w:p>
              </w:tc>
              <w:tc>
                <w:tcPr>
                  <w:tcW w:w="4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HW17</w:t>
                  </w:r>
                </w:p>
              </w:tc>
              <w:tc>
                <w:tcPr>
                  <w:tcW w:w="7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336-063-17</w:t>
                  </w:r>
                </w:p>
              </w:tc>
              <w:tc>
                <w:tcPr>
                  <w:tcW w:w="4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2.2</w:t>
                  </w:r>
                </w:p>
              </w:tc>
              <w:tc>
                <w:tcPr>
                  <w:tcW w:w="4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退镀槽废槽液</w:t>
                  </w:r>
                </w:p>
              </w:tc>
              <w:tc>
                <w:tcPr>
                  <w:tcW w:w="39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退镀</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槽液</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液态</w:t>
                  </w:r>
                </w:p>
              </w:tc>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1年</w:t>
                  </w:r>
                </w:p>
              </w:tc>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循环使用</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w:t>
                  </w:r>
                </w:p>
              </w:tc>
              <w:tc>
                <w:tcPr>
                  <w:tcW w:w="4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HW17</w:t>
                  </w:r>
                </w:p>
              </w:tc>
              <w:tc>
                <w:tcPr>
                  <w:tcW w:w="7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336-063-17</w:t>
                  </w:r>
                </w:p>
              </w:tc>
              <w:tc>
                <w:tcPr>
                  <w:tcW w:w="4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4.59</w:t>
                  </w:r>
                </w:p>
              </w:tc>
              <w:tc>
                <w:tcPr>
                  <w:tcW w:w="4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11</w:t>
                  </w:r>
                </w:p>
              </w:tc>
              <w:tc>
                <w:tcPr>
                  <w:tcW w:w="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封孔槽液废过滤芯</w:t>
                  </w:r>
                </w:p>
              </w:tc>
              <w:tc>
                <w:tcPr>
                  <w:tcW w:w="39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封闭</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有机硅烷类</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半固态</w:t>
                  </w:r>
                </w:p>
              </w:tc>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2个月</w:t>
                  </w:r>
                </w:p>
              </w:tc>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3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w:t>
                  </w:r>
                </w:p>
              </w:tc>
              <w:tc>
                <w:tcPr>
                  <w:tcW w:w="4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HW49</w:t>
                  </w:r>
                </w:p>
              </w:tc>
              <w:tc>
                <w:tcPr>
                  <w:tcW w:w="7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900-041-49</w:t>
                  </w:r>
                </w:p>
              </w:tc>
              <w:tc>
                <w:tcPr>
                  <w:tcW w:w="4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4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r>
          </w:tbl>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由上表可知，危险废物较环评的变化为：</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1、废机油实际发生量为0。</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2、废油泥实际发生量为0。</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3、废滤芯实际发生量为1.0t/a。</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4、封孔槽液过滤芯实际发生量为0。</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5、废槽液：</w:t>
            </w:r>
            <w:r>
              <w:rPr>
                <w:rFonts w:ascii="宋体" w:hAnsi="宋体" w:eastAsia="宋体" w:cs="宋体"/>
                <w:color w:val="000000" w:themeColor="text1"/>
                <w:sz w:val="24"/>
                <w:szCs w:val="24"/>
                <w14:textFill>
                  <w14:solidFill>
                    <w14:schemeClr w14:val="tx1"/>
                  </w14:solidFill>
                </w14:textFill>
              </w:rPr>
              <w:t>退镀槽</w:t>
            </w:r>
            <w:r>
              <w:rPr>
                <w:rFonts w:hint="eastAsia" w:ascii="宋体" w:hAnsi="宋体" w:cs="宋体"/>
                <w:color w:val="000000" w:themeColor="text1"/>
                <w:sz w:val="24"/>
                <w:szCs w:val="24"/>
                <w:lang w:val="en-US" w:eastAsia="zh-CN"/>
                <w14:textFill>
                  <w14:solidFill>
                    <w14:schemeClr w14:val="tx1"/>
                  </w14:solidFill>
                </w14:textFill>
              </w:rPr>
              <w:t>、脱挂槽、</w:t>
            </w:r>
            <w:r>
              <w:rPr>
                <w:rFonts w:hint="eastAsia" w:ascii="Times New Roman" w:hAnsi="Times New Roman" w:eastAsia="宋体" w:cs="Times New Roman"/>
                <w:bCs/>
                <w:color w:val="000000" w:themeColor="text1"/>
                <w:sz w:val="24"/>
                <w:szCs w:val="24"/>
                <w:lang w:eastAsia="zh-CN"/>
                <w14:textFill>
                  <w14:solidFill>
                    <w14:schemeClr w14:val="tx1"/>
                  </w14:solidFill>
                </w14:textFill>
              </w:rPr>
              <w:t>钝化槽废</w:t>
            </w:r>
            <w:r>
              <w:rPr>
                <w:rFonts w:hint="eastAsia" w:ascii="宋体" w:hAnsi="宋体" w:cs="宋体"/>
                <w:color w:val="000000" w:themeColor="text1"/>
                <w:sz w:val="24"/>
                <w:szCs w:val="24"/>
                <w:lang w:val="en-US" w:eastAsia="zh-CN"/>
                <w14:textFill>
                  <w14:solidFill>
                    <w14:schemeClr w14:val="tx1"/>
                  </w14:solidFill>
                </w14:textFill>
              </w:rPr>
              <w:t>槽液不更换</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由环评中4.0t/a变为0；抛光槽废槽液由环评中2.2t/a变为6.0t/a。</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6、新增退镀槽渣产生量为12t/a。</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7、新增</w:t>
            </w:r>
            <w:r>
              <w:rPr>
                <w:rFonts w:hint="eastAsia" w:ascii="Times New Roman" w:hAnsi="Times New Roman" w:cs="Times New Roman"/>
                <w:color w:val="000000" w:themeColor="text1"/>
                <w:sz w:val="24"/>
                <w:szCs w:val="24"/>
                <w:lang w:val="en-US" w:eastAsia="zh-CN"/>
                <w14:textFill>
                  <w14:solidFill>
                    <w14:schemeClr w14:val="tx1"/>
                  </w14:solidFill>
                </w14:textFill>
              </w:rPr>
              <w:t>镀铬废槽液产生量为9t/a。</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危险废物总量环评中为38.42t/a，实际发生量为28t/a。</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inline distT="0" distB="0" distL="114300" distR="114300">
                  <wp:extent cx="5459730" cy="2519680"/>
                  <wp:effectExtent l="0" t="0" r="7620" b="13970"/>
                  <wp:docPr id="29" name="图片 29" descr="803b9117edc7082e9346fda178f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03b9117edc7082e9346fda178f9252"/>
                          <pic:cNvPicPr>
                            <a:picLocks noChangeAspect="1"/>
                          </pic:cNvPicPr>
                        </pic:nvPicPr>
                        <pic:blipFill>
                          <a:blip r:embed="rId11"/>
                          <a:stretch>
                            <a:fillRect/>
                          </a:stretch>
                        </pic:blipFill>
                        <pic:spPr>
                          <a:xfrm>
                            <a:off x="0" y="0"/>
                            <a:ext cx="5459730" cy="2519680"/>
                          </a:xfrm>
                          <a:prstGeom prst="rect">
                            <a:avLst/>
                          </a:prstGeom>
                        </pic:spPr>
                      </pic:pic>
                    </a:graphicData>
                  </a:graphic>
                </wp:inline>
              </w:drawing>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图</w:t>
            </w:r>
            <w:r>
              <w:rPr>
                <w:rFonts w:hint="eastAsia" w:ascii="Times New Roman" w:hAnsi="Times New Roman" w:eastAsia="宋体" w:cs="Times New Roman"/>
                <w:b/>
                <w:bCs/>
                <w:sz w:val="24"/>
                <w:szCs w:val="24"/>
                <w:lang w:val="en-US" w:eastAsia="zh-CN"/>
              </w:rPr>
              <w:t>4-2 危废管理制度</w:t>
            </w:r>
          </w:p>
          <w:p>
            <w:pPr>
              <w:pStyle w:val="16"/>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本项目退镀槽、脱挂槽槽液不更换，整体槽液定期进行压滤机压滤，压滤出的污泥作为退镀槽渣危废处置，压滤液重新回到退镀槽中继续使用，因此退镀槽、脱挂槽槽液不会进行更换。钝化槽采用三价铬低铬钝化，槽液不整体更换，循环使用，生产钝化过程中槽体带出的钝化液作为含铬废水进入园区污水处理站处理，依据钝化槽液浓度及消耗量进行添加补充。本次验收调查危险废物实际发生量</w:t>
            </w:r>
            <w:r>
              <w:rPr>
                <w:rFonts w:hint="eastAsia" w:ascii="Times New Roman" w:hAnsi="Times New Roman" w:eastAsia="宋体" w:cs="Times New Roman"/>
                <w:sz w:val="24"/>
                <w:szCs w:val="24"/>
                <w:lang w:val="en-US" w:eastAsia="zh-CN"/>
              </w:rPr>
              <w:t>为28t/a。</w:t>
            </w:r>
          </w:p>
          <w:p>
            <w:pPr>
              <w:pStyle w:val="16"/>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本项目危废库及生产车间为重点防渗区，危废库</w:t>
            </w:r>
            <w:r>
              <w:rPr>
                <w:rFonts w:hint="eastAsia" w:ascii="Times New Roman" w:hAnsi="Times New Roman" w:eastAsia="宋体" w:cs="Times New Roman"/>
                <w:sz w:val="24"/>
                <w:szCs w:val="24"/>
                <w:lang w:val="en-US" w:eastAsia="zh-CN"/>
              </w:rPr>
              <w:t>独立、密闭，上锁防盗，危废仓库管理责任制上墙，仓库地面防渗，顶部防水、防晒；地面与裙脚要用坚固、防渗的材料建造；仓库门上张贴包含所有危废的标识、标牌，仓库内对应墙上有标志标识，包装桶、袋上有标签。危险废物处置签订危废协议，定期处理危险废物，附有危险废物转移联单。</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imes New Roman" w:hAnsi="Times New Roman" w:eastAsia="宋体" w:cs="Times New Roman"/>
                <w:b/>
                <w:bCs/>
                <w:sz w:val="24"/>
                <w:szCs w:val="24"/>
                <w:lang w:val="en-US" w:eastAsia="zh-CN"/>
              </w:rPr>
            </w:pP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drawing>
                <wp:inline distT="0" distB="0" distL="114300" distR="114300">
                  <wp:extent cx="6753225" cy="5064760"/>
                  <wp:effectExtent l="0" t="0" r="2540" b="9525"/>
                  <wp:docPr id="21" name="图片 21" descr="4d412a556be6a96d75603152d7b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d412a556be6a96d75603152d7b0941"/>
                          <pic:cNvPicPr>
                            <a:picLocks noChangeAspect="1"/>
                          </pic:cNvPicPr>
                        </pic:nvPicPr>
                        <pic:blipFill>
                          <a:blip r:embed="rId12"/>
                          <a:stretch>
                            <a:fillRect/>
                          </a:stretch>
                        </pic:blipFill>
                        <pic:spPr>
                          <a:xfrm rot="5400000">
                            <a:off x="0" y="0"/>
                            <a:ext cx="6753225" cy="5064760"/>
                          </a:xfrm>
                          <a:prstGeom prst="rect">
                            <a:avLst/>
                          </a:prstGeom>
                        </pic:spPr>
                      </pic:pic>
                    </a:graphicData>
                  </a:graphic>
                </wp:inline>
              </w:drawing>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图</w:t>
            </w:r>
            <w:r>
              <w:rPr>
                <w:rFonts w:hint="eastAsia" w:ascii="Times New Roman" w:hAnsi="Times New Roman" w:eastAsia="宋体" w:cs="Times New Roman"/>
                <w:b/>
                <w:bCs/>
                <w:sz w:val="24"/>
                <w:szCs w:val="24"/>
                <w:lang w:val="en-US" w:eastAsia="zh-CN"/>
              </w:rPr>
              <w:t>4-2 危废库内部</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drawing>
                <wp:inline distT="0" distB="0" distL="114300" distR="114300">
                  <wp:extent cx="6833870" cy="5125720"/>
                  <wp:effectExtent l="0" t="0" r="17780" b="5080"/>
                  <wp:docPr id="22" name="图片 22" descr="19b75fd1f81a6135685d0e4983b46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9b75fd1f81a6135685d0e4983b46f1"/>
                          <pic:cNvPicPr>
                            <a:picLocks noChangeAspect="1"/>
                          </pic:cNvPicPr>
                        </pic:nvPicPr>
                        <pic:blipFill>
                          <a:blip r:embed="rId13"/>
                          <a:stretch>
                            <a:fillRect/>
                          </a:stretch>
                        </pic:blipFill>
                        <pic:spPr>
                          <a:xfrm rot="5400000">
                            <a:off x="0" y="0"/>
                            <a:ext cx="6833870" cy="5125720"/>
                          </a:xfrm>
                          <a:prstGeom prst="rect">
                            <a:avLst/>
                          </a:prstGeom>
                        </pic:spPr>
                      </pic:pic>
                    </a:graphicData>
                  </a:graphic>
                </wp:inline>
              </w:drawing>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图</w:t>
            </w:r>
            <w:r>
              <w:rPr>
                <w:rFonts w:hint="eastAsia" w:ascii="Times New Roman" w:hAnsi="Times New Roman" w:eastAsia="宋体" w:cs="Times New Roman"/>
                <w:b/>
                <w:bCs/>
                <w:sz w:val="24"/>
                <w:szCs w:val="24"/>
                <w:lang w:val="en-US" w:eastAsia="zh-CN"/>
              </w:rPr>
              <w:t>4-3 危废库内部</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drawing>
                <wp:inline distT="0" distB="0" distL="114300" distR="114300">
                  <wp:extent cx="5475605" cy="4106545"/>
                  <wp:effectExtent l="0" t="0" r="10795" b="8255"/>
                  <wp:docPr id="32" name="图片 32" descr="7a5d9aea5755fb8bf24e6a86d451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a5d9aea5755fb8bf24e6a86d4515aa"/>
                          <pic:cNvPicPr>
                            <a:picLocks noChangeAspect="1"/>
                          </pic:cNvPicPr>
                        </pic:nvPicPr>
                        <pic:blipFill>
                          <a:blip r:embed="rId14"/>
                          <a:stretch>
                            <a:fillRect/>
                          </a:stretch>
                        </pic:blipFill>
                        <pic:spPr>
                          <a:xfrm>
                            <a:off x="0" y="0"/>
                            <a:ext cx="5475605" cy="4106545"/>
                          </a:xfrm>
                          <a:prstGeom prst="rect">
                            <a:avLst/>
                          </a:prstGeom>
                        </pic:spPr>
                      </pic:pic>
                    </a:graphicData>
                  </a:graphic>
                </wp:inline>
              </w:drawing>
            </w:r>
            <w:r>
              <w:rPr>
                <w:rFonts w:hint="eastAsia" w:ascii="Times New Roman" w:hAnsi="Times New Roman" w:eastAsia="宋体" w:cs="Times New Roman"/>
                <w:b/>
                <w:bCs/>
                <w:sz w:val="24"/>
                <w:szCs w:val="24"/>
                <w:lang w:eastAsia="zh-CN"/>
              </w:rPr>
              <w:t>图</w:t>
            </w:r>
            <w:r>
              <w:rPr>
                <w:rFonts w:hint="eastAsia" w:ascii="Times New Roman" w:hAnsi="Times New Roman" w:eastAsia="宋体" w:cs="Times New Roman"/>
                <w:b/>
                <w:bCs/>
                <w:sz w:val="24"/>
                <w:szCs w:val="24"/>
                <w:lang w:val="en-US" w:eastAsia="zh-CN"/>
              </w:rPr>
              <w:t>4-4 危废库内部</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eastAsia="宋体" w:cs="Times New Roman"/>
                <w:b w:val="0"/>
                <w:bCs w:val="0"/>
                <w:sz w:val="24"/>
                <w:szCs w:val="24"/>
                <w:lang w:val="en-US" w:eastAsia="zh-CN"/>
              </w:rPr>
            </w:pP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drawing>
                <wp:inline distT="0" distB="0" distL="114300" distR="114300">
                  <wp:extent cx="5541010" cy="7835265"/>
                  <wp:effectExtent l="0" t="0" r="2540" b="13335"/>
                  <wp:docPr id="31" name="图片 31" descr="2020年转移联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0年转移联单1"/>
                          <pic:cNvPicPr>
                            <a:picLocks noChangeAspect="1"/>
                          </pic:cNvPicPr>
                        </pic:nvPicPr>
                        <pic:blipFill>
                          <a:blip r:embed="rId15"/>
                          <a:stretch>
                            <a:fillRect/>
                          </a:stretch>
                        </pic:blipFill>
                        <pic:spPr>
                          <a:xfrm>
                            <a:off x="0" y="0"/>
                            <a:ext cx="5541010" cy="7835265"/>
                          </a:xfrm>
                          <a:prstGeom prst="rect">
                            <a:avLst/>
                          </a:prstGeom>
                        </pic:spPr>
                      </pic:pic>
                    </a:graphicData>
                  </a:graphic>
                </wp:inline>
              </w:drawing>
            </w:r>
          </w:p>
          <w:p>
            <w:pPr>
              <w:pStyle w:val="16"/>
              <w:spacing w:line="360" w:lineRule="auto"/>
              <w:ind w:firstLine="482" w:firstLineChars="200"/>
              <w:jc w:val="center"/>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图</w:t>
            </w:r>
            <w:r>
              <w:rPr>
                <w:rFonts w:hint="eastAsia" w:ascii="Times New Roman" w:hAnsi="Times New Roman" w:eastAsia="宋体" w:cs="Times New Roman"/>
                <w:b/>
                <w:bCs/>
                <w:sz w:val="24"/>
                <w:szCs w:val="24"/>
                <w:lang w:val="en-US" w:eastAsia="zh-CN"/>
              </w:rPr>
              <w:t xml:space="preserve">4-5 </w:t>
            </w:r>
            <w:r>
              <w:rPr>
                <w:rFonts w:hint="eastAsia" w:ascii="Times New Roman" w:hAnsi="Times New Roman" w:eastAsia="宋体" w:cs="Times New Roman"/>
                <w:b/>
                <w:bCs/>
                <w:sz w:val="24"/>
                <w:szCs w:val="24"/>
                <w:lang w:eastAsia="zh-CN"/>
              </w:rPr>
              <w:t>危废转移联单</w:t>
            </w:r>
          </w:p>
          <w:p>
            <w:pPr>
              <w:pStyle w:val="16"/>
              <w:spacing w:line="360" w:lineRule="auto"/>
              <w:ind w:firstLine="480" w:firstLineChars="200"/>
              <w:rPr>
                <w:rFonts w:hint="eastAsia" w:ascii="Times New Roman" w:hAnsi="Times New Roman" w:eastAsia="宋体" w:cs="Times New Roman"/>
                <w:sz w:val="24"/>
                <w:szCs w:val="24"/>
                <w:lang w:eastAsia="zh-CN"/>
              </w:rPr>
            </w:pPr>
          </w:p>
          <w:p>
            <w:pPr>
              <w:pStyle w:val="16"/>
              <w:spacing w:line="360" w:lineRule="auto"/>
              <w:ind w:firstLine="480" w:firstLineChars="200"/>
              <w:rPr>
                <w:rFonts w:hint="eastAsia" w:ascii="Times New Roman" w:hAnsi="Times New Roman" w:eastAsia="宋体" w:cs="Times New Roman"/>
                <w:sz w:val="24"/>
                <w:szCs w:val="24"/>
                <w:lang w:eastAsia="zh-CN"/>
              </w:rPr>
            </w:pPr>
          </w:p>
          <w:p>
            <w:pPr>
              <w:pStyle w:val="16"/>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二、一般固废：</w:t>
            </w:r>
            <w:r>
              <w:rPr>
                <w:rFonts w:hint="eastAsia" w:ascii="Times New Roman" w:hAnsi="Times New Roman" w:eastAsia="宋体" w:cs="Times New Roman"/>
                <w:color w:val="000000"/>
                <w:sz w:val="24"/>
                <w:szCs w:val="24"/>
                <w:lang w:eastAsia="zh-CN"/>
              </w:rPr>
              <w:t>本</w:t>
            </w:r>
            <w:r>
              <w:rPr>
                <w:rFonts w:hint="default" w:ascii="Times New Roman" w:hAnsi="Times New Roman" w:eastAsia="宋体" w:cs="Times New Roman"/>
                <w:color w:val="000000"/>
                <w:sz w:val="24"/>
                <w:szCs w:val="24"/>
              </w:rPr>
              <w:t>项目生产过程中一般工业固体废物为不合格产品</w:t>
            </w:r>
            <w:r>
              <w:rPr>
                <w:rFonts w:hint="eastAsia" w:ascii="Times New Roman" w:hAnsi="Times New Roman" w:eastAsia="宋体" w:cs="Times New Roman"/>
                <w:color w:val="000000"/>
                <w:sz w:val="24"/>
                <w:szCs w:val="24"/>
                <w:lang w:eastAsia="zh-CN"/>
              </w:rPr>
              <w:t>和</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纯水制备产生的废树脂。</w:t>
            </w:r>
            <w:r>
              <w:rPr>
                <w:rFonts w:hint="default" w:ascii="Times New Roman" w:hAnsi="Times New Roman" w:eastAsia="宋体" w:cs="Times New Roman"/>
                <w:color w:val="000000"/>
                <w:sz w:val="24"/>
                <w:szCs w:val="24"/>
              </w:rPr>
              <w:t>不合格品年</w:t>
            </w:r>
            <w:bookmarkStart w:id="3" w:name="_GoBack"/>
            <w:bookmarkEnd w:id="3"/>
            <w:r>
              <w:rPr>
                <w:rFonts w:hint="default" w:ascii="Times New Roman" w:hAnsi="Times New Roman" w:eastAsia="宋体" w:cs="Times New Roman"/>
                <w:color w:val="000000"/>
                <w:sz w:val="24"/>
                <w:szCs w:val="24"/>
              </w:rPr>
              <w:t>产生量约为5t/a</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不合格品重新上镀处理，不外排</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纯水制备产生的废树脂产生量为1.0t/a，</w:t>
            </w:r>
            <w:r>
              <w:rPr>
                <w:rFonts w:hint="eastAsia" w:ascii="Times New Roman" w:hAnsi="Times New Roman" w:eastAsia="宋体" w:cs="Times New Roman"/>
                <w:color w:val="000000"/>
                <w:sz w:val="24"/>
                <w:szCs w:val="24"/>
                <w:lang w:val="en-US" w:eastAsia="zh-CN"/>
              </w:rPr>
              <w:t>厂家回收，不外排。已设置一般工业固废暂存场所，符合国家环境保护标准。</w:t>
            </w:r>
          </w:p>
          <w:p>
            <w:pPr>
              <w:adjustRightInd w:val="0"/>
              <w:snapToGrid w:val="0"/>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w:t>
            </w:r>
            <w:r>
              <w:rPr>
                <w:rFonts w:hint="default" w:ascii="Times New Roman" w:hAnsi="Times New Roman" w:eastAsia="宋体" w:cs="Times New Roman"/>
                <w:b/>
                <w:bCs/>
                <w:sz w:val="24"/>
                <w:szCs w:val="24"/>
                <w:lang w:val="en-US" w:eastAsia="zh-CN"/>
              </w:rPr>
              <w:t>4-</w:t>
            </w:r>
            <w:r>
              <w:rPr>
                <w:rFonts w:hint="eastAsia" w:ascii="Times New Roman" w:hAnsi="Times New Roman" w:eastAsia="宋体" w:cs="Times New Roman"/>
                <w:b/>
                <w:bCs/>
                <w:sz w:val="24"/>
                <w:szCs w:val="24"/>
                <w:lang w:val="en-US" w:eastAsia="zh-CN"/>
              </w:rPr>
              <w:t>2</w:t>
            </w:r>
            <w:r>
              <w:rPr>
                <w:rFonts w:hint="eastAsia" w:cs="Times New Roman"/>
                <w:b/>
                <w:bCs/>
                <w:sz w:val="24"/>
                <w:szCs w:val="24"/>
                <w:lang w:val="en-US" w:eastAsia="zh-CN"/>
              </w:rPr>
              <w:t xml:space="preserve"> </w:t>
            </w:r>
            <w:r>
              <w:rPr>
                <w:rFonts w:hint="default" w:ascii="Times New Roman" w:hAnsi="Times New Roman" w:eastAsia="宋体" w:cs="Times New Roman"/>
                <w:b/>
                <w:bCs/>
                <w:sz w:val="24"/>
                <w:szCs w:val="24"/>
              </w:rPr>
              <w:t xml:space="preserve">本项目一般固体废弃物产生和排放情况一览表 </w:t>
            </w:r>
          </w:p>
          <w:tbl>
            <w:tblPr>
              <w:tblStyle w:val="13"/>
              <w:tblW w:w="48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1121"/>
              <w:gridCol w:w="948"/>
              <w:gridCol w:w="598"/>
              <w:gridCol w:w="948"/>
              <w:gridCol w:w="1295"/>
              <w:gridCol w:w="948"/>
              <w:gridCol w:w="783"/>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序号</w:t>
                  </w:r>
                </w:p>
              </w:tc>
              <w:tc>
                <w:tcPr>
                  <w:tcW w:w="656"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名称</w:t>
                  </w:r>
                </w:p>
              </w:tc>
              <w:tc>
                <w:tcPr>
                  <w:tcW w:w="5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产生工序</w:t>
                  </w:r>
                </w:p>
              </w:tc>
              <w:tc>
                <w:tcPr>
                  <w:tcW w:w="3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形态</w:t>
                  </w:r>
                </w:p>
              </w:tc>
              <w:tc>
                <w:tcPr>
                  <w:tcW w:w="5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主要成分</w:t>
                  </w:r>
                </w:p>
              </w:tc>
              <w:tc>
                <w:tcPr>
                  <w:tcW w:w="7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种类</w:t>
                  </w:r>
                </w:p>
              </w:tc>
              <w:tc>
                <w:tcPr>
                  <w:tcW w:w="5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产生周期</w:t>
                  </w:r>
                </w:p>
              </w:tc>
              <w:tc>
                <w:tcPr>
                  <w:tcW w:w="4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产生量</w:t>
                  </w:r>
                </w:p>
              </w:tc>
              <w:tc>
                <w:tcPr>
                  <w:tcW w:w="75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处理处置措施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3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不合格产品</w:t>
                  </w:r>
                </w:p>
              </w:tc>
              <w:tc>
                <w:tcPr>
                  <w:tcW w:w="5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产品检验</w:t>
                  </w:r>
                </w:p>
              </w:tc>
              <w:tc>
                <w:tcPr>
                  <w:tcW w:w="3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固</w:t>
                  </w:r>
                  <w:r>
                    <w:rPr>
                      <w:rFonts w:hint="eastAsia" w:ascii="Times New Roman" w:hAnsi="Times New Roman" w:eastAsia="宋体" w:cs="Times New Roman"/>
                      <w:kern w:val="0"/>
                      <w:sz w:val="21"/>
                      <w:szCs w:val="21"/>
                      <w:lang w:eastAsia="zh-CN"/>
                    </w:rPr>
                    <w:t>态</w:t>
                  </w:r>
                </w:p>
              </w:tc>
              <w:tc>
                <w:tcPr>
                  <w:tcW w:w="5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7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一般工业固废</w:t>
                  </w:r>
                </w:p>
              </w:tc>
              <w:tc>
                <w:tcPr>
                  <w:tcW w:w="5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4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5.0 t/a</w:t>
                  </w:r>
                </w:p>
              </w:tc>
              <w:tc>
                <w:tcPr>
                  <w:tcW w:w="75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重新上镀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3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656"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纯水制备产生的废树脂</w:t>
                  </w:r>
                </w:p>
              </w:tc>
              <w:tc>
                <w:tcPr>
                  <w:tcW w:w="5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纯水制备</w:t>
                  </w:r>
                </w:p>
              </w:tc>
              <w:tc>
                <w:tcPr>
                  <w:tcW w:w="35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固</w:t>
                  </w:r>
                  <w:r>
                    <w:rPr>
                      <w:rFonts w:hint="eastAsia" w:ascii="Times New Roman" w:hAnsi="Times New Roman" w:eastAsia="宋体" w:cs="Times New Roman"/>
                      <w:kern w:val="0"/>
                      <w:sz w:val="21"/>
                      <w:szCs w:val="21"/>
                      <w:lang w:eastAsia="zh-CN"/>
                    </w:rPr>
                    <w:t>态</w:t>
                  </w:r>
                </w:p>
              </w:tc>
              <w:tc>
                <w:tcPr>
                  <w:tcW w:w="5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7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一般工业固废</w:t>
                  </w:r>
                </w:p>
              </w:tc>
              <w:tc>
                <w:tcPr>
                  <w:tcW w:w="5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4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1.0t/a</w:t>
                  </w:r>
                </w:p>
              </w:tc>
              <w:tc>
                <w:tcPr>
                  <w:tcW w:w="75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厂家回收</w:t>
                  </w:r>
                </w:p>
              </w:tc>
            </w:tr>
          </w:tbl>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bCs/>
                <w:sz w:val="24"/>
                <w:szCs w:val="24"/>
                <w:lang w:val="en-US" w:eastAsia="zh-CN"/>
              </w:rPr>
            </w:pP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drawing>
                <wp:inline distT="0" distB="0" distL="114300" distR="114300">
                  <wp:extent cx="5345430" cy="4008755"/>
                  <wp:effectExtent l="0" t="0" r="10795" b="7620"/>
                  <wp:docPr id="25" name="图片 25" descr="56c0155c204218894a9bd625cdfb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6c0155c204218894a9bd625cdfbf62"/>
                          <pic:cNvPicPr>
                            <a:picLocks noChangeAspect="1"/>
                          </pic:cNvPicPr>
                        </pic:nvPicPr>
                        <pic:blipFill>
                          <a:blip r:embed="rId16"/>
                          <a:stretch>
                            <a:fillRect/>
                          </a:stretch>
                        </pic:blipFill>
                        <pic:spPr>
                          <a:xfrm rot="5400000">
                            <a:off x="0" y="0"/>
                            <a:ext cx="5345430" cy="4008755"/>
                          </a:xfrm>
                          <a:prstGeom prst="rect">
                            <a:avLst/>
                          </a:prstGeom>
                        </pic:spPr>
                      </pic:pic>
                    </a:graphicData>
                  </a:graphic>
                </wp:inline>
              </w:drawing>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图4-6 生活垃圾收集点</w:t>
            </w:r>
          </w:p>
          <w:p>
            <w:pPr>
              <w:pStyle w:val="16"/>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color w:val="000000"/>
                <w:sz w:val="24"/>
                <w:szCs w:val="24"/>
                <w:lang w:eastAsia="zh-CN"/>
              </w:rPr>
              <w:t>三、生活垃圾：本</w:t>
            </w:r>
            <w:r>
              <w:rPr>
                <w:rFonts w:hint="default" w:ascii="Times New Roman" w:hAnsi="Times New Roman" w:cs="Times New Roman"/>
                <w:sz w:val="24"/>
                <w:szCs w:val="24"/>
              </w:rPr>
              <w:t>项目生活垃圾产生量约为13.1t/a，委托环卫部门</w:t>
            </w:r>
            <w:r>
              <w:rPr>
                <w:rFonts w:hint="eastAsia" w:ascii="Times New Roman" w:hAnsi="Times New Roman" w:eastAsia="宋体" w:cs="Times New Roman"/>
                <w:sz w:val="24"/>
                <w:szCs w:val="24"/>
                <w:lang w:eastAsia="zh-CN"/>
              </w:rPr>
              <w:t>统一</w:t>
            </w:r>
            <w:r>
              <w:rPr>
                <w:rFonts w:hint="default" w:ascii="Times New Roman" w:hAnsi="Times New Roman" w:cs="Times New Roman"/>
                <w:sz w:val="24"/>
                <w:szCs w:val="24"/>
              </w:rPr>
              <w:t>清运处理</w:t>
            </w:r>
            <w:r>
              <w:rPr>
                <w:rFonts w:hint="eastAsia" w:ascii="Times New Roman" w:hAnsi="Times New Roman" w:eastAsia="宋体" w:cs="Times New Roman"/>
                <w:sz w:val="24"/>
                <w:szCs w:val="24"/>
                <w:lang w:eastAsia="zh-CN"/>
              </w:rPr>
              <w:t>。</w:t>
            </w:r>
          </w:p>
          <w:p>
            <w:pPr>
              <w:spacing w:line="360" w:lineRule="auto"/>
              <w:ind w:firstLine="482" w:firstLineChars="200"/>
              <w:jc w:val="center"/>
              <w:rPr>
                <w:rFonts w:hint="default" w:ascii="Times New Roman" w:hAnsi="Times New Roman" w:eastAsia="黑体" w:cs="Times New Roman"/>
                <w:sz w:val="24"/>
                <w:szCs w:val="24"/>
              </w:rPr>
            </w:pPr>
            <w:r>
              <w:rPr>
                <w:rFonts w:hint="default" w:ascii="Times New Roman" w:hAnsi="Times New Roman" w:eastAsia="宋体" w:cs="Times New Roman"/>
                <w:b/>
                <w:bCs/>
                <w:sz w:val="24"/>
                <w:szCs w:val="24"/>
              </w:rPr>
              <w:t>表</w:t>
            </w:r>
            <w:r>
              <w:rPr>
                <w:rFonts w:hint="default" w:ascii="Times New Roman" w:hAnsi="Times New Roman" w:eastAsia="宋体" w:cs="Times New Roman"/>
                <w:b/>
                <w:bCs/>
                <w:sz w:val="24"/>
                <w:szCs w:val="24"/>
                <w:lang w:val="en-US" w:eastAsia="zh-CN"/>
              </w:rPr>
              <w:t>4-</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项目生活垃圾产生处置措施情况一览表 </w:t>
            </w:r>
          </w:p>
          <w:tbl>
            <w:tblPr>
              <w:tblStyle w:val="1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534"/>
              <w:gridCol w:w="939"/>
              <w:gridCol w:w="663"/>
              <w:gridCol w:w="525"/>
              <w:gridCol w:w="1624"/>
              <w:gridCol w:w="1082"/>
              <w:gridCol w:w="1076"/>
              <w:gridCol w:w="813"/>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序号</w:t>
                  </w:r>
                </w:p>
              </w:tc>
              <w:tc>
                <w:tcPr>
                  <w:tcW w:w="306"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来源</w:t>
                  </w:r>
                </w:p>
              </w:tc>
              <w:tc>
                <w:tcPr>
                  <w:tcW w:w="538"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名称</w:t>
                  </w:r>
                </w:p>
              </w:tc>
              <w:tc>
                <w:tcPr>
                  <w:tcW w:w="380"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产生</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工序</w:t>
                  </w:r>
                </w:p>
              </w:tc>
              <w:tc>
                <w:tcPr>
                  <w:tcW w:w="301"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形态</w:t>
                  </w:r>
                </w:p>
              </w:tc>
              <w:tc>
                <w:tcPr>
                  <w:tcW w:w="931"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主要成分</w:t>
                  </w:r>
                </w:p>
              </w:tc>
              <w:tc>
                <w:tcPr>
                  <w:tcW w:w="620"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种类</w:t>
                  </w:r>
                </w:p>
              </w:tc>
              <w:tc>
                <w:tcPr>
                  <w:tcW w:w="617"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产生周期</w:t>
                  </w:r>
                </w:p>
              </w:tc>
              <w:tc>
                <w:tcPr>
                  <w:tcW w:w="466"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产生量</w:t>
                  </w:r>
                </w:p>
              </w:tc>
              <w:tc>
                <w:tcPr>
                  <w:tcW w:w="534"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处理处置措施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1</w:t>
                  </w:r>
                </w:p>
              </w:tc>
              <w:tc>
                <w:tcPr>
                  <w:tcW w:w="3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办公生活</w:t>
                  </w:r>
                </w:p>
              </w:tc>
              <w:tc>
                <w:tcPr>
                  <w:tcW w:w="53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生活垃圾</w:t>
                  </w:r>
                </w:p>
              </w:tc>
              <w:tc>
                <w:tcPr>
                  <w:tcW w:w="3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办公区</w:t>
                  </w:r>
                </w:p>
              </w:tc>
              <w:tc>
                <w:tcPr>
                  <w:tcW w:w="3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固态</w:t>
                  </w:r>
                </w:p>
              </w:tc>
              <w:tc>
                <w:tcPr>
                  <w:tcW w:w="9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生活垃圾</w:t>
                  </w:r>
                </w:p>
              </w:tc>
              <w:tc>
                <w:tcPr>
                  <w:tcW w:w="6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生活垃圾</w:t>
                  </w:r>
                </w:p>
              </w:tc>
              <w:tc>
                <w:tcPr>
                  <w:tcW w:w="6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每天</w:t>
                  </w:r>
                </w:p>
              </w:tc>
              <w:tc>
                <w:tcPr>
                  <w:tcW w:w="4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13.1t/a</w:t>
                  </w:r>
                </w:p>
              </w:tc>
              <w:tc>
                <w:tcPr>
                  <w:tcW w:w="5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环卫部门处理</w:t>
                  </w:r>
                </w:p>
              </w:tc>
            </w:tr>
          </w:tbl>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bCs/>
                <w:sz w:val="24"/>
                <w:szCs w:val="24"/>
                <w:lang w:val="en-US" w:eastAsia="zh-CN"/>
              </w:rPr>
            </w:pP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本项目三同时落实情况：</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2" w:firstLineChars="200"/>
              <w:jc w:val="center"/>
              <w:textAlignment w:val="auto"/>
              <w:outlineLvl w:val="9"/>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表4-4 “三同时”落实情况</w:t>
            </w:r>
          </w:p>
          <w:tbl>
            <w:tblPr>
              <w:tblStyle w:val="1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8"/>
              <w:gridCol w:w="2180"/>
              <w:gridCol w:w="2180"/>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49" w:type="pct"/>
                  <w:vAlign w:val="center"/>
                </w:tcPr>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处理对象</w:t>
                  </w:r>
                </w:p>
              </w:tc>
              <w:tc>
                <w:tcPr>
                  <w:tcW w:w="1250" w:type="pct"/>
                  <w:vAlign w:val="center"/>
                </w:tcPr>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环评批复情况</w:t>
                  </w:r>
                </w:p>
              </w:tc>
              <w:tc>
                <w:tcPr>
                  <w:tcW w:w="1250" w:type="pct"/>
                  <w:vAlign w:val="center"/>
                </w:tcPr>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实际情况</w:t>
                  </w:r>
                </w:p>
              </w:tc>
              <w:tc>
                <w:tcPr>
                  <w:tcW w:w="1250" w:type="pct"/>
                  <w:vAlign w:val="center"/>
                </w:tcPr>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49" w:type="pct"/>
                  <w:vAlign w:val="center"/>
                </w:tcPr>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固体废物</w:t>
                  </w:r>
                </w:p>
              </w:tc>
              <w:tc>
                <w:tcPr>
                  <w:tcW w:w="1250" w:type="pct"/>
                  <w:vAlign w:val="center"/>
                </w:tcPr>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outlineLvl w:val="9"/>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加强固体废物污染防治。按分类收集、贮存，分质处置的原则，认真落实《报告书》提出的固体废物收集、贮存和处置工作。依法严格落实危险废物全过程规范化管理的各项要求</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125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auto"/>
                      <w:sz w:val="21"/>
                      <w:szCs w:val="21"/>
                      <w:lang w:val="en-US" w:eastAsia="zh-CN"/>
                    </w:rPr>
                    <w:t>项目车间一层设置一处危险危废暂存间，危险废物</w:t>
                  </w:r>
                  <w:r>
                    <w:rPr>
                      <w:rFonts w:hint="eastAsia" w:ascii="Times New Roman" w:hAnsi="Times New Roman" w:eastAsia="宋体" w:cs="Times New Roman"/>
                      <w:color w:val="auto"/>
                      <w:sz w:val="21"/>
                      <w:szCs w:val="21"/>
                      <w:lang w:val="en-US" w:eastAsia="zh-CN"/>
                    </w:rPr>
                    <w:t>暂存于危废间，定期交有资质单位处置。</w:t>
                  </w:r>
                  <w:r>
                    <w:rPr>
                      <w:rFonts w:hint="default" w:ascii="Times New Roman" w:hAnsi="Times New Roman" w:eastAsia="宋体" w:cs="Times New Roman"/>
                      <w:color w:val="auto"/>
                      <w:sz w:val="21"/>
                      <w:szCs w:val="21"/>
                    </w:rPr>
                    <w:t>不合格产品重新上镀，厂房内设置一处一般固废暂存处</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生活垃圾交由环卫部门统一收运</w:t>
                  </w:r>
                  <w:r>
                    <w:rPr>
                      <w:rFonts w:hint="eastAsia" w:ascii="Times New Roman" w:hAnsi="Times New Roman" w:cs="Times New Roman"/>
                      <w:color w:val="auto"/>
                      <w:sz w:val="21"/>
                      <w:szCs w:val="21"/>
                      <w:lang w:eastAsia="zh-CN"/>
                    </w:rPr>
                    <w:t>。</w:t>
                  </w:r>
                </w:p>
              </w:tc>
              <w:tc>
                <w:tcPr>
                  <w:tcW w:w="1250" w:type="pct"/>
                  <w:vAlign w:val="center"/>
                </w:tcPr>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落实</w:t>
                  </w:r>
                </w:p>
              </w:tc>
            </w:tr>
          </w:tbl>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bCs/>
                <w:sz w:val="24"/>
                <w:szCs w:val="24"/>
                <w:lang w:val="en-US" w:eastAsia="zh-CN"/>
              </w:rPr>
            </w:pPr>
          </w:p>
        </w:tc>
      </w:tr>
    </w:tbl>
    <w:p>
      <w:pPr>
        <w:rPr>
          <w:rFonts w:ascii="Times New Roman" w:hAnsi="Times New Roman" w:eastAsia="宋体" w:cs="Times New Roman"/>
        </w:rPr>
      </w:pPr>
    </w:p>
    <w:tbl>
      <w:tblPr>
        <w:tblStyle w:val="13"/>
        <w:tblW w:w="501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000" w:type="pct"/>
            <w:tcBorders>
              <w:bottom w:val="single" w:color="000000" w:sz="6" w:space="0"/>
            </w:tcBorders>
          </w:tcPr>
          <w:p>
            <w:pPr>
              <w:pStyle w:val="2"/>
              <w:keepNext w:val="0"/>
              <w:keepLines w:val="0"/>
              <w:pageBreakBefore w:val="0"/>
              <w:widowControl w:val="0"/>
              <w:kinsoku/>
              <w:wordWrap/>
              <w:overflowPunct/>
              <w:topLinePunct w:val="0"/>
              <w:autoSpaceDE/>
              <w:autoSpaceDN/>
              <w:bidi w:val="0"/>
              <w:spacing w:after="0" w:line="360" w:lineRule="auto"/>
              <w:textAlignment w:val="auto"/>
              <w:rPr>
                <w:rFonts w:ascii="Times New Roman" w:hAnsi="Times New Roman" w:eastAsia="宋体" w:cs="Times New Roman"/>
                <w:sz w:val="24"/>
                <w:szCs w:val="24"/>
              </w:rPr>
            </w:pPr>
            <w:r>
              <w:rPr>
                <w:rFonts w:ascii="Times New Roman" w:hAnsi="Times New Roman" w:eastAsia="宋体" w:cs="Times New Roman"/>
                <w:sz w:val="24"/>
                <w:szCs w:val="24"/>
              </w:rPr>
              <w:t>各级环境保护行政主管部门的审批意见</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sz w:val="24"/>
                <w:szCs w:val="24"/>
              </w:rPr>
            </w:pP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sz w:val="24"/>
                <w:szCs w:val="24"/>
                <w:lang w:eastAsia="zh-CN"/>
              </w:rPr>
              <w:t>宁国市三鼎金属表面处理有限公司整体搬迁及扩建项目环境影响报告书</w:t>
            </w: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sz w:val="24"/>
                <w:szCs w:val="24"/>
              </w:rPr>
              <w:t>于20</w:t>
            </w:r>
            <w:r>
              <w:rPr>
                <w:rFonts w:hint="eastAsia" w:ascii="Times New Roman" w:hAnsi="Times New Roman" w:eastAsia="宋体" w:cs="Times New Roman"/>
                <w:sz w:val="24"/>
                <w:szCs w:val="24"/>
                <w:lang w:val="en-US" w:eastAsia="zh-CN"/>
              </w:rPr>
              <w:t>19</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月2</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日</w:t>
            </w:r>
            <w:r>
              <w:rPr>
                <w:rFonts w:hint="eastAsia" w:ascii="Times New Roman" w:hAnsi="Times New Roman" w:eastAsia="宋体" w:cs="Times New Roman"/>
                <w:sz w:val="24"/>
                <w:szCs w:val="24"/>
                <w:lang w:eastAsia="zh-CN"/>
              </w:rPr>
              <w:t>由原宣城市环境保护局作出批复（批复文号：宣环评</w:t>
            </w:r>
            <w:r>
              <w:rPr>
                <w:rFonts w:hint="eastAsia" w:ascii="Times New Roman" w:hAnsi="Times New Roman" w:eastAsia="宋体" w:cs="Times New Roman"/>
                <w:sz w:val="24"/>
                <w:szCs w:val="24"/>
                <w:lang w:val="en-US" w:eastAsia="zh-CN"/>
              </w:rPr>
              <w:t>[2019]4号</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。具体如下：</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sz w:val="24"/>
                <w:szCs w:val="24"/>
                <w:lang w:eastAsia="zh-CN"/>
              </w:rPr>
            </w:pPr>
            <w:r>
              <w:rPr>
                <w:rFonts w:hint="eastAsia" w:eastAsia="宋体"/>
                <w:sz w:val="24"/>
                <w:szCs w:val="24"/>
                <w:lang w:eastAsia="zh-CN"/>
              </w:rPr>
              <w:drawing>
                <wp:inline distT="0" distB="0" distL="114300" distR="114300">
                  <wp:extent cx="4877435" cy="6155690"/>
                  <wp:effectExtent l="0" t="0" r="18415" b="16510"/>
                  <wp:docPr id="3" name="图片 3" descr="fe3b7600be36bd1c7bf18b3010b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e3b7600be36bd1c7bf18b3010b4911"/>
                          <pic:cNvPicPr>
                            <a:picLocks noChangeAspect="1"/>
                          </pic:cNvPicPr>
                        </pic:nvPicPr>
                        <pic:blipFill>
                          <a:blip r:embed="rId17"/>
                          <a:srcRect t="20290"/>
                          <a:stretch>
                            <a:fillRect/>
                          </a:stretch>
                        </pic:blipFill>
                        <pic:spPr>
                          <a:xfrm>
                            <a:off x="0" y="0"/>
                            <a:ext cx="4877435" cy="6155690"/>
                          </a:xfrm>
                          <a:prstGeom prst="rect">
                            <a:avLst/>
                          </a:prstGeom>
                        </pic:spPr>
                      </pic:pic>
                    </a:graphicData>
                  </a:graphic>
                </wp:inline>
              </w:drawing>
            </w:r>
            <w:r>
              <w:rPr>
                <w:rFonts w:hint="eastAsia" w:ascii="Times New Roman" w:hAnsi="Times New Roman" w:eastAsia="宋体" w:cs="Times New Roman"/>
                <w:sz w:val="24"/>
                <w:szCs w:val="24"/>
                <w:lang w:eastAsia="zh-CN"/>
              </w:rPr>
              <w:drawing>
                <wp:inline distT="0" distB="0" distL="114300" distR="114300">
                  <wp:extent cx="5284470" cy="7962900"/>
                  <wp:effectExtent l="0" t="0" r="11430" b="0"/>
                  <wp:docPr id="5" name="图片 5" descr="13bae9990005d09b55c5a7ee55c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3bae9990005d09b55c5a7ee55c8067"/>
                          <pic:cNvPicPr>
                            <a:picLocks noChangeAspect="1"/>
                          </pic:cNvPicPr>
                        </pic:nvPicPr>
                        <pic:blipFill>
                          <a:blip r:embed="rId18"/>
                          <a:stretch>
                            <a:fillRect/>
                          </a:stretch>
                        </pic:blipFill>
                        <pic:spPr>
                          <a:xfrm>
                            <a:off x="0" y="0"/>
                            <a:ext cx="5284470" cy="7962900"/>
                          </a:xfrm>
                          <a:prstGeom prst="rect">
                            <a:avLst/>
                          </a:prstGeom>
                        </pic:spPr>
                      </pic:pic>
                    </a:graphicData>
                  </a:graphic>
                </wp:inline>
              </w:drawing>
            </w:r>
            <w:r>
              <w:rPr>
                <w:rFonts w:hint="eastAsia" w:ascii="Times New Roman" w:hAnsi="Times New Roman" w:eastAsia="宋体" w:cs="Times New Roman"/>
                <w:sz w:val="24"/>
                <w:szCs w:val="24"/>
                <w:lang w:eastAsia="zh-CN"/>
              </w:rPr>
              <w:drawing>
                <wp:inline distT="0" distB="0" distL="114300" distR="114300">
                  <wp:extent cx="5287645" cy="8411210"/>
                  <wp:effectExtent l="0" t="0" r="8255" b="8890"/>
                  <wp:docPr id="14" name="图片 14" descr="0d6d8345e960921f8dbbc868054a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d6d8345e960921f8dbbc868054ae07"/>
                          <pic:cNvPicPr>
                            <a:picLocks noChangeAspect="1"/>
                          </pic:cNvPicPr>
                        </pic:nvPicPr>
                        <pic:blipFill>
                          <a:blip r:embed="rId19"/>
                          <a:stretch>
                            <a:fillRect/>
                          </a:stretch>
                        </pic:blipFill>
                        <pic:spPr>
                          <a:xfrm>
                            <a:off x="0" y="0"/>
                            <a:ext cx="5287645" cy="8411210"/>
                          </a:xfrm>
                          <a:prstGeom prst="rect">
                            <a:avLst/>
                          </a:prstGeom>
                        </pic:spPr>
                      </pic:pic>
                    </a:graphicData>
                  </a:graphic>
                </wp:inline>
              </w:drawing>
            </w:r>
            <w:r>
              <w:rPr>
                <w:rFonts w:hint="eastAsia" w:ascii="Times New Roman" w:hAnsi="Times New Roman" w:eastAsia="宋体" w:cs="Times New Roman"/>
                <w:sz w:val="24"/>
                <w:szCs w:val="24"/>
                <w:lang w:eastAsia="zh-CN"/>
              </w:rPr>
              <w:drawing>
                <wp:inline distT="0" distB="0" distL="114300" distR="114300">
                  <wp:extent cx="5288915" cy="8227060"/>
                  <wp:effectExtent l="0" t="0" r="6985" b="2540"/>
                  <wp:docPr id="17" name="图片 17" descr="f2df9bcbf3d5f5e2dfdbdf304f8a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2df9bcbf3d5f5e2dfdbdf304f8aaf3"/>
                          <pic:cNvPicPr>
                            <a:picLocks noChangeAspect="1"/>
                          </pic:cNvPicPr>
                        </pic:nvPicPr>
                        <pic:blipFill>
                          <a:blip r:embed="rId20"/>
                          <a:stretch>
                            <a:fillRect/>
                          </a:stretch>
                        </pic:blipFill>
                        <pic:spPr>
                          <a:xfrm>
                            <a:off x="0" y="0"/>
                            <a:ext cx="5288915" cy="8227060"/>
                          </a:xfrm>
                          <a:prstGeom prst="rect">
                            <a:avLst/>
                          </a:prstGeom>
                        </pic:spPr>
                      </pic:pic>
                    </a:graphicData>
                  </a:graphic>
                </wp:inline>
              </w:drawing>
            </w:r>
            <w:r>
              <w:rPr>
                <w:rFonts w:hint="eastAsia" w:ascii="Times New Roman" w:hAnsi="Times New Roman" w:eastAsia="宋体" w:cs="Times New Roman"/>
                <w:sz w:val="24"/>
                <w:szCs w:val="24"/>
                <w:lang w:eastAsia="zh-CN"/>
              </w:rPr>
              <w:drawing>
                <wp:inline distT="0" distB="0" distL="114300" distR="114300">
                  <wp:extent cx="5289550" cy="8585835"/>
                  <wp:effectExtent l="0" t="0" r="6350" b="5715"/>
                  <wp:docPr id="18" name="图片 18" descr="9ef6b1218aac2e8bcefaa5a798e4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ef6b1218aac2e8bcefaa5a798e400c"/>
                          <pic:cNvPicPr>
                            <a:picLocks noChangeAspect="1"/>
                          </pic:cNvPicPr>
                        </pic:nvPicPr>
                        <pic:blipFill>
                          <a:blip r:embed="rId21"/>
                          <a:stretch>
                            <a:fillRect/>
                          </a:stretch>
                        </pic:blipFill>
                        <pic:spPr>
                          <a:xfrm>
                            <a:off x="0" y="0"/>
                            <a:ext cx="5289550" cy="8585835"/>
                          </a:xfrm>
                          <a:prstGeom prst="rect">
                            <a:avLst/>
                          </a:prstGeom>
                        </pic:spPr>
                      </pic:pic>
                    </a:graphicData>
                  </a:graphic>
                </wp:inline>
              </w:drawing>
            </w:r>
          </w:p>
        </w:tc>
      </w:tr>
    </w:tbl>
    <w:p>
      <w:pPr>
        <w:rPr>
          <w:rFonts w:ascii="Times New Roman" w:hAnsi="Times New Roman" w:eastAsia="宋体" w:cs="Times New Roman"/>
        </w:rPr>
        <w:sectPr>
          <w:head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tabs>
          <w:tab w:val="left" w:pos="893"/>
        </w:tabs>
        <w:spacing w:before="68"/>
        <w:ind w:right="275"/>
        <w:jc w:val="center"/>
        <w:rPr>
          <w:rFonts w:ascii="Times New Roman" w:hAnsi="Times New Roman" w:eastAsia="宋体" w:cs="Times New Roman"/>
          <w:sz w:val="24"/>
          <w:szCs w:val="24"/>
        </w:rPr>
      </w:pPr>
      <w:r>
        <w:rPr>
          <w:rFonts w:ascii="Times New Roman" w:hAnsi="Times New Roman" w:eastAsia="宋体" w:cs="Times New Roman"/>
          <w:sz w:val="24"/>
          <w:szCs w:val="24"/>
        </w:rPr>
        <w:t>调查结论与建议</w:t>
      </w:r>
    </w:p>
    <w:tbl>
      <w:tblPr>
        <w:tblStyle w:val="1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95" w:hRule="atLeast"/>
        </w:trPr>
        <w:tc>
          <w:tcPr>
            <w:tcW w:w="5000" w:type="pct"/>
          </w:tcPr>
          <w:p>
            <w:pPr>
              <w:pStyle w:val="16"/>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调查结论及建议</w:t>
            </w:r>
          </w:p>
          <w:p>
            <w:pPr>
              <w:pStyle w:val="16"/>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一、结论</w:t>
            </w:r>
          </w:p>
          <w:p>
            <w:pPr>
              <w:pStyle w:val="16"/>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eastAsia="zh-CN"/>
              </w:rPr>
              <w:t>宁国市三鼎金属表面处理有限公司整体搬迁及扩建项目</w:t>
            </w:r>
            <w:r>
              <w:rPr>
                <w:rFonts w:hint="eastAsia" w:ascii="Times New Roman" w:hAnsi="Times New Roman" w:eastAsia="宋体" w:cs="Times New Roman"/>
                <w:sz w:val="24"/>
                <w:szCs w:val="24"/>
              </w:rPr>
              <w:t>基本执行了环境影响评价制度和环境保护设施与主体工程同时设计、同时施工、同时投产使用的“三同时”制度，达到了环保部门对该项目生态环境保护和污染防治的目标要求。</w:t>
            </w:r>
          </w:p>
          <w:p>
            <w:pPr>
              <w:pStyle w:val="16"/>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本项目退镀槽、脱挂槽槽液不更换，整体槽液定期进行压滤机压滤，压滤出的污泥作为退镀槽渣危废处置，压滤液重新回到退镀槽中继续使用，因此退镀槽、脱挂槽槽液不会进行更换。钝化槽采用三价铬低铬钝化，槽液不整体更换，循环使用，生产钝化过程中槽体带出的钝化液作为含铬废水进入园区污水处理站处理，依据钝化槽液浓度及消耗量进行添加补充。结合实际生产优化调整了危险废物的产废周期及产生量，降低了企业的运营成本，达到了清洁生产的目的。本次验收调查危险废物实际发生量</w:t>
            </w:r>
            <w:r>
              <w:rPr>
                <w:rFonts w:hint="eastAsia" w:ascii="Times New Roman" w:hAnsi="Times New Roman" w:eastAsia="宋体" w:cs="Times New Roman"/>
                <w:sz w:val="24"/>
                <w:szCs w:val="24"/>
                <w:lang w:val="en-US" w:eastAsia="zh-CN"/>
              </w:rPr>
              <w:t>为28t/a。</w:t>
            </w:r>
          </w:p>
          <w:p>
            <w:pPr>
              <w:pStyle w:val="16"/>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color w:val="000000"/>
                <w:sz w:val="24"/>
                <w:szCs w:val="24"/>
                <w:lang w:eastAsia="zh-CN"/>
              </w:rPr>
              <w:t>本</w:t>
            </w:r>
            <w:r>
              <w:rPr>
                <w:rFonts w:hint="default" w:ascii="Times New Roman" w:hAnsi="Times New Roman" w:eastAsia="宋体" w:cs="Times New Roman"/>
                <w:color w:val="000000"/>
                <w:sz w:val="24"/>
                <w:szCs w:val="24"/>
              </w:rPr>
              <w:t>项目生产过程中一般工业固体废物为不合格产品，不合格品年产生量约为5t/a。不合格品重新上镀处理，不外排</w:t>
            </w:r>
            <w:r>
              <w:rPr>
                <w:rFonts w:hint="eastAsia" w:ascii="Times New Roman" w:hAnsi="Times New Roman" w:eastAsia="宋体" w:cs="Times New Roman"/>
                <w:color w:val="000000"/>
                <w:sz w:val="24"/>
                <w:szCs w:val="24"/>
                <w:lang w:eastAsia="zh-CN"/>
              </w:rPr>
              <w:t>。本</w:t>
            </w:r>
            <w:r>
              <w:rPr>
                <w:rFonts w:hint="default" w:ascii="Times New Roman" w:hAnsi="Times New Roman" w:cs="Times New Roman"/>
                <w:sz w:val="24"/>
                <w:szCs w:val="24"/>
              </w:rPr>
              <w:t>项目生活垃圾产生量约为13.1t/a，委托环卫部门</w:t>
            </w:r>
            <w:r>
              <w:rPr>
                <w:rFonts w:hint="eastAsia" w:ascii="Times New Roman" w:hAnsi="Times New Roman" w:eastAsia="宋体" w:cs="Times New Roman"/>
                <w:sz w:val="24"/>
                <w:szCs w:val="24"/>
                <w:lang w:eastAsia="zh-CN"/>
              </w:rPr>
              <w:t>统一</w:t>
            </w:r>
            <w:r>
              <w:rPr>
                <w:rFonts w:hint="default" w:ascii="Times New Roman" w:hAnsi="Times New Roman" w:cs="Times New Roman"/>
                <w:sz w:val="24"/>
                <w:szCs w:val="24"/>
              </w:rPr>
              <w:t>清运处理</w:t>
            </w:r>
            <w:r>
              <w:rPr>
                <w:rFonts w:hint="eastAsia" w:ascii="Times New Roman" w:hAnsi="Times New Roman" w:eastAsia="宋体" w:cs="Times New Roman"/>
                <w:sz w:val="24"/>
                <w:szCs w:val="24"/>
                <w:lang w:eastAsia="zh-CN"/>
              </w:rPr>
              <w:t>。</w:t>
            </w:r>
          </w:p>
          <w:p>
            <w:pPr>
              <w:pStyle w:val="16"/>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color w:val="000000"/>
                <w:sz w:val="24"/>
                <w:szCs w:val="24"/>
                <w:lang w:eastAsia="zh-CN"/>
              </w:rPr>
              <w:t>本</w:t>
            </w:r>
            <w:r>
              <w:rPr>
                <w:rFonts w:hint="default" w:ascii="Times New Roman" w:hAnsi="Times New Roman" w:cs="Times New Roman"/>
                <w:sz w:val="24"/>
                <w:szCs w:val="24"/>
              </w:rPr>
              <w:t>项目</w:t>
            </w:r>
            <w:r>
              <w:rPr>
                <w:rFonts w:hint="eastAsia" w:ascii="Times New Roman" w:hAnsi="Times New Roman" w:eastAsia="宋体" w:cs="Times New Roman"/>
                <w:color w:val="000000"/>
                <w:sz w:val="24"/>
                <w:szCs w:val="24"/>
                <w:lang w:val="en-US" w:eastAsia="zh-CN"/>
              </w:rPr>
              <w:t>生活垃圾在指定的地点放置垃圾桶，未随意倾倒、抛撒和堆放，</w:t>
            </w:r>
            <w:r>
              <w:rPr>
                <w:rFonts w:hint="default" w:ascii="Times New Roman" w:hAnsi="Times New Roman" w:cs="Times New Roman"/>
                <w:sz w:val="24"/>
                <w:szCs w:val="24"/>
              </w:rPr>
              <w:t>委托环卫部门</w:t>
            </w:r>
            <w:r>
              <w:rPr>
                <w:rFonts w:hint="eastAsia" w:ascii="Times New Roman" w:hAnsi="Times New Roman" w:eastAsia="宋体" w:cs="Times New Roman"/>
                <w:sz w:val="24"/>
                <w:szCs w:val="24"/>
                <w:lang w:eastAsia="zh-CN"/>
              </w:rPr>
              <w:t>统一</w:t>
            </w:r>
            <w:r>
              <w:rPr>
                <w:rFonts w:hint="default" w:ascii="Times New Roman" w:hAnsi="Times New Roman" w:cs="Times New Roman"/>
                <w:sz w:val="24"/>
                <w:szCs w:val="24"/>
              </w:rPr>
              <w:t>清运处理</w:t>
            </w:r>
            <w:r>
              <w:rPr>
                <w:rFonts w:hint="eastAsia" w:ascii="Times New Roman" w:hAnsi="Times New Roman" w:eastAsia="宋体" w:cs="Times New Roman"/>
                <w:sz w:val="24"/>
                <w:szCs w:val="24"/>
                <w:lang w:eastAsia="zh-CN"/>
              </w:rPr>
              <w:t>。</w:t>
            </w:r>
          </w:p>
          <w:p>
            <w:pPr>
              <w:pStyle w:val="16"/>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本项目危废库及生产车间为重点</w:t>
            </w:r>
            <w:r>
              <w:rPr>
                <w:rFonts w:hint="eastAsia" w:ascii="宋体" w:hAnsi="宋体" w:eastAsia="宋体" w:cs="宋体"/>
                <w:sz w:val="24"/>
                <w:szCs w:val="24"/>
                <w:lang w:eastAsia="zh-CN"/>
              </w:rPr>
              <w:t>防渗区，危废库</w:t>
            </w:r>
            <w:r>
              <w:rPr>
                <w:rFonts w:hint="eastAsia" w:ascii="宋体" w:hAnsi="宋体" w:eastAsia="宋体" w:cs="宋体"/>
                <w:sz w:val="24"/>
                <w:szCs w:val="24"/>
                <w:lang w:val="en-US" w:eastAsia="zh-CN"/>
              </w:rPr>
              <w:t>独立、密闭，上锁防盗，危废仓库管理责任制上墙，仓库地面防渗，顶部防水、防晒；地面与裙脚要用坚固、防渗的材料建造；仓库门上张贴包含所有危废的标识、标牌，仓库内对应墙上有标志标识，包装桶、袋上有标签。</w:t>
            </w:r>
            <w:r>
              <w:rPr>
                <w:rFonts w:hint="eastAsia" w:ascii="宋体" w:hAnsi="宋体" w:eastAsia="宋体" w:cs="宋体"/>
                <w:sz w:val="24"/>
                <w:szCs w:val="24"/>
                <w:lang w:eastAsia="zh-CN"/>
              </w:rPr>
              <w:t>车</w:t>
            </w:r>
            <w:r>
              <w:rPr>
                <w:rFonts w:hint="eastAsia" w:ascii="Times New Roman" w:hAnsi="Times New Roman" w:eastAsia="宋体" w:cs="Times New Roman"/>
                <w:sz w:val="24"/>
                <w:szCs w:val="24"/>
                <w:lang w:eastAsia="zh-CN"/>
              </w:rPr>
              <w:t>间地面防腐防渗，生产线设置容积足够的底部托盘，通过管道连接事故水池，发生事故能自动打开阀门。事故池依托电镀园区建设的地下应急池，</w:t>
            </w:r>
            <w:r>
              <w:rPr>
                <w:rFonts w:hint="eastAsia" w:ascii="Times New Roman" w:hAnsi="Times New Roman" w:eastAsia="宋体" w:cs="Times New Roman"/>
                <w:sz w:val="24"/>
                <w:szCs w:val="24"/>
                <w:lang w:val="en-US" w:eastAsia="zh-CN"/>
              </w:rPr>
              <w:t>4#车间事故应急池</w:t>
            </w:r>
            <w:r>
              <w:rPr>
                <w:rFonts w:hint="eastAsia" w:ascii="Times New Roman" w:hAnsi="Times New Roman" w:eastAsia="宋体" w:cs="Times New Roman"/>
                <w:sz w:val="24"/>
                <w:szCs w:val="24"/>
                <w:lang w:eastAsia="zh-CN"/>
              </w:rPr>
              <w:t>容积为</w:t>
            </w:r>
            <w:r>
              <w:rPr>
                <w:rFonts w:hint="eastAsia" w:ascii="Times New Roman" w:hAnsi="Times New Roman" w:eastAsia="宋体" w:cs="Times New Roman"/>
                <w:sz w:val="24"/>
                <w:szCs w:val="24"/>
                <w:lang w:val="en-US" w:eastAsia="zh-CN"/>
              </w:rPr>
              <w:t>270m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。已</w:t>
            </w:r>
            <w:r>
              <w:rPr>
                <w:rFonts w:hint="default" w:ascii="Times New Roman" w:hAnsi="Times New Roman" w:cs="Times New Roman"/>
                <w:color w:val="000000"/>
                <w:kern w:val="2"/>
                <w:sz w:val="24"/>
                <w:szCs w:val="24"/>
              </w:rPr>
              <w:t>编制环境风险应急预案并经主管部门备案</w:t>
            </w:r>
            <w:r>
              <w:rPr>
                <w:rFonts w:hint="eastAsia" w:ascii="Times New Roman" w:hAnsi="Times New Roman" w:cs="Times New Roman"/>
                <w:color w:val="000000"/>
                <w:kern w:val="2"/>
                <w:sz w:val="24"/>
                <w:szCs w:val="24"/>
              </w:rPr>
              <w:t>。</w:t>
            </w:r>
          </w:p>
          <w:p>
            <w:pPr>
              <w:pStyle w:val="16"/>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综上所</w:t>
            </w:r>
            <w:r>
              <w:rPr>
                <w:rFonts w:hint="eastAsia" w:ascii="Times New Roman" w:hAnsi="Times New Roman" w:eastAsia="宋体" w:cs="Times New Roman"/>
                <w:sz w:val="24"/>
                <w:szCs w:val="24"/>
                <w:lang w:eastAsia="zh-CN"/>
              </w:rPr>
              <w:t>述</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宁国市三鼎金属表面处理有限公司在本次固体废物调查过程中，重点装置规模、电镀生产能力、建设地点、原料及产品方案、生产工艺路线、环境保护措施等方面与环评中基本一致，本项目建设符合相关环保政策，产生的固体废物均采取了相应的环保治理措施，合理处置，对周边环境影响不大。</w:t>
            </w:r>
          </w:p>
          <w:p>
            <w:pPr>
              <w:pStyle w:val="16"/>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二、建议</w:t>
            </w:r>
          </w:p>
          <w:p>
            <w:pPr>
              <w:pStyle w:val="16"/>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根据环境保护工程设计以及现场调查的工程建设情况，本次验收调查提出的建议如下：</w:t>
            </w:r>
          </w:p>
          <w:p>
            <w:pPr>
              <w:pStyle w:val="16"/>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1.</w:t>
            </w:r>
            <w:r>
              <w:rPr>
                <w:rFonts w:hint="eastAsia" w:ascii="Times New Roman" w:hAnsi="Times New Roman" w:eastAsia="宋体" w:cs="Times New Roman"/>
                <w:b w:val="0"/>
                <w:bCs w:val="0"/>
                <w:color w:val="auto"/>
                <w:sz w:val="24"/>
                <w:szCs w:val="24"/>
                <w:lang w:val="en-US" w:eastAsia="zh-CN"/>
              </w:rPr>
              <w:t>做好危险废物处置工作，依法严格落实危险废物全过程规范化管理的各项要求</w:t>
            </w:r>
            <w:r>
              <w:rPr>
                <w:rFonts w:hint="eastAsia" w:ascii="Times New Roman" w:hAnsi="Times New Roman" w:eastAsia="宋体" w:cs="Times New Roman"/>
                <w:sz w:val="24"/>
                <w:szCs w:val="24"/>
                <w:lang w:eastAsia="zh-CN"/>
              </w:rPr>
              <w:t>。</w:t>
            </w:r>
          </w:p>
          <w:p>
            <w:pPr>
              <w:pStyle w:val="16"/>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2.认真落实本项目的环境管理工作，切实贯彻“三同时”制度，严格执行环境保护法规。</w:t>
            </w:r>
          </w:p>
        </w:tc>
      </w:tr>
    </w:tbl>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Noto Sans Mono CJK JP Bold">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8B97A35"/>
    <w:multiLevelType w:val="singleLevel"/>
    <w:tmpl w:val="78B97A35"/>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335B57"/>
    <w:rsid w:val="00DA73ED"/>
    <w:rsid w:val="04271B6D"/>
    <w:rsid w:val="04E01946"/>
    <w:rsid w:val="0ACA6D7D"/>
    <w:rsid w:val="0B1E4DDB"/>
    <w:rsid w:val="0C7A5D76"/>
    <w:rsid w:val="10822E98"/>
    <w:rsid w:val="11956F8C"/>
    <w:rsid w:val="17597A0D"/>
    <w:rsid w:val="1816476C"/>
    <w:rsid w:val="18B96775"/>
    <w:rsid w:val="18E504E5"/>
    <w:rsid w:val="1B5416AC"/>
    <w:rsid w:val="1B735100"/>
    <w:rsid w:val="1C47778B"/>
    <w:rsid w:val="1E3E33D5"/>
    <w:rsid w:val="207F7697"/>
    <w:rsid w:val="216601AF"/>
    <w:rsid w:val="2402176C"/>
    <w:rsid w:val="252272B7"/>
    <w:rsid w:val="27BF4697"/>
    <w:rsid w:val="29DF409D"/>
    <w:rsid w:val="2B804C58"/>
    <w:rsid w:val="2D4114CD"/>
    <w:rsid w:val="2DA728A1"/>
    <w:rsid w:val="30EB593C"/>
    <w:rsid w:val="31123B5D"/>
    <w:rsid w:val="37902F13"/>
    <w:rsid w:val="3A2871B6"/>
    <w:rsid w:val="3AC14AB3"/>
    <w:rsid w:val="3C150893"/>
    <w:rsid w:val="3D5F00CE"/>
    <w:rsid w:val="3F382B6C"/>
    <w:rsid w:val="405C7538"/>
    <w:rsid w:val="40C53235"/>
    <w:rsid w:val="42335B57"/>
    <w:rsid w:val="42B620C0"/>
    <w:rsid w:val="42D229B3"/>
    <w:rsid w:val="45BE1513"/>
    <w:rsid w:val="48F55123"/>
    <w:rsid w:val="49C1089F"/>
    <w:rsid w:val="4AFF15B6"/>
    <w:rsid w:val="4B684C29"/>
    <w:rsid w:val="4CDB232F"/>
    <w:rsid w:val="50D960FC"/>
    <w:rsid w:val="55A61BF0"/>
    <w:rsid w:val="55C567A3"/>
    <w:rsid w:val="55EB0BE9"/>
    <w:rsid w:val="5C2D18BB"/>
    <w:rsid w:val="5CB0635C"/>
    <w:rsid w:val="6003326E"/>
    <w:rsid w:val="605500D5"/>
    <w:rsid w:val="63C60209"/>
    <w:rsid w:val="6B884D60"/>
    <w:rsid w:val="6CED3DE6"/>
    <w:rsid w:val="6D580AA1"/>
    <w:rsid w:val="700B1FA4"/>
    <w:rsid w:val="70BB2D89"/>
    <w:rsid w:val="7597491F"/>
    <w:rsid w:val="77366577"/>
    <w:rsid w:val="7A6C470A"/>
    <w:rsid w:val="7EA070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5"/>
    <w:qFormat/>
    <w:uiPriority w:val="0"/>
    <w:pPr>
      <w:keepNext/>
      <w:keepLines/>
      <w:spacing w:before="260" w:after="260" w:line="416" w:lineRule="auto"/>
      <w:outlineLvl w:val="1"/>
    </w:pPr>
    <w:rPr>
      <w:rFonts w:ascii="Arial" w:hAnsi="Arial" w:eastAsia="黑体"/>
      <w:b/>
      <w:bCs/>
      <w:sz w:val="32"/>
      <w:szCs w:val="32"/>
    </w:rPr>
  </w:style>
  <w:style w:type="paragraph" w:styleId="6">
    <w:name w:val="heading 4"/>
    <w:basedOn w:val="1"/>
    <w:next w:val="1"/>
    <w:qFormat/>
    <w:uiPriority w:val="1"/>
    <w:pPr>
      <w:ind w:left="1068"/>
      <w:outlineLvl w:val="3"/>
    </w:pPr>
    <w:rPr>
      <w:rFonts w:ascii="宋体" w:hAnsi="宋体" w:cs="宋体"/>
      <w:b/>
      <w:bCs/>
      <w:sz w:val="24"/>
      <w:lang w:val="zh-CN" w:bidi="zh-CN"/>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customStyle="1" w:styleId="3">
    <w:name w:val="xl27"/>
    <w:basedOn w:val="1"/>
    <w:qFormat/>
    <w:uiPriority w:val="0"/>
    <w:pPr>
      <w:spacing w:before="100" w:beforeAutospacing="1" w:after="100" w:afterAutospacing="1"/>
    </w:pPr>
    <w:rPr>
      <w:color w:val="FF0000"/>
      <w:sz w:val="24"/>
    </w:rPr>
  </w:style>
  <w:style w:type="paragraph" w:styleId="5">
    <w:name w:val="Normal Indent"/>
    <w:basedOn w:val="1"/>
    <w:next w:val="6"/>
    <w:qFormat/>
    <w:uiPriority w:val="0"/>
    <w:rPr>
      <w:sz w:val="28"/>
    </w:rPr>
  </w:style>
  <w:style w:type="paragraph" w:styleId="7">
    <w:name w:val="annotation text"/>
    <w:basedOn w:val="1"/>
    <w:qFormat/>
    <w:uiPriority w:val="0"/>
    <w:pPr>
      <w:jc w:val="left"/>
    </w:pPr>
    <w:rPr>
      <w:kern w:val="2"/>
      <w:sz w:val="21"/>
    </w:rPr>
  </w:style>
  <w:style w:type="paragraph" w:styleId="8">
    <w:name w:val="Body Text Indent"/>
    <w:basedOn w:val="1"/>
    <w:qFormat/>
    <w:uiPriority w:val="0"/>
    <w:pPr>
      <w:spacing w:after="120" w:afterLines="0"/>
      <w:ind w:left="420" w:leftChars="200"/>
    </w:pPr>
  </w:style>
  <w:style w:type="paragraph" w:styleId="9">
    <w:name w:val="Date"/>
    <w:basedOn w:val="1"/>
    <w:next w:val="1"/>
    <w:qFormat/>
    <w:uiPriority w:val="0"/>
    <w:pPr>
      <w:adjustRightInd w:val="0"/>
      <w:textAlignment w:val="baseline"/>
    </w:pPr>
    <w:rPr>
      <w:rFonts w:eastAsia="宋体"/>
      <w:kern w:val="2"/>
      <w:sz w:val="24"/>
      <w:lang w:val="en-US" w:eastAsia="zh-CN"/>
    </w:rPr>
  </w:style>
  <w:style w:type="paragraph" w:styleId="10">
    <w:name w:val="footer"/>
    <w:basedOn w:val="1"/>
    <w:qFormat/>
    <w:uiPriority w:val="0"/>
    <w:pPr>
      <w:tabs>
        <w:tab w:val="center" w:pos="4153"/>
        <w:tab w:val="right" w:pos="8306"/>
      </w:tabs>
    </w:pPr>
    <w:rPr>
      <w:rFonts w:eastAsia="宋体"/>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Body Text First Indent 2"/>
    <w:basedOn w:val="8"/>
    <w:qFormat/>
    <w:uiPriority w:val="0"/>
    <w:pPr>
      <w:spacing w:line="480" w:lineRule="exact"/>
      <w:ind w:firstLine="420" w:firstLine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Table Paragraph"/>
    <w:basedOn w:val="1"/>
    <w:qFormat/>
    <w:uiPriority w:val="1"/>
    <w:rPr>
      <w:rFonts w:ascii="Noto Sans Mono CJK JP Bold" w:hAnsi="Noto Sans Mono CJK JP Bold" w:eastAsia="Noto Sans Mono CJK JP Bold" w:cs="Noto Sans Mono CJK JP Bold"/>
      <w:lang w:val="en-US" w:eastAsia="zh-CN" w:bidi="ar-SA"/>
    </w:rPr>
  </w:style>
  <w:style w:type="character" w:customStyle="1" w:styleId="17">
    <w:name w:val="表格标题 Char"/>
    <w:basedOn w:val="15"/>
    <w:qFormat/>
    <w:uiPriority w:val="0"/>
    <w:rPr>
      <w:rFonts w:ascii="Times New Roman" w:hAnsi="Times New Roman" w:eastAsia="宋体" w:cs="宋体"/>
      <w:b/>
      <w:kern w:val="2"/>
      <w:sz w:val="24"/>
      <w:lang w:bidi="ar-SA"/>
    </w:rPr>
  </w:style>
  <w:style w:type="paragraph" w:customStyle="1" w:styleId="18">
    <w:name w:val="表格字体文本"/>
    <w:basedOn w:val="1"/>
    <w:next w:val="1"/>
    <w:qFormat/>
    <w:uiPriority w:val="0"/>
    <w:pPr>
      <w:jc w:val="center"/>
    </w:pPr>
    <w:rPr>
      <w:rFonts w:ascii="Times New Roman" w:hAnsi="Times New Roman" w:eastAsia="宋体" w:cs="宋体"/>
      <w:sz w:val="21"/>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2021-09-14T02:47:00Z</dcterms:created>
  <dc:creator>Administrator</dc:creator>
  <cp:lastModifiedBy>Administrator</cp:lastModifiedBy>
  <dcterms:modified xsi:type="dcterms:W3CDTF">2021-09-17T08:47:32Z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2E090E43816C451C9D471C03B98F931C</vt:lpwstr>
  </property>
</Properties>
</file>