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仿宋_GB2312" w:cs="Times New Roman"/>
          <w:b/>
          <w:bCs/>
          <w:color w:val="auto"/>
          <w:sz w:val="52"/>
          <w:szCs w:val="52"/>
        </w:rPr>
      </w:pPr>
    </w:p>
    <w:p>
      <w:pPr>
        <w:jc w:val="center"/>
        <w:rPr>
          <w:rFonts w:hint="default" w:ascii="Times New Roman" w:hAnsi="Times New Roman" w:eastAsia="仿宋_GB2312" w:cs="Times New Roman"/>
          <w:b/>
          <w:bCs/>
          <w:color w:val="auto"/>
          <w:sz w:val="52"/>
          <w:szCs w:val="52"/>
        </w:rPr>
      </w:pPr>
    </w:p>
    <w:p>
      <w:pPr>
        <w:jc w:val="center"/>
        <w:rPr>
          <w:rFonts w:hint="default" w:ascii="Times New Roman" w:hAnsi="Times New Roman" w:eastAsia="仿宋_GB2312" w:cs="Times New Roman"/>
          <w:b/>
          <w:bCs/>
          <w:color w:val="auto"/>
          <w:sz w:val="52"/>
          <w:szCs w:val="52"/>
        </w:rPr>
      </w:pPr>
    </w:p>
    <w:p>
      <w:pPr>
        <w:jc w:val="center"/>
        <w:rPr>
          <w:rFonts w:hint="default" w:ascii="Times New Roman" w:hAnsi="Times New Roman" w:eastAsia="仿宋_GB2312" w:cs="Times New Roman"/>
          <w:b/>
          <w:bCs/>
          <w:color w:val="auto"/>
          <w:sz w:val="52"/>
          <w:szCs w:val="52"/>
        </w:rPr>
      </w:pPr>
      <w:r>
        <w:rPr>
          <w:rFonts w:hint="default" w:ascii="Times New Roman" w:hAnsi="Times New Roman" w:eastAsia="仿宋_GB2312" w:cs="Times New Roman"/>
          <w:b/>
          <w:bCs/>
          <w:color w:val="auto"/>
          <w:sz w:val="52"/>
          <w:szCs w:val="52"/>
        </w:rPr>
        <w:t>宣城虹桥金属表面处理有限公司立晨公司</w:t>
      </w:r>
      <w:r>
        <w:rPr>
          <w:rFonts w:hint="eastAsia" w:ascii="Times New Roman" w:hAnsi="Times New Roman" w:eastAsia="仿宋_GB2312" w:cs="Times New Roman"/>
          <w:b/>
          <w:bCs/>
          <w:color w:val="auto"/>
          <w:sz w:val="52"/>
          <w:szCs w:val="52"/>
          <w:lang w:eastAsia="zh-CN"/>
        </w:rPr>
        <w:t>固体废物</w:t>
      </w:r>
      <w:r>
        <w:rPr>
          <w:rFonts w:hint="default" w:ascii="Times New Roman" w:hAnsi="Times New Roman" w:eastAsia="仿宋_GB2312" w:cs="Times New Roman"/>
          <w:b/>
          <w:bCs/>
          <w:color w:val="auto"/>
          <w:sz w:val="52"/>
          <w:szCs w:val="52"/>
        </w:rPr>
        <w:t>验收</w:t>
      </w:r>
      <w:r>
        <w:rPr>
          <w:rFonts w:hint="eastAsia" w:ascii="Times New Roman" w:hAnsi="Times New Roman" w:eastAsia="仿宋_GB2312" w:cs="Times New Roman"/>
          <w:b/>
          <w:bCs/>
          <w:color w:val="auto"/>
          <w:sz w:val="52"/>
          <w:szCs w:val="52"/>
          <w:lang w:eastAsia="zh-CN"/>
        </w:rPr>
        <w:t>调查</w:t>
      </w:r>
      <w:r>
        <w:rPr>
          <w:rFonts w:hint="default" w:ascii="Times New Roman" w:hAnsi="Times New Roman" w:eastAsia="仿宋_GB2312" w:cs="Times New Roman"/>
          <w:b/>
          <w:bCs/>
          <w:color w:val="auto"/>
          <w:sz w:val="52"/>
          <w:szCs w:val="52"/>
        </w:rPr>
        <w:t>报告</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宋体" w:cs="Times New Roman"/>
          <w:color w:val="000000"/>
          <w:kern w:val="0"/>
          <w:sz w:val="28"/>
          <w:szCs w:val="28"/>
          <w:lang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宋体" w:cs="Times New Roman"/>
          <w:color w:val="000000"/>
          <w:kern w:val="0"/>
          <w:sz w:val="28"/>
          <w:szCs w:val="28"/>
          <w:lang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宋体" w:cs="Times New Roman"/>
          <w:color w:val="000000"/>
          <w:kern w:val="0"/>
          <w:sz w:val="28"/>
          <w:szCs w:val="28"/>
          <w:lang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宋体" w:cs="Times New Roman"/>
          <w:color w:val="000000"/>
          <w:kern w:val="0"/>
          <w:sz w:val="28"/>
          <w:szCs w:val="28"/>
          <w:lang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宋体" w:cs="Times New Roman"/>
          <w:color w:val="000000"/>
          <w:kern w:val="0"/>
          <w:sz w:val="28"/>
          <w:szCs w:val="28"/>
          <w:lang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宋体" w:cs="Times New Roman"/>
          <w:color w:val="000000"/>
          <w:kern w:val="0"/>
          <w:sz w:val="28"/>
          <w:szCs w:val="28"/>
          <w:lang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宋体" w:cs="Times New Roman"/>
          <w:color w:val="000000"/>
          <w:kern w:val="0"/>
          <w:sz w:val="28"/>
          <w:szCs w:val="28"/>
          <w:lang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宋体" w:cs="Times New Roman"/>
          <w:color w:val="000000"/>
          <w:kern w:val="0"/>
          <w:sz w:val="28"/>
          <w:szCs w:val="28"/>
          <w:lang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center"/>
        <w:textAlignment w:val="auto"/>
        <w:rPr>
          <w:rFonts w:hint="default" w:ascii="Times New Roman" w:hAnsi="Times New Roman" w:eastAsia="宋体" w:cs="Times New Roman"/>
          <w:color w:val="000000"/>
          <w:kern w:val="0"/>
          <w:sz w:val="28"/>
          <w:szCs w:val="28"/>
          <w:lang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center"/>
        <w:textAlignment w:val="auto"/>
        <w:rPr>
          <w:rFonts w:hint="default" w:ascii="Times New Roman" w:hAnsi="Times New Roman" w:eastAsia="宋体" w:cs="Times New Roman"/>
          <w:color w:val="000000"/>
          <w:kern w:val="0"/>
          <w:sz w:val="28"/>
          <w:szCs w:val="28"/>
          <w:lang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900" w:firstLineChars="300"/>
        <w:jc w:val="both"/>
        <w:textAlignment w:val="auto"/>
        <w:rPr>
          <w:rFonts w:hint="eastAsia" w:ascii="仿宋" w:hAnsi="仿宋" w:eastAsia="仿宋" w:cs="仿宋"/>
          <w:color w:val="000000"/>
          <w:kern w:val="0"/>
          <w:sz w:val="30"/>
          <w:szCs w:val="30"/>
          <w:lang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900" w:firstLineChars="300"/>
        <w:jc w:val="both"/>
        <w:textAlignment w:val="auto"/>
        <w:rPr>
          <w:rFonts w:hint="eastAsia" w:ascii="仿宋" w:hAnsi="仿宋" w:eastAsia="仿宋" w:cs="仿宋"/>
          <w:color w:val="000000"/>
          <w:kern w:val="0"/>
          <w:sz w:val="30"/>
          <w:szCs w:val="30"/>
          <w:lang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900" w:firstLineChars="300"/>
        <w:jc w:val="both"/>
        <w:textAlignment w:val="auto"/>
        <w:rPr>
          <w:rFonts w:hint="eastAsia" w:ascii="仿宋" w:hAnsi="仿宋" w:eastAsia="仿宋" w:cs="仿宋"/>
          <w:color w:val="000000"/>
          <w:kern w:val="0"/>
          <w:sz w:val="30"/>
          <w:szCs w:val="30"/>
          <w:lang w:val="en-US" w:eastAsia="zh-CN"/>
        </w:rPr>
      </w:pPr>
      <w:r>
        <w:rPr>
          <w:rFonts w:hint="eastAsia" w:ascii="仿宋" w:hAnsi="仿宋" w:eastAsia="仿宋" w:cs="仿宋"/>
          <w:color w:val="000000"/>
          <w:kern w:val="0"/>
          <w:sz w:val="30"/>
          <w:szCs w:val="30"/>
          <w:lang w:eastAsia="zh-CN"/>
        </w:rPr>
        <w:t>建设</w:t>
      </w:r>
      <w:r>
        <w:rPr>
          <w:rFonts w:hint="eastAsia" w:ascii="仿宋" w:hAnsi="仿宋" w:eastAsia="仿宋" w:cs="仿宋"/>
          <w:color w:val="000000"/>
          <w:kern w:val="0"/>
          <w:sz w:val="30"/>
          <w:szCs w:val="30"/>
        </w:rPr>
        <w:t>单位</w:t>
      </w:r>
      <w:r>
        <w:rPr>
          <w:rFonts w:hint="eastAsia" w:ascii="仿宋" w:hAnsi="仿宋" w:eastAsia="仿宋" w:cs="仿宋"/>
          <w:color w:val="000000"/>
          <w:kern w:val="0"/>
          <w:sz w:val="30"/>
          <w:szCs w:val="30"/>
          <w:lang w:eastAsia="zh-CN"/>
        </w:rPr>
        <w:t>：</w:t>
      </w:r>
      <w:r>
        <w:rPr>
          <w:rFonts w:hint="eastAsia" w:ascii="仿宋" w:hAnsi="仿宋" w:eastAsia="仿宋" w:cs="仿宋"/>
          <w:color w:val="000000"/>
          <w:sz w:val="30"/>
          <w:szCs w:val="30"/>
          <w:lang w:eastAsia="zh-CN"/>
        </w:rPr>
        <w:t>宣城虹桥金属表面处理有限公司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900" w:firstLineChars="300"/>
        <w:jc w:val="both"/>
        <w:textAlignment w:val="auto"/>
        <w:rPr>
          <w:rFonts w:hint="eastAsia" w:ascii="仿宋" w:hAnsi="仿宋" w:eastAsia="仿宋" w:cs="仿宋"/>
          <w:b w:val="0"/>
          <w:bCs w:val="0"/>
          <w:color w:val="000000"/>
          <w:kern w:val="0"/>
          <w:sz w:val="30"/>
          <w:szCs w:val="30"/>
        </w:rPr>
      </w:pPr>
      <w:r>
        <w:rPr>
          <w:rFonts w:hint="eastAsia" w:ascii="仿宋" w:hAnsi="仿宋" w:eastAsia="仿宋" w:cs="仿宋"/>
          <w:color w:val="000000"/>
          <w:kern w:val="0"/>
          <w:sz w:val="30"/>
          <w:szCs w:val="30"/>
        </w:rPr>
        <w:t>编制单位</w:t>
      </w:r>
      <w:r>
        <w:rPr>
          <w:rFonts w:hint="eastAsia" w:ascii="仿宋" w:hAnsi="仿宋" w:eastAsia="仿宋" w:cs="仿宋"/>
          <w:color w:val="000000"/>
          <w:kern w:val="0"/>
          <w:sz w:val="30"/>
          <w:szCs w:val="30"/>
          <w:lang w:eastAsia="zh-CN"/>
        </w:rPr>
        <w:t>：</w:t>
      </w:r>
      <w:r>
        <w:rPr>
          <w:rFonts w:hint="eastAsia" w:ascii="仿宋" w:hAnsi="仿宋" w:eastAsia="仿宋" w:cs="仿宋"/>
          <w:b w:val="0"/>
          <w:bCs w:val="0"/>
          <w:color w:val="000000"/>
          <w:kern w:val="0"/>
          <w:sz w:val="30"/>
          <w:szCs w:val="30"/>
        </w:rPr>
        <w:t>宁国</w:t>
      </w:r>
      <w:r>
        <w:rPr>
          <w:rFonts w:hint="eastAsia" w:ascii="仿宋" w:hAnsi="仿宋" w:eastAsia="仿宋" w:cs="仿宋"/>
          <w:b w:val="0"/>
          <w:bCs w:val="0"/>
          <w:color w:val="000000"/>
          <w:kern w:val="0"/>
          <w:sz w:val="30"/>
          <w:szCs w:val="30"/>
          <w:lang w:val="en-US" w:eastAsia="zh-CN"/>
        </w:rPr>
        <w:t>市浚成环境检测</w:t>
      </w:r>
      <w:r>
        <w:rPr>
          <w:rFonts w:hint="eastAsia" w:ascii="仿宋" w:hAnsi="仿宋" w:eastAsia="仿宋" w:cs="仿宋"/>
          <w:b w:val="0"/>
          <w:bCs w:val="0"/>
          <w:color w:val="000000"/>
          <w:kern w:val="0"/>
          <w:sz w:val="30"/>
          <w:szCs w:val="30"/>
        </w:rPr>
        <w:t>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900" w:firstLineChars="300"/>
        <w:jc w:val="both"/>
        <w:textAlignment w:val="auto"/>
        <w:rPr>
          <w:rFonts w:hint="eastAsia" w:ascii="仿宋" w:hAnsi="仿宋" w:eastAsia="仿宋" w:cs="仿宋"/>
          <w:b w:val="0"/>
          <w:bCs w:val="0"/>
          <w:color w:val="000000"/>
          <w:kern w:val="0"/>
          <w:sz w:val="30"/>
          <w:szCs w:val="30"/>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 w:hAnsi="仿宋" w:eastAsia="仿宋" w:cs="仿宋"/>
          <w:b w:val="0"/>
          <w:bCs w:val="0"/>
          <w:color w:val="000000"/>
          <w:kern w:val="0"/>
          <w:sz w:val="30"/>
          <w:szCs w:val="30"/>
          <w:lang w:eastAsia="zh-CN"/>
        </w:rPr>
        <w:t>编制日期：</w:t>
      </w:r>
      <w:r>
        <w:rPr>
          <w:rFonts w:hint="eastAsia" w:ascii="仿宋" w:hAnsi="仿宋" w:eastAsia="仿宋" w:cs="仿宋"/>
          <w:b w:val="0"/>
          <w:bCs w:val="0"/>
          <w:color w:val="000000"/>
          <w:kern w:val="0"/>
          <w:sz w:val="30"/>
          <w:szCs w:val="30"/>
        </w:rPr>
        <w:t>二〇</w:t>
      </w:r>
      <w:r>
        <w:rPr>
          <w:rFonts w:hint="eastAsia" w:ascii="仿宋" w:hAnsi="仿宋" w:eastAsia="仿宋" w:cs="仿宋"/>
          <w:b w:val="0"/>
          <w:bCs w:val="0"/>
          <w:color w:val="000000"/>
          <w:kern w:val="0"/>
          <w:sz w:val="30"/>
          <w:szCs w:val="30"/>
          <w:lang w:val="en-US" w:eastAsia="zh-CN"/>
        </w:rPr>
        <w:t>二</w:t>
      </w:r>
      <w:r>
        <w:rPr>
          <w:rFonts w:hint="eastAsia" w:ascii="仿宋" w:hAnsi="仿宋" w:eastAsia="仿宋" w:cs="仿宋"/>
          <w:b w:val="0"/>
          <w:bCs w:val="0"/>
          <w:color w:val="000000"/>
          <w:kern w:val="0"/>
          <w:sz w:val="30"/>
          <w:szCs w:val="30"/>
          <w:lang w:eastAsia="zh-CN"/>
        </w:rPr>
        <w:t>一</w:t>
      </w:r>
      <w:r>
        <w:rPr>
          <w:rFonts w:hint="eastAsia" w:ascii="仿宋" w:hAnsi="仿宋" w:eastAsia="仿宋" w:cs="仿宋"/>
          <w:b w:val="0"/>
          <w:bCs w:val="0"/>
          <w:color w:val="000000"/>
          <w:kern w:val="0"/>
          <w:sz w:val="30"/>
          <w:szCs w:val="30"/>
        </w:rPr>
        <w:t>年</w:t>
      </w:r>
      <w:r>
        <w:rPr>
          <w:rFonts w:hint="eastAsia" w:ascii="仿宋" w:hAnsi="仿宋" w:eastAsia="仿宋" w:cs="仿宋"/>
          <w:b w:val="0"/>
          <w:bCs w:val="0"/>
          <w:color w:val="000000"/>
          <w:kern w:val="0"/>
          <w:sz w:val="30"/>
          <w:szCs w:val="30"/>
          <w:lang w:eastAsia="zh-CN"/>
        </w:rPr>
        <w:t>九</w:t>
      </w:r>
      <w:r>
        <w:rPr>
          <w:rFonts w:hint="eastAsia" w:ascii="仿宋" w:hAnsi="仿宋" w:eastAsia="仿宋" w:cs="仿宋"/>
          <w:b w:val="0"/>
          <w:bCs w:val="0"/>
          <w:color w:val="000000"/>
          <w:kern w:val="0"/>
          <w:sz w:val="30"/>
          <w:szCs w:val="30"/>
        </w:rPr>
        <w:t>月</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eastAsia" w:ascii="仿宋" w:hAnsi="仿宋" w:eastAsia="仿宋" w:cs="仿宋"/>
          <w:b/>
          <w:color w:val="000000"/>
          <w:sz w:val="28"/>
        </w:rPr>
      </w:pPr>
      <w:r>
        <w:rPr>
          <w:rFonts w:hint="eastAsia" w:ascii="仿宋" w:hAnsi="仿宋" w:eastAsia="仿宋" w:cs="仿宋"/>
          <w:b/>
          <w:color w:val="000000"/>
          <w:sz w:val="28"/>
        </w:rPr>
        <w:t>建设单位</w:t>
      </w:r>
      <w:r>
        <w:rPr>
          <w:rFonts w:hint="eastAsia" w:ascii="仿宋" w:hAnsi="仿宋" w:eastAsia="仿宋" w:cs="仿宋"/>
          <w:b/>
          <w:color w:val="000000"/>
          <w:sz w:val="28"/>
          <w:highlight w:val="none"/>
        </w:rPr>
        <w:t>法人代表</w:t>
      </w:r>
      <w:r>
        <w:rPr>
          <w:rFonts w:hint="eastAsia" w:ascii="仿宋" w:hAnsi="仿宋" w:eastAsia="仿宋" w:cs="仿宋"/>
          <w:b/>
          <w:color w:val="000000"/>
          <w:sz w:val="28"/>
        </w:rPr>
        <w:t>:</w:t>
      </w:r>
      <w:r>
        <w:rPr>
          <w:rFonts w:hint="eastAsia" w:ascii="仿宋" w:hAnsi="仿宋" w:eastAsia="仿宋" w:cs="仿宋"/>
          <w:sz w:val="28"/>
          <w:szCs w:val="28"/>
          <w:lang w:eastAsia="zh-CN"/>
        </w:rPr>
        <w:t>万桂芳</w:t>
      </w:r>
      <w:r>
        <w:rPr>
          <w:rFonts w:hint="eastAsia" w:ascii="仿宋" w:hAnsi="仿宋" w:eastAsia="仿宋" w:cs="仿宋"/>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eastAsia" w:ascii="仿宋" w:hAnsi="仿宋" w:eastAsia="仿宋" w:cs="仿宋"/>
          <w:color w:val="000000"/>
          <w:sz w:val="28"/>
        </w:rPr>
      </w:pPr>
      <w:r>
        <w:rPr>
          <w:rFonts w:hint="eastAsia" w:ascii="仿宋" w:hAnsi="仿宋" w:eastAsia="仿宋" w:cs="仿宋"/>
          <w:b/>
          <w:color w:val="000000"/>
          <w:sz w:val="28"/>
        </w:rPr>
        <w:t>编制单位</w:t>
      </w:r>
      <w:r>
        <w:rPr>
          <w:rFonts w:hint="eastAsia" w:ascii="仿宋" w:hAnsi="仿宋" w:eastAsia="仿宋" w:cs="仿宋"/>
          <w:b/>
          <w:color w:val="000000"/>
          <w:sz w:val="28"/>
          <w:highlight w:val="none"/>
        </w:rPr>
        <w:t>法人代表</w:t>
      </w:r>
      <w:r>
        <w:rPr>
          <w:rFonts w:hint="eastAsia" w:ascii="仿宋" w:hAnsi="仿宋" w:eastAsia="仿宋" w:cs="仿宋"/>
          <w:b/>
          <w:color w:val="000000"/>
          <w:sz w:val="28"/>
        </w:rPr>
        <w:t>:</w:t>
      </w:r>
      <w:r>
        <w:rPr>
          <w:rFonts w:hint="eastAsia" w:ascii="仿宋" w:hAnsi="仿宋" w:eastAsia="仿宋" w:cs="仿宋"/>
          <w:sz w:val="28"/>
          <w:szCs w:val="28"/>
        </w:rPr>
        <w:t>杨明辉</w:t>
      </w:r>
      <w:r>
        <w:rPr>
          <w:rFonts w:hint="eastAsia" w:ascii="仿宋" w:hAnsi="仿宋" w:eastAsia="仿宋" w:cs="仿宋"/>
          <w:color w:val="000000"/>
          <w:sz w:val="28"/>
        </w:rPr>
        <w:tab/>
      </w:r>
      <w:r>
        <w:rPr>
          <w:rFonts w:hint="eastAsia" w:ascii="仿宋" w:hAnsi="仿宋" w:eastAsia="仿宋" w:cs="仿宋"/>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宋体" w:cs="Times New Roman"/>
          <w:color w:val="000000"/>
          <w:sz w:val="28"/>
        </w:rPr>
      </w:pPr>
      <w:r>
        <w:rPr>
          <w:rFonts w:hint="eastAsia" w:ascii="仿宋" w:hAnsi="仿宋" w:eastAsia="仿宋" w:cs="仿宋"/>
          <w:b/>
          <w:bCs/>
          <w:color w:val="000000"/>
          <w:sz w:val="28"/>
          <w:lang w:eastAsia="zh-CN"/>
        </w:rPr>
        <w:t>项目负责人：</w:t>
      </w:r>
      <w:r>
        <w:rPr>
          <w:rFonts w:hint="eastAsia" w:ascii="仿宋" w:hAnsi="仿宋" w:eastAsia="仿宋" w:cs="仿宋"/>
          <w:b w:val="0"/>
          <w:bCs w:val="0"/>
          <w:color w:val="000000"/>
          <w:sz w:val="28"/>
          <w:lang w:eastAsia="zh-CN"/>
        </w:rPr>
        <w:t>李智</w:t>
      </w:r>
      <w:r>
        <w:rPr>
          <w:rFonts w:hint="eastAsia" w:ascii="仿宋" w:hAnsi="仿宋" w:eastAsia="仿宋" w:cs="仿宋"/>
          <w:color w:val="000000"/>
          <w:sz w:val="28"/>
        </w:rPr>
        <w:t xml:space="preserve"> </w:t>
      </w:r>
      <w:r>
        <w:rPr>
          <w:rFonts w:hint="default" w:ascii="Times New Roman" w:hAnsi="Times New Roman" w:eastAsia="宋体"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宋体" w:cs="Times New Roman"/>
          <w:color w:val="000000"/>
          <w:sz w:val="28"/>
        </w:rPr>
      </w:pPr>
      <w:r>
        <w:rPr>
          <w:rFonts w:hint="default" w:ascii="Times New Roman" w:hAnsi="Times New Roman" w:eastAsia="宋体" w:cs="Times New Roman"/>
          <w:color w:val="000000"/>
          <w:sz w:val="28"/>
        </w:rPr>
        <w:tab/>
      </w:r>
    </w:p>
    <w:p>
      <w:pPr>
        <w:spacing w:line="360" w:lineRule="auto"/>
        <w:rPr>
          <w:rFonts w:hint="default" w:ascii="Times New Roman" w:hAnsi="Times New Roman" w:eastAsia="宋体" w:cs="Times New Roman"/>
          <w:color w:val="000000"/>
          <w:sz w:val="28"/>
        </w:rPr>
      </w:pPr>
      <w:r>
        <w:rPr>
          <w:rFonts w:hint="default" w:ascii="Times New Roman" w:hAnsi="Times New Roman" w:eastAsia="宋体" w:cs="Times New Roman"/>
          <w:color w:val="000000"/>
          <w:sz w:val="28"/>
        </w:rPr>
        <w:tab/>
      </w:r>
    </w:p>
    <w:p>
      <w:pPr>
        <w:spacing w:line="360" w:lineRule="auto"/>
        <w:rPr>
          <w:rFonts w:hint="default" w:ascii="Times New Roman" w:hAnsi="Times New Roman" w:eastAsia="宋体" w:cs="Times New Roman"/>
          <w:color w:val="000000"/>
          <w:sz w:val="28"/>
        </w:rPr>
      </w:pPr>
    </w:p>
    <w:p>
      <w:pPr>
        <w:tabs>
          <w:tab w:val="left" w:pos="984"/>
        </w:tabs>
        <w:spacing w:line="360" w:lineRule="auto"/>
        <w:rPr>
          <w:rFonts w:hint="default" w:ascii="Times New Roman" w:hAnsi="Times New Roman" w:eastAsia="宋体" w:cs="Times New Roman"/>
          <w:color w:val="000000"/>
          <w:sz w:val="28"/>
        </w:rPr>
      </w:pPr>
      <w:r>
        <w:rPr>
          <w:rFonts w:hint="default" w:ascii="Times New Roman" w:hAnsi="Times New Roman" w:eastAsia="宋体" w:cs="Times New Roman"/>
          <w:color w:val="000000"/>
          <w:sz w:val="28"/>
        </w:rPr>
        <w:tab/>
      </w:r>
    </w:p>
    <w:p>
      <w:pPr>
        <w:tabs>
          <w:tab w:val="left" w:pos="984"/>
        </w:tabs>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eastAsia" w:ascii="仿宋" w:hAnsi="仿宋" w:eastAsia="仿宋" w:cs="仿宋"/>
          <w:color w:val="000000"/>
          <w:sz w:val="21"/>
          <w:szCs w:val="21"/>
        </w:rPr>
        <w:sectPr>
          <w:footerReference r:id="rId3"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20" w:num="1"/>
          <w:docGrid w:linePitch="360" w:charSpace="0"/>
        </w:sectPr>
      </w:pPr>
      <w:r>
        <w:rPr>
          <w:rFonts w:hint="eastAsia" w:ascii="仿宋" w:hAnsi="仿宋" w:eastAsia="仿宋" w:cs="仿宋"/>
          <w:color w:val="000000"/>
          <w:sz w:val="28"/>
        </w:rPr>
        <w:t xml:space="preserve">建设单位 </w:t>
      </w:r>
      <w:r>
        <w:rPr>
          <w:rFonts w:hint="eastAsia" w:ascii="仿宋" w:hAnsi="仿宋" w:eastAsia="仿宋" w:cs="仿宋"/>
          <w:color w:val="000000"/>
          <w:sz w:val="28"/>
          <w:lang w:val="en-US" w:eastAsia="zh-CN"/>
        </w:rPr>
        <w:t xml:space="preserve">        </w:t>
      </w:r>
      <w:r>
        <w:rPr>
          <w:rFonts w:hint="eastAsia" w:ascii="仿宋" w:hAnsi="仿宋" w:eastAsia="仿宋" w:cs="仿宋"/>
          <w:color w:val="000000"/>
          <w:sz w:val="28"/>
        </w:rPr>
        <w:t>（盖章）        编制单位          （盖章）</w:t>
      </w:r>
    </w:p>
    <w:p>
      <w:pPr>
        <w:pStyle w:val="2"/>
        <w:tabs>
          <w:tab w:val="left" w:pos="788"/>
        </w:tabs>
        <w:spacing w:line="424" w:lineRule="exact"/>
        <w:ind w:left="0" w:right="274"/>
        <w:jc w:val="both"/>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表一</w:t>
      </w:r>
    </w:p>
    <w:tbl>
      <w:tblPr>
        <w:tblStyle w:val="15"/>
        <w:tblW w:w="506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716"/>
        <w:gridCol w:w="1719"/>
        <w:gridCol w:w="617"/>
        <w:gridCol w:w="657"/>
        <w:gridCol w:w="696"/>
        <w:gridCol w:w="564"/>
        <w:gridCol w:w="483"/>
        <w:gridCol w:w="955"/>
        <w:gridCol w:w="479"/>
        <w:gridCol w:w="10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73" w:type="pct"/>
            <w:tcBorders>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建设项目名称</w:t>
            </w:r>
          </w:p>
        </w:tc>
        <w:tc>
          <w:tcPr>
            <w:tcW w:w="3626" w:type="pct"/>
            <w:gridSpan w:val="9"/>
            <w:tcBorders>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宣城虹桥金属表面处理有限公司危险废物变动情况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1373" w:type="pct"/>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建设单位</w:t>
            </w:r>
          </w:p>
        </w:tc>
        <w:tc>
          <w:tcPr>
            <w:tcW w:w="3626" w:type="pct"/>
            <w:gridSpan w:val="9"/>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宣城虹桥金属表面处理有限公司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73" w:type="pct"/>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法人代表</w:t>
            </w:r>
          </w:p>
        </w:tc>
        <w:tc>
          <w:tcPr>
            <w:tcW w:w="1181" w:type="pct"/>
            <w:gridSpan w:val="2"/>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lang w:eastAsia="zh-CN"/>
              </w:rPr>
            </w:pPr>
            <w:r>
              <w:rPr>
                <w:rFonts w:hint="eastAsia" w:ascii="Times New Roman" w:hAnsi="Times New Roman" w:eastAsia="宋体" w:cs="Times New Roman"/>
                <w:sz w:val="28"/>
                <w:szCs w:val="28"/>
                <w:lang w:val="en-US" w:eastAsia="zh-CN"/>
              </w:rPr>
              <w:t>章莉</w:t>
            </w:r>
          </w:p>
        </w:tc>
        <w:tc>
          <w:tcPr>
            <w:tcW w:w="1213" w:type="pct"/>
            <w:gridSpan w:val="4"/>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联系人</w:t>
            </w:r>
          </w:p>
        </w:tc>
        <w:tc>
          <w:tcPr>
            <w:tcW w:w="1232" w:type="pct"/>
            <w:gridSpan w:val="3"/>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刘伟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73" w:type="pct"/>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通信地址</w:t>
            </w:r>
          </w:p>
        </w:tc>
        <w:tc>
          <w:tcPr>
            <w:tcW w:w="3626" w:type="pct"/>
            <w:gridSpan w:val="9"/>
            <w:tcBorders>
              <w:top w:val="single" w:color="000000" w:sz="4" w:space="0"/>
              <w:bottom w:val="single" w:color="000000" w:sz="4" w:space="0"/>
            </w:tcBorders>
            <w:vAlign w:val="center"/>
          </w:tcPr>
          <w:p>
            <w:pPr>
              <w:pStyle w:val="19"/>
              <w:keepNext w:val="0"/>
              <w:keepLines w:val="0"/>
              <w:pageBreakBefore w:val="0"/>
              <w:widowControl w:val="0"/>
              <w:tabs>
                <w:tab w:val="left" w:pos="3608"/>
              </w:tabs>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lang w:val="en-US"/>
              </w:rPr>
            </w:pPr>
            <w:r>
              <w:rPr>
                <w:rFonts w:hint="default" w:ascii="Times New Roman" w:hAnsi="Times New Roman" w:eastAsia="宋体" w:cs="Times New Roman"/>
                <w:sz w:val="28"/>
                <w:szCs w:val="28"/>
                <w:lang w:eastAsia="zh-CN"/>
              </w:rPr>
              <w:t>安徽省宁国市</w:t>
            </w:r>
            <w:r>
              <w:rPr>
                <w:rFonts w:hint="eastAsia" w:ascii="Times New Roman" w:hAnsi="Times New Roman" w:eastAsia="宋体" w:cs="Times New Roman"/>
                <w:sz w:val="28"/>
                <w:szCs w:val="28"/>
                <w:lang w:eastAsia="zh-CN"/>
              </w:rPr>
              <w:t>宁国经济技术开发区汪溪园区电镀中心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373" w:type="pct"/>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联系电话</w:t>
            </w:r>
          </w:p>
        </w:tc>
        <w:tc>
          <w:tcPr>
            <w:tcW w:w="869" w:type="pct"/>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13665636985</w:t>
            </w:r>
          </w:p>
        </w:tc>
        <w:tc>
          <w:tcPr>
            <w:tcW w:w="644" w:type="pct"/>
            <w:gridSpan w:val="2"/>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传真</w:t>
            </w:r>
          </w:p>
        </w:tc>
        <w:tc>
          <w:tcPr>
            <w:tcW w:w="637" w:type="pct"/>
            <w:gridSpan w:val="2"/>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w:t>
            </w:r>
          </w:p>
        </w:tc>
        <w:tc>
          <w:tcPr>
            <w:tcW w:w="727" w:type="pct"/>
            <w:gridSpan w:val="2"/>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邮编</w:t>
            </w:r>
          </w:p>
        </w:tc>
        <w:tc>
          <w:tcPr>
            <w:tcW w:w="748" w:type="pct"/>
            <w:gridSpan w:val="2"/>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242300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373" w:type="pct"/>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建设地点</w:t>
            </w:r>
          </w:p>
        </w:tc>
        <w:tc>
          <w:tcPr>
            <w:tcW w:w="3626" w:type="pct"/>
            <w:gridSpan w:val="9"/>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rPr>
            </w:pPr>
            <w:r>
              <w:rPr>
                <w:rFonts w:hint="eastAsia" w:ascii="Times New Roman" w:hAnsi="Times New Roman" w:eastAsia="宋体" w:cs="Times New Roman"/>
                <w:sz w:val="28"/>
                <w:szCs w:val="28"/>
                <w:lang w:eastAsia="zh-CN"/>
              </w:rPr>
              <w:t>宁国经济技术开发区汪溪园区电镀中心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73" w:type="pct"/>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项目性质</w:t>
            </w:r>
          </w:p>
        </w:tc>
        <w:tc>
          <w:tcPr>
            <w:tcW w:w="1513" w:type="pct"/>
            <w:gridSpan w:val="3"/>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sz w:val="28"/>
                <w:szCs w:val="28"/>
                <w:lang w:eastAsia="zh-CN"/>
              </w:rPr>
            </w:pPr>
            <w:r>
              <w:rPr>
                <w:rFonts w:hint="default" w:ascii="Times New Roman" w:hAnsi="Times New Roman" w:eastAsia="宋体" w:cs="Times New Roman"/>
                <w:sz w:val="28"/>
                <w:szCs w:val="28"/>
              </w:rPr>
              <w:t>新建</w:t>
            </w:r>
            <w:r>
              <w:rPr>
                <w:rFonts w:hint="eastAsia" w:ascii="Times New Roman" w:hAnsi="Times New Roman" w:eastAsia="宋体" w:cs="Times New Roman"/>
                <w:sz w:val="28"/>
                <w:szCs w:val="28"/>
                <w:lang w:eastAsia="zh-CN"/>
              </w:rPr>
              <w:t>□迁</w:t>
            </w:r>
            <w:r>
              <w:rPr>
                <w:rFonts w:hint="default" w:ascii="Times New Roman" w:hAnsi="Times New Roman" w:eastAsia="宋体" w:cs="Times New Roman"/>
                <w:sz w:val="28"/>
                <w:szCs w:val="28"/>
              </w:rPr>
              <w:t>建</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rPr>
              <w:t>技改</w:t>
            </w:r>
            <w:r>
              <w:rPr>
                <w:rFonts w:hint="eastAsia" w:ascii="Times New Roman" w:hAnsi="Times New Roman" w:eastAsia="宋体" w:cs="Times New Roman"/>
                <w:sz w:val="28"/>
                <w:szCs w:val="28"/>
                <w:lang w:eastAsia="zh-CN"/>
              </w:rPr>
              <w:t>□</w:t>
            </w:r>
          </w:p>
        </w:tc>
        <w:tc>
          <w:tcPr>
            <w:tcW w:w="881" w:type="pct"/>
            <w:gridSpan w:val="3"/>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行业类别</w:t>
            </w:r>
          </w:p>
        </w:tc>
        <w:tc>
          <w:tcPr>
            <w:tcW w:w="1232" w:type="pct"/>
            <w:gridSpan w:val="3"/>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C3360</w:t>
            </w:r>
            <w:r>
              <w:rPr>
                <w:rFonts w:hint="default" w:ascii="Times New Roman" w:hAnsi="Times New Roman" w:eastAsia="宋体" w:cs="Times New Roman"/>
                <w:sz w:val="28"/>
                <w:szCs w:val="28"/>
                <w:lang w:val="en-US" w:eastAsia="zh-CN"/>
              </w:rPr>
              <w:t xml:space="preserve"> </w:t>
            </w:r>
            <w:r>
              <w:rPr>
                <w:rFonts w:hint="eastAsia" w:ascii="Times New Roman" w:hAnsi="Times New Roman" w:eastAsia="宋体" w:cs="Times New Roman"/>
                <w:sz w:val="28"/>
                <w:szCs w:val="28"/>
                <w:lang w:val="en-US" w:eastAsia="zh-CN"/>
              </w:rPr>
              <w:t>金属表面处理及热处理加工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373" w:type="pct"/>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环境影响报告</w:t>
            </w:r>
            <w:r>
              <w:rPr>
                <w:rFonts w:hint="eastAsia" w:ascii="Times New Roman" w:hAnsi="Times New Roman" w:eastAsia="宋体" w:cs="Times New Roman"/>
                <w:sz w:val="28"/>
                <w:szCs w:val="28"/>
                <w:lang w:eastAsia="zh-CN"/>
              </w:rPr>
              <w:t>文件</w:t>
            </w:r>
            <w:r>
              <w:rPr>
                <w:rFonts w:hint="default" w:ascii="Times New Roman" w:hAnsi="Times New Roman" w:eastAsia="宋体" w:cs="Times New Roman"/>
                <w:sz w:val="28"/>
                <w:szCs w:val="28"/>
              </w:rPr>
              <w:t>名称</w:t>
            </w:r>
          </w:p>
        </w:tc>
        <w:tc>
          <w:tcPr>
            <w:tcW w:w="3626" w:type="pct"/>
            <w:gridSpan w:val="9"/>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rPr>
            </w:pPr>
            <w:r>
              <w:rPr>
                <w:rFonts w:hint="eastAsia" w:ascii="Times New Roman" w:hAnsi="Times New Roman" w:eastAsia="宋体" w:cs="Times New Roman"/>
                <w:sz w:val="28"/>
                <w:szCs w:val="28"/>
                <w:lang w:eastAsia="zh-CN"/>
              </w:rPr>
              <w:t>宁国市立晨金属表面处理有限公司立晨公司整体搬迁及扩建项目环境影响报告书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1373" w:type="pct"/>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环境影响评价单位</w:t>
            </w:r>
          </w:p>
        </w:tc>
        <w:tc>
          <w:tcPr>
            <w:tcW w:w="3626" w:type="pct"/>
            <w:gridSpan w:val="9"/>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江苏苏辰勘察设计院</w:t>
            </w:r>
            <w:r>
              <w:rPr>
                <w:rFonts w:hint="default" w:ascii="Times New Roman" w:hAnsi="Times New Roman" w:eastAsia="宋体" w:cs="Times New Roman"/>
                <w:sz w:val="28"/>
                <w:szCs w:val="28"/>
                <w:lang w:eastAsia="zh-CN"/>
              </w:rPr>
              <w:t>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373" w:type="pct"/>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环境影响评价审批部门</w:t>
            </w:r>
          </w:p>
        </w:tc>
        <w:tc>
          <w:tcPr>
            <w:tcW w:w="869" w:type="pct"/>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宣城市生态环境局</w:t>
            </w:r>
          </w:p>
        </w:tc>
        <w:tc>
          <w:tcPr>
            <w:tcW w:w="644" w:type="pct"/>
            <w:gridSpan w:val="2"/>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文号</w:t>
            </w:r>
          </w:p>
        </w:tc>
        <w:tc>
          <w:tcPr>
            <w:tcW w:w="637" w:type="pct"/>
            <w:gridSpan w:val="2"/>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eastAsia="zh-CN"/>
              </w:rPr>
              <w:t>宣环评[2019]23 号</w:t>
            </w:r>
          </w:p>
        </w:tc>
        <w:tc>
          <w:tcPr>
            <w:tcW w:w="727" w:type="pct"/>
            <w:gridSpan w:val="2"/>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时间</w:t>
            </w:r>
          </w:p>
        </w:tc>
        <w:tc>
          <w:tcPr>
            <w:tcW w:w="748" w:type="pct"/>
            <w:gridSpan w:val="2"/>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201</w:t>
            </w:r>
            <w:r>
              <w:rPr>
                <w:rFonts w:hint="eastAsia" w:ascii="Times New Roman" w:hAnsi="Times New Roman" w:eastAsia="宋体" w:cs="Times New Roman"/>
                <w:sz w:val="28"/>
                <w:szCs w:val="28"/>
                <w:lang w:val="en-US" w:eastAsia="zh-CN"/>
              </w:rPr>
              <w:t>9</w:t>
            </w:r>
            <w:r>
              <w:rPr>
                <w:rFonts w:hint="default" w:ascii="Times New Roman" w:hAnsi="Times New Roman" w:eastAsia="宋体" w:cs="Times New Roman"/>
                <w:sz w:val="28"/>
                <w:szCs w:val="28"/>
                <w:lang w:val="en-US" w:eastAsia="zh-CN"/>
              </w:rPr>
              <w:t>年</w:t>
            </w:r>
            <w:r>
              <w:rPr>
                <w:rFonts w:hint="eastAsia" w:ascii="Times New Roman" w:hAnsi="Times New Roman" w:eastAsia="宋体" w:cs="Times New Roman"/>
                <w:sz w:val="28"/>
                <w:szCs w:val="28"/>
                <w:lang w:val="en-US" w:eastAsia="zh-CN"/>
              </w:rPr>
              <w:t>7</w:t>
            </w:r>
            <w:r>
              <w:rPr>
                <w:rFonts w:hint="default" w:ascii="Times New Roman" w:hAnsi="Times New Roman" w:eastAsia="宋体" w:cs="Times New Roman"/>
                <w:sz w:val="28"/>
                <w:szCs w:val="28"/>
                <w:lang w:val="en-US" w:eastAsia="zh-CN"/>
              </w:rPr>
              <w:t>月</w:t>
            </w:r>
            <w:r>
              <w:rPr>
                <w:rFonts w:hint="eastAsia" w:ascii="Times New Roman" w:hAnsi="Times New Roman" w:eastAsia="宋体" w:cs="Times New Roman"/>
                <w:sz w:val="28"/>
                <w:szCs w:val="28"/>
                <w:lang w:val="en-US" w:eastAsia="zh-CN"/>
              </w:rPr>
              <w:t>19</w:t>
            </w:r>
            <w:r>
              <w:rPr>
                <w:rFonts w:hint="default" w:ascii="Times New Roman" w:hAnsi="Times New Roman" w:eastAsia="宋体" w:cs="Times New Roman"/>
                <w:sz w:val="28"/>
                <w:szCs w:val="28"/>
                <w:lang w:val="en-US" w:eastAsia="zh-CN"/>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73" w:type="pct"/>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环境保护设施设计单位</w:t>
            </w:r>
          </w:p>
        </w:tc>
        <w:tc>
          <w:tcPr>
            <w:tcW w:w="3626" w:type="pct"/>
            <w:gridSpan w:val="9"/>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rPr>
            </w:pPr>
            <w:r>
              <w:rPr>
                <w:rFonts w:hint="eastAsia" w:ascii="Times New Roman" w:hAnsi="Times New Roman" w:eastAsia="宋体" w:cs="Times New Roman"/>
                <w:sz w:val="28"/>
                <w:szCs w:val="28"/>
                <w:lang w:eastAsia="zh-CN"/>
              </w:rPr>
              <w:t>宣城虹桥金属表面处理有限公司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73" w:type="pct"/>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环境保护设施施工单位</w:t>
            </w:r>
          </w:p>
        </w:tc>
        <w:tc>
          <w:tcPr>
            <w:tcW w:w="3626" w:type="pct"/>
            <w:gridSpan w:val="9"/>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rPr>
            </w:pPr>
            <w:r>
              <w:rPr>
                <w:rFonts w:hint="eastAsia" w:ascii="Times New Roman" w:hAnsi="Times New Roman" w:eastAsia="宋体" w:cs="Times New Roman"/>
                <w:sz w:val="28"/>
                <w:szCs w:val="28"/>
                <w:lang w:eastAsia="zh-CN"/>
              </w:rPr>
              <w:t>宣城虹桥金属表面处理有限公司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73" w:type="pct"/>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环境保护设施监测单位</w:t>
            </w:r>
          </w:p>
        </w:tc>
        <w:tc>
          <w:tcPr>
            <w:tcW w:w="3626" w:type="pct"/>
            <w:gridSpan w:val="9"/>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73" w:type="pct"/>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投资总概算</w:t>
            </w:r>
          </w:p>
          <w:p>
            <w:pPr>
              <w:pStyle w:val="1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(万元)</w:t>
            </w:r>
          </w:p>
        </w:tc>
        <w:tc>
          <w:tcPr>
            <w:tcW w:w="869" w:type="pct"/>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5000</w:t>
            </w:r>
          </w:p>
        </w:tc>
        <w:tc>
          <w:tcPr>
            <w:tcW w:w="996" w:type="pct"/>
            <w:gridSpan w:val="3"/>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right="30"/>
              <w:jc w:val="center"/>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其中：环境保护</w:t>
            </w:r>
          </w:p>
          <w:p>
            <w:pPr>
              <w:pStyle w:val="19"/>
              <w:keepNext w:val="0"/>
              <w:keepLines w:val="0"/>
              <w:pageBreakBefore w:val="0"/>
              <w:widowControl w:val="0"/>
              <w:kinsoku/>
              <w:wordWrap/>
              <w:overflowPunct/>
              <w:topLinePunct w:val="0"/>
              <w:autoSpaceDE/>
              <w:autoSpaceDN/>
              <w:bidi w:val="0"/>
              <w:adjustRightInd/>
              <w:snapToGrid/>
              <w:spacing w:line="240" w:lineRule="auto"/>
              <w:ind w:left="0" w:right="30"/>
              <w:jc w:val="center"/>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投资(万元)</w:t>
            </w:r>
          </w:p>
        </w:tc>
        <w:tc>
          <w:tcPr>
            <w:tcW w:w="528" w:type="pct"/>
            <w:gridSpan w:val="2"/>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429</w:t>
            </w:r>
          </w:p>
        </w:tc>
        <w:tc>
          <w:tcPr>
            <w:tcW w:w="725" w:type="pct"/>
            <w:gridSpan w:val="2"/>
            <w:vMerge w:val="restart"/>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right="73"/>
              <w:jc w:val="center"/>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环境保护投资占总投资比例</w:t>
            </w:r>
          </w:p>
        </w:tc>
        <w:tc>
          <w:tcPr>
            <w:tcW w:w="506" w:type="pct"/>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8.48</w:t>
            </w:r>
            <w:r>
              <w:rPr>
                <w:rFonts w:hint="default" w:ascii="Times New Roman" w:hAnsi="Times New Roman" w:eastAsia="宋体" w:cs="Times New Roman"/>
                <w:sz w:val="28"/>
                <w:szCs w:val="2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73" w:type="pct"/>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实际总投资</w:t>
            </w:r>
          </w:p>
          <w:p>
            <w:pPr>
              <w:pStyle w:val="1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(万元)</w:t>
            </w:r>
          </w:p>
        </w:tc>
        <w:tc>
          <w:tcPr>
            <w:tcW w:w="869" w:type="pct"/>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3000</w:t>
            </w:r>
          </w:p>
        </w:tc>
        <w:tc>
          <w:tcPr>
            <w:tcW w:w="996" w:type="pct"/>
            <w:gridSpan w:val="3"/>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right="30"/>
              <w:jc w:val="center"/>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其中：环境保护</w:t>
            </w:r>
          </w:p>
          <w:p>
            <w:pPr>
              <w:pStyle w:val="19"/>
              <w:keepNext w:val="0"/>
              <w:keepLines w:val="0"/>
              <w:pageBreakBefore w:val="0"/>
              <w:widowControl w:val="0"/>
              <w:kinsoku/>
              <w:wordWrap/>
              <w:overflowPunct/>
              <w:topLinePunct w:val="0"/>
              <w:autoSpaceDE/>
              <w:autoSpaceDN/>
              <w:bidi w:val="0"/>
              <w:adjustRightInd/>
              <w:snapToGrid/>
              <w:spacing w:line="240" w:lineRule="auto"/>
              <w:ind w:left="0" w:right="30"/>
              <w:jc w:val="center"/>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投资(万元)</w:t>
            </w:r>
          </w:p>
        </w:tc>
        <w:tc>
          <w:tcPr>
            <w:tcW w:w="528" w:type="pct"/>
            <w:gridSpan w:val="2"/>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294</w:t>
            </w:r>
          </w:p>
        </w:tc>
        <w:tc>
          <w:tcPr>
            <w:tcW w:w="725" w:type="pct"/>
            <w:gridSpan w:val="2"/>
            <w:vMerge w:val="continue"/>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rPr>
            </w:pPr>
          </w:p>
        </w:tc>
        <w:tc>
          <w:tcPr>
            <w:tcW w:w="506" w:type="pct"/>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rPr>
            </w:pPr>
            <w:r>
              <w:rPr>
                <w:rFonts w:hint="eastAsia" w:ascii="Times New Roman" w:hAnsi="Times New Roman" w:eastAsia="宋体" w:cs="Times New Roman"/>
                <w:sz w:val="28"/>
                <w:szCs w:val="28"/>
                <w:lang w:val="en-US" w:eastAsia="zh-CN"/>
              </w:rPr>
              <w:t>9.8</w:t>
            </w:r>
            <w:r>
              <w:rPr>
                <w:rFonts w:hint="default" w:ascii="Times New Roman" w:hAnsi="Times New Roman" w:eastAsia="宋体" w:cs="Times New Roman"/>
                <w:sz w:val="28"/>
                <w:szCs w:val="2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373" w:type="pct"/>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sz w:val="28"/>
                <w:szCs w:val="28"/>
                <w:lang w:eastAsia="zh-CN"/>
              </w:rPr>
            </w:pPr>
            <w:r>
              <w:rPr>
                <w:rFonts w:hint="default" w:ascii="Times New Roman" w:hAnsi="Times New Roman" w:eastAsia="宋体" w:cs="Times New Roman"/>
                <w:sz w:val="28"/>
                <w:szCs w:val="28"/>
              </w:rPr>
              <w:t>设计</w:t>
            </w:r>
            <w:r>
              <w:rPr>
                <w:rFonts w:hint="eastAsia" w:ascii="Times New Roman" w:hAnsi="Times New Roman" w:eastAsia="宋体" w:cs="Times New Roman"/>
                <w:sz w:val="28"/>
                <w:szCs w:val="28"/>
                <w:lang w:eastAsia="zh-CN"/>
              </w:rPr>
              <w:t>规模</w:t>
            </w:r>
          </w:p>
        </w:tc>
        <w:tc>
          <w:tcPr>
            <w:tcW w:w="869" w:type="pct"/>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w:t>
            </w:r>
          </w:p>
        </w:tc>
        <w:tc>
          <w:tcPr>
            <w:tcW w:w="1525" w:type="pct"/>
            <w:gridSpan w:val="5"/>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建设项目开工日期</w:t>
            </w:r>
          </w:p>
        </w:tc>
        <w:tc>
          <w:tcPr>
            <w:tcW w:w="1232" w:type="pct"/>
            <w:gridSpan w:val="3"/>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201</w:t>
            </w:r>
            <w:r>
              <w:rPr>
                <w:rFonts w:hint="eastAsia" w:ascii="Times New Roman" w:hAnsi="Times New Roman" w:eastAsia="宋体" w:cs="Times New Roman"/>
                <w:sz w:val="28"/>
                <w:szCs w:val="28"/>
                <w:lang w:val="en-US" w:eastAsia="zh-CN"/>
              </w:rPr>
              <w:t>9</w:t>
            </w:r>
            <w:r>
              <w:rPr>
                <w:rFonts w:hint="default" w:ascii="Times New Roman" w:hAnsi="Times New Roman" w:eastAsia="宋体" w:cs="Times New Roman"/>
                <w:sz w:val="28"/>
                <w:szCs w:val="28"/>
                <w:lang w:val="en-US" w:eastAsia="zh-CN"/>
              </w:rPr>
              <w:t>年</w:t>
            </w:r>
            <w:r>
              <w:rPr>
                <w:rFonts w:hint="eastAsia" w:ascii="Times New Roman" w:hAnsi="Times New Roman" w:eastAsia="宋体" w:cs="Times New Roman"/>
                <w:sz w:val="28"/>
                <w:szCs w:val="28"/>
                <w:lang w:val="en-US" w:eastAsia="zh-CN"/>
              </w:rPr>
              <w:t>8</w:t>
            </w:r>
            <w:r>
              <w:rPr>
                <w:rFonts w:hint="default" w:ascii="Times New Roman" w:hAnsi="Times New Roman" w:eastAsia="宋体" w:cs="Times New Roman"/>
                <w:sz w:val="28"/>
                <w:szCs w:val="28"/>
                <w:lang w:val="en-US" w:eastAsia="zh-CN"/>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373" w:type="pct"/>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sz w:val="28"/>
                <w:szCs w:val="28"/>
                <w:lang w:eastAsia="zh-CN"/>
              </w:rPr>
            </w:pPr>
            <w:r>
              <w:rPr>
                <w:rFonts w:hint="default" w:ascii="Times New Roman" w:hAnsi="Times New Roman" w:eastAsia="宋体" w:cs="Times New Roman"/>
                <w:sz w:val="28"/>
                <w:szCs w:val="28"/>
              </w:rPr>
              <w:t>实际</w:t>
            </w:r>
            <w:r>
              <w:rPr>
                <w:rFonts w:hint="eastAsia" w:ascii="Times New Roman" w:hAnsi="Times New Roman" w:eastAsia="宋体" w:cs="Times New Roman"/>
                <w:sz w:val="28"/>
                <w:szCs w:val="28"/>
                <w:lang w:eastAsia="zh-CN"/>
              </w:rPr>
              <w:t>规模</w:t>
            </w:r>
          </w:p>
        </w:tc>
        <w:tc>
          <w:tcPr>
            <w:tcW w:w="869" w:type="pct"/>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w:t>
            </w:r>
          </w:p>
        </w:tc>
        <w:tc>
          <w:tcPr>
            <w:tcW w:w="1525" w:type="pct"/>
            <w:gridSpan w:val="5"/>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投入试运行日期</w:t>
            </w:r>
          </w:p>
        </w:tc>
        <w:tc>
          <w:tcPr>
            <w:tcW w:w="1232" w:type="pct"/>
            <w:gridSpan w:val="3"/>
            <w:tcBorders>
              <w:top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20</w:t>
            </w:r>
            <w:r>
              <w:rPr>
                <w:rFonts w:hint="eastAsia" w:ascii="Times New Roman" w:hAnsi="Times New Roman" w:eastAsia="宋体" w:cs="Times New Roman"/>
                <w:sz w:val="28"/>
                <w:szCs w:val="28"/>
                <w:lang w:val="en-US" w:eastAsia="zh-CN"/>
              </w:rPr>
              <w:t>20</w:t>
            </w:r>
            <w:r>
              <w:rPr>
                <w:rFonts w:hint="default" w:ascii="Times New Roman" w:hAnsi="Times New Roman" w:eastAsia="宋体" w:cs="Times New Roman"/>
                <w:sz w:val="28"/>
                <w:szCs w:val="28"/>
                <w:lang w:val="en-US" w:eastAsia="zh-CN"/>
              </w:rPr>
              <w:t>年</w:t>
            </w:r>
            <w:r>
              <w:rPr>
                <w:rFonts w:hint="eastAsia" w:ascii="Times New Roman" w:hAnsi="Times New Roman" w:eastAsia="宋体" w:cs="Times New Roman"/>
                <w:sz w:val="28"/>
                <w:szCs w:val="28"/>
                <w:lang w:val="en-US" w:eastAsia="zh-CN"/>
              </w:rPr>
              <w:t>6</w:t>
            </w:r>
            <w:r>
              <w:rPr>
                <w:rFonts w:hint="default" w:ascii="Times New Roman" w:hAnsi="Times New Roman" w:eastAsia="宋体" w:cs="Times New Roman"/>
                <w:sz w:val="28"/>
                <w:szCs w:val="28"/>
                <w:lang w:val="en-US" w:eastAsia="zh-CN"/>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4" w:hRule="atLeast"/>
        </w:trPr>
        <w:tc>
          <w:tcPr>
            <w:tcW w:w="1373" w:type="pct"/>
            <w:vAlign w:val="center"/>
          </w:tcPr>
          <w:p>
            <w:pPr>
              <w:pStyle w:val="19"/>
              <w:keepNext w:val="0"/>
              <w:keepLines w:val="0"/>
              <w:pageBreakBefore w:val="0"/>
              <w:widowControl w:val="0"/>
              <w:kinsoku/>
              <w:wordWrap/>
              <w:overflowPunct/>
              <w:topLinePunct w:val="0"/>
              <w:autoSpaceDE/>
              <w:autoSpaceDN/>
              <w:bidi w:val="0"/>
              <w:adjustRightInd/>
              <w:snapToGrid/>
              <w:spacing w:line="422" w:lineRule="exact"/>
              <w:ind w:left="0"/>
              <w:jc w:val="center"/>
              <w:textAlignment w:val="auto"/>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验收检测依据</w:t>
            </w:r>
          </w:p>
        </w:tc>
        <w:tc>
          <w:tcPr>
            <w:tcW w:w="3626" w:type="pct"/>
            <w:gridSpan w:val="9"/>
            <w:vAlign w:val="center"/>
          </w:tcPr>
          <w:p>
            <w:pPr>
              <w:spacing w:after="0" w:line="520" w:lineRule="exact"/>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1、</w:t>
            </w:r>
            <w:r>
              <w:rPr>
                <w:rFonts w:hint="default" w:ascii="Times New Roman" w:hAnsi="Times New Roman" w:eastAsia="宋体" w:cs="Times New Roman"/>
                <w:sz w:val="28"/>
                <w:szCs w:val="28"/>
                <w:lang w:val="en-US" w:eastAsia="zh-CN"/>
              </w:rPr>
              <w:t>《中华人民共和国固体废物污染环境防治法》，20</w:t>
            </w:r>
            <w:r>
              <w:rPr>
                <w:rFonts w:hint="eastAsia" w:ascii="Times New Roman" w:hAnsi="Times New Roman" w:eastAsia="宋体" w:cs="Times New Roman"/>
                <w:sz w:val="28"/>
                <w:szCs w:val="28"/>
                <w:lang w:val="en-US" w:eastAsia="zh-CN"/>
              </w:rPr>
              <w:t>20</w:t>
            </w:r>
            <w:r>
              <w:rPr>
                <w:rFonts w:hint="default" w:ascii="Times New Roman" w:hAnsi="Times New Roman" w:eastAsia="宋体" w:cs="Times New Roman"/>
                <w:sz w:val="28"/>
                <w:szCs w:val="28"/>
                <w:lang w:val="en-US" w:eastAsia="zh-CN"/>
              </w:rPr>
              <w:t>.</w:t>
            </w:r>
            <w:r>
              <w:rPr>
                <w:rFonts w:hint="eastAsia" w:ascii="Times New Roman" w:hAnsi="Times New Roman" w:eastAsia="宋体" w:cs="Times New Roman"/>
                <w:sz w:val="28"/>
                <w:szCs w:val="28"/>
                <w:lang w:val="en-US" w:eastAsia="zh-CN"/>
              </w:rPr>
              <w:t>4</w:t>
            </w:r>
            <w:r>
              <w:rPr>
                <w:rFonts w:hint="default" w:ascii="Times New Roman" w:hAnsi="Times New Roman" w:eastAsia="宋体" w:cs="Times New Roman"/>
                <w:sz w:val="28"/>
                <w:szCs w:val="28"/>
                <w:lang w:val="en-US" w:eastAsia="zh-CN"/>
              </w:rPr>
              <w:t>.</w:t>
            </w:r>
            <w:r>
              <w:rPr>
                <w:rFonts w:hint="eastAsia" w:ascii="Times New Roman" w:hAnsi="Times New Roman" w:eastAsia="宋体" w:cs="Times New Roman"/>
                <w:sz w:val="28"/>
                <w:szCs w:val="28"/>
                <w:lang w:val="en-US" w:eastAsia="zh-CN"/>
              </w:rPr>
              <w:t>29</w:t>
            </w:r>
            <w:r>
              <w:rPr>
                <w:rFonts w:hint="default" w:ascii="Times New Roman" w:hAnsi="Times New Roman" w:eastAsia="宋体" w:cs="Times New Roman"/>
                <w:sz w:val="28"/>
                <w:szCs w:val="28"/>
                <w:lang w:val="en-US" w:eastAsia="zh-CN"/>
              </w:rPr>
              <w:t xml:space="preserve"> 修订</w:t>
            </w:r>
            <w:r>
              <w:rPr>
                <w:rFonts w:hint="eastAsia" w:ascii="Times New Roman" w:hAnsi="Times New Roman" w:eastAsia="宋体" w:cs="Times New Roman"/>
                <w:sz w:val="28"/>
                <w:szCs w:val="28"/>
                <w:lang w:val="en-US" w:eastAsia="zh-CN"/>
              </w:rPr>
              <w:t>，2020.9.1</w:t>
            </w:r>
            <w:r>
              <w:rPr>
                <w:rFonts w:hint="default" w:ascii="Times New Roman" w:hAnsi="Times New Roman" w:eastAsia="宋体" w:cs="Times New Roman"/>
                <w:sz w:val="28"/>
                <w:szCs w:val="28"/>
                <w:lang w:val="en-US" w:eastAsia="zh-CN"/>
              </w:rPr>
              <w:t>施行；</w:t>
            </w:r>
          </w:p>
          <w:p>
            <w:pPr>
              <w:spacing w:after="0" w:line="520" w:lineRule="exact"/>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2、</w:t>
            </w:r>
            <w:r>
              <w:rPr>
                <w:rFonts w:hint="default" w:ascii="Times New Roman" w:hAnsi="Times New Roman" w:eastAsia="宋体" w:cs="Times New Roman"/>
                <w:sz w:val="28"/>
                <w:szCs w:val="28"/>
                <w:lang w:val="en-US" w:eastAsia="zh-CN"/>
              </w:rPr>
              <w:t>《中华人民共和国环境保护法》，2015.1.1 施行；</w:t>
            </w:r>
          </w:p>
          <w:p>
            <w:pPr>
              <w:spacing w:after="0" w:line="520" w:lineRule="exact"/>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3、</w:t>
            </w:r>
            <w:r>
              <w:rPr>
                <w:rFonts w:hint="default" w:ascii="Times New Roman" w:hAnsi="Times New Roman" w:eastAsia="宋体" w:cs="Times New Roman"/>
                <w:sz w:val="28"/>
                <w:szCs w:val="28"/>
                <w:lang w:val="en-US" w:eastAsia="zh-CN"/>
              </w:rPr>
              <w:t>《中华人民共和国环境影响评价法》，2018.12.29修正</w:t>
            </w:r>
            <w:r>
              <w:rPr>
                <w:rFonts w:hint="eastAsia" w:ascii="Times New Roman" w:hAnsi="Times New Roman" w:eastAsia="宋体" w:cs="Times New Roman"/>
                <w:sz w:val="28"/>
                <w:szCs w:val="28"/>
                <w:lang w:val="en-US" w:eastAsia="zh-CN"/>
              </w:rPr>
              <w:t>；</w:t>
            </w:r>
          </w:p>
          <w:p>
            <w:pPr>
              <w:spacing w:after="0" w:line="520" w:lineRule="exact"/>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4</w:t>
            </w:r>
            <w:r>
              <w:rPr>
                <w:rFonts w:hint="default" w:ascii="Times New Roman" w:hAnsi="Times New Roman" w:eastAsia="宋体" w:cs="Times New Roman"/>
                <w:sz w:val="28"/>
                <w:szCs w:val="28"/>
                <w:lang w:val="en-US" w:eastAsia="zh-CN"/>
              </w:rPr>
              <w:t>、《关于发布&lt;建设项目竣工环境保护验收暂行办法&gt;的公告》，中华人民共和国环境保护部，国环规环评[2017]4号，2017年11月20日发布并实施；</w:t>
            </w:r>
          </w:p>
          <w:p>
            <w:pPr>
              <w:spacing w:after="0" w:line="520" w:lineRule="exac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5、《建设项目环境保护管理条例》 （国务院第682号，</w:t>
            </w:r>
          </w:p>
          <w:p>
            <w:pPr>
              <w:spacing w:after="0" w:line="520" w:lineRule="exac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2017.7.16)</w:t>
            </w:r>
          </w:p>
          <w:p>
            <w:pPr>
              <w:spacing w:after="0" w:line="520" w:lineRule="exact"/>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6、《建设项目竣工环境保护验收管理办法》 （原国家环保总局令[2001]第13号)；</w:t>
            </w:r>
          </w:p>
          <w:p>
            <w:pPr>
              <w:keepNext w:val="0"/>
              <w:keepLines w:val="0"/>
              <w:pageBreakBefore w:val="0"/>
              <w:widowControl w:val="0"/>
              <w:kinsoku/>
              <w:wordWrap/>
              <w:overflowPunct/>
              <w:topLinePunct w:val="0"/>
              <w:autoSpaceDE/>
              <w:autoSpaceDN/>
              <w:bidi w:val="0"/>
              <w:spacing w:line="360" w:lineRule="auto"/>
              <w:ind w:firstLine="0"/>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7</w:t>
            </w:r>
            <w:r>
              <w:rPr>
                <w:rFonts w:hint="default" w:ascii="Times New Roman" w:hAnsi="Times New Roman" w:eastAsia="宋体" w:cs="Times New Roman"/>
                <w:sz w:val="28"/>
                <w:szCs w:val="28"/>
                <w:lang w:val="en-US" w:eastAsia="zh-CN"/>
              </w:rPr>
              <w:t>、关于发布《建设项目竣工环境保护验收技术指南 污染影响类》的公告，中华人民共和国生态环境部，公告2018第9号，2018年5月16日印发；</w:t>
            </w:r>
          </w:p>
          <w:p>
            <w:pPr>
              <w:keepNext w:val="0"/>
              <w:keepLines w:val="0"/>
              <w:pageBreakBefore w:val="0"/>
              <w:widowControl w:val="0"/>
              <w:kinsoku/>
              <w:wordWrap/>
              <w:overflowPunct/>
              <w:topLinePunct w:val="0"/>
              <w:autoSpaceDE/>
              <w:autoSpaceDN/>
              <w:bidi w:val="0"/>
              <w:spacing w:line="360" w:lineRule="auto"/>
              <w:ind w:firstLine="0"/>
              <w:textAlignment w:val="auto"/>
              <w:rPr>
                <w:rFonts w:hint="default" w:ascii="Times New Roman" w:hAnsi="Times New Roman" w:cs="Times New Roman"/>
                <w:color w:val="auto"/>
                <w:sz w:val="28"/>
                <w:szCs w:val="28"/>
              </w:rPr>
            </w:pPr>
            <w:r>
              <w:rPr>
                <w:rFonts w:hint="eastAsia" w:ascii="Times New Roman" w:hAnsi="Times New Roman" w:cs="Times New Roman"/>
                <w:color w:val="auto"/>
                <w:sz w:val="28"/>
                <w:szCs w:val="28"/>
                <w:lang w:val="en-US" w:eastAsia="zh-CN"/>
              </w:rPr>
              <w:t>8、</w:t>
            </w:r>
            <w:r>
              <w:rPr>
                <w:rFonts w:hint="default" w:ascii="Times New Roman" w:hAnsi="Times New Roman" w:cs="Times New Roman"/>
                <w:color w:val="auto"/>
                <w:sz w:val="28"/>
                <w:szCs w:val="28"/>
              </w:rPr>
              <w:t>宣城虹桥金属表面处理有限公司立晨公司整体搬迁及扩建项目</w:t>
            </w:r>
          </w:p>
          <w:p>
            <w:pPr>
              <w:keepNext w:val="0"/>
              <w:keepLines w:val="0"/>
              <w:pageBreakBefore w:val="0"/>
              <w:widowControl w:val="0"/>
              <w:kinsoku/>
              <w:wordWrap/>
              <w:overflowPunct/>
              <w:topLinePunct w:val="0"/>
              <w:autoSpaceDE/>
              <w:autoSpaceDN/>
              <w:bidi w:val="0"/>
              <w:spacing w:line="360" w:lineRule="auto"/>
              <w:ind w:firstLine="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竣工环境保护阶段性验收监测报告的委托书；</w:t>
            </w:r>
          </w:p>
          <w:p>
            <w:pPr>
              <w:pStyle w:val="2"/>
              <w:numPr>
                <w:ilvl w:val="0"/>
                <w:numId w:val="1"/>
              </w:numPr>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 xml:space="preserve">宣城虹桥金属表面处理有限公司立晨公司固体废物验收调查报告的委托书；   </w:t>
            </w:r>
          </w:p>
          <w:p>
            <w:pPr>
              <w:pStyle w:val="2"/>
              <w:numPr>
                <w:numId w:val="0"/>
              </w:numPr>
              <w:rPr>
                <w:rFonts w:hint="default" w:eastAsiaTheme="minorEastAsia"/>
                <w:sz w:val="22"/>
                <w:szCs w:val="28"/>
                <w:lang w:val="en-US" w:eastAsia="zh-CN"/>
              </w:rPr>
            </w:pPr>
            <w:r>
              <w:rPr>
                <w:rFonts w:hint="eastAsia" w:ascii="Times New Roman" w:hAnsi="Times New Roman" w:cs="Times New Roman"/>
                <w:color w:val="auto"/>
                <w:sz w:val="28"/>
                <w:szCs w:val="28"/>
                <w:lang w:val="en-US" w:eastAsia="zh-CN"/>
              </w:rPr>
              <w:t>10、安徽皖欣环境科技有限公司《宣城虹桥金属表面处理有限公司立晨公司危险废物变动情况补充报告》</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auto"/>
                <w:sz w:val="28"/>
                <w:szCs w:val="28"/>
                <w:lang w:eastAsia="zh-CN"/>
              </w:rPr>
            </w:pPr>
            <w:r>
              <w:rPr>
                <w:rFonts w:hint="eastAsia" w:ascii="宋体" w:hAnsi="宋体" w:eastAsia="宋体" w:cs="宋体"/>
                <w:color w:val="auto"/>
                <w:sz w:val="28"/>
                <w:szCs w:val="28"/>
                <w:lang w:val="en-US" w:eastAsia="zh-CN"/>
              </w:rPr>
              <w:t>11、</w:t>
            </w:r>
            <w:r>
              <w:rPr>
                <w:rFonts w:hint="eastAsia" w:ascii="宋体" w:hAnsi="宋体" w:eastAsia="宋体" w:cs="宋体"/>
                <w:color w:val="auto"/>
                <w:sz w:val="28"/>
                <w:szCs w:val="28"/>
                <w:lang w:eastAsia="zh-CN"/>
              </w:rPr>
              <w:t>安徽皖欣环境科技</w:t>
            </w:r>
            <w:r>
              <w:rPr>
                <w:rFonts w:hint="eastAsia" w:ascii="宋体" w:hAnsi="宋体" w:eastAsia="宋体" w:cs="宋体"/>
                <w:color w:val="auto"/>
                <w:sz w:val="28"/>
                <w:szCs w:val="28"/>
              </w:rPr>
              <w:t>有限公司</w:t>
            </w:r>
            <w:r>
              <w:rPr>
                <w:rFonts w:hint="eastAsia" w:ascii="宋体" w:hAnsi="宋体" w:eastAsia="宋体" w:cs="宋体"/>
                <w:color w:val="auto"/>
                <w:sz w:val="28"/>
                <w:szCs w:val="28"/>
                <w:lang w:eastAsia="zh-CN"/>
              </w:rPr>
              <w:t>《</w:t>
            </w:r>
            <w:r>
              <w:rPr>
                <w:rFonts w:hint="eastAsia" w:ascii="Times New Roman" w:hAnsi="Times New Roman" w:cs="Times New Roman"/>
                <w:sz w:val="28"/>
                <w:szCs w:val="28"/>
                <w:lang w:eastAsia="zh-CN"/>
              </w:rPr>
              <w:t>宁国市立晨金属表面处理有限公司立晨公司整体搬迁及扩建项目环境影响报告书</w:t>
            </w:r>
            <w:r>
              <w:rPr>
                <w:rFonts w:hint="default" w:ascii="Times New Roman" w:hAnsi="Times New Roman" w:eastAsia="宋体" w:cs="Times New Roman"/>
                <w:color w:val="auto"/>
                <w:sz w:val="28"/>
                <w:szCs w:val="28"/>
                <w:lang w:eastAsia="zh-CN"/>
              </w:rPr>
              <w:t>》</w:t>
            </w:r>
            <w:r>
              <w:rPr>
                <w:rFonts w:hint="eastAsia" w:ascii="Times New Roman" w:hAnsi="Times New Roman" w:eastAsia="宋体" w:cs="Times New Roman"/>
                <w:color w:val="auto"/>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cs="Times New Roman"/>
                <w:color w:val="auto"/>
                <w:sz w:val="28"/>
                <w:szCs w:val="28"/>
                <w:lang w:val="en-US" w:eastAsia="zh-CN"/>
              </w:rPr>
            </w:pPr>
            <w:r>
              <w:rPr>
                <w:rFonts w:hint="eastAsia" w:ascii="Times New Roman" w:hAnsi="Times New Roman" w:cs="Times New Roman"/>
                <w:color w:val="auto"/>
                <w:sz w:val="28"/>
                <w:szCs w:val="28"/>
                <w:lang w:val="en-US" w:eastAsia="zh-CN"/>
              </w:rPr>
              <w:t>12、</w:t>
            </w:r>
            <w:r>
              <w:rPr>
                <w:rFonts w:hint="default" w:ascii="Times New Roman" w:hAnsi="Times New Roman" w:cs="Times New Roman"/>
                <w:color w:val="auto"/>
                <w:sz w:val="28"/>
                <w:szCs w:val="28"/>
              </w:rPr>
              <w:t>宣城市环境保护局《</w:t>
            </w:r>
            <w:r>
              <w:rPr>
                <w:rFonts w:hint="eastAsia" w:ascii="Times New Roman" w:hAnsi="Times New Roman" w:cs="Times New Roman"/>
                <w:color w:val="auto"/>
                <w:sz w:val="28"/>
                <w:szCs w:val="28"/>
                <w:lang w:eastAsia="zh-CN"/>
              </w:rPr>
              <w:t>关于</w:t>
            </w:r>
            <w:r>
              <w:rPr>
                <w:rFonts w:hint="eastAsia" w:ascii="Times New Roman" w:hAnsi="Times New Roman" w:cs="Times New Roman"/>
                <w:sz w:val="28"/>
                <w:szCs w:val="28"/>
                <w:lang w:eastAsia="zh-CN"/>
              </w:rPr>
              <w:t>宁国市立晨金属表面处理有限公司立晨公司整体搬迁及扩建项目环境影响报告书的批复》</w:t>
            </w: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en-US" w:eastAsia="zh-CN"/>
              </w:rPr>
              <w:t>宣环评</w:t>
            </w:r>
            <w:r>
              <w:rPr>
                <w:rFonts w:hint="default" w:ascii="Times New Roman" w:hAnsi="Times New Roman" w:cs="Times New Roman"/>
                <w:color w:val="auto"/>
                <w:sz w:val="28"/>
                <w:szCs w:val="28"/>
              </w:rPr>
              <w:t>[201</w:t>
            </w:r>
            <w:r>
              <w:rPr>
                <w:rFonts w:hint="default" w:ascii="Times New Roman" w:hAnsi="Times New Roman" w:cs="Times New Roman"/>
                <w:color w:val="auto"/>
                <w:sz w:val="28"/>
                <w:szCs w:val="28"/>
                <w:lang w:val="en-US" w:eastAsia="zh-CN"/>
              </w:rPr>
              <w:t>9</w:t>
            </w:r>
            <w:r>
              <w:rPr>
                <w:rFonts w:hint="default" w:ascii="Times New Roman" w:hAnsi="Times New Roman" w:cs="Times New Roman"/>
                <w:color w:val="auto"/>
                <w:sz w:val="28"/>
                <w:szCs w:val="28"/>
              </w:rPr>
              <w:t>]</w:t>
            </w:r>
            <w:r>
              <w:rPr>
                <w:rFonts w:hint="eastAsia" w:ascii="Times New Roman" w:hAnsi="Times New Roman" w:cs="Times New Roman"/>
                <w:color w:val="auto"/>
                <w:sz w:val="28"/>
                <w:szCs w:val="28"/>
                <w:lang w:val="en-US" w:eastAsia="zh-CN"/>
              </w:rPr>
              <w:t>23</w:t>
            </w:r>
            <w:r>
              <w:rPr>
                <w:rFonts w:hint="default" w:ascii="Times New Roman" w:hAnsi="Times New Roman" w:cs="Times New Roman"/>
                <w:color w:val="auto"/>
                <w:sz w:val="28"/>
                <w:szCs w:val="28"/>
              </w:rPr>
              <w:t>号）</w:t>
            </w:r>
            <w:r>
              <w:rPr>
                <w:rFonts w:hint="default" w:ascii="Times New Roman" w:hAnsi="Times New Roman" w:cs="Times New Roman"/>
                <w:color w:val="auto"/>
                <w:sz w:val="28"/>
                <w:szCs w:val="28"/>
                <w:lang w:eastAsia="zh-CN"/>
              </w:rPr>
              <w:t>。</w:t>
            </w:r>
          </w:p>
          <w:p>
            <w:pPr>
              <w:pStyle w:val="14"/>
              <w:rPr>
                <w:rFonts w:hint="eastAsia" w:ascii="Times New Roman" w:hAnsi="Times New Roman" w:eastAsia="宋体" w:cs="Times New Roman"/>
                <w:color w:val="auto"/>
                <w:sz w:val="28"/>
                <w:szCs w:val="28"/>
                <w:lang w:val="en-US" w:eastAsia="zh-CN"/>
              </w:rPr>
            </w:pPr>
          </w:p>
          <w:p>
            <w:pPr>
              <w:pStyle w:val="14"/>
              <w:rPr>
                <w:rFonts w:hint="eastAsia" w:ascii="Times New Roman" w:hAnsi="Times New Roman" w:eastAsia="宋体" w:cs="Times New Roman"/>
                <w:color w:val="auto"/>
                <w:sz w:val="28"/>
                <w:szCs w:val="28"/>
                <w:lang w:val="en-US" w:eastAsia="zh-CN"/>
              </w:rPr>
            </w:pPr>
          </w:p>
          <w:p>
            <w:pPr>
              <w:pStyle w:val="14"/>
              <w:rPr>
                <w:rFonts w:hint="eastAsia" w:ascii="Times New Roman" w:hAnsi="Times New Roman" w:eastAsia="宋体" w:cs="Times New Roman"/>
                <w:color w:val="auto"/>
                <w:sz w:val="28"/>
                <w:szCs w:val="28"/>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3" w:hRule="atLeast"/>
        </w:trPr>
        <w:tc>
          <w:tcPr>
            <w:tcW w:w="1373" w:type="pct"/>
            <w:vAlign w:val="center"/>
          </w:tcPr>
          <w:p>
            <w:pPr>
              <w:pStyle w:val="19"/>
              <w:keepNext w:val="0"/>
              <w:keepLines w:val="0"/>
              <w:pageBreakBefore w:val="0"/>
              <w:widowControl w:val="0"/>
              <w:kinsoku/>
              <w:wordWrap/>
              <w:overflowPunct/>
              <w:topLinePunct w:val="0"/>
              <w:autoSpaceDE/>
              <w:autoSpaceDN/>
              <w:bidi w:val="0"/>
              <w:adjustRightInd/>
              <w:snapToGrid/>
              <w:spacing w:line="422" w:lineRule="exact"/>
              <w:ind w:left="0"/>
              <w:jc w:val="center"/>
              <w:textAlignment w:val="auto"/>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验收监测评价标准、标号、级别、限值</w:t>
            </w:r>
          </w:p>
        </w:tc>
        <w:tc>
          <w:tcPr>
            <w:tcW w:w="3626" w:type="pct"/>
            <w:gridSpan w:val="9"/>
            <w:vAlign w:val="center"/>
          </w:tcPr>
          <w:p>
            <w:pPr>
              <w:spacing w:after="0" w:line="520" w:lineRule="exact"/>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（1）危险废物执行《危险废物贮存污染控制标准》(GB18597-2001)及其修改单(2013)中的相关规定。</w:t>
            </w:r>
          </w:p>
          <w:p>
            <w:pPr>
              <w:pStyle w:val="14"/>
              <w:ind w:left="0" w:leftChars="0" w:firstLine="0" w:firstLineChars="0"/>
              <w:rPr>
                <w:rFonts w:hint="eastAsia" w:ascii="Times New Roman" w:hAnsi="Times New Roman" w:cs="Times New Roman"/>
                <w:color w:val="auto"/>
                <w:sz w:val="28"/>
                <w:szCs w:val="28"/>
                <w:lang w:val="en-US" w:eastAsia="zh-CN"/>
              </w:rPr>
            </w:pPr>
            <w:r>
              <w:rPr>
                <w:rFonts w:hint="eastAsia" w:ascii="Times New Roman" w:hAnsi="Times New Roman" w:eastAsia="宋体" w:cs="Times New Roman"/>
                <w:sz w:val="28"/>
                <w:szCs w:val="28"/>
                <w:lang w:val="en-US" w:eastAsia="zh-CN"/>
              </w:rPr>
              <w:t>（2）一般固体废物执行《一般工业固体废物贮存和填埋污染控制标准》(GB18599-2020)中的相关规定。</w:t>
            </w:r>
          </w:p>
          <w:p>
            <w:pPr>
              <w:pStyle w:val="14"/>
              <w:rPr>
                <w:rFonts w:hint="eastAsia" w:ascii="Times New Roman" w:hAnsi="Times New Roman" w:cs="Times New Roman"/>
                <w:color w:val="auto"/>
                <w:sz w:val="28"/>
                <w:szCs w:val="28"/>
                <w:lang w:val="en-US" w:eastAsia="zh-CN"/>
              </w:rPr>
            </w:pPr>
          </w:p>
          <w:p>
            <w:pPr>
              <w:pStyle w:val="14"/>
              <w:rPr>
                <w:rFonts w:hint="eastAsia" w:ascii="Times New Roman" w:hAnsi="Times New Roman" w:cs="Times New Roman"/>
                <w:color w:val="auto"/>
                <w:sz w:val="28"/>
                <w:szCs w:val="28"/>
                <w:lang w:val="en-US" w:eastAsia="zh-CN"/>
              </w:rPr>
            </w:pPr>
          </w:p>
          <w:p>
            <w:pPr>
              <w:pStyle w:val="14"/>
              <w:ind w:left="0" w:leftChars="0" w:firstLine="0" w:firstLineChars="0"/>
              <w:rPr>
                <w:rFonts w:hint="eastAsia" w:ascii="Times New Roman" w:hAnsi="Times New Roman" w:cs="Times New Roman"/>
                <w:color w:val="auto"/>
                <w:sz w:val="28"/>
                <w:szCs w:val="28"/>
                <w:lang w:val="en-US" w:eastAsia="zh-CN"/>
              </w:rPr>
            </w:pPr>
          </w:p>
        </w:tc>
      </w:tr>
    </w:tbl>
    <w:p>
      <w:pPr>
        <w:keepNext w:val="0"/>
        <w:keepLines w:val="0"/>
        <w:pageBreakBefore w:val="0"/>
        <w:widowControl/>
        <w:kinsoku/>
        <w:wordWrap/>
        <w:overflowPunct/>
        <w:topLinePunct w:val="0"/>
        <w:autoSpaceDE/>
        <w:autoSpaceDN/>
        <w:bidi w:val="0"/>
        <w:adjustRightInd w:val="0"/>
        <w:snapToGrid w:val="0"/>
        <w:spacing w:after="0" w:afterLines="0" w:line="360" w:lineRule="auto"/>
        <w:jc w:val="both"/>
        <w:textAlignment w:val="auto"/>
        <w:rPr>
          <w:rFonts w:hint="eastAsia" w:ascii="仿宋" w:hAnsi="仿宋" w:eastAsia="仿宋" w:cs="仿宋"/>
          <w:b w:val="0"/>
          <w:bCs w:val="0"/>
          <w:color w:val="000000"/>
          <w:kern w:val="0"/>
          <w:sz w:val="30"/>
          <w:szCs w:val="30"/>
        </w:rPr>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p>
    <w:p>
      <w:pPr>
        <w:pStyle w:val="2"/>
        <w:tabs>
          <w:tab w:val="left" w:pos="788"/>
        </w:tabs>
        <w:spacing w:line="415" w:lineRule="exact"/>
        <w:ind w:right="274"/>
        <w:jc w:val="both"/>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表二</w:t>
      </w:r>
    </w:p>
    <w:tbl>
      <w:tblPr>
        <w:tblStyle w:val="15"/>
        <w:tblW w:w="5022" w:type="pct"/>
        <w:tblInd w:w="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79" w:hRule="atLeast"/>
        </w:trPr>
        <w:tc>
          <w:tcPr>
            <w:tcW w:w="5000" w:type="pct"/>
            <w:tcBorders>
              <w:top w:val="single" w:color="000000" w:sz="6" w:space="0"/>
              <w:bottom w:val="single" w:color="000000" w:sz="6" w:space="0"/>
            </w:tcBorders>
          </w:tcPr>
          <w:p>
            <w:pPr>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b/>
                <w:bCs/>
                <w:sz w:val="28"/>
                <w:szCs w:val="28"/>
              </w:rPr>
            </w:pPr>
            <w:r>
              <w:rPr>
                <w:rFonts w:hint="eastAsia" w:ascii="Times New Roman" w:hAnsi="Times New Roman" w:eastAsia="宋体" w:cs="Times New Roman"/>
                <w:b/>
                <w:bCs/>
                <w:sz w:val="28"/>
                <w:szCs w:val="28"/>
                <w:lang w:eastAsia="zh-CN"/>
              </w:rPr>
              <w:t>工程建设内容</w:t>
            </w:r>
            <w:r>
              <w:rPr>
                <w:rFonts w:hint="default" w:ascii="Times New Roman" w:hAnsi="Times New Roman" w:eastAsia="宋体" w:cs="Times New Roman"/>
                <w:b/>
                <w:bCs/>
                <w:sz w:val="28"/>
                <w:szCs w:val="28"/>
              </w:rPr>
              <w:t>：</w:t>
            </w:r>
          </w:p>
          <w:p>
            <w:pPr>
              <w:pStyle w:val="14"/>
              <w:ind w:left="0" w:leftChars="0" w:firstLine="560" w:firstLineChars="200"/>
              <w:rPr>
                <w:rFonts w:hint="eastAsia" w:eastAsia="宋体"/>
                <w:b w:val="0"/>
                <w:bCs w:val="0"/>
                <w:sz w:val="22"/>
                <w:szCs w:val="28"/>
                <w:lang w:eastAsia="zh-CN"/>
              </w:rPr>
            </w:pPr>
            <w:r>
              <w:rPr>
                <w:rFonts w:hint="eastAsia" w:ascii="Times New Roman" w:hAnsi="Times New Roman" w:eastAsia="宋体" w:cs="Times New Roman"/>
                <w:b w:val="0"/>
                <w:bCs w:val="0"/>
                <w:sz w:val="28"/>
                <w:szCs w:val="28"/>
                <w:lang w:eastAsia="zh-CN"/>
              </w:rPr>
              <w:t>一、建设项目概况</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eastAsia="zh-CN"/>
              </w:rPr>
            </w:pPr>
            <w:r>
              <w:rPr>
                <w:rFonts w:hint="default" w:ascii="Times New Roman" w:hAnsi="Times New Roman" w:cs="Times New Roman"/>
                <w:sz w:val="28"/>
                <w:szCs w:val="28"/>
              </w:rPr>
              <w:t>本项目在宁国经济技术开发区电镀中心内租用</w:t>
            </w:r>
            <w:r>
              <w:rPr>
                <w:rFonts w:hint="eastAsia" w:ascii="Times New Roman" w:hAnsi="Times New Roman" w:cs="Times New Roman"/>
                <w:sz w:val="28"/>
                <w:szCs w:val="28"/>
                <w:lang w:val="en-US" w:eastAsia="zh-CN"/>
              </w:rPr>
              <w:t>3#</w:t>
            </w:r>
            <w:r>
              <w:rPr>
                <w:rFonts w:hint="default" w:ascii="Times New Roman" w:hAnsi="Times New Roman" w:cs="Times New Roman"/>
                <w:sz w:val="28"/>
                <w:szCs w:val="28"/>
              </w:rPr>
              <w:t>生产车间</w:t>
            </w:r>
            <w:r>
              <w:rPr>
                <w:rFonts w:hint="eastAsia" w:ascii="Times New Roman" w:hAnsi="Times New Roman" w:cs="Times New Roman"/>
                <w:sz w:val="28"/>
                <w:szCs w:val="28"/>
                <w:lang w:eastAsia="zh-CN"/>
              </w:rPr>
              <w:t>，总投资</w:t>
            </w:r>
            <w:r>
              <w:rPr>
                <w:rFonts w:hint="eastAsia" w:ascii="Times New Roman" w:hAnsi="Times New Roman" w:cs="Times New Roman"/>
                <w:sz w:val="28"/>
                <w:szCs w:val="28"/>
                <w:lang w:val="en-US" w:eastAsia="zh-CN"/>
              </w:rPr>
              <w:t>3000万元</w:t>
            </w:r>
            <w:r>
              <w:rPr>
                <w:rFonts w:hint="default" w:ascii="Times New Roman" w:hAnsi="Times New Roman" w:cs="Times New Roman"/>
                <w:sz w:val="28"/>
                <w:szCs w:val="28"/>
              </w:rPr>
              <w:t>。建设单位</w:t>
            </w:r>
            <w:r>
              <w:rPr>
                <w:rFonts w:hint="default" w:ascii="Times New Roman" w:hAnsi="Times New Roman" w:cs="Times New Roman"/>
                <w:color w:val="auto"/>
                <w:spacing w:val="-3"/>
                <w:sz w:val="28"/>
                <w:szCs w:val="28"/>
              </w:rPr>
              <w:t>目前共有</w:t>
            </w:r>
            <w:r>
              <w:rPr>
                <w:rFonts w:hint="eastAsia" w:ascii="Times New Roman" w:hAnsi="Times New Roman" w:cs="Times New Roman"/>
                <w:color w:val="auto"/>
                <w:spacing w:val="-3"/>
                <w:sz w:val="28"/>
                <w:szCs w:val="28"/>
                <w:lang w:val="en-US" w:eastAsia="zh-CN"/>
              </w:rPr>
              <w:t>4</w:t>
            </w:r>
            <w:r>
              <w:rPr>
                <w:rFonts w:hint="default" w:ascii="Times New Roman" w:hAnsi="Times New Roman" w:cs="Times New Roman"/>
                <w:color w:val="auto"/>
                <w:spacing w:val="-3"/>
                <w:sz w:val="28"/>
                <w:szCs w:val="28"/>
              </w:rPr>
              <w:t>条生产线（1条挂镀镀锌线、1条滚镀镀锌线</w:t>
            </w:r>
            <w:r>
              <w:rPr>
                <w:rFonts w:hint="eastAsia" w:ascii="Times New Roman" w:hAnsi="Times New Roman" w:cs="Times New Roman"/>
                <w:color w:val="auto"/>
                <w:spacing w:val="-3"/>
                <w:sz w:val="28"/>
                <w:szCs w:val="28"/>
                <w:lang w:eastAsia="zh-CN"/>
              </w:rPr>
              <w:t>、</w:t>
            </w:r>
            <w:r>
              <w:rPr>
                <w:rFonts w:hint="eastAsia" w:ascii="Times New Roman" w:hAnsi="Times New Roman" w:cs="Times New Roman"/>
                <w:color w:val="auto"/>
                <w:spacing w:val="-3"/>
                <w:sz w:val="28"/>
                <w:szCs w:val="28"/>
                <w:lang w:val="en-US" w:eastAsia="zh-CN"/>
              </w:rPr>
              <w:t>1</w:t>
            </w:r>
            <w:r>
              <w:rPr>
                <w:rFonts w:hint="eastAsia" w:ascii="Times New Roman" w:hAnsi="Times New Roman" w:cs="Times New Roman"/>
                <w:color w:val="auto"/>
                <w:spacing w:val="-3"/>
                <w:sz w:val="28"/>
                <w:szCs w:val="28"/>
                <w:lang w:eastAsia="zh-CN"/>
              </w:rPr>
              <w:t>条电镀铜锡合金生产线、</w:t>
            </w:r>
            <w:r>
              <w:rPr>
                <w:rFonts w:hint="eastAsia" w:ascii="Times New Roman" w:hAnsi="Times New Roman" w:cs="Times New Roman"/>
                <w:color w:val="auto"/>
                <w:spacing w:val="-3"/>
                <w:sz w:val="28"/>
                <w:szCs w:val="28"/>
                <w:lang w:val="en-US" w:eastAsia="zh-CN"/>
              </w:rPr>
              <w:t>1条</w:t>
            </w:r>
            <w:r>
              <w:rPr>
                <w:rFonts w:hint="eastAsia" w:ascii="Times New Roman" w:hAnsi="Times New Roman" w:cs="Times New Roman"/>
                <w:color w:val="auto"/>
                <w:spacing w:val="-3"/>
                <w:sz w:val="28"/>
                <w:szCs w:val="28"/>
                <w:lang w:eastAsia="zh-CN"/>
              </w:rPr>
              <w:t>挂镀镍铬生产线</w:t>
            </w:r>
            <w:r>
              <w:rPr>
                <w:rFonts w:hint="default" w:ascii="Times New Roman" w:hAnsi="Times New Roman" w:cs="Times New Roman"/>
                <w:color w:val="auto"/>
                <w:spacing w:val="-3"/>
                <w:sz w:val="28"/>
                <w:szCs w:val="28"/>
              </w:rPr>
              <w:t>）建成并投入生产，另外</w:t>
            </w:r>
            <w:r>
              <w:rPr>
                <w:rFonts w:hint="eastAsia" w:ascii="Times New Roman" w:hAnsi="Times New Roman" w:cs="Times New Roman"/>
                <w:color w:val="auto"/>
                <w:spacing w:val="-3"/>
                <w:sz w:val="28"/>
                <w:szCs w:val="28"/>
                <w:lang w:val="en-US" w:eastAsia="zh-CN"/>
              </w:rPr>
              <w:t>3</w:t>
            </w:r>
            <w:r>
              <w:rPr>
                <w:rFonts w:hint="default" w:ascii="Times New Roman" w:hAnsi="Times New Roman" w:cs="Times New Roman"/>
                <w:color w:val="auto"/>
                <w:spacing w:val="-3"/>
                <w:sz w:val="28"/>
                <w:szCs w:val="28"/>
              </w:rPr>
              <w:t>条生产线（2条镀锌镍合金线和1条镀锌线）在建</w:t>
            </w:r>
            <w:r>
              <w:rPr>
                <w:rFonts w:hint="default" w:ascii="Times New Roman" w:hAnsi="Times New Roman" w:cs="Times New Roman"/>
                <w:sz w:val="28"/>
                <w:szCs w:val="28"/>
              </w:rPr>
              <w:t>。</w:t>
            </w:r>
            <w:r>
              <w:rPr>
                <w:rFonts w:hint="eastAsia" w:ascii="Times New Roman" w:hAnsi="Times New Roman" w:cs="Times New Roman"/>
                <w:sz w:val="28"/>
                <w:szCs w:val="28"/>
                <w:lang w:eastAsia="zh-CN"/>
              </w:rPr>
              <w:t>本项目环保投资</w:t>
            </w:r>
            <w:r>
              <w:rPr>
                <w:rFonts w:hint="eastAsia" w:ascii="Times New Roman" w:hAnsi="Times New Roman" w:cs="Times New Roman"/>
                <w:sz w:val="28"/>
                <w:szCs w:val="28"/>
                <w:lang w:val="en-US" w:eastAsia="zh-CN"/>
              </w:rPr>
              <w:t>294万元，其中固废投资为</w:t>
            </w:r>
            <w:r>
              <w:rPr>
                <w:rFonts w:hint="eastAsia"/>
                <w:sz w:val="22"/>
                <w:szCs w:val="28"/>
                <w:lang w:val="en-US" w:eastAsia="zh-CN"/>
              </w:rPr>
              <w:t>13</w:t>
            </w:r>
            <w:r>
              <w:rPr>
                <w:rFonts w:hint="eastAsia" w:ascii="Times New Roman" w:hAnsi="Times New Roman" w:cs="Times New Roman"/>
                <w:sz w:val="28"/>
                <w:szCs w:val="28"/>
                <w:lang w:val="en-US" w:eastAsia="zh-CN"/>
              </w:rPr>
              <w:t>元，有员工</w:t>
            </w:r>
            <w:r>
              <w:rPr>
                <w:rFonts w:hint="eastAsia"/>
                <w:sz w:val="22"/>
                <w:szCs w:val="28"/>
                <w:lang w:val="en-US" w:eastAsia="zh-CN"/>
              </w:rPr>
              <w:t>32</w:t>
            </w:r>
            <w:r>
              <w:rPr>
                <w:rFonts w:hint="eastAsia" w:ascii="Times New Roman" w:hAnsi="Times New Roman" w:cs="Times New Roman"/>
                <w:sz w:val="28"/>
                <w:szCs w:val="28"/>
                <w:lang w:val="en-US" w:eastAsia="zh-CN"/>
              </w:rPr>
              <w:t>人，每天工作时间为8h，年工作300天</w:t>
            </w:r>
            <w:r>
              <w:rPr>
                <w:rFonts w:hint="eastAsia" w:ascii="Times New Roman" w:hAnsi="Times New Roman" w:cs="Times New Roman"/>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eastAsia="宋体" w:cs="Times New Roman"/>
                <w:sz w:val="28"/>
                <w:szCs w:val="28"/>
                <w:lang w:eastAsia="zh-CN"/>
              </w:rPr>
            </w:pPr>
            <w:r>
              <w:rPr>
                <w:rFonts w:hint="eastAsia" w:ascii="Times New Roman" w:hAnsi="Times New Roman" w:cs="Times New Roman"/>
                <w:sz w:val="28"/>
                <w:szCs w:val="28"/>
                <w:lang w:eastAsia="zh-CN"/>
              </w:rPr>
              <w:t>本项目委托江苏苏辰勘察设计院有限公司于2018年5月编制《宁国市立晨金属表面处理有限公司立晨公司整体搬迁及扩建项目环境影响报告书》，并于2019年7月19日，宣城市生态环境局批复（文号：宣环评[2019] 23号）同意此项目建设。本项目于</w:t>
            </w:r>
            <w:r>
              <w:rPr>
                <w:rFonts w:hint="eastAsia" w:ascii="Times New Roman" w:hAnsi="Times New Roman" w:cs="Times New Roman"/>
                <w:sz w:val="28"/>
                <w:szCs w:val="28"/>
                <w:lang w:val="en-US" w:eastAsia="zh-CN"/>
              </w:rPr>
              <w:t>2019年8月建设开工，2020年9月</w:t>
            </w:r>
            <w:r>
              <w:rPr>
                <w:rFonts w:hint="default" w:ascii="Times New Roman" w:hAnsi="Times New Roman" w:eastAsia="宋体" w:cs="Times New Roman"/>
                <w:sz w:val="28"/>
                <w:szCs w:val="28"/>
              </w:rPr>
              <w:t>投入试运行</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lang w:val="en-US" w:eastAsia="zh-CN"/>
              </w:rPr>
              <w:t>2021年3月委托</w:t>
            </w:r>
            <w:r>
              <w:rPr>
                <w:rFonts w:hint="eastAsia" w:ascii="宋体" w:hAnsi="宋体" w:eastAsia="宋体" w:cs="宋体"/>
                <w:color w:val="auto"/>
                <w:sz w:val="28"/>
                <w:szCs w:val="28"/>
                <w:lang w:eastAsia="zh-CN"/>
              </w:rPr>
              <w:t>安徽皖欣环境科技</w:t>
            </w:r>
            <w:r>
              <w:rPr>
                <w:rFonts w:hint="eastAsia" w:ascii="宋体" w:hAnsi="宋体" w:eastAsia="宋体" w:cs="宋体"/>
                <w:color w:val="auto"/>
                <w:sz w:val="28"/>
                <w:szCs w:val="28"/>
              </w:rPr>
              <w:t>有限公司</w:t>
            </w:r>
            <w:r>
              <w:rPr>
                <w:rFonts w:hint="eastAsia" w:ascii="宋体" w:hAnsi="宋体" w:eastAsia="宋体" w:cs="宋体"/>
                <w:color w:val="auto"/>
                <w:sz w:val="28"/>
                <w:szCs w:val="28"/>
                <w:lang w:eastAsia="zh-CN"/>
              </w:rPr>
              <w:t>编制了《</w:t>
            </w:r>
            <w:r>
              <w:rPr>
                <w:rFonts w:hint="eastAsia" w:ascii="Times New Roman" w:hAnsi="Times New Roman" w:cs="Times New Roman"/>
                <w:color w:val="auto"/>
                <w:sz w:val="28"/>
                <w:szCs w:val="28"/>
                <w:lang w:val="en-US" w:eastAsia="zh-CN"/>
              </w:rPr>
              <w:t>宣城虹桥金属表面处理有限公司立晨公司危险废物变动情况补充报告</w:t>
            </w:r>
            <w:r>
              <w:rPr>
                <w:rFonts w:hint="default" w:ascii="Times New Roman" w:hAnsi="Times New Roman" w:eastAsia="宋体" w:cs="Times New Roman"/>
                <w:color w:val="auto"/>
                <w:sz w:val="28"/>
                <w:szCs w:val="28"/>
                <w:lang w:eastAsia="zh-CN"/>
              </w:rPr>
              <w:t>》</w:t>
            </w:r>
            <w:r>
              <w:rPr>
                <w:rFonts w:hint="eastAsia" w:ascii="Times New Roman" w:hAnsi="Times New Roman" w:eastAsia="宋体" w:cs="Times New Roman"/>
                <w:color w:val="auto"/>
                <w:sz w:val="28"/>
                <w:szCs w:val="28"/>
                <w:lang w:eastAsia="zh-CN"/>
              </w:rPr>
              <w:t>2021年6月24日，宣城市宁国市生态环境分局《宣城虹桥金属表面处理有限公司危险废物变动情况补充报告的回复》要求落实环境管理并将《补充报告》内容纳入验收及排污许可管理（见附件）。</w:t>
            </w:r>
          </w:p>
          <w:p>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firstLine="560" w:firstLineChars="200"/>
              <w:textAlignment w:val="auto"/>
              <w:rPr>
                <w:rFonts w:hint="eastAsia"/>
                <w:sz w:val="22"/>
                <w:szCs w:val="28"/>
                <w:lang w:val="en-US" w:eastAsia="zh-CN"/>
              </w:rPr>
            </w:pPr>
            <w:r>
              <w:rPr>
                <w:rFonts w:hint="eastAsia" w:ascii="Times New Roman" w:hAnsi="Times New Roman" w:eastAsia="宋体" w:cs="Times New Roman"/>
                <w:sz w:val="28"/>
                <w:szCs w:val="28"/>
                <w:lang w:eastAsia="zh-CN"/>
              </w:rPr>
              <w:t>地理位置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eastAsia="zh-CN"/>
              </w:rPr>
              <w:t>本项目建设地点为宁国经济技术开发区汪溪园区电镀中心</w:t>
            </w:r>
            <w:r>
              <w:rPr>
                <w:rFonts w:hint="eastAsia" w:ascii="Times New Roman" w:hAnsi="Times New Roman" w:eastAsia="宋体" w:cs="Times New Roman"/>
                <w:sz w:val="28"/>
                <w:szCs w:val="28"/>
                <w:lang w:val="en-US" w:eastAsia="zh-CN"/>
              </w:rPr>
              <w:t>3</w:t>
            </w:r>
            <w:r>
              <w:rPr>
                <w:rFonts w:hint="eastAsia" w:ascii="Times New Roman" w:hAnsi="Times New Roman" w:eastAsia="宋体" w:cs="Times New Roman"/>
                <w:sz w:val="28"/>
                <w:szCs w:val="28"/>
                <w:lang w:eastAsia="zh-CN"/>
              </w:rPr>
              <w:t>#厂房，经纬度为东经118°59′42.97″，北纬30°41′7.30″。见下图。</w:t>
            </w:r>
            <w:r>
              <w:rPr>
                <w:rFonts w:hint="eastAsia" w:ascii="Times New Roman" w:hAnsi="Times New Roman" w:eastAsia="宋体" w:cs="Times New Roman"/>
                <w:sz w:val="28"/>
                <w:szCs w:val="28"/>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40" w:firstLineChars="200"/>
              <w:textAlignment w:val="auto"/>
              <w:rPr>
                <w:rFonts w:hint="eastAsia" w:ascii="Times New Roman" w:hAnsi="Times New Roman" w:eastAsia="宋体" w:cs="Times New Roman"/>
                <w:sz w:val="28"/>
                <w:szCs w:val="28"/>
                <w:lang w:val="en-US" w:eastAsia="zh-CN"/>
              </w:rPr>
            </w:pPr>
            <w:r>
              <w:rPr>
                <w:sz w:val="22"/>
                <w:szCs w:val="28"/>
              </w:rPr>
              <mc:AlternateContent>
                <mc:Choice Requires="wps">
                  <w:drawing>
                    <wp:anchor distT="0" distB="0" distL="114300" distR="114300" simplePos="0" relativeHeight="251661312" behindDoc="0" locked="0" layoutInCell="1" allowOverlap="1">
                      <wp:simplePos x="0" y="0"/>
                      <wp:positionH relativeFrom="column">
                        <wp:posOffset>3273425</wp:posOffset>
                      </wp:positionH>
                      <wp:positionV relativeFrom="paragraph">
                        <wp:posOffset>243205</wp:posOffset>
                      </wp:positionV>
                      <wp:extent cx="638175" cy="266700"/>
                      <wp:effectExtent l="4445" t="4445" r="5080" b="14605"/>
                      <wp:wrapNone/>
                      <wp:docPr id="7" name="文本框 7"/>
                      <wp:cNvGraphicFramePr/>
                      <a:graphic xmlns:a="http://schemas.openxmlformats.org/drawingml/2006/main">
                        <a:graphicData uri="http://schemas.microsoft.com/office/word/2010/wordprocessingShape">
                          <wps:wsp>
                            <wps:cNvSpPr txBox="1"/>
                            <wps:spPr>
                              <a:xfrm>
                                <a:off x="4105275" y="6275705"/>
                                <a:ext cx="638175"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lang w:eastAsia="zh-CN"/>
                                    </w:rPr>
                                  </w:pPr>
                                  <w:r>
                                    <w:rPr>
                                      <w:rFonts w:hint="eastAsia"/>
                                      <w:b/>
                                      <w:bCs/>
                                      <w:color w:val="FF0000"/>
                                      <w:lang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75pt;margin-top:19.15pt;height:21pt;width:50.25pt;z-index:251661312;mso-width-relative:page;mso-height-relative:page;" fillcolor="#FFFFFF [3201]" filled="t" stroked="t" coordsize="21600,21600" o:gfxdata="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2ECfStkAAAANAQAADwAAAAAAAAABACAAAAAiAAAAZHJzL2Rvd25yZXYueG1sUEsBAhQA&#10;FAAAAAgAh07iQF/YTYhjAgAAwgQAAA4AAAAAAAAAAQAgAAAAKAEAAGRycy9lMm9Eb2MueG1sUEsF&#10;BgAAAAAGAAYAWQEAAP0FAAAAAA==&#10;">
                      <v:fill on="t" focussize="0,0"/>
                      <v:stroke weight="0.5pt" color="#000000 [3204]" joinstyle="round"/>
                      <v:imagedata o:title=""/>
                      <o:lock v:ext="edit" aspectratio="f"/>
                      <v:textbox>
                        <w:txbxContent>
                          <w:p>
                            <w:pPr>
                              <w:rPr>
                                <w:rFonts w:hint="eastAsia" w:eastAsiaTheme="minorEastAsia"/>
                                <w:b/>
                                <w:bCs/>
                                <w:color w:val="FF0000"/>
                                <w:lang w:eastAsia="zh-CN"/>
                              </w:rPr>
                            </w:pPr>
                            <w:r>
                              <w:rPr>
                                <w:rFonts w:hint="eastAsia"/>
                                <w:b/>
                                <w:bCs/>
                                <w:color w:val="FF0000"/>
                                <w:lang w:eastAsia="zh-CN"/>
                              </w:rPr>
                              <w:t>本项目</w:t>
                            </w:r>
                          </w:p>
                        </w:txbxContent>
                      </v:textbox>
                    </v:shape>
                  </w:pict>
                </mc:Fallback>
              </mc:AlternateContent>
            </w:r>
            <w:r>
              <w:rPr>
                <w:sz w:val="22"/>
                <w:szCs w:val="28"/>
              </w:rPr>
              <mc:AlternateContent>
                <mc:Choice Requires="wps">
                  <w:drawing>
                    <wp:anchor distT="0" distB="0" distL="114300" distR="114300" simplePos="0" relativeHeight="251660288" behindDoc="0" locked="0" layoutInCell="1" allowOverlap="1">
                      <wp:simplePos x="0" y="0"/>
                      <wp:positionH relativeFrom="column">
                        <wp:posOffset>3416300</wp:posOffset>
                      </wp:positionH>
                      <wp:positionV relativeFrom="paragraph">
                        <wp:posOffset>538480</wp:posOffset>
                      </wp:positionV>
                      <wp:extent cx="152400" cy="352425"/>
                      <wp:effectExtent l="13335" t="0" r="24765" b="9525"/>
                      <wp:wrapNone/>
                      <wp:docPr id="6" name="直接箭头连接符 6"/>
                      <wp:cNvGraphicFramePr/>
                      <a:graphic xmlns:a="http://schemas.openxmlformats.org/drawingml/2006/main">
                        <a:graphicData uri="http://schemas.microsoft.com/office/word/2010/wordprocessingShape">
                          <wps:wsp>
                            <wps:cNvCnPr/>
                            <wps:spPr>
                              <a:xfrm flipV="1">
                                <a:off x="4067175" y="6561455"/>
                                <a:ext cx="152400" cy="352425"/>
                              </a:xfrm>
                              <a:prstGeom prst="straightConnector1">
                                <a:avLst/>
                              </a:prstGeom>
                              <a:ln w="28575" cmpd="sng">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9pt;margin-top:42.4pt;height:27.75pt;width:12pt;z-index:251660288;mso-width-relative:page;mso-height-relative:page;" filled="f" stroked="t" coordsize="21600,21600" o:gfxdata="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1GOedkA&#10;AAANAQAADwAAAAAAAAABACAAAAAiAAAAZHJzL2Rvd25yZXYueG1sUEsBAhQAFAAAAAgAh07iQN84&#10;kHYeAgAA+QMAAA4AAAAAAAAAAQAgAAAAKAEAAGRycy9lMm9Eb2MueG1sUEsFBgAAAAAGAAYAWQEA&#10;ALgFAAAAAA==&#10;">
                      <v:fill on="f" focussize="0,0"/>
                      <v:stroke weight="2.25pt" color="#FF0000 [3204]" miterlimit="8" joinstyle="miter" endarrow="open"/>
                      <v:imagedata o:title=""/>
                      <o:lock v:ext="edit" aspectratio="f"/>
                    </v:shape>
                  </w:pict>
                </mc:Fallback>
              </mc:AlternateContent>
            </w:r>
            <w:r>
              <w:rPr>
                <w:sz w:val="22"/>
                <w:szCs w:val="28"/>
              </w:rPr>
              <w:drawing>
                <wp:anchor distT="0" distB="0" distL="114300" distR="114300" simplePos="0" relativeHeight="251659264" behindDoc="0" locked="0" layoutInCell="1" allowOverlap="1">
                  <wp:simplePos x="0" y="0"/>
                  <wp:positionH relativeFrom="column">
                    <wp:posOffset>132715</wp:posOffset>
                  </wp:positionH>
                  <wp:positionV relativeFrom="paragraph">
                    <wp:posOffset>14605</wp:posOffset>
                  </wp:positionV>
                  <wp:extent cx="5956300" cy="3284855"/>
                  <wp:effectExtent l="0" t="0" r="6350" b="1079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956300" cy="3284855"/>
                          </a:xfrm>
                          <a:prstGeom prst="rect">
                            <a:avLst/>
                          </a:prstGeom>
                          <a:noFill/>
                          <a:ln>
                            <a:noFill/>
                          </a:ln>
                        </pic:spPr>
                      </pic:pic>
                    </a:graphicData>
                  </a:graphic>
                </wp:anchor>
              </w:drawing>
            </w:r>
          </w:p>
          <w:p>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firstLine="560" w:firstLineChars="200"/>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 xml:space="preserve">建设内容与规模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sz w:val="28"/>
                <w:szCs w:val="28"/>
                <w:lang w:eastAsia="zh-CN"/>
              </w:rPr>
            </w:pPr>
            <w:r>
              <w:rPr>
                <w:rFonts w:hint="eastAsia" w:ascii="Times New Roman" w:hAnsi="Times New Roman" w:eastAsia="宋体" w:cs="Times New Roman"/>
                <w:sz w:val="28"/>
                <w:szCs w:val="28"/>
                <w:lang w:val="en-US" w:eastAsia="zh-CN"/>
              </w:rPr>
              <w:t xml:space="preserve">    本项目环评文件中及批复中建设内容为：</w:t>
            </w:r>
            <w:r>
              <w:rPr>
                <w:rFonts w:hint="default" w:ascii="Times New Roman" w:hAnsi="Times New Roman" w:cs="Times New Roman"/>
                <w:sz w:val="28"/>
                <w:szCs w:val="28"/>
              </w:rPr>
              <w:t>本项目在宁国经济技术开发区电镀中心</w:t>
            </w:r>
            <w:r>
              <w:rPr>
                <w:rFonts w:hint="eastAsia" w:ascii="Times New Roman" w:hAnsi="Times New Roman" w:cs="Times New Roman"/>
                <w:sz w:val="28"/>
                <w:szCs w:val="28"/>
                <w:lang w:eastAsia="zh-CN"/>
              </w:rPr>
              <w:t>内，租用</w:t>
            </w:r>
            <w:r>
              <w:rPr>
                <w:rFonts w:ascii="Times New Roman" w:eastAsia="Times New Roman"/>
                <w:sz w:val="28"/>
                <w:szCs w:val="28"/>
              </w:rPr>
              <w:t>3#</w:t>
            </w:r>
            <w:r>
              <w:rPr>
                <w:sz w:val="28"/>
                <w:szCs w:val="28"/>
              </w:rPr>
              <w:t>生产车间</w:t>
            </w:r>
            <w:r>
              <w:rPr>
                <w:rFonts w:hint="eastAsia"/>
                <w:sz w:val="28"/>
                <w:szCs w:val="28"/>
                <w:lang w:eastAsia="zh-CN"/>
              </w:rPr>
              <w:t>：</w:t>
            </w:r>
            <w:r>
              <w:rPr>
                <w:sz w:val="28"/>
                <w:szCs w:val="28"/>
              </w:rPr>
              <w:t>设置</w:t>
            </w:r>
            <w:r>
              <w:rPr>
                <w:rFonts w:ascii="Times New Roman" w:hAnsi="Times New Roman" w:eastAsia="Times New Roman"/>
                <w:sz w:val="28"/>
                <w:szCs w:val="28"/>
              </w:rPr>
              <w:t>6</w:t>
            </w:r>
            <w:r>
              <w:rPr>
                <w:spacing w:val="-9"/>
                <w:sz w:val="28"/>
                <w:szCs w:val="28"/>
              </w:rPr>
              <w:t>条生产线；一层布置办公区、产品仓库、待镀品暂存区、配件库和配电房等；二层布置</w:t>
            </w:r>
            <w:r>
              <w:rPr>
                <w:rFonts w:ascii="Times New Roman" w:hAnsi="Times New Roman" w:eastAsia="Times New Roman"/>
                <w:spacing w:val="-9"/>
                <w:sz w:val="28"/>
                <w:szCs w:val="28"/>
              </w:rPr>
              <w:t>2</w:t>
            </w:r>
            <w:r>
              <w:rPr>
                <w:spacing w:val="-9"/>
                <w:sz w:val="28"/>
                <w:szCs w:val="28"/>
              </w:rPr>
              <w:t xml:space="preserve">条挂镀锌线， </w:t>
            </w:r>
            <w:r>
              <w:rPr>
                <w:rFonts w:ascii="Times New Roman" w:hAnsi="Times New Roman" w:eastAsia="Times New Roman"/>
                <w:spacing w:val="-9"/>
                <w:sz w:val="28"/>
                <w:szCs w:val="28"/>
              </w:rPr>
              <w:t>1</w:t>
            </w:r>
            <w:r>
              <w:rPr>
                <w:spacing w:val="-10"/>
                <w:sz w:val="28"/>
                <w:szCs w:val="28"/>
              </w:rPr>
              <w:t>条挂镀锌镍线；三层设置</w:t>
            </w:r>
            <w:r>
              <w:rPr>
                <w:rFonts w:ascii="Times New Roman" w:hAnsi="Times New Roman" w:eastAsia="Times New Roman"/>
                <w:sz w:val="28"/>
                <w:szCs w:val="28"/>
              </w:rPr>
              <w:t>1</w:t>
            </w:r>
            <w:r>
              <w:rPr>
                <w:spacing w:val="-6"/>
                <w:sz w:val="28"/>
                <w:szCs w:val="28"/>
              </w:rPr>
              <w:t>条滚镀锌镍线、</w:t>
            </w:r>
            <w:r>
              <w:rPr>
                <w:rFonts w:ascii="Times New Roman" w:hAnsi="Times New Roman" w:eastAsia="Times New Roman"/>
                <w:sz w:val="28"/>
                <w:szCs w:val="28"/>
              </w:rPr>
              <w:t>1</w:t>
            </w:r>
            <w:r>
              <w:rPr>
                <w:sz w:val="28"/>
                <w:szCs w:val="28"/>
              </w:rPr>
              <w:t>条滚镀锌</w:t>
            </w:r>
            <w:r>
              <w:rPr>
                <w:spacing w:val="-30"/>
                <w:sz w:val="28"/>
                <w:szCs w:val="28"/>
              </w:rPr>
              <w:t>线、</w:t>
            </w:r>
            <w:r>
              <w:rPr>
                <w:rFonts w:ascii="Times New Roman" w:hAnsi="Times New Roman" w:eastAsia="Times New Roman"/>
                <w:sz w:val="28"/>
                <w:szCs w:val="28"/>
              </w:rPr>
              <w:t>1</w:t>
            </w:r>
            <w:r>
              <w:rPr>
                <w:spacing w:val="-8"/>
                <w:sz w:val="28"/>
                <w:szCs w:val="28"/>
              </w:rPr>
              <w:t>条镀镍铬线；建筑面积</w:t>
            </w:r>
            <w:r>
              <w:rPr>
                <w:rFonts w:ascii="Times New Roman" w:hAnsi="Times New Roman" w:eastAsia="Times New Roman"/>
                <w:spacing w:val="-12"/>
                <w:sz w:val="28"/>
                <w:szCs w:val="28"/>
              </w:rPr>
              <w:t>7200m²</w:t>
            </w:r>
            <w:r>
              <w:rPr>
                <w:spacing w:val="-12"/>
                <w:sz w:val="28"/>
                <w:szCs w:val="28"/>
              </w:rPr>
              <w:t>，</w:t>
            </w:r>
            <w:r>
              <w:rPr>
                <w:rFonts w:ascii="Times New Roman" w:hAnsi="Times New Roman" w:eastAsia="Times New Roman"/>
                <w:spacing w:val="-12"/>
                <w:sz w:val="28"/>
                <w:szCs w:val="28"/>
              </w:rPr>
              <w:t>3F</w:t>
            </w:r>
            <w:r>
              <w:rPr>
                <w:spacing w:val="-3"/>
                <w:sz w:val="28"/>
                <w:szCs w:val="28"/>
              </w:rPr>
              <w:t>，一层高</w:t>
            </w:r>
            <w:r>
              <w:rPr>
                <w:rFonts w:ascii="Times New Roman" w:hAnsi="Times New Roman" w:eastAsia="Times New Roman"/>
                <w:spacing w:val="-3"/>
                <w:sz w:val="28"/>
                <w:szCs w:val="28"/>
              </w:rPr>
              <w:t>7.5m</w:t>
            </w:r>
            <w:r>
              <w:rPr>
                <w:spacing w:val="-3"/>
                <w:sz w:val="28"/>
                <w:szCs w:val="28"/>
              </w:rPr>
              <w:t>，</w:t>
            </w:r>
            <w:r>
              <w:rPr>
                <w:sz w:val="28"/>
                <w:szCs w:val="28"/>
              </w:rPr>
              <w:t>二层高</w:t>
            </w:r>
            <w:r>
              <w:rPr>
                <w:rFonts w:ascii="Times New Roman" w:hAnsi="Times New Roman" w:eastAsia="Times New Roman"/>
                <w:sz w:val="28"/>
                <w:szCs w:val="28"/>
              </w:rPr>
              <w:t>7m</w:t>
            </w:r>
            <w:r>
              <w:rPr>
                <w:sz w:val="28"/>
                <w:szCs w:val="28"/>
              </w:rPr>
              <w:t>，三层</w:t>
            </w:r>
            <w:r>
              <w:rPr>
                <w:rFonts w:ascii="Times New Roman" w:hAnsi="Times New Roman" w:eastAsia="Times New Roman"/>
                <w:sz w:val="28"/>
                <w:szCs w:val="28"/>
              </w:rPr>
              <w:t>7m</w:t>
            </w:r>
            <w:r>
              <w:rPr>
                <w:rFonts w:hint="eastAsia" w:ascii="Times New Roman" w:hAnsi="Times New Roman" w:eastAsia="宋体"/>
                <w:sz w:val="28"/>
                <w:szCs w:val="28"/>
                <w:lang w:eastAsia="zh-CN"/>
              </w:rPr>
              <w:t>。</w:t>
            </w:r>
            <w:r>
              <w:rPr>
                <w:rFonts w:ascii="Times New Roman" w:eastAsia="Times New Roman"/>
                <w:sz w:val="28"/>
                <w:szCs w:val="28"/>
              </w:rPr>
              <w:t>7#</w:t>
            </w:r>
            <w:r>
              <w:rPr>
                <w:sz w:val="28"/>
                <w:szCs w:val="28"/>
              </w:rPr>
              <w:t>生产车间</w:t>
            </w:r>
            <w:r>
              <w:rPr>
                <w:rFonts w:hint="eastAsia"/>
                <w:sz w:val="28"/>
                <w:szCs w:val="28"/>
                <w:lang w:eastAsia="zh-CN"/>
              </w:rPr>
              <w:t>：设置 1 条生产线；一层布置办公区、产品仓库、待镀品暂存区、配件库及员工休息区；二层布 1 条镀铜锡生产线；建筑面积 4320m²，3F，一层高 5.9m，二层高 6.5m，三层 6.5m。年加工 90 万㎡镀层面积镀件。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textAlignment w:val="auto"/>
              <w:rPr>
                <w:rFonts w:hint="default"/>
                <w:sz w:val="28"/>
                <w:szCs w:val="28"/>
                <w:lang w:val="en-US" w:eastAsia="zh-CN"/>
              </w:rPr>
            </w:pPr>
            <w:r>
              <w:rPr>
                <w:rFonts w:hint="eastAsia" w:ascii="Times New Roman" w:hAnsi="Times New Roman" w:eastAsia="宋体" w:cs="Times New Roman"/>
                <w:sz w:val="28"/>
                <w:szCs w:val="28"/>
                <w:lang w:val="en-US" w:eastAsia="zh-CN"/>
              </w:rPr>
              <w:t>本项目竣工验收建设内容为：</w:t>
            </w:r>
            <w:r>
              <w:rPr>
                <w:rFonts w:hint="default" w:ascii="Times New Roman" w:hAnsi="Times New Roman" w:cs="Times New Roman"/>
                <w:sz w:val="28"/>
                <w:szCs w:val="28"/>
              </w:rPr>
              <w:t>本项目在宁国经济技术开发区电镀中心</w:t>
            </w:r>
            <w:r>
              <w:rPr>
                <w:rFonts w:hint="eastAsia" w:ascii="Times New Roman" w:hAnsi="Times New Roman" w:cs="Times New Roman"/>
                <w:sz w:val="28"/>
                <w:szCs w:val="28"/>
                <w:lang w:eastAsia="zh-CN"/>
              </w:rPr>
              <w:t>内，租用</w:t>
            </w:r>
            <w:r>
              <w:rPr>
                <w:rFonts w:ascii="Times New Roman" w:eastAsia="Times New Roman"/>
                <w:sz w:val="28"/>
                <w:szCs w:val="28"/>
              </w:rPr>
              <w:t>3#</w:t>
            </w:r>
            <w:r>
              <w:rPr>
                <w:sz w:val="28"/>
                <w:szCs w:val="28"/>
              </w:rPr>
              <w:t>生产车间</w:t>
            </w:r>
            <w:r>
              <w:rPr>
                <w:rFonts w:hint="eastAsia"/>
                <w:sz w:val="28"/>
                <w:szCs w:val="28"/>
                <w:lang w:eastAsia="zh-CN"/>
              </w:rPr>
              <w:t>：</w:t>
            </w:r>
            <w:r>
              <w:rPr>
                <w:rFonts w:hint="eastAsia"/>
                <w:sz w:val="28"/>
                <w:szCs w:val="28"/>
              </w:rPr>
              <w:t>目前</w:t>
            </w:r>
            <w:r>
              <w:rPr>
                <w:rFonts w:hint="eastAsia"/>
                <w:sz w:val="28"/>
                <w:szCs w:val="28"/>
                <w:lang w:eastAsia="zh-CN"/>
              </w:rPr>
              <w:t>建有</w:t>
            </w:r>
            <w:r>
              <w:rPr>
                <w:rFonts w:hint="eastAsia" w:ascii="Times New Roman" w:hAnsi="Times New Roman" w:cs="Times New Roman"/>
                <w:color w:val="auto"/>
                <w:spacing w:val="-3"/>
                <w:sz w:val="28"/>
                <w:szCs w:val="28"/>
                <w:lang w:val="en-US" w:eastAsia="zh-CN"/>
              </w:rPr>
              <w:t>4</w:t>
            </w:r>
            <w:r>
              <w:rPr>
                <w:rFonts w:hint="default" w:ascii="Times New Roman" w:hAnsi="Times New Roman" w:cs="Times New Roman"/>
                <w:color w:val="auto"/>
                <w:spacing w:val="-3"/>
                <w:sz w:val="28"/>
                <w:szCs w:val="28"/>
              </w:rPr>
              <w:t>条生产线（1条挂镀镀锌线、1条滚镀镀锌线</w:t>
            </w:r>
            <w:r>
              <w:rPr>
                <w:rFonts w:hint="eastAsia" w:ascii="Times New Roman" w:hAnsi="Times New Roman" w:cs="Times New Roman"/>
                <w:color w:val="auto"/>
                <w:spacing w:val="-3"/>
                <w:sz w:val="28"/>
                <w:szCs w:val="28"/>
                <w:lang w:eastAsia="zh-CN"/>
              </w:rPr>
              <w:t>、</w:t>
            </w:r>
            <w:r>
              <w:rPr>
                <w:rFonts w:hint="eastAsia" w:ascii="Times New Roman" w:hAnsi="Times New Roman" w:cs="Times New Roman"/>
                <w:color w:val="auto"/>
                <w:spacing w:val="-3"/>
                <w:sz w:val="28"/>
                <w:szCs w:val="28"/>
                <w:lang w:val="en-US" w:eastAsia="zh-CN"/>
              </w:rPr>
              <w:t>1</w:t>
            </w:r>
            <w:r>
              <w:rPr>
                <w:rFonts w:hint="eastAsia" w:ascii="Times New Roman" w:hAnsi="Times New Roman" w:cs="Times New Roman"/>
                <w:color w:val="auto"/>
                <w:spacing w:val="-3"/>
                <w:sz w:val="28"/>
                <w:szCs w:val="28"/>
                <w:lang w:eastAsia="zh-CN"/>
              </w:rPr>
              <w:t>条电镀铜锡合金生产线、</w:t>
            </w:r>
            <w:r>
              <w:rPr>
                <w:rFonts w:hint="eastAsia" w:ascii="Times New Roman" w:hAnsi="Times New Roman" w:cs="Times New Roman"/>
                <w:color w:val="auto"/>
                <w:spacing w:val="-3"/>
                <w:sz w:val="28"/>
                <w:szCs w:val="28"/>
                <w:lang w:val="en-US" w:eastAsia="zh-CN"/>
              </w:rPr>
              <w:t>1条</w:t>
            </w:r>
            <w:r>
              <w:rPr>
                <w:rFonts w:hint="eastAsia" w:ascii="Times New Roman" w:hAnsi="Times New Roman" w:cs="Times New Roman"/>
                <w:color w:val="auto"/>
                <w:spacing w:val="-3"/>
                <w:sz w:val="28"/>
                <w:szCs w:val="28"/>
                <w:lang w:eastAsia="zh-CN"/>
              </w:rPr>
              <w:t>挂镀镍铬生产线</w:t>
            </w:r>
            <w:r>
              <w:rPr>
                <w:rFonts w:hint="default" w:ascii="Times New Roman" w:hAnsi="Times New Roman" w:cs="Times New Roman"/>
                <w:color w:val="auto"/>
                <w:spacing w:val="-3"/>
                <w:sz w:val="28"/>
                <w:szCs w:val="28"/>
              </w:rPr>
              <w:t>）建成并投入生产，另外</w:t>
            </w:r>
            <w:r>
              <w:rPr>
                <w:rFonts w:hint="eastAsia" w:ascii="Times New Roman" w:hAnsi="Times New Roman" w:cs="Times New Roman"/>
                <w:color w:val="auto"/>
                <w:spacing w:val="-3"/>
                <w:sz w:val="28"/>
                <w:szCs w:val="28"/>
                <w:lang w:val="en-US" w:eastAsia="zh-CN"/>
              </w:rPr>
              <w:t>3</w:t>
            </w:r>
            <w:r>
              <w:rPr>
                <w:rFonts w:hint="default" w:ascii="Times New Roman" w:hAnsi="Times New Roman" w:cs="Times New Roman"/>
                <w:color w:val="auto"/>
                <w:spacing w:val="-3"/>
                <w:sz w:val="28"/>
                <w:szCs w:val="28"/>
              </w:rPr>
              <w:t>条生产线（2条镀锌镍合金线和1条镀锌线）在建</w:t>
            </w:r>
            <w:r>
              <w:rPr>
                <w:rFonts w:hint="eastAsia"/>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b/>
                <w:bCs/>
                <w:sz w:val="22"/>
                <w:szCs w:val="22"/>
                <w:lang w:val="en-US" w:eastAsia="zh-CN"/>
              </w:rPr>
            </w:pPr>
            <w:r>
              <w:rPr>
                <w:rFonts w:hint="eastAsia"/>
                <w:b/>
                <w:bCs/>
                <w:sz w:val="28"/>
                <w:szCs w:val="28"/>
                <w:lang w:val="en-US" w:eastAsia="zh-CN"/>
              </w:rPr>
              <w:t>表2-1项目环评阶段与实际建设主要内容对比表</w:t>
            </w:r>
            <w:r>
              <w:rPr>
                <w:rFonts w:hint="eastAsia"/>
                <w:b/>
                <w:bCs/>
                <w:sz w:val="22"/>
                <w:szCs w:val="22"/>
                <w:lang w:val="en-US" w:eastAsia="zh-CN"/>
              </w:rPr>
              <w:t xml:space="preserve">  </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668"/>
              <w:gridCol w:w="2700"/>
              <w:gridCol w:w="2625"/>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230"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项目</w:t>
                  </w:r>
                </w:p>
              </w:tc>
              <w:tc>
                <w:tcPr>
                  <w:tcW w:w="270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环评报告及批复情况</w:t>
                  </w:r>
                </w:p>
              </w:tc>
              <w:tc>
                <w:tcPr>
                  <w:tcW w:w="262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实际建设情况</w:t>
                  </w:r>
                </w:p>
              </w:tc>
              <w:tc>
                <w:tcPr>
                  <w:tcW w:w="28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知否属于重大变动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230"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地理位置</w:t>
                  </w:r>
                </w:p>
              </w:tc>
              <w:tc>
                <w:tcPr>
                  <w:tcW w:w="270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宁国经济技术开发区电镀中心</w:t>
                  </w:r>
                  <w:r>
                    <w:rPr>
                      <w:rFonts w:hint="eastAsia" w:ascii="宋体" w:hAnsi="宋体" w:eastAsia="宋体" w:cs="宋体"/>
                      <w:sz w:val="21"/>
                      <w:szCs w:val="21"/>
                      <w:lang w:eastAsia="zh-CN"/>
                    </w:rPr>
                    <w:t>内，租用</w:t>
                  </w:r>
                  <w:r>
                    <w:rPr>
                      <w:rFonts w:hint="eastAsia" w:ascii="宋体" w:hAnsi="宋体" w:eastAsia="宋体" w:cs="宋体"/>
                      <w:sz w:val="21"/>
                      <w:szCs w:val="21"/>
                    </w:rPr>
                    <w:t>3#生产车间</w:t>
                  </w:r>
                  <w:r>
                    <w:rPr>
                      <w:rFonts w:hint="eastAsia" w:ascii="宋体" w:hAnsi="宋体" w:eastAsia="宋体" w:cs="宋体"/>
                      <w:sz w:val="21"/>
                      <w:szCs w:val="21"/>
                      <w:lang w:eastAsia="zh-CN"/>
                    </w:rPr>
                    <w:t>、</w:t>
                  </w:r>
                  <w:r>
                    <w:rPr>
                      <w:rFonts w:hint="eastAsia" w:ascii="宋体" w:hAnsi="宋体" w:eastAsia="宋体" w:cs="宋体"/>
                      <w:sz w:val="21"/>
                      <w:szCs w:val="21"/>
                    </w:rPr>
                    <w:t>7#生产车间</w:t>
                  </w:r>
                </w:p>
              </w:tc>
              <w:tc>
                <w:tcPr>
                  <w:tcW w:w="262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宁国经济技术开发区电镀中心</w:t>
                  </w:r>
                  <w:r>
                    <w:rPr>
                      <w:rFonts w:hint="eastAsia" w:ascii="宋体" w:hAnsi="宋体" w:eastAsia="宋体" w:cs="宋体"/>
                      <w:sz w:val="21"/>
                      <w:szCs w:val="21"/>
                      <w:lang w:eastAsia="zh-CN"/>
                    </w:rPr>
                    <w:t>内，租用</w:t>
                  </w:r>
                  <w:r>
                    <w:rPr>
                      <w:rFonts w:hint="eastAsia" w:ascii="宋体" w:hAnsi="宋体" w:eastAsia="宋体" w:cs="宋体"/>
                      <w:sz w:val="21"/>
                      <w:szCs w:val="21"/>
                    </w:rPr>
                    <w:t>3#生产车间</w:t>
                  </w:r>
                </w:p>
              </w:tc>
              <w:tc>
                <w:tcPr>
                  <w:tcW w:w="28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230"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建设性质</w:t>
                  </w:r>
                </w:p>
              </w:tc>
              <w:tc>
                <w:tcPr>
                  <w:tcW w:w="270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迁建</w:t>
                  </w:r>
                </w:p>
              </w:tc>
              <w:tc>
                <w:tcPr>
                  <w:tcW w:w="262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迁建</w:t>
                  </w:r>
                </w:p>
              </w:tc>
              <w:tc>
                <w:tcPr>
                  <w:tcW w:w="28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230"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总投资</w:t>
                  </w:r>
                </w:p>
              </w:tc>
              <w:tc>
                <w:tcPr>
                  <w:tcW w:w="270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5000万元</w:t>
                  </w:r>
                </w:p>
              </w:tc>
              <w:tc>
                <w:tcPr>
                  <w:tcW w:w="262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3000万元</w:t>
                  </w:r>
                </w:p>
              </w:tc>
              <w:tc>
                <w:tcPr>
                  <w:tcW w:w="28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230"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环保投资</w:t>
                  </w:r>
                </w:p>
              </w:tc>
              <w:tc>
                <w:tcPr>
                  <w:tcW w:w="270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429</w:t>
                  </w:r>
                </w:p>
              </w:tc>
              <w:tc>
                <w:tcPr>
                  <w:tcW w:w="262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249</w:t>
                  </w:r>
                </w:p>
              </w:tc>
              <w:tc>
                <w:tcPr>
                  <w:tcW w:w="28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230"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建设内容及规模</w:t>
                  </w:r>
                </w:p>
              </w:tc>
              <w:tc>
                <w:tcPr>
                  <w:tcW w:w="270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年加工 90 万㎡镀层面积镀件</w:t>
                  </w:r>
                </w:p>
              </w:tc>
              <w:tc>
                <w:tcPr>
                  <w:tcW w:w="262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年加工 55 万㎡镀层面积镀件</w:t>
                  </w:r>
                </w:p>
              </w:tc>
              <w:tc>
                <w:tcPr>
                  <w:tcW w:w="28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562"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治理措施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p>
              </w:tc>
              <w:tc>
                <w:tcPr>
                  <w:tcW w:w="6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固废</w:t>
                  </w:r>
                </w:p>
              </w:tc>
              <w:tc>
                <w:tcPr>
                  <w:tcW w:w="270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加强固体废物污染防治。按分类收集、贮存，分质处置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的原则，认真落实《报告书》提出的固体废物收集、贮存和处置工作。依法严格落实危险废物全过程规范化管理的各项要求</w:t>
                  </w:r>
                </w:p>
              </w:tc>
              <w:tc>
                <w:tcPr>
                  <w:tcW w:w="262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1"/>
                      <w:szCs w:val="21"/>
                      <w:lang w:eastAsia="zh-CN"/>
                    </w:rPr>
                  </w:pPr>
                  <w:r>
                    <w:rPr>
                      <w:rFonts w:hint="eastAsia" w:ascii="宋体" w:hAnsi="宋体" w:eastAsia="宋体" w:cs="宋体"/>
                      <w:b w:val="0"/>
                      <w:bCs w:val="0"/>
                      <w:sz w:val="21"/>
                      <w:szCs w:val="21"/>
                      <w:vertAlign w:val="baseline"/>
                      <w:lang w:val="en-US" w:eastAsia="zh-CN"/>
                    </w:rPr>
                    <w:t>项目分类收集，妥善处置。（1）生活垃圾：</w:t>
                  </w:r>
                  <w:r>
                    <w:rPr>
                      <w:rFonts w:hint="eastAsia" w:ascii="宋体" w:hAnsi="宋体" w:eastAsia="宋体" w:cs="宋体"/>
                      <w:spacing w:val="-8"/>
                      <w:sz w:val="21"/>
                      <w:szCs w:val="21"/>
                    </w:rPr>
                    <w:t xml:space="preserve">项目劳动定员 </w:t>
                  </w:r>
                  <w:r>
                    <w:rPr>
                      <w:rFonts w:hint="eastAsia" w:ascii="宋体" w:hAnsi="宋体" w:eastAsia="宋体" w:cs="宋体"/>
                      <w:sz w:val="21"/>
                      <w:szCs w:val="21"/>
                      <w:lang w:val="en-US" w:eastAsia="zh-CN"/>
                    </w:rPr>
                    <w:t>32</w:t>
                  </w:r>
                  <w:r>
                    <w:rPr>
                      <w:rFonts w:hint="eastAsia" w:ascii="宋体" w:hAnsi="宋体" w:eastAsia="宋体" w:cs="宋体"/>
                      <w:spacing w:val="-6"/>
                      <w:sz w:val="21"/>
                      <w:szCs w:val="21"/>
                    </w:rPr>
                    <w:t xml:space="preserve">人，生活垃圾产生量按照 </w:t>
                  </w:r>
                  <w:r>
                    <w:rPr>
                      <w:rFonts w:hint="eastAsia" w:ascii="宋体" w:hAnsi="宋体" w:eastAsia="宋体" w:cs="宋体"/>
                      <w:sz w:val="21"/>
                      <w:szCs w:val="21"/>
                    </w:rPr>
                    <w:t>0.5kg/人天</w:t>
                  </w:r>
                  <w:r>
                    <w:rPr>
                      <w:rFonts w:hint="eastAsia" w:ascii="宋体" w:hAnsi="宋体" w:eastAsia="宋体" w:cs="宋体"/>
                      <w:spacing w:val="-6"/>
                      <w:sz w:val="21"/>
                      <w:szCs w:val="21"/>
                    </w:rPr>
                    <w:t>计，其生活垃圾产生量约为</w:t>
                  </w:r>
                  <w:r>
                    <w:rPr>
                      <w:rFonts w:hint="eastAsia" w:ascii="宋体" w:hAnsi="宋体" w:eastAsia="宋体" w:cs="宋体"/>
                      <w:spacing w:val="-6"/>
                      <w:sz w:val="21"/>
                      <w:szCs w:val="21"/>
                      <w:lang w:val="en-US" w:eastAsia="zh-CN"/>
                    </w:rPr>
                    <w:t>4.8</w:t>
                  </w:r>
                  <w:r>
                    <w:rPr>
                      <w:rFonts w:hint="eastAsia" w:ascii="宋体" w:hAnsi="宋体" w:eastAsia="宋体" w:cs="宋体"/>
                      <w:sz w:val="21"/>
                      <w:szCs w:val="21"/>
                    </w:rPr>
                    <w:t>t/a，委托环卫部门</w:t>
                  </w:r>
                  <w:r>
                    <w:rPr>
                      <w:rFonts w:hint="eastAsia" w:ascii="宋体" w:hAnsi="宋体" w:eastAsia="宋体" w:cs="宋体"/>
                      <w:sz w:val="21"/>
                      <w:szCs w:val="21"/>
                      <w:lang w:eastAsia="zh-CN"/>
                    </w:rPr>
                    <w:t>定期</w:t>
                  </w:r>
                  <w:r>
                    <w:rPr>
                      <w:rFonts w:hint="eastAsia" w:ascii="宋体" w:hAnsi="宋体" w:eastAsia="宋体" w:cs="宋体"/>
                      <w:sz w:val="21"/>
                      <w:szCs w:val="21"/>
                    </w:rPr>
                    <w:t>清运处理</w:t>
                  </w:r>
                  <w:r>
                    <w:rPr>
                      <w:rFonts w:hint="eastAsia" w:ascii="宋体" w:hAnsi="宋体" w:eastAsia="宋体" w:cs="宋体"/>
                      <w:sz w:val="21"/>
                      <w:szCs w:val="21"/>
                      <w:lang w:eastAsia="zh-CN"/>
                    </w:rPr>
                    <w:t>。</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一般固体废物：项目生产过程中一般工业固体废物为不合格产品，按照业主实际生产经验，不合格品年产生量约为5.0t/a。不合格品退镀后重新上镀处理，不外排。</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危险废物：生产过程中的废槽液、废机油、废过滤芯、废树脂和废包装物放于厂内危废库，委托安徽浩悦环境科技有限责任公司进行处理。</w:t>
                  </w:r>
                </w:p>
              </w:tc>
              <w:tc>
                <w:tcPr>
                  <w:tcW w:w="28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b w:val="0"/>
                      <w:bCs w:val="0"/>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562" w:type="dxa"/>
                  <w:vMerge w:val="continue"/>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p>
              </w:tc>
              <w:tc>
                <w:tcPr>
                  <w:tcW w:w="6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噪声</w:t>
                  </w:r>
                </w:p>
              </w:tc>
              <w:tc>
                <w:tcPr>
                  <w:tcW w:w="270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设备减震，厂房隔声</w:t>
                  </w:r>
                </w:p>
              </w:tc>
              <w:tc>
                <w:tcPr>
                  <w:tcW w:w="262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设备减震，厂房隔声</w:t>
                  </w:r>
                </w:p>
              </w:tc>
              <w:tc>
                <w:tcPr>
                  <w:tcW w:w="28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562" w:type="dxa"/>
                  <w:vMerge w:val="continue"/>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p>
              </w:tc>
              <w:tc>
                <w:tcPr>
                  <w:tcW w:w="66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环境风险防范</w:t>
                  </w:r>
                </w:p>
              </w:tc>
              <w:tc>
                <w:tcPr>
                  <w:tcW w:w="2700"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依托电镀中心车间地下事故水池，配套应急切换、截断装置。编制环境风险应急预案并经主管部门备案</w:t>
                  </w:r>
                </w:p>
              </w:tc>
              <w:tc>
                <w:tcPr>
                  <w:tcW w:w="262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 xml:space="preserve"> 依托电镀中心车间地下事故水池，配套应急切换、截断装置。编制环境风险应急预案并经主管部门备案。3#生产车间地下室事故水池的容积为 500m³</w:t>
                  </w:r>
                </w:p>
              </w:tc>
              <w:tc>
                <w:tcPr>
                  <w:tcW w:w="284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val="0"/>
                      <w:sz w:val="21"/>
                      <w:szCs w:val="21"/>
                      <w:vertAlign w:val="baseline"/>
                      <w:lang w:val="en-US" w:eastAsia="zh-CN"/>
                    </w:rPr>
                  </w:pPr>
                  <w:bookmarkStart w:id="0" w:name="_GoBack"/>
                  <w:bookmarkEnd w:id="0"/>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本项目</w:t>
            </w:r>
            <w:r>
              <w:rPr>
                <w:rFonts w:hint="eastAsia"/>
                <w:sz w:val="28"/>
                <w:szCs w:val="28"/>
              </w:rPr>
              <w:t>目前</w:t>
            </w:r>
            <w:r>
              <w:rPr>
                <w:rFonts w:hint="eastAsia"/>
                <w:sz w:val="28"/>
                <w:szCs w:val="28"/>
                <w:lang w:eastAsia="zh-CN"/>
              </w:rPr>
              <w:t>建有</w:t>
            </w:r>
            <w:r>
              <w:rPr>
                <w:rFonts w:hint="eastAsia" w:ascii="Times New Roman" w:hAnsi="Times New Roman" w:cs="Times New Roman"/>
                <w:color w:val="auto"/>
                <w:spacing w:val="-3"/>
                <w:sz w:val="28"/>
                <w:szCs w:val="28"/>
                <w:lang w:val="en-US" w:eastAsia="zh-CN"/>
              </w:rPr>
              <w:t>4</w:t>
            </w:r>
            <w:r>
              <w:rPr>
                <w:rFonts w:hint="default" w:ascii="Times New Roman" w:hAnsi="Times New Roman" w:cs="Times New Roman"/>
                <w:color w:val="auto"/>
                <w:spacing w:val="-3"/>
                <w:sz w:val="28"/>
                <w:szCs w:val="28"/>
              </w:rPr>
              <w:t>条生产线（1条挂镀镀锌</w:t>
            </w:r>
            <w:r>
              <w:rPr>
                <w:rFonts w:hint="eastAsia" w:ascii="Times New Roman" w:hAnsi="Times New Roman" w:cs="Times New Roman"/>
                <w:color w:val="auto"/>
                <w:spacing w:val="-3"/>
                <w:sz w:val="28"/>
                <w:szCs w:val="28"/>
                <w:lang w:eastAsia="zh-CN"/>
              </w:rPr>
              <w:t>生产线</w:t>
            </w:r>
            <w:r>
              <w:rPr>
                <w:rFonts w:hint="default" w:ascii="Times New Roman" w:hAnsi="Times New Roman" w:cs="Times New Roman"/>
                <w:color w:val="auto"/>
                <w:spacing w:val="-3"/>
                <w:sz w:val="28"/>
                <w:szCs w:val="28"/>
              </w:rPr>
              <w:t>线、1条滚镀镀锌</w:t>
            </w:r>
            <w:r>
              <w:rPr>
                <w:rFonts w:hint="eastAsia" w:ascii="Times New Roman" w:hAnsi="Times New Roman" w:cs="Times New Roman"/>
                <w:color w:val="auto"/>
                <w:spacing w:val="-3"/>
                <w:sz w:val="28"/>
                <w:szCs w:val="28"/>
                <w:lang w:eastAsia="zh-CN"/>
              </w:rPr>
              <w:t>生产线</w:t>
            </w:r>
            <w:r>
              <w:rPr>
                <w:rFonts w:hint="default" w:ascii="Times New Roman" w:hAnsi="Times New Roman" w:cs="Times New Roman"/>
                <w:color w:val="auto"/>
                <w:spacing w:val="-3"/>
                <w:sz w:val="28"/>
                <w:szCs w:val="28"/>
              </w:rPr>
              <w:t>线</w:t>
            </w:r>
            <w:r>
              <w:rPr>
                <w:rFonts w:hint="eastAsia" w:ascii="Times New Roman" w:hAnsi="Times New Roman" w:cs="Times New Roman"/>
                <w:color w:val="auto"/>
                <w:spacing w:val="-3"/>
                <w:sz w:val="28"/>
                <w:szCs w:val="28"/>
                <w:lang w:eastAsia="zh-CN"/>
              </w:rPr>
              <w:t>、</w:t>
            </w:r>
            <w:r>
              <w:rPr>
                <w:rFonts w:hint="eastAsia" w:ascii="Times New Roman" w:hAnsi="Times New Roman" w:cs="Times New Roman"/>
                <w:color w:val="auto"/>
                <w:spacing w:val="-3"/>
                <w:sz w:val="28"/>
                <w:szCs w:val="28"/>
                <w:lang w:val="en-US" w:eastAsia="zh-CN"/>
              </w:rPr>
              <w:t>1</w:t>
            </w:r>
            <w:r>
              <w:rPr>
                <w:rFonts w:hint="eastAsia" w:ascii="Times New Roman" w:hAnsi="Times New Roman" w:cs="Times New Roman"/>
                <w:color w:val="auto"/>
                <w:spacing w:val="-3"/>
                <w:sz w:val="28"/>
                <w:szCs w:val="28"/>
                <w:lang w:eastAsia="zh-CN"/>
              </w:rPr>
              <w:t>条电镀铜锡合金生产线、</w:t>
            </w:r>
            <w:r>
              <w:rPr>
                <w:rFonts w:hint="eastAsia" w:ascii="Times New Roman" w:hAnsi="Times New Roman" w:cs="Times New Roman"/>
                <w:color w:val="auto"/>
                <w:spacing w:val="-3"/>
                <w:sz w:val="28"/>
                <w:szCs w:val="28"/>
                <w:lang w:val="en-US" w:eastAsia="zh-CN"/>
              </w:rPr>
              <w:t>1条</w:t>
            </w:r>
            <w:r>
              <w:rPr>
                <w:rFonts w:hint="eastAsia" w:ascii="Times New Roman" w:hAnsi="Times New Roman" w:cs="Times New Roman"/>
                <w:color w:val="auto"/>
                <w:spacing w:val="-3"/>
                <w:sz w:val="28"/>
                <w:szCs w:val="28"/>
                <w:lang w:eastAsia="zh-CN"/>
              </w:rPr>
              <w:t>挂镀镍铬生产线</w:t>
            </w:r>
            <w:r>
              <w:rPr>
                <w:rFonts w:hint="default" w:ascii="Times New Roman" w:hAnsi="Times New Roman" w:cs="Times New Roman"/>
                <w:color w:val="auto"/>
                <w:spacing w:val="-3"/>
                <w:sz w:val="28"/>
                <w:szCs w:val="28"/>
              </w:rPr>
              <w:t>）建成并投入生产，另外</w:t>
            </w:r>
            <w:r>
              <w:rPr>
                <w:rFonts w:hint="eastAsia" w:ascii="Times New Roman" w:hAnsi="Times New Roman" w:cs="Times New Roman"/>
                <w:color w:val="auto"/>
                <w:spacing w:val="-3"/>
                <w:sz w:val="28"/>
                <w:szCs w:val="28"/>
                <w:lang w:val="en-US" w:eastAsia="zh-CN"/>
              </w:rPr>
              <w:t>3</w:t>
            </w:r>
            <w:r>
              <w:rPr>
                <w:rFonts w:hint="default" w:ascii="Times New Roman" w:hAnsi="Times New Roman" w:cs="Times New Roman"/>
                <w:color w:val="auto"/>
                <w:spacing w:val="-3"/>
                <w:sz w:val="28"/>
                <w:szCs w:val="28"/>
              </w:rPr>
              <w:t>条生产线（2条镀锌镍合金线和1条镀锌线）在建</w:t>
            </w:r>
            <w:r>
              <w:rPr>
                <w:rFonts w:hint="eastAsia" w:ascii="Times New Roman" w:hAnsi="Times New Roman" w:cs="Times New Roman"/>
                <w:sz w:val="28"/>
                <w:szCs w:val="28"/>
                <w:lang w:val="en-US" w:eastAsia="zh-CN"/>
              </w:rPr>
              <w:t>，不在本次验收范围内；项目原环评租用3</w:t>
            </w:r>
            <w:r>
              <w:rPr>
                <w:rFonts w:ascii="Times New Roman" w:eastAsia="Times New Roman"/>
                <w:sz w:val="28"/>
                <w:szCs w:val="28"/>
              </w:rPr>
              <w:t>#</w:t>
            </w:r>
            <w:r>
              <w:rPr>
                <w:rFonts w:hint="eastAsia" w:ascii="Times New Roman" w:eastAsia="宋体"/>
                <w:sz w:val="28"/>
                <w:szCs w:val="28"/>
                <w:lang w:eastAsia="zh-CN"/>
              </w:rPr>
              <w:t>、</w:t>
            </w:r>
            <w:r>
              <w:rPr>
                <w:rFonts w:hint="eastAsia" w:ascii="Times New Roman" w:eastAsia="宋体"/>
                <w:sz w:val="28"/>
                <w:szCs w:val="28"/>
                <w:lang w:val="en-US" w:eastAsia="zh-CN"/>
              </w:rPr>
              <w:t>7</w:t>
            </w:r>
            <w:r>
              <w:rPr>
                <w:rFonts w:ascii="Times New Roman" w:eastAsia="Times New Roman"/>
                <w:sz w:val="28"/>
                <w:szCs w:val="28"/>
              </w:rPr>
              <w:t>#</w:t>
            </w:r>
            <w:r>
              <w:rPr>
                <w:sz w:val="28"/>
                <w:szCs w:val="28"/>
              </w:rPr>
              <w:t>生产车间</w:t>
            </w:r>
            <w:r>
              <w:rPr>
                <w:rFonts w:hint="eastAsia"/>
                <w:sz w:val="28"/>
                <w:szCs w:val="28"/>
                <w:lang w:eastAsia="zh-CN"/>
              </w:rPr>
              <w:t>，现由于公司生产规划问题，暂未租用</w:t>
            </w:r>
            <w:r>
              <w:rPr>
                <w:rFonts w:hint="eastAsia"/>
                <w:sz w:val="28"/>
                <w:szCs w:val="28"/>
                <w:lang w:val="en-US" w:eastAsia="zh-CN"/>
              </w:rPr>
              <w:t>7</w:t>
            </w:r>
            <w:r>
              <w:rPr>
                <w:rFonts w:ascii="Times New Roman" w:eastAsia="Times New Roman"/>
                <w:sz w:val="28"/>
                <w:szCs w:val="28"/>
              </w:rPr>
              <w:t>#</w:t>
            </w:r>
            <w:r>
              <w:rPr>
                <w:rFonts w:hint="eastAsia" w:ascii="Times New Roman" w:eastAsia="宋体"/>
                <w:sz w:val="28"/>
                <w:szCs w:val="28"/>
                <w:lang w:eastAsia="zh-CN"/>
              </w:rPr>
              <w:t>生产车间</w:t>
            </w:r>
            <w:r>
              <w:rPr>
                <w:rFonts w:hint="eastAsia" w:ascii="Times New Roman" w:hAnsi="Times New Roman" w:cs="Times New Roman"/>
                <w:sz w:val="28"/>
                <w:szCs w:val="28"/>
                <w:lang w:val="en-US" w:eastAsia="zh-CN"/>
              </w:rPr>
              <w:t>。对照《关于印发制浆造纸等十四个行业建设项目重大变动清单的通知》(环境保护部办公厅文件环办环评[2018]6号)《电镀建设项目重大变动清单（试行）》文件，本项目无重大变化。</w:t>
            </w:r>
          </w:p>
          <w:p>
            <w:pPr>
              <w:pStyle w:val="2"/>
              <w:rPr>
                <w:rFonts w:hint="eastAsia"/>
                <w:lang w:val="en-US" w:eastAsia="zh-CN"/>
              </w:rPr>
            </w:pPr>
            <w:r>
              <w:drawing>
                <wp:inline distT="0" distB="0" distL="114300" distR="114300">
                  <wp:extent cx="6036310" cy="4497070"/>
                  <wp:effectExtent l="0" t="0" r="2540" b="1778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7"/>
                          <a:stretch>
                            <a:fillRect/>
                          </a:stretch>
                        </pic:blipFill>
                        <pic:spPr>
                          <a:xfrm>
                            <a:off x="0" y="0"/>
                            <a:ext cx="6036310" cy="4497070"/>
                          </a:xfrm>
                          <a:prstGeom prst="rect">
                            <a:avLst/>
                          </a:prstGeom>
                          <a:noFill/>
                          <a:ln>
                            <a:noFill/>
                          </a:ln>
                        </pic:spPr>
                      </pic:pic>
                    </a:graphicData>
                  </a:graphic>
                </wp:inline>
              </w:drawing>
            </w:r>
          </w:p>
          <w:p>
            <w:pPr>
              <w:pStyle w:val="3"/>
              <w:jc w:val="center"/>
              <w:rPr>
                <w:rFonts w:hint="eastAsia"/>
                <w:b/>
                <w:bCs/>
                <w:color w:val="000000" w:themeColor="text1"/>
                <w:sz w:val="22"/>
                <w:szCs w:val="22"/>
                <w:lang w:val="en-US" w:eastAsia="zh-CN"/>
                <w14:textFill>
                  <w14:solidFill>
                    <w14:schemeClr w14:val="tx1"/>
                  </w14:solidFill>
                </w14:textFill>
              </w:rPr>
            </w:pPr>
          </w:p>
          <w:p>
            <w:pPr>
              <w:pStyle w:val="3"/>
              <w:jc w:val="both"/>
              <w:rPr>
                <w:rFonts w:hint="eastAsia"/>
                <w:b/>
                <w:bCs/>
                <w:color w:val="000000" w:themeColor="text1"/>
                <w:sz w:val="28"/>
                <w:szCs w:val="28"/>
                <w:lang w:val="en-US" w:eastAsia="zh-CN"/>
                <w14:textFill>
                  <w14:solidFill>
                    <w14:schemeClr w14:val="tx1"/>
                  </w14:solidFill>
                </w14:textFill>
              </w:rPr>
            </w:pPr>
            <w:r>
              <w:drawing>
                <wp:inline distT="0" distB="0" distL="114300" distR="114300">
                  <wp:extent cx="6129020" cy="2961005"/>
                  <wp:effectExtent l="0" t="0" r="5080" b="1079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8"/>
                          <a:stretch>
                            <a:fillRect/>
                          </a:stretch>
                        </pic:blipFill>
                        <pic:spPr>
                          <a:xfrm>
                            <a:off x="0" y="0"/>
                            <a:ext cx="6129020" cy="2961005"/>
                          </a:xfrm>
                          <a:prstGeom prst="rect">
                            <a:avLst/>
                          </a:prstGeom>
                          <a:noFill/>
                          <a:ln>
                            <a:noFill/>
                          </a:ln>
                        </pic:spPr>
                      </pic:pic>
                    </a:graphicData>
                  </a:graphic>
                </wp:inline>
              </w:drawing>
            </w:r>
          </w:p>
          <w:p>
            <w:pPr>
              <w:pStyle w:val="3"/>
              <w:jc w:val="center"/>
              <w:rPr>
                <w:rFonts w:hint="eastAsia"/>
                <w:b/>
                <w:bCs/>
                <w:color w:val="000000" w:themeColor="text1"/>
                <w:sz w:val="28"/>
                <w:szCs w:val="28"/>
                <w:lang w:val="en-US" w:eastAsia="zh-CN"/>
                <w14:textFill>
                  <w14:solidFill>
                    <w14:schemeClr w14:val="tx1"/>
                  </w14:solidFill>
                </w14:textFill>
              </w:rPr>
            </w:pPr>
            <w:r>
              <w:rPr>
                <w:rFonts w:hint="eastAsia"/>
                <w:b/>
                <w:bCs/>
                <w:color w:val="000000" w:themeColor="text1"/>
                <w:sz w:val="28"/>
                <w:szCs w:val="28"/>
                <w:lang w:val="en-US" w:eastAsia="zh-CN"/>
                <w14:textFill>
                  <w14:solidFill>
                    <w14:schemeClr w14:val="tx1"/>
                  </w14:solidFill>
                </w14:textFill>
              </w:rPr>
              <w:t>表2-2全厂原辅材料用量表</w:t>
            </w:r>
          </w:p>
          <w:tbl>
            <w:tblPr>
              <w:tblStyle w:val="15"/>
              <w:tblW w:w="924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097"/>
              <w:gridCol w:w="1014"/>
              <w:gridCol w:w="918"/>
              <w:gridCol w:w="2203"/>
              <w:gridCol w:w="1065"/>
              <w:gridCol w:w="1282"/>
              <w:gridCol w:w="94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720" w:type="dxa"/>
                  <w:noWrap/>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生产线编号</w:t>
                  </w:r>
                </w:p>
              </w:tc>
              <w:tc>
                <w:tcPr>
                  <w:tcW w:w="1097" w:type="dxa"/>
                  <w:noWrap/>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原料名称</w:t>
                  </w:r>
                </w:p>
              </w:tc>
              <w:tc>
                <w:tcPr>
                  <w:tcW w:w="1014"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原料状态</w:t>
                  </w:r>
                </w:p>
              </w:tc>
              <w:tc>
                <w:tcPr>
                  <w:tcW w:w="918" w:type="dxa"/>
                  <w:noWrap/>
                  <w:vAlign w:val="center"/>
                </w:tcPr>
                <w:p>
                  <w:pPr>
                    <w:pStyle w:val="21"/>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规格</w:t>
                  </w:r>
                </w:p>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（含量）</w:t>
                  </w:r>
                </w:p>
              </w:tc>
              <w:tc>
                <w:tcPr>
                  <w:tcW w:w="2203" w:type="dxa"/>
                  <w:noWrap/>
                  <w:vAlign w:val="center"/>
                </w:tcPr>
                <w:p>
                  <w:pPr>
                    <w:pStyle w:val="22"/>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主要成分</w:t>
                  </w:r>
                </w:p>
              </w:tc>
              <w:tc>
                <w:tcPr>
                  <w:tcW w:w="1065" w:type="dxa"/>
                  <w:noWrap/>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消耗量</w:t>
                  </w:r>
                </w:p>
              </w:tc>
              <w:tc>
                <w:tcPr>
                  <w:tcW w:w="1282" w:type="dxa"/>
                  <w:vAlign w:val="center"/>
                </w:tcPr>
                <w:p>
                  <w:pPr>
                    <w:pStyle w:val="21"/>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储存方式</w:t>
                  </w:r>
                </w:p>
              </w:tc>
              <w:tc>
                <w:tcPr>
                  <w:tcW w:w="947" w:type="dxa"/>
                  <w:vAlign w:val="center"/>
                </w:tcPr>
                <w:p>
                  <w:pPr>
                    <w:pStyle w:val="21"/>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储存地点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0" w:type="dxa"/>
                  <w:vMerge w:val="restart"/>
                  <w:noWrap/>
                  <w:vAlign w:val="center"/>
                </w:tcPr>
                <w:p>
                  <w:pPr>
                    <w:pStyle w:val="22"/>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lang w:val="en-US"/>
                    </w:rPr>
                    <w:t>1#-3#镀锌生产线</w:t>
                  </w:r>
                </w:p>
              </w:tc>
              <w:tc>
                <w:tcPr>
                  <w:tcW w:w="1097" w:type="dxa"/>
                  <w:noWrap/>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化学除油粉</w:t>
                  </w:r>
                </w:p>
              </w:tc>
              <w:tc>
                <w:tcPr>
                  <w:tcW w:w="1014" w:type="dxa"/>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粉末</w:t>
                  </w:r>
                </w:p>
              </w:tc>
              <w:tc>
                <w:tcPr>
                  <w:tcW w:w="918" w:type="dxa"/>
                  <w:noWrap/>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w:t>
                  </w:r>
                </w:p>
              </w:tc>
              <w:tc>
                <w:tcPr>
                  <w:tcW w:w="2203" w:type="dxa"/>
                  <w:noWrap/>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NaOH、C10-14-烷基苯磺酸衍生物钠盐，硅酸钠</w:t>
                  </w:r>
                </w:p>
              </w:tc>
              <w:tc>
                <w:tcPr>
                  <w:tcW w:w="1065" w:type="dxa"/>
                  <w:noWrap/>
                  <w:vAlign w:val="center"/>
                </w:tcPr>
                <w:p>
                  <w:pPr>
                    <w:jc w:val="center"/>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rPr>
                    <w:t>4.6</w:t>
                  </w:r>
                </w:p>
              </w:tc>
              <w:tc>
                <w:tcPr>
                  <w:tcW w:w="1282" w:type="dxa"/>
                  <w:vAlign w:val="center"/>
                </w:tcPr>
                <w:p>
                  <w:pPr>
                    <w:jc w:val="center"/>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rPr>
                    <w:t>25kg/袋</w:t>
                  </w:r>
                </w:p>
              </w:tc>
              <w:tc>
                <w:tcPr>
                  <w:tcW w:w="947" w:type="dxa"/>
                  <w:vMerge w:val="restart"/>
                  <w:vAlign w:val="center"/>
                </w:tcPr>
                <w:p>
                  <w:pPr>
                    <w:pStyle w:val="22"/>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电镀中心化学品库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0" w:type="dxa"/>
                  <w:vMerge w:val="continue"/>
                  <w:noWrap/>
                  <w:vAlign w:val="center"/>
                </w:tcPr>
                <w:p>
                  <w:pPr>
                    <w:pStyle w:val="22"/>
                    <w:rPr>
                      <w:rFonts w:hint="default" w:ascii="Times New Roman" w:hAnsi="Times New Roman" w:cs="Times New Roman" w:eastAsiaTheme="minorEastAsia"/>
                      <w:b w:val="0"/>
                      <w:bCs w:val="0"/>
                      <w:color w:val="auto"/>
                      <w:sz w:val="21"/>
                      <w:szCs w:val="21"/>
                    </w:rPr>
                  </w:pPr>
                </w:p>
              </w:tc>
              <w:tc>
                <w:tcPr>
                  <w:tcW w:w="1097" w:type="dxa"/>
                  <w:noWrap/>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电解除油粉</w:t>
                  </w:r>
                </w:p>
              </w:tc>
              <w:tc>
                <w:tcPr>
                  <w:tcW w:w="1014" w:type="dxa"/>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粉末</w:t>
                  </w:r>
                </w:p>
              </w:tc>
              <w:tc>
                <w:tcPr>
                  <w:tcW w:w="918" w:type="dxa"/>
                  <w:noWrap/>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w:t>
                  </w:r>
                </w:p>
              </w:tc>
              <w:tc>
                <w:tcPr>
                  <w:tcW w:w="2203" w:type="dxa"/>
                  <w:noWrap/>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氢氧化钾、硅酸钾、焦磷酸钾</w:t>
                  </w:r>
                </w:p>
              </w:tc>
              <w:tc>
                <w:tcPr>
                  <w:tcW w:w="1065" w:type="dxa"/>
                  <w:noWrap/>
                  <w:vAlign w:val="center"/>
                </w:tcPr>
                <w:p>
                  <w:pPr>
                    <w:jc w:val="center"/>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rPr>
                    <w:t>4</w:t>
                  </w:r>
                </w:p>
              </w:tc>
              <w:tc>
                <w:tcPr>
                  <w:tcW w:w="1282" w:type="dxa"/>
                  <w:vAlign w:val="center"/>
                </w:tcPr>
                <w:p>
                  <w:pPr>
                    <w:jc w:val="center"/>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rPr>
                    <w:t>25kg/袋</w:t>
                  </w:r>
                </w:p>
              </w:tc>
              <w:tc>
                <w:tcPr>
                  <w:tcW w:w="947" w:type="dxa"/>
                  <w:vMerge w:val="continue"/>
                  <w:vAlign w:val="center"/>
                </w:tcPr>
                <w:p>
                  <w:pPr>
                    <w:pStyle w:val="22"/>
                    <w:rPr>
                      <w:rFonts w:hint="default" w:ascii="Times New Roman" w:hAnsi="Times New Roman" w:cs="Times New Roman" w:eastAsiaTheme="minorEastAsia"/>
                      <w:b w:val="0"/>
                      <w:bCs w:val="0"/>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0" w:type="dxa"/>
                  <w:vMerge w:val="continue"/>
                  <w:noWrap/>
                  <w:vAlign w:val="center"/>
                </w:tcPr>
                <w:p>
                  <w:pPr>
                    <w:pStyle w:val="22"/>
                    <w:rPr>
                      <w:rFonts w:hint="default" w:ascii="Times New Roman" w:hAnsi="Times New Roman" w:cs="Times New Roman" w:eastAsiaTheme="minorEastAsia"/>
                      <w:b w:val="0"/>
                      <w:bCs w:val="0"/>
                      <w:color w:val="auto"/>
                      <w:sz w:val="21"/>
                      <w:szCs w:val="21"/>
                    </w:rPr>
                  </w:pPr>
                </w:p>
              </w:tc>
              <w:tc>
                <w:tcPr>
                  <w:tcW w:w="1097" w:type="dxa"/>
                  <w:noWrap/>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盐酸</w:t>
                  </w:r>
                </w:p>
              </w:tc>
              <w:tc>
                <w:tcPr>
                  <w:tcW w:w="1014" w:type="dxa"/>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液体</w:t>
                  </w:r>
                </w:p>
              </w:tc>
              <w:tc>
                <w:tcPr>
                  <w:tcW w:w="918" w:type="dxa"/>
                  <w:noWrap/>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3</w:t>
                  </w:r>
                  <w:r>
                    <w:rPr>
                      <w:rFonts w:hint="default" w:ascii="Times New Roman" w:hAnsi="Times New Roman" w:cs="Times New Roman" w:eastAsiaTheme="minorEastAsia"/>
                      <w:b w:val="0"/>
                      <w:bCs w:val="0"/>
                      <w:color w:val="auto"/>
                      <w:sz w:val="21"/>
                      <w:szCs w:val="21"/>
                      <w:lang w:val="en-US" w:eastAsia="zh-CN"/>
                    </w:rPr>
                    <w:t>0</w:t>
                  </w:r>
                  <w:r>
                    <w:rPr>
                      <w:rFonts w:hint="default" w:ascii="Times New Roman" w:hAnsi="Times New Roman" w:cs="Times New Roman" w:eastAsiaTheme="minorEastAsia"/>
                      <w:b w:val="0"/>
                      <w:bCs w:val="0"/>
                      <w:color w:val="auto"/>
                      <w:sz w:val="21"/>
                      <w:szCs w:val="21"/>
                    </w:rPr>
                    <w:t>%</w:t>
                  </w:r>
                </w:p>
              </w:tc>
              <w:tc>
                <w:tcPr>
                  <w:tcW w:w="2203" w:type="dxa"/>
                  <w:noWrap/>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w:t>
                  </w:r>
                </w:p>
              </w:tc>
              <w:tc>
                <w:tcPr>
                  <w:tcW w:w="1065" w:type="dxa"/>
                  <w:noWrap/>
                  <w:vAlign w:val="center"/>
                </w:tcPr>
                <w:p>
                  <w:pPr>
                    <w:jc w:val="center"/>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rPr>
                    <w:t>21.15</w:t>
                  </w:r>
                </w:p>
              </w:tc>
              <w:tc>
                <w:tcPr>
                  <w:tcW w:w="1282" w:type="dxa"/>
                  <w:vMerge w:val="restart"/>
                  <w:vAlign w:val="center"/>
                </w:tcPr>
                <w:p>
                  <w:pPr>
                    <w:jc w:val="center"/>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rPr>
                    <w:t>依托电镀中心危化品供配中心储罐</w:t>
                  </w:r>
                </w:p>
              </w:tc>
              <w:tc>
                <w:tcPr>
                  <w:tcW w:w="947" w:type="dxa"/>
                  <w:vMerge w:val="restart"/>
                  <w:vAlign w:val="center"/>
                </w:tcPr>
                <w:p>
                  <w:pPr>
                    <w:pStyle w:val="22"/>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电镀中心储罐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0" w:type="dxa"/>
                  <w:vMerge w:val="continue"/>
                  <w:noWrap/>
                  <w:vAlign w:val="center"/>
                </w:tcPr>
                <w:p>
                  <w:pPr>
                    <w:pStyle w:val="22"/>
                    <w:rPr>
                      <w:rFonts w:hint="default" w:ascii="Times New Roman" w:hAnsi="Times New Roman" w:cs="Times New Roman" w:eastAsiaTheme="minorEastAsia"/>
                      <w:b w:val="0"/>
                      <w:bCs w:val="0"/>
                      <w:color w:val="auto"/>
                      <w:sz w:val="21"/>
                      <w:szCs w:val="21"/>
                    </w:rPr>
                  </w:pPr>
                </w:p>
              </w:tc>
              <w:tc>
                <w:tcPr>
                  <w:tcW w:w="1097" w:type="dxa"/>
                  <w:noWrap/>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硝酸</w:t>
                  </w:r>
                </w:p>
              </w:tc>
              <w:tc>
                <w:tcPr>
                  <w:tcW w:w="1014" w:type="dxa"/>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液体</w:t>
                  </w:r>
                </w:p>
              </w:tc>
              <w:tc>
                <w:tcPr>
                  <w:tcW w:w="918" w:type="dxa"/>
                  <w:noWrap/>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68%</w:t>
                  </w:r>
                </w:p>
              </w:tc>
              <w:tc>
                <w:tcPr>
                  <w:tcW w:w="2203" w:type="dxa"/>
                  <w:noWrap/>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w:t>
                  </w:r>
                </w:p>
              </w:tc>
              <w:tc>
                <w:tcPr>
                  <w:tcW w:w="1065" w:type="dxa"/>
                  <w:noWrap/>
                  <w:vAlign w:val="center"/>
                </w:tcPr>
                <w:p>
                  <w:pPr>
                    <w:jc w:val="center"/>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rPr>
                    <w:t>0.98</w:t>
                  </w:r>
                </w:p>
              </w:tc>
              <w:tc>
                <w:tcPr>
                  <w:tcW w:w="1282" w:type="dxa"/>
                  <w:vMerge w:val="continue"/>
                  <w:vAlign w:val="center"/>
                </w:tcPr>
                <w:p>
                  <w:pPr>
                    <w:jc w:val="center"/>
                    <w:rPr>
                      <w:rFonts w:hint="default" w:ascii="Times New Roman" w:hAnsi="Times New Roman" w:cs="Times New Roman" w:eastAsiaTheme="minorEastAsia"/>
                      <w:b w:val="0"/>
                      <w:bCs w:val="0"/>
                      <w:color w:val="auto"/>
                      <w:sz w:val="21"/>
                      <w:szCs w:val="21"/>
                      <w:lang w:val="en-US"/>
                    </w:rPr>
                  </w:pPr>
                </w:p>
              </w:tc>
              <w:tc>
                <w:tcPr>
                  <w:tcW w:w="947" w:type="dxa"/>
                  <w:vMerge w:val="continue"/>
                  <w:vAlign w:val="center"/>
                </w:tcPr>
                <w:p>
                  <w:pPr>
                    <w:pStyle w:val="22"/>
                    <w:rPr>
                      <w:rFonts w:hint="default" w:ascii="Times New Roman" w:hAnsi="Times New Roman" w:cs="Times New Roman" w:eastAsiaTheme="minorEastAsia"/>
                      <w:b w:val="0"/>
                      <w:bCs w:val="0"/>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0" w:type="dxa"/>
                  <w:vMerge w:val="continue"/>
                  <w:noWrap/>
                  <w:vAlign w:val="center"/>
                </w:tcPr>
                <w:p>
                  <w:pPr>
                    <w:pStyle w:val="22"/>
                    <w:rPr>
                      <w:rFonts w:hint="default" w:ascii="Times New Roman" w:hAnsi="Times New Roman" w:cs="Times New Roman" w:eastAsiaTheme="minorEastAsia"/>
                      <w:b w:val="0"/>
                      <w:bCs w:val="0"/>
                      <w:color w:val="auto"/>
                      <w:sz w:val="21"/>
                      <w:szCs w:val="21"/>
                    </w:rPr>
                  </w:pPr>
                </w:p>
              </w:tc>
              <w:tc>
                <w:tcPr>
                  <w:tcW w:w="1097" w:type="dxa"/>
                  <w:noWrap/>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0#锌锭</w:t>
                  </w:r>
                </w:p>
              </w:tc>
              <w:tc>
                <w:tcPr>
                  <w:tcW w:w="1014" w:type="dxa"/>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固体</w:t>
                  </w:r>
                </w:p>
              </w:tc>
              <w:tc>
                <w:tcPr>
                  <w:tcW w:w="918" w:type="dxa"/>
                  <w:noWrap/>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≥99.995%</w:t>
                  </w:r>
                </w:p>
              </w:tc>
              <w:tc>
                <w:tcPr>
                  <w:tcW w:w="2203" w:type="dxa"/>
                  <w:noWrap/>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w:t>
                  </w:r>
                </w:p>
              </w:tc>
              <w:tc>
                <w:tcPr>
                  <w:tcW w:w="1065" w:type="dxa"/>
                  <w:noWrap/>
                  <w:vAlign w:val="center"/>
                </w:tcPr>
                <w:p>
                  <w:pPr>
                    <w:jc w:val="center"/>
                    <w:rPr>
                      <w:rFonts w:hint="default" w:ascii="Times New Roman" w:hAnsi="Times New Roman" w:cs="Times New Roman" w:eastAsiaTheme="minorEastAsia"/>
                      <w:b w:val="0"/>
                      <w:bCs w:val="0"/>
                      <w:color w:val="auto"/>
                      <w:sz w:val="21"/>
                      <w:szCs w:val="21"/>
                      <w:lang w:val="en-US"/>
                    </w:rPr>
                  </w:pPr>
                  <w:r>
                    <w:rPr>
                      <w:rFonts w:hint="eastAsia" w:ascii="Times New Roman" w:hAnsi="Times New Roman" w:cs="Times New Roman" w:eastAsiaTheme="minorEastAsia"/>
                      <w:b w:val="0"/>
                      <w:bCs w:val="0"/>
                      <w:color w:val="auto"/>
                      <w:sz w:val="21"/>
                      <w:szCs w:val="21"/>
                      <w:lang w:val="en-US" w:eastAsia="zh-CN"/>
                    </w:rPr>
                    <w:t>52.95</w:t>
                  </w:r>
                </w:p>
              </w:tc>
              <w:tc>
                <w:tcPr>
                  <w:tcW w:w="1282" w:type="dxa"/>
                  <w:vAlign w:val="center"/>
                </w:tcPr>
                <w:p>
                  <w:pPr>
                    <w:jc w:val="center"/>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rPr>
                    <w:t>20kg/个，50个/捆</w:t>
                  </w:r>
                </w:p>
              </w:tc>
              <w:tc>
                <w:tcPr>
                  <w:tcW w:w="947" w:type="dxa"/>
                  <w:vMerge w:val="restart"/>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eastAsia="zh-CN"/>
                    </w:rPr>
                    <w:t>电镀中心化学品库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0" w:type="dxa"/>
                  <w:vMerge w:val="continue"/>
                  <w:noWrap/>
                  <w:vAlign w:val="center"/>
                </w:tcPr>
                <w:p>
                  <w:pPr>
                    <w:pStyle w:val="22"/>
                    <w:rPr>
                      <w:rFonts w:hint="default" w:ascii="Times New Roman" w:hAnsi="Times New Roman" w:cs="Times New Roman" w:eastAsiaTheme="minorEastAsia"/>
                      <w:b w:val="0"/>
                      <w:bCs w:val="0"/>
                      <w:color w:val="auto"/>
                      <w:sz w:val="21"/>
                      <w:szCs w:val="21"/>
                    </w:rPr>
                  </w:pPr>
                </w:p>
              </w:tc>
              <w:tc>
                <w:tcPr>
                  <w:tcW w:w="1097" w:type="dxa"/>
                  <w:noWrap/>
                  <w:vAlign w:val="center"/>
                </w:tcPr>
                <w:p>
                  <w:pPr>
                    <w:pStyle w:val="21"/>
                    <w:jc w:val="center"/>
                    <w:rPr>
                      <w:rFonts w:hint="eastAsia" w:ascii="Times New Roman" w:hAnsi="Times New Roman" w:cs="Times New Roman" w:eastAsiaTheme="minorEastAsia"/>
                      <w:b w:val="0"/>
                      <w:bCs w:val="0"/>
                      <w:color w:val="auto"/>
                      <w:sz w:val="21"/>
                      <w:szCs w:val="21"/>
                      <w:lang w:eastAsia="zh-CN"/>
                    </w:rPr>
                  </w:pPr>
                  <w:r>
                    <w:rPr>
                      <w:rFonts w:hint="eastAsia"/>
                      <w:b w:val="0"/>
                      <w:bCs w:val="0"/>
                      <w:color w:val="auto"/>
                      <w:sz w:val="21"/>
                      <w:szCs w:val="21"/>
                      <w:lang w:eastAsia="zh-CN"/>
                    </w:rPr>
                    <w:t>氧化锌</w:t>
                  </w:r>
                </w:p>
              </w:tc>
              <w:tc>
                <w:tcPr>
                  <w:tcW w:w="1014" w:type="dxa"/>
                  <w:vAlign w:val="center"/>
                </w:tcPr>
                <w:p>
                  <w:pPr>
                    <w:pStyle w:val="21"/>
                    <w:jc w:val="center"/>
                    <w:rPr>
                      <w:rFonts w:hint="default" w:ascii="Times New Roman" w:hAnsi="Times New Roman" w:cs="Times New Roman" w:eastAsiaTheme="minorEastAsia"/>
                      <w:b w:val="0"/>
                      <w:bCs w:val="0"/>
                      <w:color w:val="auto"/>
                      <w:sz w:val="21"/>
                      <w:szCs w:val="21"/>
                    </w:rPr>
                  </w:pPr>
                  <w:r>
                    <w:rPr>
                      <w:rFonts w:hint="eastAsia"/>
                      <w:b w:val="0"/>
                      <w:bCs w:val="0"/>
                      <w:color w:val="auto"/>
                      <w:sz w:val="21"/>
                      <w:szCs w:val="21"/>
                    </w:rPr>
                    <w:t>固体</w:t>
                  </w:r>
                </w:p>
              </w:tc>
              <w:tc>
                <w:tcPr>
                  <w:tcW w:w="918" w:type="dxa"/>
                  <w:noWrap/>
                  <w:vAlign w:val="center"/>
                </w:tcPr>
                <w:p>
                  <w:pPr>
                    <w:pStyle w:val="21"/>
                    <w:jc w:val="center"/>
                    <w:rPr>
                      <w:rFonts w:hint="default" w:ascii="Times New Roman" w:hAnsi="Times New Roman" w:cs="Times New Roman" w:eastAsiaTheme="minorEastAsia"/>
                      <w:b w:val="0"/>
                      <w:bCs w:val="0"/>
                      <w:color w:val="auto"/>
                      <w:sz w:val="21"/>
                      <w:szCs w:val="21"/>
                    </w:rPr>
                  </w:pPr>
                  <w:r>
                    <w:rPr>
                      <w:b w:val="0"/>
                      <w:bCs w:val="0"/>
                      <w:color w:val="auto"/>
                      <w:sz w:val="21"/>
                      <w:szCs w:val="21"/>
                    </w:rPr>
                    <w:t>99%</w:t>
                  </w:r>
                </w:p>
              </w:tc>
              <w:tc>
                <w:tcPr>
                  <w:tcW w:w="2203" w:type="dxa"/>
                  <w:noWrap/>
                  <w:vAlign w:val="center"/>
                </w:tcPr>
                <w:p>
                  <w:pPr>
                    <w:pStyle w:val="21"/>
                    <w:jc w:val="center"/>
                    <w:rPr>
                      <w:rFonts w:hint="default" w:ascii="Times New Roman" w:hAnsi="Times New Roman" w:cs="Times New Roman" w:eastAsiaTheme="minorEastAsia"/>
                      <w:b w:val="0"/>
                      <w:bCs w:val="0"/>
                      <w:color w:val="auto"/>
                      <w:sz w:val="21"/>
                      <w:szCs w:val="21"/>
                    </w:rPr>
                  </w:pPr>
                  <w:r>
                    <w:rPr>
                      <w:rFonts w:hint="eastAsia"/>
                      <w:b w:val="0"/>
                      <w:bCs w:val="0"/>
                      <w:color w:val="auto"/>
                      <w:sz w:val="21"/>
                      <w:szCs w:val="21"/>
                      <w:lang w:val="en-US" w:eastAsia="zh-CN"/>
                    </w:rPr>
                    <w:t>/</w:t>
                  </w:r>
                </w:p>
              </w:tc>
              <w:tc>
                <w:tcPr>
                  <w:tcW w:w="1065" w:type="dxa"/>
                  <w:noWrap/>
                  <w:vAlign w:val="center"/>
                </w:tcPr>
                <w:p>
                  <w:pPr>
                    <w:pStyle w:val="21"/>
                    <w:jc w:val="center"/>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6.556</w:t>
                  </w:r>
                </w:p>
              </w:tc>
              <w:tc>
                <w:tcPr>
                  <w:tcW w:w="1282" w:type="dxa"/>
                  <w:vAlign w:val="center"/>
                </w:tcPr>
                <w:p>
                  <w:pPr>
                    <w:pStyle w:val="21"/>
                    <w:jc w:val="center"/>
                    <w:rPr>
                      <w:rFonts w:hint="default" w:ascii="Times New Roman" w:hAnsi="Times New Roman" w:cs="Times New Roman" w:eastAsiaTheme="minorEastAsia"/>
                      <w:b w:val="0"/>
                      <w:bCs w:val="0"/>
                      <w:color w:val="auto"/>
                      <w:sz w:val="21"/>
                      <w:szCs w:val="21"/>
                    </w:rPr>
                  </w:pPr>
                  <w:r>
                    <w:rPr>
                      <w:rFonts w:hint="eastAsia"/>
                      <w:b w:val="0"/>
                      <w:bCs w:val="0"/>
                      <w:color w:val="auto"/>
                      <w:sz w:val="21"/>
                      <w:szCs w:val="21"/>
                      <w:lang w:val="en-US" w:eastAsia="zh-CN"/>
                    </w:rPr>
                    <w:t>25kg/袋</w:t>
                  </w:r>
                </w:p>
              </w:tc>
              <w:tc>
                <w:tcPr>
                  <w:tcW w:w="947" w:type="dxa"/>
                  <w:vMerge w:val="continue"/>
                  <w:vAlign w:val="center"/>
                </w:tcPr>
                <w:p>
                  <w:pPr>
                    <w:pStyle w:val="22"/>
                    <w:rPr>
                      <w:rFonts w:hint="default" w:ascii="Times New Roman" w:hAnsi="Times New Roman" w:cs="Times New Roman" w:eastAsiaTheme="minorEastAsia"/>
                      <w:b w:val="0"/>
                      <w:bCs w:val="0"/>
                      <w:color w:val="auto"/>
                      <w:sz w:val="21"/>
                      <w:szCs w:val="21"/>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0" w:type="dxa"/>
                  <w:vMerge w:val="continue"/>
                  <w:noWrap/>
                  <w:vAlign w:val="center"/>
                </w:tcPr>
                <w:p>
                  <w:pPr>
                    <w:pStyle w:val="22"/>
                    <w:rPr>
                      <w:rFonts w:hint="default" w:ascii="Times New Roman" w:hAnsi="Times New Roman" w:cs="Times New Roman" w:eastAsiaTheme="minorEastAsia"/>
                      <w:b w:val="0"/>
                      <w:bCs w:val="0"/>
                      <w:color w:val="auto"/>
                      <w:sz w:val="21"/>
                      <w:szCs w:val="21"/>
                    </w:rPr>
                  </w:pPr>
                </w:p>
              </w:tc>
              <w:tc>
                <w:tcPr>
                  <w:tcW w:w="1097" w:type="dxa"/>
                  <w:noWrap/>
                  <w:vAlign w:val="center"/>
                </w:tcPr>
                <w:p>
                  <w:pPr>
                    <w:pStyle w:val="21"/>
                    <w:jc w:val="center"/>
                    <w:rPr>
                      <w:rFonts w:hint="eastAsia"/>
                      <w:b w:val="0"/>
                      <w:bCs w:val="0"/>
                      <w:color w:val="auto"/>
                      <w:sz w:val="21"/>
                      <w:szCs w:val="21"/>
                      <w:lang w:eastAsia="zh-CN"/>
                    </w:rPr>
                  </w:pPr>
                  <w:r>
                    <w:rPr>
                      <w:rFonts w:hint="eastAsia"/>
                      <w:b w:val="0"/>
                      <w:bCs w:val="0"/>
                      <w:color w:val="auto"/>
                      <w:sz w:val="21"/>
                      <w:szCs w:val="21"/>
                    </w:rPr>
                    <w:t>氯化锌</w:t>
                  </w:r>
                </w:p>
              </w:tc>
              <w:tc>
                <w:tcPr>
                  <w:tcW w:w="1014" w:type="dxa"/>
                  <w:vAlign w:val="center"/>
                </w:tcPr>
                <w:p>
                  <w:pPr>
                    <w:pStyle w:val="21"/>
                    <w:jc w:val="center"/>
                    <w:rPr>
                      <w:rFonts w:hint="eastAsia"/>
                      <w:b w:val="0"/>
                      <w:bCs w:val="0"/>
                      <w:color w:val="auto"/>
                      <w:sz w:val="21"/>
                      <w:szCs w:val="21"/>
                    </w:rPr>
                  </w:pPr>
                  <w:r>
                    <w:rPr>
                      <w:rFonts w:hint="eastAsia"/>
                      <w:b w:val="0"/>
                      <w:bCs w:val="0"/>
                      <w:color w:val="auto"/>
                      <w:sz w:val="21"/>
                      <w:szCs w:val="21"/>
                    </w:rPr>
                    <w:t>固体</w:t>
                  </w:r>
                </w:p>
              </w:tc>
              <w:tc>
                <w:tcPr>
                  <w:tcW w:w="918" w:type="dxa"/>
                  <w:noWrap/>
                  <w:vAlign w:val="center"/>
                </w:tcPr>
                <w:p>
                  <w:pPr>
                    <w:pStyle w:val="21"/>
                    <w:jc w:val="center"/>
                    <w:rPr>
                      <w:b w:val="0"/>
                      <w:bCs w:val="0"/>
                      <w:color w:val="auto"/>
                      <w:sz w:val="21"/>
                      <w:szCs w:val="21"/>
                    </w:rPr>
                  </w:pPr>
                  <w:r>
                    <w:rPr>
                      <w:rFonts w:hint="eastAsia"/>
                      <w:b w:val="0"/>
                      <w:bCs w:val="0"/>
                      <w:color w:val="auto"/>
                      <w:sz w:val="21"/>
                      <w:szCs w:val="21"/>
                    </w:rPr>
                    <w:t>工业级</w:t>
                  </w:r>
                  <w:r>
                    <w:rPr>
                      <w:rFonts w:hint="eastAsia"/>
                      <w:b w:val="0"/>
                      <w:bCs w:val="0"/>
                      <w:color w:val="auto"/>
                      <w:sz w:val="21"/>
                      <w:szCs w:val="21"/>
                      <w:lang w:val="en-US" w:eastAsia="zh-CN"/>
                    </w:rPr>
                    <w:t>98%</w:t>
                  </w:r>
                </w:p>
              </w:tc>
              <w:tc>
                <w:tcPr>
                  <w:tcW w:w="2203" w:type="dxa"/>
                  <w:noWrap/>
                  <w:vAlign w:val="center"/>
                </w:tcPr>
                <w:p>
                  <w:pPr>
                    <w:pStyle w:val="21"/>
                    <w:jc w:val="center"/>
                    <w:rPr>
                      <w:rFonts w:hint="eastAsia"/>
                      <w:b w:val="0"/>
                      <w:bCs w:val="0"/>
                      <w:color w:val="auto"/>
                      <w:sz w:val="21"/>
                      <w:szCs w:val="21"/>
                      <w:lang w:val="en-US" w:eastAsia="zh-CN"/>
                    </w:rPr>
                  </w:pPr>
                  <w:r>
                    <w:rPr>
                      <w:b w:val="0"/>
                      <w:bCs w:val="0"/>
                      <w:color w:val="auto"/>
                      <w:sz w:val="21"/>
                      <w:szCs w:val="21"/>
                    </w:rPr>
                    <w:t>/</w:t>
                  </w:r>
                </w:p>
              </w:tc>
              <w:tc>
                <w:tcPr>
                  <w:tcW w:w="1065" w:type="dxa"/>
                  <w:noWrap/>
                  <w:vAlign w:val="center"/>
                </w:tcPr>
                <w:p>
                  <w:pPr>
                    <w:pStyle w:val="21"/>
                    <w:jc w:val="center"/>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10.601</w:t>
                  </w:r>
                </w:p>
              </w:tc>
              <w:tc>
                <w:tcPr>
                  <w:tcW w:w="1282" w:type="dxa"/>
                  <w:vAlign w:val="center"/>
                </w:tcPr>
                <w:p>
                  <w:pPr>
                    <w:pStyle w:val="21"/>
                    <w:jc w:val="center"/>
                    <w:rPr>
                      <w:rFonts w:hint="eastAsia"/>
                      <w:b w:val="0"/>
                      <w:bCs w:val="0"/>
                      <w:color w:val="auto"/>
                      <w:sz w:val="21"/>
                      <w:szCs w:val="21"/>
                      <w:lang w:val="en-US" w:eastAsia="zh-CN"/>
                    </w:rPr>
                  </w:pPr>
                  <w:r>
                    <w:rPr>
                      <w:b w:val="0"/>
                      <w:bCs w:val="0"/>
                      <w:color w:val="auto"/>
                      <w:sz w:val="21"/>
                      <w:szCs w:val="21"/>
                    </w:rPr>
                    <w:t>25kg/</w:t>
                  </w:r>
                  <w:r>
                    <w:rPr>
                      <w:rFonts w:hint="eastAsia"/>
                      <w:b w:val="0"/>
                      <w:bCs w:val="0"/>
                      <w:color w:val="auto"/>
                      <w:sz w:val="21"/>
                      <w:szCs w:val="21"/>
                    </w:rPr>
                    <w:t>袋</w:t>
                  </w:r>
                </w:p>
              </w:tc>
              <w:tc>
                <w:tcPr>
                  <w:tcW w:w="947" w:type="dxa"/>
                  <w:vMerge w:val="continue"/>
                  <w:vAlign w:val="center"/>
                </w:tcPr>
                <w:p>
                  <w:pPr>
                    <w:pStyle w:val="22"/>
                    <w:rPr>
                      <w:rFonts w:hint="default" w:ascii="Times New Roman" w:hAnsi="Times New Roman" w:cs="Times New Roman" w:eastAsiaTheme="minorEastAsia"/>
                      <w:b w:val="0"/>
                      <w:bCs w:val="0"/>
                      <w:color w:val="auto"/>
                      <w:sz w:val="21"/>
                      <w:szCs w:val="21"/>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0" w:type="dxa"/>
                  <w:vMerge w:val="continue"/>
                  <w:noWrap/>
                  <w:vAlign w:val="center"/>
                </w:tcPr>
                <w:p>
                  <w:pPr>
                    <w:pStyle w:val="22"/>
                    <w:rPr>
                      <w:rFonts w:hint="default" w:ascii="Times New Roman" w:hAnsi="Times New Roman" w:cs="Times New Roman" w:eastAsiaTheme="minorEastAsia"/>
                      <w:b w:val="0"/>
                      <w:bCs w:val="0"/>
                      <w:color w:val="auto"/>
                      <w:sz w:val="21"/>
                      <w:szCs w:val="21"/>
                    </w:rPr>
                  </w:pPr>
                </w:p>
              </w:tc>
              <w:tc>
                <w:tcPr>
                  <w:tcW w:w="1097" w:type="dxa"/>
                  <w:noWrap/>
                  <w:vAlign w:val="center"/>
                </w:tcPr>
                <w:p>
                  <w:pPr>
                    <w:pStyle w:val="21"/>
                    <w:jc w:val="center"/>
                    <w:rPr>
                      <w:rFonts w:hint="eastAsia"/>
                      <w:b w:val="0"/>
                      <w:bCs w:val="0"/>
                      <w:color w:val="auto"/>
                      <w:sz w:val="21"/>
                      <w:szCs w:val="21"/>
                      <w:lang w:eastAsia="zh-CN"/>
                    </w:rPr>
                  </w:pPr>
                  <w:r>
                    <w:rPr>
                      <w:rFonts w:hint="eastAsia"/>
                      <w:b w:val="0"/>
                      <w:bCs w:val="0"/>
                      <w:color w:val="auto"/>
                      <w:sz w:val="21"/>
                      <w:szCs w:val="21"/>
                    </w:rPr>
                    <w:t>氯化钾</w:t>
                  </w:r>
                </w:p>
              </w:tc>
              <w:tc>
                <w:tcPr>
                  <w:tcW w:w="1014" w:type="dxa"/>
                  <w:vAlign w:val="center"/>
                </w:tcPr>
                <w:p>
                  <w:pPr>
                    <w:pStyle w:val="21"/>
                    <w:jc w:val="center"/>
                    <w:rPr>
                      <w:rFonts w:hint="eastAsia"/>
                      <w:b w:val="0"/>
                      <w:bCs w:val="0"/>
                      <w:color w:val="auto"/>
                      <w:sz w:val="21"/>
                      <w:szCs w:val="21"/>
                    </w:rPr>
                  </w:pPr>
                  <w:r>
                    <w:rPr>
                      <w:rFonts w:hint="eastAsia"/>
                      <w:b w:val="0"/>
                      <w:bCs w:val="0"/>
                      <w:color w:val="auto"/>
                      <w:sz w:val="21"/>
                      <w:szCs w:val="21"/>
                    </w:rPr>
                    <w:t>固体</w:t>
                  </w:r>
                </w:p>
              </w:tc>
              <w:tc>
                <w:tcPr>
                  <w:tcW w:w="918" w:type="dxa"/>
                  <w:noWrap/>
                  <w:vAlign w:val="center"/>
                </w:tcPr>
                <w:p>
                  <w:pPr>
                    <w:pStyle w:val="21"/>
                    <w:jc w:val="center"/>
                    <w:rPr>
                      <w:b w:val="0"/>
                      <w:bCs w:val="0"/>
                      <w:color w:val="auto"/>
                      <w:sz w:val="21"/>
                      <w:szCs w:val="21"/>
                    </w:rPr>
                  </w:pPr>
                  <w:r>
                    <w:rPr>
                      <w:rFonts w:hint="eastAsia"/>
                      <w:b w:val="0"/>
                      <w:bCs w:val="0"/>
                      <w:color w:val="auto"/>
                      <w:sz w:val="21"/>
                      <w:szCs w:val="21"/>
                    </w:rPr>
                    <w:t>工业级</w:t>
                  </w:r>
                </w:p>
              </w:tc>
              <w:tc>
                <w:tcPr>
                  <w:tcW w:w="2203" w:type="dxa"/>
                  <w:noWrap/>
                  <w:vAlign w:val="center"/>
                </w:tcPr>
                <w:p>
                  <w:pPr>
                    <w:pStyle w:val="21"/>
                    <w:jc w:val="center"/>
                    <w:rPr>
                      <w:rFonts w:hint="eastAsia"/>
                      <w:b w:val="0"/>
                      <w:bCs w:val="0"/>
                      <w:color w:val="auto"/>
                      <w:sz w:val="21"/>
                      <w:szCs w:val="21"/>
                      <w:lang w:val="en-US" w:eastAsia="zh-CN"/>
                    </w:rPr>
                  </w:pPr>
                  <w:r>
                    <w:rPr>
                      <w:b w:val="0"/>
                      <w:bCs w:val="0"/>
                      <w:color w:val="auto"/>
                      <w:sz w:val="21"/>
                      <w:szCs w:val="21"/>
                    </w:rPr>
                    <w:t>/</w:t>
                  </w:r>
                </w:p>
              </w:tc>
              <w:tc>
                <w:tcPr>
                  <w:tcW w:w="1065" w:type="dxa"/>
                  <w:noWrap/>
                  <w:vAlign w:val="center"/>
                </w:tcPr>
                <w:p>
                  <w:pPr>
                    <w:pStyle w:val="21"/>
                    <w:jc w:val="center"/>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48</w:t>
                  </w:r>
                </w:p>
              </w:tc>
              <w:tc>
                <w:tcPr>
                  <w:tcW w:w="1282" w:type="dxa"/>
                  <w:vAlign w:val="center"/>
                </w:tcPr>
                <w:p>
                  <w:pPr>
                    <w:pStyle w:val="21"/>
                    <w:jc w:val="center"/>
                    <w:rPr>
                      <w:rFonts w:hint="eastAsia"/>
                      <w:b w:val="0"/>
                      <w:bCs w:val="0"/>
                      <w:color w:val="auto"/>
                      <w:sz w:val="21"/>
                      <w:szCs w:val="21"/>
                      <w:lang w:val="en-US" w:eastAsia="zh-CN"/>
                    </w:rPr>
                  </w:pPr>
                  <w:r>
                    <w:rPr>
                      <w:b w:val="0"/>
                      <w:bCs w:val="0"/>
                      <w:color w:val="auto"/>
                      <w:sz w:val="21"/>
                      <w:szCs w:val="21"/>
                    </w:rPr>
                    <w:t>25kg/</w:t>
                  </w:r>
                  <w:r>
                    <w:rPr>
                      <w:rFonts w:hint="eastAsia"/>
                      <w:b w:val="0"/>
                      <w:bCs w:val="0"/>
                      <w:color w:val="auto"/>
                      <w:sz w:val="21"/>
                      <w:szCs w:val="21"/>
                    </w:rPr>
                    <w:t>袋</w:t>
                  </w:r>
                </w:p>
              </w:tc>
              <w:tc>
                <w:tcPr>
                  <w:tcW w:w="947" w:type="dxa"/>
                  <w:vMerge w:val="continue"/>
                  <w:vAlign w:val="center"/>
                </w:tcPr>
                <w:p>
                  <w:pPr>
                    <w:pStyle w:val="22"/>
                    <w:rPr>
                      <w:rFonts w:hint="default" w:ascii="Times New Roman" w:hAnsi="Times New Roman" w:cs="Times New Roman" w:eastAsiaTheme="minorEastAsia"/>
                      <w:b w:val="0"/>
                      <w:bCs w:val="0"/>
                      <w:color w:val="auto"/>
                      <w:sz w:val="21"/>
                      <w:szCs w:val="21"/>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0" w:type="dxa"/>
                  <w:vMerge w:val="continue"/>
                  <w:noWrap/>
                  <w:vAlign w:val="center"/>
                </w:tcPr>
                <w:p>
                  <w:pPr>
                    <w:pStyle w:val="22"/>
                    <w:rPr>
                      <w:rFonts w:hint="default" w:ascii="Times New Roman" w:hAnsi="Times New Roman" w:cs="Times New Roman" w:eastAsiaTheme="minorEastAsia"/>
                      <w:b w:val="0"/>
                      <w:bCs w:val="0"/>
                      <w:color w:val="auto"/>
                      <w:sz w:val="21"/>
                      <w:szCs w:val="21"/>
                    </w:rPr>
                  </w:pPr>
                </w:p>
              </w:tc>
              <w:tc>
                <w:tcPr>
                  <w:tcW w:w="1097" w:type="dxa"/>
                  <w:noWrap/>
                  <w:vAlign w:val="center"/>
                </w:tcPr>
                <w:p>
                  <w:pPr>
                    <w:pStyle w:val="21"/>
                    <w:jc w:val="center"/>
                    <w:rPr>
                      <w:rFonts w:hint="eastAsia"/>
                      <w:b w:val="0"/>
                      <w:bCs w:val="0"/>
                      <w:color w:val="auto"/>
                      <w:sz w:val="21"/>
                      <w:szCs w:val="21"/>
                      <w:lang w:eastAsia="zh-CN"/>
                    </w:rPr>
                  </w:pPr>
                  <w:r>
                    <w:rPr>
                      <w:rFonts w:hint="eastAsia"/>
                      <w:b w:val="0"/>
                      <w:bCs w:val="0"/>
                      <w:color w:val="auto"/>
                      <w:sz w:val="21"/>
                      <w:szCs w:val="21"/>
                    </w:rPr>
                    <w:t>硼酸</w:t>
                  </w:r>
                </w:p>
              </w:tc>
              <w:tc>
                <w:tcPr>
                  <w:tcW w:w="1014" w:type="dxa"/>
                  <w:vAlign w:val="center"/>
                </w:tcPr>
                <w:p>
                  <w:pPr>
                    <w:pStyle w:val="21"/>
                    <w:jc w:val="center"/>
                    <w:rPr>
                      <w:rFonts w:hint="eastAsia"/>
                      <w:b w:val="0"/>
                      <w:bCs w:val="0"/>
                      <w:color w:val="auto"/>
                      <w:sz w:val="21"/>
                      <w:szCs w:val="21"/>
                    </w:rPr>
                  </w:pPr>
                  <w:r>
                    <w:rPr>
                      <w:rFonts w:hint="eastAsia"/>
                      <w:b w:val="0"/>
                      <w:bCs w:val="0"/>
                      <w:color w:val="auto"/>
                      <w:sz w:val="21"/>
                      <w:szCs w:val="21"/>
                    </w:rPr>
                    <w:t>固体</w:t>
                  </w:r>
                </w:p>
              </w:tc>
              <w:tc>
                <w:tcPr>
                  <w:tcW w:w="918" w:type="dxa"/>
                  <w:noWrap/>
                  <w:vAlign w:val="center"/>
                </w:tcPr>
                <w:p>
                  <w:pPr>
                    <w:pStyle w:val="21"/>
                    <w:jc w:val="center"/>
                    <w:rPr>
                      <w:b w:val="0"/>
                      <w:bCs w:val="0"/>
                      <w:color w:val="auto"/>
                      <w:sz w:val="21"/>
                      <w:szCs w:val="21"/>
                    </w:rPr>
                  </w:pPr>
                  <w:r>
                    <w:rPr>
                      <w:rFonts w:hint="eastAsia"/>
                      <w:b w:val="0"/>
                      <w:bCs w:val="0"/>
                      <w:color w:val="auto"/>
                      <w:sz w:val="21"/>
                      <w:szCs w:val="21"/>
                    </w:rPr>
                    <w:t>工业级</w:t>
                  </w:r>
                </w:p>
              </w:tc>
              <w:tc>
                <w:tcPr>
                  <w:tcW w:w="2203" w:type="dxa"/>
                  <w:noWrap/>
                  <w:vAlign w:val="center"/>
                </w:tcPr>
                <w:p>
                  <w:pPr>
                    <w:pStyle w:val="21"/>
                    <w:jc w:val="center"/>
                    <w:rPr>
                      <w:rFonts w:hint="eastAsia"/>
                      <w:b w:val="0"/>
                      <w:bCs w:val="0"/>
                      <w:color w:val="auto"/>
                      <w:sz w:val="21"/>
                      <w:szCs w:val="21"/>
                      <w:lang w:val="en-US" w:eastAsia="zh-CN"/>
                    </w:rPr>
                  </w:pPr>
                  <w:r>
                    <w:rPr>
                      <w:b w:val="0"/>
                      <w:bCs w:val="0"/>
                      <w:color w:val="auto"/>
                      <w:sz w:val="21"/>
                      <w:szCs w:val="21"/>
                    </w:rPr>
                    <w:t>/</w:t>
                  </w:r>
                </w:p>
              </w:tc>
              <w:tc>
                <w:tcPr>
                  <w:tcW w:w="1065" w:type="dxa"/>
                  <w:noWrap/>
                  <w:vAlign w:val="center"/>
                </w:tcPr>
                <w:p>
                  <w:pPr>
                    <w:pStyle w:val="21"/>
                    <w:jc w:val="center"/>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25</w:t>
                  </w:r>
                </w:p>
              </w:tc>
              <w:tc>
                <w:tcPr>
                  <w:tcW w:w="1282" w:type="dxa"/>
                  <w:vAlign w:val="center"/>
                </w:tcPr>
                <w:p>
                  <w:pPr>
                    <w:pStyle w:val="21"/>
                    <w:jc w:val="center"/>
                    <w:rPr>
                      <w:rFonts w:hint="eastAsia"/>
                      <w:b w:val="0"/>
                      <w:bCs w:val="0"/>
                      <w:color w:val="auto"/>
                      <w:sz w:val="21"/>
                      <w:szCs w:val="21"/>
                      <w:lang w:val="en-US" w:eastAsia="zh-CN"/>
                    </w:rPr>
                  </w:pPr>
                  <w:r>
                    <w:rPr>
                      <w:b w:val="0"/>
                      <w:bCs w:val="0"/>
                      <w:color w:val="auto"/>
                      <w:sz w:val="21"/>
                      <w:szCs w:val="21"/>
                    </w:rPr>
                    <w:t>25</w:t>
                  </w:r>
                  <w:r>
                    <w:rPr>
                      <w:rFonts w:hint="eastAsia"/>
                      <w:b w:val="0"/>
                      <w:bCs w:val="0"/>
                      <w:color w:val="auto"/>
                      <w:sz w:val="21"/>
                      <w:szCs w:val="21"/>
                      <w:lang w:val="en-US" w:eastAsia="zh-CN"/>
                    </w:rPr>
                    <w:t>kg</w:t>
                  </w:r>
                  <w:r>
                    <w:rPr>
                      <w:b w:val="0"/>
                      <w:bCs w:val="0"/>
                      <w:color w:val="auto"/>
                      <w:sz w:val="21"/>
                      <w:szCs w:val="21"/>
                    </w:rPr>
                    <w:t>/</w:t>
                  </w:r>
                  <w:r>
                    <w:rPr>
                      <w:rFonts w:hint="eastAsia"/>
                      <w:b w:val="0"/>
                      <w:bCs w:val="0"/>
                      <w:color w:val="auto"/>
                      <w:sz w:val="21"/>
                      <w:szCs w:val="21"/>
                    </w:rPr>
                    <w:t>袋</w:t>
                  </w:r>
                </w:p>
              </w:tc>
              <w:tc>
                <w:tcPr>
                  <w:tcW w:w="947" w:type="dxa"/>
                  <w:vMerge w:val="continue"/>
                  <w:vAlign w:val="center"/>
                </w:tcPr>
                <w:p>
                  <w:pPr>
                    <w:pStyle w:val="22"/>
                    <w:rPr>
                      <w:rFonts w:hint="default" w:ascii="Times New Roman" w:hAnsi="Times New Roman" w:cs="Times New Roman" w:eastAsiaTheme="minorEastAsia"/>
                      <w:b w:val="0"/>
                      <w:bCs w:val="0"/>
                      <w:color w:val="auto"/>
                      <w:sz w:val="21"/>
                      <w:szCs w:val="21"/>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340" w:hRule="atLeast"/>
              </w:trPr>
              <w:tc>
                <w:tcPr>
                  <w:tcW w:w="720" w:type="dxa"/>
                  <w:vMerge w:val="continue"/>
                  <w:noWrap/>
                  <w:vAlign w:val="center"/>
                </w:tcPr>
                <w:p>
                  <w:pPr>
                    <w:pStyle w:val="22"/>
                    <w:rPr>
                      <w:rFonts w:hint="default" w:ascii="Times New Roman" w:hAnsi="Times New Roman" w:cs="Times New Roman" w:eastAsiaTheme="minorEastAsia"/>
                      <w:b w:val="0"/>
                      <w:bCs w:val="0"/>
                      <w:color w:val="auto"/>
                      <w:sz w:val="21"/>
                      <w:szCs w:val="21"/>
                    </w:rPr>
                  </w:pPr>
                </w:p>
              </w:tc>
              <w:tc>
                <w:tcPr>
                  <w:tcW w:w="1097" w:type="dxa"/>
                  <w:noWrap/>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片碱</w:t>
                  </w:r>
                </w:p>
              </w:tc>
              <w:tc>
                <w:tcPr>
                  <w:tcW w:w="1014" w:type="dxa"/>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固体</w:t>
                  </w:r>
                </w:p>
              </w:tc>
              <w:tc>
                <w:tcPr>
                  <w:tcW w:w="918" w:type="dxa"/>
                  <w:noWrap/>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99%</w:t>
                  </w:r>
                </w:p>
              </w:tc>
              <w:tc>
                <w:tcPr>
                  <w:tcW w:w="2203" w:type="dxa"/>
                  <w:noWrap/>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NaOH</w:t>
                  </w:r>
                </w:p>
              </w:tc>
              <w:tc>
                <w:tcPr>
                  <w:tcW w:w="1065" w:type="dxa"/>
                  <w:noWrap/>
                  <w:vAlign w:val="center"/>
                </w:tcPr>
                <w:p>
                  <w:pPr>
                    <w:jc w:val="center"/>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rPr>
                    <w:t>9.2</w:t>
                  </w:r>
                </w:p>
              </w:tc>
              <w:tc>
                <w:tcPr>
                  <w:tcW w:w="1282" w:type="dxa"/>
                  <w:vAlign w:val="center"/>
                </w:tcPr>
                <w:p>
                  <w:pPr>
                    <w:jc w:val="center"/>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rPr>
                    <w:t>25kg/袋</w:t>
                  </w:r>
                </w:p>
              </w:tc>
              <w:tc>
                <w:tcPr>
                  <w:tcW w:w="947" w:type="dxa"/>
                  <w:vMerge w:val="continue"/>
                  <w:vAlign w:val="center"/>
                </w:tcPr>
                <w:p>
                  <w:pPr>
                    <w:pStyle w:val="22"/>
                    <w:rPr>
                      <w:rFonts w:hint="default" w:ascii="Times New Roman" w:hAnsi="Times New Roman" w:cs="Times New Roman" w:eastAsiaTheme="minorEastAsia"/>
                      <w:b w:val="0"/>
                      <w:bCs w:val="0"/>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0" w:type="dxa"/>
                  <w:vMerge w:val="continue"/>
                  <w:noWrap/>
                  <w:vAlign w:val="center"/>
                </w:tcPr>
                <w:p>
                  <w:pPr>
                    <w:pStyle w:val="22"/>
                    <w:rPr>
                      <w:rFonts w:hint="default" w:ascii="Times New Roman" w:hAnsi="Times New Roman" w:cs="Times New Roman" w:eastAsiaTheme="minorEastAsia"/>
                      <w:b w:val="0"/>
                      <w:bCs w:val="0"/>
                      <w:color w:val="auto"/>
                      <w:sz w:val="21"/>
                      <w:szCs w:val="21"/>
                    </w:rPr>
                  </w:pPr>
                </w:p>
              </w:tc>
              <w:tc>
                <w:tcPr>
                  <w:tcW w:w="1097" w:type="dxa"/>
                  <w:noWrap/>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光亮剂</w:t>
                  </w:r>
                </w:p>
              </w:tc>
              <w:tc>
                <w:tcPr>
                  <w:tcW w:w="1014" w:type="dxa"/>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液体</w:t>
                  </w:r>
                </w:p>
              </w:tc>
              <w:tc>
                <w:tcPr>
                  <w:tcW w:w="918" w:type="dxa"/>
                  <w:noWrap/>
                  <w:vAlign w:val="center"/>
                </w:tcPr>
                <w:p>
                  <w:pPr>
                    <w:jc w:val="center"/>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rPr>
                    <w:t>工业级</w:t>
                  </w:r>
                </w:p>
              </w:tc>
              <w:tc>
                <w:tcPr>
                  <w:tcW w:w="2203" w:type="dxa"/>
                  <w:noWrap/>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1-苄基烟酸盐</w:t>
                  </w:r>
                </w:p>
              </w:tc>
              <w:tc>
                <w:tcPr>
                  <w:tcW w:w="1065" w:type="dxa"/>
                  <w:noWrap/>
                  <w:vAlign w:val="center"/>
                </w:tcPr>
                <w:p>
                  <w:pPr>
                    <w:jc w:val="center"/>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rPr>
                    <w:t>5</w:t>
                  </w:r>
                </w:p>
              </w:tc>
              <w:tc>
                <w:tcPr>
                  <w:tcW w:w="1282" w:type="dxa"/>
                  <w:vAlign w:val="center"/>
                </w:tcPr>
                <w:p>
                  <w:pPr>
                    <w:jc w:val="center"/>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rPr>
                    <w:t>25L/桶</w:t>
                  </w:r>
                </w:p>
              </w:tc>
              <w:tc>
                <w:tcPr>
                  <w:tcW w:w="947" w:type="dxa"/>
                  <w:vMerge w:val="continue"/>
                  <w:vAlign w:val="center"/>
                </w:tcPr>
                <w:p>
                  <w:pPr>
                    <w:pStyle w:val="22"/>
                    <w:rPr>
                      <w:rFonts w:hint="default" w:ascii="Times New Roman" w:hAnsi="Times New Roman" w:cs="Times New Roman" w:eastAsiaTheme="minorEastAsia"/>
                      <w:b w:val="0"/>
                      <w:bCs w:val="0"/>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340" w:hRule="atLeast"/>
              </w:trPr>
              <w:tc>
                <w:tcPr>
                  <w:tcW w:w="720" w:type="dxa"/>
                  <w:vMerge w:val="continue"/>
                  <w:noWrap/>
                  <w:vAlign w:val="center"/>
                </w:tcPr>
                <w:p>
                  <w:pPr>
                    <w:pStyle w:val="22"/>
                    <w:rPr>
                      <w:rFonts w:hint="default" w:ascii="Times New Roman" w:hAnsi="Times New Roman" w:cs="Times New Roman" w:eastAsiaTheme="minorEastAsia"/>
                      <w:b w:val="0"/>
                      <w:bCs w:val="0"/>
                      <w:color w:val="auto"/>
                      <w:sz w:val="21"/>
                      <w:szCs w:val="21"/>
                    </w:rPr>
                  </w:pPr>
                </w:p>
              </w:tc>
              <w:tc>
                <w:tcPr>
                  <w:tcW w:w="1097" w:type="dxa"/>
                  <w:noWrap/>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柔软剂</w:t>
                  </w:r>
                </w:p>
              </w:tc>
              <w:tc>
                <w:tcPr>
                  <w:tcW w:w="1014" w:type="dxa"/>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液体</w:t>
                  </w:r>
                </w:p>
              </w:tc>
              <w:tc>
                <w:tcPr>
                  <w:tcW w:w="918" w:type="dxa"/>
                  <w:noWrap/>
                  <w:vAlign w:val="center"/>
                </w:tcPr>
                <w:p>
                  <w:pPr>
                    <w:jc w:val="center"/>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rPr>
                    <w:t>工业级</w:t>
                  </w:r>
                </w:p>
              </w:tc>
              <w:tc>
                <w:tcPr>
                  <w:tcW w:w="2203" w:type="dxa"/>
                  <w:noWrap/>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N,N'-双[3-(二甲基氨基)丙基]脲与1,1'-氧双[2-氯乙烷]的聚合物</w:t>
                  </w:r>
                </w:p>
              </w:tc>
              <w:tc>
                <w:tcPr>
                  <w:tcW w:w="1065" w:type="dxa"/>
                  <w:noWrap/>
                  <w:vAlign w:val="center"/>
                </w:tcPr>
                <w:p>
                  <w:pPr>
                    <w:jc w:val="center"/>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rPr>
                    <w:t>1.2</w:t>
                  </w:r>
                </w:p>
              </w:tc>
              <w:tc>
                <w:tcPr>
                  <w:tcW w:w="1282" w:type="dxa"/>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25L/桶</w:t>
                  </w:r>
                </w:p>
              </w:tc>
              <w:tc>
                <w:tcPr>
                  <w:tcW w:w="947" w:type="dxa"/>
                  <w:vMerge w:val="continue"/>
                  <w:vAlign w:val="center"/>
                </w:tcPr>
                <w:p>
                  <w:pPr>
                    <w:pStyle w:val="22"/>
                    <w:rPr>
                      <w:rFonts w:hint="default" w:ascii="Times New Roman" w:hAnsi="Times New Roman" w:cs="Times New Roman" w:eastAsiaTheme="minorEastAsia"/>
                      <w:b w:val="0"/>
                      <w:bCs w:val="0"/>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0" w:type="dxa"/>
                  <w:vMerge w:val="continue"/>
                  <w:noWrap/>
                  <w:vAlign w:val="center"/>
                </w:tcPr>
                <w:p>
                  <w:pPr>
                    <w:pStyle w:val="22"/>
                    <w:rPr>
                      <w:rFonts w:hint="default" w:ascii="Times New Roman" w:hAnsi="Times New Roman" w:cs="Times New Roman" w:eastAsiaTheme="minorEastAsia"/>
                      <w:b w:val="0"/>
                      <w:bCs w:val="0"/>
                      <w:color w:val="auto"/>
                      <w:sz w:val="21"/>
                      <w:szCs w:val="21"/>
                    </w:rPr>
                  </w:pPr>
                </w:p>
              </w:tc>
              <w:tc>
                <w:tcPr>
                  <w:tcW w:w="1097" w:type="dxa"/>
                  <w:noWrap/>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净化剂</w:t>
                  </w:r>
                </w:p>
              </w:tc>
              <w:tc>
                <w:tcPr>
                  <w:tcW w:w="1014" w:type="dxa"/>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液体</w:t>
                  </w:r>
                </w:p>
              </w:tc>
              <w:tc>
                <w:tcPr>
                  <w:tcW w:w="918" w:type="dxa"/>
                  <w:noWrap/>
                  <w:vAlign w:val="center"/>
                </w:tcPr>
                <w:p>
                  <w:pPr>
                    <w:jc w:val="center"/>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rPr>
                    <w:t>工业级</w:t>
                  </w:r>
                </w:p>
              </w:tc>
              <w:tc>
                <w:tcPr>
                  <w:tcW w:w="2203" w:type="dxa"/>
                  <w:noWrap/>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硫脲</w:t>
                  </w:r>
                </w:p>
              </w:tc>
              <w:tc>
                <w:tcPr>
                  <w:tcW w:w="1065" w:type="dxa"/>
                  <w:noWrap/>
                  <w:vAlign w:val="center"/>
                </w:tcPr>
                <w:p>
                  <w:pPr>
                    <w:jc w:val="center"/>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rPr>
                    <w:t>3.2</w:t>
                  </w:r>
                </w:p>
              </w:tc>
              <w:tc>
                <w:tcPr>
                  <w:tcW w:w="1282" w:type="dxa"/>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25L/桶</w:t>
                  </w:r>
                </w:p>
              </w:tc>
              <w:tc>
                <w:tcPr>
                  <w:tcW w:w="947" w:type="dxa"/>
                  <w:vMerge w:val="continue"/>
                  <w:vAlign w:val="center"/>
                </w:tcPr>
                <w:p>
                  <w:pPr>
                    <w:pStyle w:val="22"/>
                    <w:rPr>
                      <w:rFonts w:hint="default" w:ascii="Times New Roman" w:hAnsi="Times New Roman" w:cs="Times New Roman" w:eastAsiaTheme="minorEastAsia"/>
                      <w:b w:val="0"/>
                      <w:bCs w:val="0"/>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0" w:type="dxa"/>
                  <w:vMerge w:val="continue"/>
                  <w:noWrap/>
                  <w:vAlign w:val="center"/>
                </w:tcPr>
                <w:p>
                  <w:pPr>
                    <w:pStyle w:val="22"/>
                    <w:rPr>
                      <w:rFonts w:hint="default" w:ascii="Times New Roman" w:hAnsi="Times New Roman" w:cs="Times New Roman" w:eastAsiaTheme="minorEastAsia"/>
                      <w:b w:val="0"/>
                      <w:bCs w:val="0"/>
                      <w:color w:val="auto"/>
                      <w:sz w:val="21"/>
                      <w:szCs w:val="21"/>
                    </w:rPr>
                  </w:pPr>
                </w:p>
              </w:tc>
              <w:tc>
                <w:tcPr>
                  <w:tcW w:w="1097" w:type="dxa"/>
                  <w:noWrap/>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三价彩色钝化液</w:t>
                  </w:r>
                </w:p>
              </w:tc>
              <w:tc>
                <w:tcPr>
                  <w:tcW w:w="1014" w:type="dxa"/>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液体</w:t>
                  </w:r>
                </w:p>
              </w:tc>
              <w:tc>
                <w:tcPr>
                  <w:tcW w:w="918" w:type="dxa"/>
                  <w:noWrap/>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工业级</w:t>
                  </w:r>
                </w:p>
              </w:tc>
              <w:tc>
                <w:tcPr>
                  <w:tcW w:w="2203" w:type="dxa"/>
                  <w:noWrap/>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硝酸铬、草酸钠、丙二酸、草酸</w:t>
                  </w:r>
                </w:p>
              </w:tc>
              <w:tc>
                <w:tcPr>
                  <w:tcW w:w="1065" w:type="dxa"/>
                  <w:noWrap/>
                  <w:vAlign w:val="center"/>
                </w:tcPr>
                <w:p>
                  <w:pPr>
                    <w:jc w:val="center"/>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rPr>
                    <w:t>3</w:t>
                  </w:r>
                </w:p>
              </w:tc>
              <w:tc>
                <w:tcPr>
                  <w:tcW w:w="1282" w:type="dxa"/>
                  <w:vAlign w:val="center"/>
                </w:tcPr>
                <w:p>
                  <w:pPr>
                    <w:jc w:val="center"/>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rPr>
                    <w:t>25kg/桶</w:t>
                  </w:r>
                </w:p>
              </w:tc>
              <w:tc>
                <w:tcPr>
                  <w:tcW w:w="947" w:type="dxa"/>
                  <w:vMerge w:val="continue"/>
                  <w:vAlign w:val="center"/>
                </w:tcPr>
                <w:p>
                  <w:pPr>
                    <w:pStyle w:val="22"/>
                    <w:rPr>
                      <w:rFonts w:hint="default" w:ascii="Times New Roman" w:hAnsi="Times New Roman" w:cs="Times New Roman" w:eastAsiaTheme="minorEastAsia"/>
                      <w:b w:val="0"/>
                      <w:bCs w:val="0"/>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0" w:type="dxa"/>
                  <w:vMerge w:val="continue"/>
                  <w:noWrap/>
                  <w:vAlign w:val="center"/>
                </w:tcPr>
                <w:p>
                  <w:pPr>
                    <w:pStyle w:val="22"/>
                    <w:rPr>
                      <w:rFonts w:hint="default" w:ascii="Times New Roman" w:hAnsi="Times New Roman" w:cs="Times New Roman" w:eastAsiaTheme="minorEastAsia"/>
                      <w:b w:val="0"/>
                      <w:bCs w:val="0"/>
                      <w:color w:val="auto"/>
                      <w:sz w:val="21"/>
                      <w:szCs w:val="21"/>
                    </w:rPr>
                  </w:pPr>
                </w:p>
              </w:tc>
              <w:tc>
                <w:tcPr>
                  <w:tcW w:w="1097" w:type="dxa"/>
                  <w:noWrap/>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三价蓝白钝化液</w:t>
                  </w:r>
                </w:p>
              </w:tc>
              <w:tc>
                <w:tcPr>
                  <w:tcW w:w="1014" w:type="dxa"/>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液体</w:t>
                  </w:r>
                </w:p>
              </w:tc>
              <w:tc>
                <w:tcPr>
                  <w:tcW w:w="918" w:type="dxa"/>
                  <w:noWrap/>
                  <w:vAlign w:val="center"/>
                </w:tcPr>
                <w:p>
                  <w:pPr>
                    <w:jc w:val="center"/>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rPr>
                    <w:t>工业级</w:t>
                  </w:r>
                </w:p>
              </w:tc>
              <w:tc>
                <w:tcPr>
                  <w:tcW w:w="2203" w:type="dxa"/>
                  <w:noWrap/>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硝酸铬、硝酸钠、硝酸铵</w:t>
                  </w:r>
                </w:p>
              </w:tc>
              <w:tc>
                <w:tcPr>
                  <w:tcW w:w="1065" w:type="dxa"/>
                  <w:noWrap/>
                  <w:vAlign w:val="center"/>
                </w:tcPr>
                <w:p>
                  <w:pPr>
                    <w:jc w:val="center"/>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rPr>
                    <w:t>2.3</w:t>
                  </w:r>
                </w:p>
              </w:tc>
              <w:tc>
                <w:tcPr>
                  <w:tcW w:w="1282" w:type="dxa"/>
                  <w:vAlign w:val="center"/>
                </w:tcPr>
                <w:p>
                  <w:pPr>
                    <w:jc w:val="center"/>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rPr>
                    <w:t>25kg/桶</w:t>
                  </w:r>
                </w:p>
              </w:tc>
              <w:tc>
                <w:tcPr>
                  <w:tcW w:w="947" w:type="dxa"/>
                  <w:vMerge w:val="continue"/>
                  <w:vAlign w:val="center"/>
                </w:tcPr>
                <w:p>
                  <w:pPr>
                    <w:pStyle w:val="22"/>
                    <w:rPr>
                      <w:rFonts w:hint="default" w:ascii="Times New Roman" w:hAnsi="Times New Roman" w:cs="Times New Roman" w:eastAsiaTheme="minorEastAsia"/>
                      <w:b w:val="0"/>
                      <w:bCs w:val="0"/>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0" w:type="dxa"/>
                  <w:vMerge w:val="continue"/>
                  <w:noWrap/>
                  <w:vAlign w:val="center"/>
                </w:tcPr>
                <w:p>
                  <w:pPr>
                    <w:pStyle w:val="22"/>
                    <w:rPr>
                      <w:rFonts w:hint="default" w:ascii="Times New Roman" w:hAnsi="Times New Roman" w:cs="Times New Roman" w:eastAsiaTheme="minorEastAsia"/>
                      <w:b w:val="0"/>
                      <w:bCs w:val="0"/>
                      <w:color w:val="auto"/>
                      <w:sz w:val="21"/>
                      <w:szCs w:val="21"/>
                    </w:rPr>
                  </w:pPr>
                </w:p>
              </w:tc>
              <w:tc>
                <w:tcPr>
                  <w:tcW w:w="1097" w:type="dxa"/>
                  <w:noWrap/>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三价黑色钝化液</w:t>
                  </w:r>
                </w:p>
              </w:tc>
              <w:tc>
                <w:tcPr>
                  <w:tcW w:w="1014" w:type="dxa"/>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液体</w:t>
                  </w:r>
                </w:p>
              </w:tc>
              <w:tc>
                <w:tcPr>
                  <w:tcW w:w="918" w:type="dxa"/>
                  <w:noWrap/>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工业级</w:t>
                  </w:r>
                </w:p>
              </w:tc>
              <w:tc>
                <w:tcPr>
                  <w:tcW w:w="2203" w:type="dxa"/>
                  <w:noWrap/>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硝酸铬、硝酸铵、氟化铵</w:t>
                  </w:r>
                </w:p>
              </w:tc>
              <w:tc>
                <w:tcPr>
                  <w:tcW w:w="1065" w:type="dxa"/>
                  <w:noWrap/>
                  <w:vAlign w:val="center"/>
                </w:tcPr>
                <w:p>
                  <w:pPr>
                    <w:jc w:val="center"/>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rPr>
                    <w:t>1.2</w:t>
                  </w:r>
                </w:p>
              </w:tc>
              <w:tc>
                <w:tcPr>
                  <w:tcW w:w="1282" w:type="dxa"/>
                  <w:vAlign w:val="center"/>
                </w:tcPr>
                <w:p>
                  <w:pPr>
                    <w:jc w:val="center"/>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rPr>
                    <w:t>25kg/桶</w:t>
                  </w:r>
                </w:p>
              </w:tc>
              <w:tc>
                <w:tcPr>
                  <w:tcW w:w="947" w:type="dxa"/>
                  <w:vMerge w:val="continue"/>
                  <w:vAlign w:val="center"/>
                </w:tcPr>
                <w:p>
                  <w:pPr>
                    <w:pStyle w:val="22"/>
                    <w:rPr>
                      <w:rFonts w:hint="default" w:ascii="Times New Roman" w:hAnsi="Times New Roman" w:cs="Times New Roman" w:eastAsiaTheme="minorEastAsia"/>
                      <w:b w:val="0"/>
                      <w:bCs w:val="0"/>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0" w:type="dxa"/>
                  <w:vMerge w:val="continue"/>
                  <w:noWrap/>
                  <w:vAlign w:val="center"/>
                </w:tcPr>
                <w:p>
                  <w:pPr>
                    <w:pStyle w:val="22"/>
                    <w:rPr>
                      <w:rFonts w:hint="default" w:ascii="Times New Roman" w:hAnsi="Times New Roman" w:cs="Times New Roman" w:eastAsiaTheme="minorEastAsia"/>
                      <w:b w:val="0"/>
                      <w:bCs w:val="0"/>
                      <w:color w:val="auto"/>
                      <w:sz w:val="21"/>
                      <w:szCs w:val="21"/>
                    </w:rPr>
                  </w:pPr>
                </w:p>
              </w:tc>
              <w:tc>
                <w:tcPr>
                  <w:tcW w:w="1097" w:type="dxa"/>
                  <w:noWrap/>
                  <w:vAlign w:val="center"/>
                </w:tcPr>
                <w:p>
                  <w:pPr>
                    <w:pStyle w:val="21"/>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环保封闭剂</w:t>
                  </w:r>
                </w:p>
              </w:tc>
              <w:tc>
                <w:tcPr>
                  <w:tcW w:w="1014" w:type="dxa"/>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液体</w:t>
                  </w:r>
                </w:p>
              </w:tc>
              <w:tc>
                <w:tcPr>
                  <w:tcW w:w="918" w:type="dxa"/>
                  <w:noWrap/>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工业级</w:t>
                  </w:r>
                </w:p>
              </w:tc>
              <w:tc>
                <w:tcPr>
                  <w:tcW w:w="2203" w:type="dxa"/>
                  <w:noWrap/>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水溶性环保有机硅烷封闭剂</w:t>
                  </w:r>
                </w:p>
              </w:tc>
              <w:tc>
                <w:tcPr>
                  <w:tcW w:w="1065" w:type="dxa"/>
                  <w:noWrap/>
                  <w:vAlign w:val="center"/>
                </w:tcPr>
                <w:p>
                  <w:pPr>
                    <w:jc w:val="center"/>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rPr>
                    <w:t>5</w:t>
                  </w:r>
                </w:p>
              </w:tc>
              <w:tc>
                <w:tcPr>
                  <w:tcW w:w="1282" w:type="dxa"/>
                  <w:vAlign w:val="center"/>
                </w:tcPr>
                <w:p>
                  <w:pPr>
                    <w:jc w:val="center"/>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rPr>
                    <w:t>5kg/桶</w:t>
                  </w:r>
                </w:p>
              </w:tc>
              <w:tc>
                <w:tcPr>
                  <w:tcW w:w="947" w:type="dxa"/>
                  <w:vMerge w:val="continue"/>
                  <w:vAlign w:val="center"/>
                </w:tcPr>
                <w:p>
                  <w:pPr>
                    <w:pStyle w:val="22"/>
                    <w:rPr>
                      <w:rFonts w:hint="default" w:ascii="Times New Roman" w:hAnsi="Times New Roman" w:cs="Times New Roman" w:eastAsiaTheme="minorEastAsia"/>
                      <w:b w:val="0"/>
                      <w:bCs w:val="0"/>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0" w:type="dxa"/>
                  <w:vMerge w:val="restart"/>
                  <w:noWrap/>
                  <w:vAlign w:val="center"/>
                </w:tcPr>
                <w:p>
                  <w:pPr>
                    <w:pStyle w:val="22"/>
                    <w:rPr>
                      <w:rFonts w:hint="default" w:ascii="Times New Roman" w:hAnsi="Times New Roman" w:cs="Times New Roman" w:eastAsiaTheme="minorEastAsia"/>
                      <w:b w:val="0"/>
                      <w:bCs w:val="0"/>
                      <w:color w:val="auto"/>
                      <w:sz w:val="21"/>
                      <w:szCs w:val="21"/>
                      <w:lang w:val="en-US"/>
                    </w:rPr>
                  </w:pPr>
                </w:p>
                <w:p>
                  <w:pPr>
                    <w:pStyle w:val="22"/>
                    <w:rPr>
                      <w:rFonts w:hint="default" w:ascii="Times New Roman" w:hAnsi="Times New Roman" w:cs="Times New Roman" w:eastAsiaTheme="minorEastAsia"/>
                      <w:b w:val="0"/>
                      <w:bCs w:val="0"/>
                      <w:color w:val="auto"/>
                      <w:sz w:val="21"/>
                      <w:szCs w:val="21"/>
                      <w:lang w:val="en-US"/>
                    </w:rPr>
                  </w:pPr>
                </w:p>
                <w:p>
                  <w:pPr>
                    <w:pStyle w:val="22"/>
                    <w:rPr>
                      <w:rFonts w:hint="default" w:ascii="Times New Roman" w:hAnsi="Times New Roman" w:cs="Times New Roman" w:eastAsiaTheme="minorEastAsia"/>
                      <w:b w:val="0"/>
                      <w:bCs w:val="0"/>
                      <w:color w:val="auto"/>
                      <w:sz w:val="21"/>
                      <w:szCs w:val="21"/>
                      <w:lang w:val="en-US"/>
                    </w:rPr>
                  </w:pPr>
                </w:p>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val="en-US"/>
                    </w:rPr>
                    <w:t>6</w:t>
                  </w:r>
                  <w:r>
                    <w:rPr>
                      <w:rFonts w:hint="default" w:ascii="Times New Roman" w:hAnsi="Times New Roman" w:cs="Times New Roman" w:eastAsiaTheme="minorEastAsia"/>
                      <w:b w:val="0"/>
                      <w:bCs w:val="0"/>
                      <w:color w:val="auto"/>
                      <w:sz w:val="21"/>
                      <w:szCs w:val="21"/>
                    </w:rPr>
                    <w:t>#镍铬生产线</w:t>
                  </w:r>
                </w:p>
              </w:tc>
              <w:tc>
                <w:tcPr>
                  <w:tcW w:w="1097" w:type="dxa"/>
                  <w:noWrap/>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镍块</w:t>
                  </w:r>
                </w:p>
              </w:tc>
              <w:tc>
                <w:tcPr>
                  <w:tcW w:w="1014"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固态</w:t>
                  </w:r>
                </w:p>
              </w:tc>
              <w:tc>
                <w:tcPr>
                  <w:tcW w:w="918" w:type="dxa"/>
                  <w:noWrap/>
                  <w:vAlign w:val="center"/>
                </w:tcPr>
                <w:p>
                  <w:pPr>
                    <w:pStyle w:val="22"/>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lang w:val="en-US"/>
                    </w:rPr>
                    <w:t>99%</w:t>
                  </w:r>
                </w:p>
              </w:tc>
              <w:tc>
                <w:tcPr>
                  <w:tcW w:w="2203" w:type="dxa"/>
                  <w:noWrap/>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w:t>
                  </w:r>
                </w:p>
              </w:tc>
              <w:tc>
                <w:tcPr>
                  <w:tcW w:w="1065" w:type="dxa"/>
                  <w:noWrap/>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5.033</w:t>
                  </w:r>
                </w:p>
              </w:tc>
              <w:tc>
                <w:tcPr>
                  <w:tcW w:w="1282"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25kg/袋</w:t>
                  </w:r>
                </w:p>
              </w:tc>
              <w:tc>
                <w:tcPr>
                  <w:tcW w:w="947" w:type="dxa"/>
                  <w:vMerge w:val="restart"/>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eastAsia="zh-CN"/>
                    </w:rPr>
                    <w:t>电镀中心化学品库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0" w:type="dxa"/>
                  <w:vMerge w:val="continue"/>
                  <w:noWrap/>
                  <w:vAlign w:val="center"/>
                </w:tcPr>
                <w:p>
                  <w:pPr>
                    <w:pStyle w:val="22"/>
                    <w:rPr>
                      <w:rFonts w:hint="default" w:ascii="Times New Roman" w:hAnsi="Times New Roman" w:cs="Times New Roman" w:eastAsiaTheme="minorEastAsia"/>
                      <w:b w:val="0"/>
                      <w:bCs w:val="0"/>
                      <w:color w:val="auto"/>
                      <w:sz w:val="21"/>
                      <w:szCs w:val="21"/>
                    </w:rPr>
                  </w:pPr>
                </w:p>
              </w:tc>
              <w:tc>
                <w:tcPr>
                  <w:tcW w:w="1097" w:type="dxa"/>
                  <w:noWrap/>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硫酸镍</w:t>
                  </w:r>
                </w:p>
              </w:tc>
              <w:tc>
                <w:tcPr>
                  <w:tcW w:w="1014"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固态</w:t>
                  </w:r>
                </w:p>
              </w:tc>
              <w:tc>
                <w:tcPr>
                  <w:tcW w:w="918" w:type="dxa"/>
                  <w:noWrap/>
                  <w:vAlign w:val="center"/>
                </w:tcPr>
                <w:p>
                  <w:pPr>
                    <w:pStyle w:val="22"/>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lang w:val="en-US" w:eastAsia="zh-CN"/>
                    </w:rPr>
                    <w:t>99</w:t>
                  </w:r>
                  <w:r>
                    <w:rPr>
                      <w:rFonts w:hint="default" w:ascii="Times New Roman" w:hAnsi="Times New Roman" w:cs="Times New Roman" w:eastAsiaTheme="minorEastAsia"/>
                      <w:b w:val="0"/>
                      <w:bCs w:val="0"/>
                      <w:color w:val="auto"/>
                      <w:sz w:val="21"/>
                      <w:szCs w:val="21"/>
                      <w:lang w:val="en-US"/>
                    </w:rPr>
                    <w:t>%</w:t>
                  </w:r>
                </w:p>
              </w:tc>
              <w:tc>
                <w:tcPr>
                  <w:tcW w:w="2203" w:type="dxa"/>
                  <w:noWrap/>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w:t>
                  </w:r>
                </w:p>
              </w:tc>
              <w:tc>
                <w:tcPr>
                  <w:tcW w:w="1065" w:type="dxa"/>
                  <w:noWrap/>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val="en-US" w:eastAsia="zh-CN"/>
                    </w:rPr>
                    <w:t>1</w:t>
                  </w:r>
                  <w:r>
                    <w:rPr>
                      <w:rFonts w:hint="default" w:ascii="Times New Roman" w:hAnsi="Times New Roman" w:cs="Times New Roman" w:eastAsiaTheme="minorEastAsia"/>
                      <w:b w:val="0"/>
                      <w:bCs w:val="0"/>
                      <w:color w:val="auto"/>
                      <w:sz w:val="21"/>
                      <w:szCs w:val="21"/>
                    </w:rPr>
                    <w:t>.58</w:t>
                  </w:r>
                </w:p>
              </w:tc>
              <w:tc>
                <w:tcPr>
                  <w:tcW w:w="1282"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25kg/袋</w:t>
                  </w:r>
                </w:p>
              </w:tc>
              <w:tc>
                <w:tcPr>
                  <w:tcW w:w="947" w:type="dxa"/>
                  <w:vMerge w:val="continue"/>
                  <w:vAlign w:val="center"/>
                </w:tcPr>
                <w:p>
                  <w:pPr>
                    <w:pStyle w:val="22"/>
                    <w:rPr>
                      <w:rFonts w:hint="default" w:ascii="Times New Roman" w:hAnsi="Times New Roman" w:cs="Times New Roman" w:eastAsiaTheme="minorEastAsia"/>
                      <w:b w:val="0"/>
                      <w:bCs w:val="0"/>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0" w:type="dxa"/>
                  <w:vMerge w:val="continue"/>
                  <w:noWrap/>
                  <w:vAlign w:val="center"/>
                </w:tcPr>
                <w:p>
                  <w:pPr>
                    <w:pStyle w:val="22"/>
                    <w:rPr>
                      <w:rFonts w:hint="default" w:ascii="Times New Roman" w:hAnsi="Times New Roman" w:cs="Times New Roman" w:eastAsiaTheme="minorEastAsia"/>
                      <w:b w:val="0"/>
                      <w:bCs w:val="0"/>
                      <w:color w:val="auto"/>
                      <w:sz w:val="21"/>
                      <w:szCs w:val="21"/>
                    </w:rPr>
                  </w:pPr>
                </w:p>
              </w:tc>
              <w:tc>
                <w:tcPr>
                  <w:tcW w:w="1097" w:type="dxa"/>
                  <w:noWrap/>
                  <w:vAlign w:val="center"/>
                </w:tcPr>
                <w:p>
                  <w:pPr>
                    <w:pStyle w:val="22"/>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rPr>
                    <w:t>铬酐</w:t>
                  </w:r>
                  <w:r>
                    <w:rPr>
                      <w:rFonts w:hint="default" w:ascii="Times New Roman" w:hAnsi="Times New Roman" w:cs="Times New Roman" w:eastAsiaTheme="minorEastAsia"/>
                      <w:b w:val="0"/>
                      <w:bCs w:val="0"/>
                      <w:color w:val="auto"/>
                      <w:sz w:val="21"/>
                      <w:szCs w:val="21"/>
                      <w:lang w:eastAsia="zh-CN"/>
                    </w:rPr>
                    <w:t>酸</w:t>
                  </w:r>
                </w:p>
              </w:tc>
              <w:tc>
                <w:tcPr>
                  <w:tcW w:w="1014"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eastAsia="zh-CN"/>
                    </w:rPr>
                    <w:t>液</w:t>
                  </w:r>
                  <w:r>
                    <w:rPr>
                      <w:rFonts w:hint="default" w:ascii="Times New Roman" w:hAnsi="Times New Roman" w:cs="Times New Roman" w:eastAsiaTheme="minorEastAsia"/>
                      <w:b w:val="0"/>
                      <w:bCs w:val="0"/>
                      <w:color w:val="auto"/>
                      <w:sz w:val="21"/>
                      <w:szCs w:val="21"/>
                    </w:rPr>
                    <w:t>态</w:t>
                  </w:r>
                </w:p>
              </w:tc>
              <w:tc>
                <w:tcPr>
                  <w:tcW w:w="918" w:type="dxa"/>
                  <w:noWrap/>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工业级</w:t>
                  </w:r>
                </w:p>
              </w:tc>
              <w:tc>
                <w:tcPr>
                  <w:tcW w:w="2203" w:type="dxa"/>
                  <w:noWrap/>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铬酸</w:t>
                  </w:r>
                </w:p>
              </w:tc>
              <w:tc>
                <w:tcPr>
                  <w:tcW w:w="1065" w:type="dxa"/>
                  <w:noWrap/>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15.6</w:t>
                  </w:r>
                </w:p>
              </w:tc>
              <w:tc>
                <w:tcPr>
                  <w:tcW w:w="1282"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25kg/袋</w:t>
                  </w:r>
                </w:p>
              </w:tc>
              <w:tc>
                <w:tcPr>
                  <w:tcW w:w="947" w:type="dxa"/>
                  <w:vMerge w:val="continue"/>
                  <w:vAlign w:val="center"/>
                </w:tcPr>
                <w:p>
                  <w:pPr>
                    <w:pStyle w:val="22"/>
                    <w:rPr>
                      <w:rFonts w:hint="default" w:ascii="Times New Roman" w:hAnsi="Times New Roman" w:cs="Times New Roman" w:eastAsiaTheme="minorEastAsia"/>
                      <w:b w:val="0"/>
                      <w:bCs w:val="0"/>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340" w:hRule="atLeast"/>
              </w:trPr>
              <w:tc>
                <w:tcPr>
                  <w:tcW w:w="720" w:type="dxa"/>
                  <w:vMerge w:val="continue"/>
                  <w:noWrap/>
                  <w:vAlign w:val="center"/>
                </w:tcPr>
                <w:p>
                  <w:pPr>
                    <w:pStyle w:val="22"/>
                    <w:rPr>
                      <w:rFonts w:hint="default" w:ascii="Times New Roman" w:hAnsi="Times New Roman" w:cs="Times New Roman" w:eastAsiaTheme="minorEastAsia"/>
                      <w:b w:val="0"/>
                      <w:bCs w:val="0"/>
                      <w:color w:val="auto"/>
                      <w:sz w:val="21"/>
                      <w:szCs w:val="21"/>
                    </w:rPr>
                  </w:pPr>
                </w:p>
              </w:tc>
              <w:tc>
                <w:tcPr>
                  <w:tcW w:w="1097" w:type="dxa"/>
                  <w:noWrap/>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除油剂</w:t>
                  </w:r>
                </w:p>
              </w:tc>
              <w:tc>
                <w:tcPr>
                  <w:tcW w:w="1014"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固态</w:t>
                  </w:r>
                </w:p>
              </w:tc>
              <w:tc>
                <w:tcPr>
                  <w:tcW w:w="918" w:type="dxa"/>
                  <w:noWrap/>
                  <w:vAlign w:val="center"/>
                </w:tcPr>
                <w:p>
                  <w:pPr>
                    <w:pStyle w:val="22"/>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lang w:val="en-US"/>
                    </w:rPr>
                    <w:t>/</w:t>
                  </w:r>
                </w:p>
              </w:tc>
              <w:tc>
                <w:tcPr>
                  <w:tcW w:w="2203" w:type="dxa"/>
                  <w:noWrap/>
                  <w:vAlign w:val="center"/>
                </w:tcPr>
                <w:p>
                  <w:pPr>
                    <w:pStyle w:val="22"/>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rPr>
                    <w:t>NaOH、C10-14-烷基苯磺酸衍生物钠盐，硅酸钠</w:t>
                  </w:r>
                </w:p>
              </w:tc>
              <w:tc>
                <w:tcPr>
                  <w:tcW w:w="1065" w:type="dxa"/>
                  <w:noWrap/>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8.1</w:t>
                  </w:r>
                </w:p>
              </w:tc>
              <w:tc>
                <w:tcPr>
                  <w:tcW w:w="1282"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25kg/袋</w:t>
                  </w:r>
                </w:p>
              </w:tc>
              <w:tc>
                <w:tcPr>
                  <w:tcW w:w="947" w:type="dxa"/>
                  <w:vMerge w:val="continue"/>
                  <w:vAlign w:val="center"/>
                </w:tcPr>
                <w:p>
                  <w:pPr>
                    <w:pStyle w:val="22"/>
                    <w:rPr>
                      <w:rFonts w:hint="default" w:ascii="Times New Roman" w:hAnsi="Times New Roman" w:cs="Times New Roman" w:eastAsiaTheme="minorEastAsia"/>
                      <w:b w:val="0"/>
                      <w:bCs w:val="0"/>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0" w:type="dxa"/>
                  <w:vMerge w:val="continue"/>
                  <w:noWrap/>
                  <w:vAlign w:val="center"/>
                </w:tcPr>
                <w:p>
                  <w:pPr>
                    <w:pStyle w:val="22"/>
                    <w:rPr>
                      <w:rFonts w:hint="default" w:ascii="Times New Roman" w:hAnsi="Times New Roman" w:cs="Times New Roman" w:eastAsiaTheme="minorEastAsia"/>
                      <w:b w:val="0"/>
                      <w:bCs w:val="0"/>
                      <w:color w:val="auto"/>
                      <w:sz w:val="21"/>
                      <w:szCs w:val="21"/>
                    </w:rPr>
                  </w:pPr>
                </w:p>
              </w:tc>
              <w:tc>
                <w:tcPr>
                  <w:tcW w:w="1097" w:type="dxa"/>
                  <w:noWrap/>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盐酸</w:t>
                  </w:r>
                </w:p>
              </w:tc>
              <w:tc>
                <w:tcPr>
                  <w:tcW w:w="1014"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液态</w:t>
                  </w:r>
                </w:p>
              </w:tc>
              <w:tc>
                <w:tcPr>
                  <w:tcW w:w="918" w:type="dxa"/>
                  <w:noWrap/>
                  <w:vAlign w:val="center"/>
                </w:tcPr>
                <w:p>
                  <w:pPr>
                    <w:pStyle w:val="22"/>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lang w:val="en-US"/>
                    </w:rPr>
                    <w:t>3</w:t>
                  </w:r>
                  <w:r>
                    <w:rPr>
                      <w:rFonts w:hint="default" w:ascii="Times New Roman" w:hAnsi="Times New Roman" w:cs="Times New Roman" w:eastAsiaTheme="minorEastAsia"/>
                      <w:b w:val="0"/>
                      <w:bCs w:val="0"/>
                      <w:color w:val="auto"/>
                      <w:sz w:val="21"/>
                      <w:szCs w:val="21"/>
                      <w:lang w:val="en-US" w:eastAsia="zh-CN"/>
                    </w:rPr>
                    <w:t>0</w:t>
                  </w:r>
                  <w:r>
                    <w:rPr>
                      <w:rFonts w:hint="default" w:ascii="Times New Roman" w:hAnsi="Times New Roman" w:cs="Times New Roman" w:eastAsiaTheme="minorEastAsia"/>
                      <w:b w:val="0"/>
                      <w:bCs w:val="0"/>
                      <w:color w:val="auto"/>
                      <w:sz w:val="21"/>
                      <w:szCs w:val="21"/>
                      <w:lang w:val="en-US"/>
                    </w:rPr>
                    <w:t>%</w:t>
                  </w:r>
                </w:p>
              </w:tc>
              <w:tc>
                <w:tcPr>
                  <w:tcW w:w="2203" w:type="dxa"/>
                  <w:noWrap/>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w:t>
                  </w:r>
                </w:p>
              </w:tc>
              <w:tc>
                <w:tcPr>
                  <w:tcW w:w="1065" w:type="dxa"/>
                  <w:noWrap/>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24.4</w:t>
                  </w:r>
                </w:p>
              </w:tc>
              <w:tc>
                <w:tcPr>
                  <w:tcW w:w="1282"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val="en-US"/>
                    </w:rPr>
                    <w:t>50kg/桶</w:t>
                  </w:r>
                </w:p>
              </w:tc>
              <w:tc>
                <w:tcPr>
                  <w:tcW w:w="947" w:type="dxa"/>
                  <w:vMerge w:val="restart"/>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eastAsia="zh-CN"/>
                    </w:rPr>
                    <w:t>电镀中心储罐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0" w:type="dxa"/>
                  <w:vMerge w:val="continue"/>
                  <w:noWrap/>
                  <w:vAlign w:val="center"/>
                </w:tcPr>
                <w:p>
                  <w:pPr>
                    <w:pStyle w:val="22"/>
                    <w:rPr>
                      <w:rFonts w:hint="default" w:ascii="Times New Roman" w:hAnsi="Times New Roman" w:cs="Times New Roman" w:eastAsiaTheme="minorEastAsia"/>
                      <w:b w:val="0"/>
                      <w:bCs w:val="0"/>
                      <w:color w:val="auto"/>
                      <w:sz w:val="21"/>
                      <w:szCs w:val="21"/>
                    </w:rPr>
                  </w:pPr>
                </w:p>
              </w:tc>
              <w:tc>
                <w:tcPr>
                  <w:tcW w:w="1097" w:type="dxa"/>
                  <w:noWrap/>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硝酸</w:t>
                  </w:r>
                </w:p>
              </w:tc>
              <w:tc>
                <w:tcPr>
                  <w:tcW w:w="1014"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液态</w:t>
                  </w:r>
                </w:p>
              </w:tc>
              <w:tc>
                <w:tcPr>
                  <w:tcW w:w="918" w:type="dxa"/>
                  <w:noWrap/>
                  <w:vAlign w:val="center"/>
                </w:tcPr>
                <w:p>
                  <w:pPr>
                    <w:pStyle w:val="22"/>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lang w:val="en-US"/>
                    </w:rPr>
                    <w:t>68%</w:t>
                  </w:r>
                </w:p>
              </w:tc>
              <w:tc>
                <w:tcPr>
                  <w:tcW w:w="2203" w:type="dxa"/>
                  <w:noWrap/>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w:t>
                  </w:r>
                </w:p>
              </w:tc>
              <w:tc>
                <w:tcPr>
                  <w:tcW w:w="1065" w:type="dxa"/>
                  <w:noWrap/>
                  <w:vAlign w:val="center"/>
                </w:tcPr>
                <w:p>
                  <w:pPr>
                    <w:pStyle w:val="22"/>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lang w:val="en-US"/>
                    </w:rPr>
                    <w:t>3.2</w:t>
                  </w:r>
                </w:p>
              </w:tc>
              <w:tc>
                <w:tcPr>
                  <w:tcW w:w="1282"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val="en-US"/>
                    </w:rPr>
                    <w:t>50kg/桶</w:t>
                  </w:r>
                </w:p>
              </w:tc>
              <w:tc>
                <w:tcPr>
                  <w:tcW w:w="947" w:type="dxa"/>
                  <w:vMerge w:val="continue"/>
                  <w:vAlign w:val="center"/>
                </w:tcPr>
                <w:p>
                  <w:pPr>
                    <w:pStyle w:val="22"/>
                    <w:rPr>
                      <w:rFonts w:hint="default" w:ascii="Times New Roman" w:hAnsi="Times New Roman" w:cs="Times New Roman" w:eastAsiaTheme="minorEastAsia"/>
                      <w:b w:val="0"/>
                      <w:bCs w:val="0"/>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0" w:type="dxa"/>
                  <w:vMerge w:val="continue"/>
                  <w:noWrap/>
                  <w:vAlign w:val="center"/>
                </w:tcPr>
                <w:p>
                  <w:pPr>
                    <w:pStyle w:val="22"/>
                    <w:rPr>
                      <w:rFonts w:hint="default" w:ascii="Times New Roman" w:hAnsi="Times New Roman" w:cs="Times New Roman" w:eastAsiaTheme="minorEastAsia"/>
                      <w:b w:val="0"/>
                      <w:bCs w:val="0"/>
                      <w:color w:val="auto"/>
                      <w:sz w:val="21"/>
                      <w:szCs w:val="21"/>
                    </w:rPr>
                  </w:pPr>
                </w:p>
              </w:tc>
              <w:tc>
                <w:tcPr>
                  <w:tcW w:w="1097" w:type="dxa"/>
                  <w:noWrap/>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氢氧化钠</w:t>
                  </w:r>
                </w:p>
              </w:tc>
              <w:tc>
                <w:tcPr>
                  <w:tcW w:w="1014"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固态</w:t>
                  </w:r>
                </w:p>
              </w:tc>
              <w:tc>
                <w:tcPr>
                  <w:tcW w:w="918" w:type="dxa"/>
                  <w:noWrap/>
                  <w:vAlign w:val="center"/>
                </w:tcPr>
                <w:p>
                  <w:pPr>
                    <w:pStyle w:val="22"/>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lang w:val="en-US"/>
                    </w:rPr>
                    <w:t>99%</w:t>
                  </w:r>
                </w:p>
              </w:tc>
              <w:tc>
                <w:tcPr>
                  <w:tcW w:w="2203" w:type="dxa"/>
                  <w:noWrap/>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w:t>
                  </w:r>
                </w:p>
              </w:tc>
              <w:tc>
                <w:tcPr>
                  <w:tcW w:w="1065" w:type="dxa"/>
                  <w:noWrap/>
                  <w:vAlign w:val="center"/>
                </w:tcPr>
                <w:p>
                  <w:pPr>
                    <w:pStyle w:val="22"/>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lang w:val="en-US"/>
                    </w:rPr>
                    <w:t>30</w:t>
                  </w:r>
                </w:p>
              </w:tc>
              <w:tc>
                <w:tcPr>
                  <w:tcW w:w="1282"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25kg/袋</w:t>
                  </w:r>
                </w:p>
              </w:tc>
              <w:tc>
                <w:tcPr>
                  <w:tcW w:w="947" w:type="dxa"/>
                  <w:vMerge w:val="restart"/>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eastAsia="zh-CN"/>
                    </w:rPr>
                    <w:t>电镀中心化学品库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0" w:type="dxa"/>
                  <w:vMerge w:val="continue"/>
                  <w:noWrap/>
                  <w:vAlign w:val="center"/>
                </w:tcPr>
                <w:p>
                  <w:pPr>
                    <w:pStyle w:val="22"/>
                    <w:rPr>
                      <w:rFonts w:hint="default" w:ascii="Times New Roman" w:hAnsi="Times New Roman" w:cs="Times New Roman" w:eastAsiaTheme="minorEastAsia"/>
                      <w:b w:val="0"/>
                      <w:bCs w:val="0"/>
                      <w:color w:val="auto"/>
                      <w:sz w:val="21"/>
                      <w:szCs w:val="21"/>
                    </w:rPr>
                  </w:pPr>
                </w:p>
              </w:tc>
              <w:tc>
                <w:tcPr>
                  <w:tcW w:w="1097" w:type="dxa"/>
                  <w:noWrap/>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氯化钠</w:t>
                  </w:r>
                </w:p>
              </w:tc>
              <w:tc>
                <w:tcPr>
                  <w:tcW w:w="1014"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固态</w:t>
                  </w:r>
                </w:p>
              </w:tc>
              <w:tc>
                <w:tcPr>
                  <w:tcW w:w="918" w:type="dxa"/>
                  <w:noWrap/>
                  <w:vAlign w:val="center"/>
                </w:tcPr>
                <w:p>
                  <w:pPr>
                    <w:pStyle w:val="22"/>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lang w:val="en-US"/>
                    </w:rPr>
                    <w:t>90%</w:t>
                  </w:r>
                </w:p>
              </w:tc>
              <w:tc>
                <w:tcPr>
                  <w:tcW w:w="2203" w:type="dxa"/>
                  <w:noWrap/>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w:t>
                  </w:r>
                </w:p>
              </w:tc>
              <w:tc>
                <w:tcPr>
                  <w:tcW w:w="1065" w:type="dxa"/>
                  <w:noWrap/>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val="en-US"/>
                    </w:rPr>
                    <w:t>1.</w:t>
                  </w:r>
                  <w:r>
                    <w:rPr>
                      <w:rFonts w:hint="default" w:ascii="Times New Roman" w:hAnsi="Times New Roman" w:cs="Times New Roman" w:eastAsiaTheme="minorEastAsia"/>
                      <w:b w:val="0"/>
                      <w:bCs w:val="0"/>
                      <w:color w:val="auto"/>
                      <w:sz w:val="21"/>
                      <w:szCs w:val="21"/>
                    </w:rPr>
                    <w:t>31</w:t>
                  </w:r>
                </w:p>
              </w:tc>
              <w:tc>
                <w:tcPr>
                  <w:tcW w:w="1282"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25kg/袋</w:t>
                  </w:r>
                </w:p>
              </w:tc>
              <w:tc>
                <w:tcPr>
                  <w:tcW w:w="947" w:type="dxa"/>
                  <w:vMerge w:val="continue"/>
                  <w:vAlign w:val="center"/>
                </w:tcPr>
                <w:p>
                  <w:pPr>
                    <w:pStyle w:val="22"/>
                    <w:rPr>
                      <w:rFonts w:hint="default" w:ascii="Times New Roman" w:hAnsi="Times New Roman" w:cs="Times New Roman" w:eastAsiaTheme="minorEastAsia"/>
                      <w:b w:val="0"/>
                      <w:bCs w:val="0"/>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0" w:type="dxa"/>
                  <w:vMerge w:val="continue"/>
                  <w:noWrap/>
                  <w:vAlign w:val="center"/>
                </w:tcPr>
                <w:p>
                  <w:pPr>
                    <w:pStyle w:val="22"/>
                    <w:rPr>
                      <w:rFonts w:hint="default" w:ascii="Times New Roman" w:hAnsi="Times New Roman" w:cs="Times New Roman" w:eastAsiaTheme="minorEastAsia"/>
                      <w:b w:val="0"/>
                      <w:bCs w:val="0"/>
                      <w:color w:val="auto"/>
                      <w:sz w:val="21"/>
                      <w:szCs w:val="21"/>
                    </w:rPr>
                  </w:pPr>
                </w:p>
              </w:tc>
              <w:tc>
                <w:tcPr>
                  <w:tcW w:w="1097" w:type="dxa"/>
                  <w:noWrap/>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硼酸</w:t>
                  </w:r>
                </w:p>
              </w:tc>
              <w:tc>
                <w:tcPr>
                  <w:tcW w:w="1014"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液态</w:t>
                  </w:r>
                </w:p>
              </w:tc>
              <w:tc>
                <w:tcPr>
                  <w:tcW w:w="918" w:type="dxa"/>
                  <w:noWrap/>
                  <w:vAlign w:val="center"/>
                </w:tcPr>
                <w:p>
                  <w:pPr>
                    <w:pStyle w:val="22"/>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lang w:val="en-US"/>
                    </w:rPr>
                    <w:t>/</w:t>
                  </w:r>
                </w:p>
              </w:tc>
              <w:tc>
                <w:tcPr>
                  <w:tcW w:w="2203" w:type="dxa"/>
                  <w:noWrap/>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w:t>
                  </w:r>
                </w:p>
              </w:tc>
              <w:tc>
                <w:tcPr>
                  <w:tcW w:w="1065" w:type="dxa"/>
                  <w:noWrap/>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val="en-US"/>
                    </w:rPr>
                    <w:t>1</w:t>
                  </w:r>
                  <w:r>
                    <w:rPr>
                      <w:rFonts w:hint="default" w:ascii="Times New Roman" w:hAnsi="Times New Roman" w:cs="Times New Roman" w:eastAsiaTheme="minorEastAsia"/>
                      <w:b w:val="0"/>
                      <w:bCs w:val="0"/>
                      <w:color w:val="auto"/>
                      <w:sz w:val="21"/>
                      <w:szCs w:val="21"/>
                    </w:rPr>
                    <w:t>.13</w:t>
                  </w:r>
                </w:p>
              </w:tc>
              <w:tc>
                <w:tcPr>
                  <w:tcW w:w="1282"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val="en-US"/>
                    </w:rPr>
                    <w:t>50kg/桶</w:t>
                  </w:r>
                </w:p>
              </w:tc>
              <w:tc>
                <w:tcPr>
                  <w:tcW w:w="947" w:type="dxa"/>
                  <w:vMerge w:val="continue"/>
                  <w:vAlign w:val="center"/>
                </w:tcPr>
                <w:p>
                  <w:pPr>
                    <w:pStyle w:val="22"/>
                    <w:rPr>
                      <w:rFonts w:hint="default" w:ascii="Times New Roman" w:hAnsi="Times New Roman" w:cs="Times New Roman" w:eastAsiaTheme="minorEastAsia"/>
                      <w:b w:val="0"/>
                      <w:bCs w:val="0"/>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0" w:type="dxa"/>
                  <w:vMerge w:val="continue"/>
                  <w:noWrap/>
                  <w:vAlign w:val="center"/>
                </w:tcPr>
                <w:p>
                  <w:pPr>
                    <w:pStyle w:val="22"/>
                    <w:rPr>
                      <w:rFonts w:hint="default" w:ascii="Times New Roman" w:hAnsi="Times New Roman" w:cs="Times New Roman" w:eastAsiaTheme="minorEastAsia"/>
                      <w:b w:val="0"/>
                      <w:bCs w:val="0"/>
                      <w:color w:val="auto"/>
                      <w:sz w:val="21"/>
                      <w:szCs w:val="21"/>
                    </w:rPr>
                  </w:pPr>
                </w:p>
              </w:tc>
              <w:tc>
                <w:tcPr>
                  <w:tcW w:w="1097" w:type="dxa"/>
                  <w:noWrap/>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次磷酸钠</w:t>
                  </w:r>
                </w:p>
              </w:tc>
              <w:tc>
                <w:tcPr>
                  <w:tcW w:w="1014"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固态</w:t>
                  </w:r>
                </w:p>
              </w:tc>
              <w:tc>
                <w:tcPr>
                  <w:tcW w:w="918" w:type="dxa"/>
                  <w:noWrap/>
                  <w:vAlign w:val="center"/>
                </w:tcPr>
                <w:p>
                  <w:pPr>
                    <w:pStyle w:val="22"/>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lang w:val="en-US"/>
                    </w:rPr>
                    <w:t>/</w:t>
                  </w:r>
                </w:p>
              </w:tc>
              <w:tc>
                <w:tcPr>
                  <w:tcW w:w="2203" w:type="dxa"/>
                  <w:noWrap/>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w:t>
                  </w:r>
                </w:p>
              </w:tc>
              <w:tc>
                <w:tcPr>
                  <w:tcW w:w="1065" w:type="dxa"/>
                  <w:noWrap/>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val="en-US"/>
                    </w:rPr>
                    <w:t>1</w:t>
                  </w:r>
                  <w:r>
                    <w:rPr>
                      <w:rFonts w:hint="default" w:ascii="Times New Roman" w:hAnsi="Times New Roman" w:cs="Times New Roman" w:eastAsiaTheme="minorEastAsia"/>
                      <w:b w:val="0"/>
                      <w:bCs w:val="0"/>
                      <w:color w:val="auto"/>
                      <w:sz w:val="21"/>
                      <w:szCs w:val="21"/>
                    </w:rPr>
                    <w:t>.31</w:t>
                  </w:r>
                </w:p>
              </w:tc>
              <w:tc>
                <w:tcPr>
                  <w:tcW w:w="1282"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25kg/袋</w:t>
                  </w:r>
                </w:p>
              </w:tc>
              <w:tc>
                <w:tcPr>
                  <w:tcW w:w="947" w:type="dxa"/>
                  <w:vMerge w:val="continue"/>
                  <w:vAlign w:val="center"/>
                </w:tcPr>
                <w:p>
                  <w:pPr>
                    <w:pStyle w:val="22"/>
                    <w:rPr>
                      <w:rFonts w:hint="default" w:ascii="Times New Roman" w:hAnsi="Times New Roman" w:cs="Times New Roman" w:eastAsiaTheme="minorEastAsia"/>
                      <w:b w:val="0"/>
                      <w:bCs w:val="0"/>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340" w:hRule="atLeast"/>
              </w:trPr>
              <w:tc>
                <w:tcPr>
                  <w:tcW w:w="720" w:type="dxa"/>
                  <w:vMerge w:val="restart"/>
                  <w:noWrap/>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val="en-US"/>
                    </w:rPr>
                    <w:t>7</w:t>
                  </w:r>
                  <w:r>
                    <w:rPr>
                      <w:rFonts w:hint="default" w:ascii="Times New Roman" w:hAnsi="Times New Roman" w:cs="Times New Roman" w:eastAsiaTheme="minorEastAsia"/>
                      <w:b w:val="0"/>
                      <w:bCs w:val="0"/>
                      <w:color w:val="auto"/>
                      <w:sz w:val="21"/>
                      <w:szCs w:val="21"/>
                    </w:rPr>
                    <w:t>#铜锡生产线</w:t>
                  </w:r>
                </w:p>
              </w:tc>
              <w:tc>
                <w:tcPr>
                  <w:tcW w:w="1097" w:type="dxa"/>
                  <w:noWrap/>
                  <w:vAlign w:val="center"/>
                </w:tcPr>
                <w:p>
                  <w:pPr>
                    <w:pStyle w:val="22"/>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铜板</w:t>
                  </w:r>
                </w:p>
              </w:tc>
              <w:tc>
                <w:tcPr>
                  <w:tcW w:w="1014"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固态</w:t>
                  </w:r>
                </w:p>
              </w:tc>
              <w:tc>
                <w:tcPr>
                  <w:tcW w:w="918" w:type="dxa"/>
                  <w:noWrap/>
                  <w:vAlign w:val="center"/>
                </w:tcPr>
                <w:p>
                  <w:pPr>
                    <w:pStyle w:val="22"/>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lang w:val="en-US"/>
                    </w:rPr>
                    <w:t>99%</w:t>
                  </w:r>
                </w:p>
              </w:tc>
              <w:tc>
                <w:tcPr>
                  <w:tcW w:w="2203" w:type="dxa"/>
                  <w:noWrap/>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w:t>
                  </w:r>
                </w:p>
              </w:tc>
              <w:tc>
                <w:tcPr>
                  <w:tcW w:w="1065" w:type="dxa"/>
                  <w:noWrap/>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4.55</w:t>
                  </w:r>
                </w:p>
              </w:tc>
              <w:tc>
                <w:tcPr>
                  <w:tcW w:w="1282" w:type="dxa"/>
                  <w:vAlign w:val="center"/>
                </w:tcPr>
                <w:p>
                  <w:pPr>
                    <w:pStyle w:val="22"/>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散装</w:t>
                  </w:r>
                </w:p>
              </w:tc>
              <w:tc>
                <w:tcPr>
                  <w:tcW w:w="947" w:type="dxa"/>
                  <w:vMerge w:val="restart"/>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eastAsia="zh-CN"/>
                    </w:rPr>
                    <w:t>电镀中心化学品库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0" w:type="dxa"/>
                  <w:vMerge w:val="continue"/>
                  <w:noWrap/>
                  <w:vAlign w:val="center"/>
                </w:tcPr>
                <w:p>
                  <w:pPr>
                    <w:pStyle w:val="22"/>
                    <w:rPr>
                      <w:rFonts w:hint="default" w:ascii="Times New Roman" w:hAnsi="Times New Roman" w:cs="Times New Roman" w:eastAsiaTheme="minorEastAsia"/>
                      <w:b w:val="0"/>
                      <w:bCs w:val="0"/>
                      <w:color w:val="auto"/>
                      <w:sz w:val="21"/>
                      <w:szCs w:val="21"/>
                    </w:rPr>
                  </w:pPr>
                </w:p>
              </w:tc>
              <w:tc>
                <w:tcPr>
                  <w:tcW w:w="1097" w:type="dxa"/>
                  <w:noWrap/>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硫酸铜</w:t>
                  </w:r>
                </w:p>
              </w:tc>
              <w:tc>
                <w:tcPr>
                  <w:tcW w:w="1014"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固态</w:t>
                  </w:r>
                </w:p>
              </w:tc>
              <w:tc>
                <w:tcPr>
                  <w:tcW w:w="918" w:type="dxa"/>
                  <w:noWrap/>
                  <w:vAlign w:val="center"/>
                </w:tcPr>
                <w:p>
                  <w:pPr>
                    <w:pStyle w:val="22"/>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lang w:val="en-US"/>
                    </w:rPr>
                    <w:t>/</w:t>
                  </w:r>
                </w:p>
              </w:tc>
              <w:tc>
                <w:tcPr>
                  <w:tcW w:w="2203" w:type="dxa"/>
                  <w:noWrap/>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硫酸铜</w:t>
                  </w:r>
                </w:p>
              </w:tc>
              <w:tc>
                <w:tcPr>
                  <w:tcW w:w="1065" w:type="dxa"/>
                  <w:noWrap/>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3.411</w:t>
                  </w:r>
                </w:p>
              </w:tc>
              <w:tc>
                <w:tcPr>
                  <w:tcW w:w="1282"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25kg/袋</w:t>
                  </w:r>
                </w:p>
              </w:tc>
              <w:tc>
                <w:tcPr>
                  <w:tcW w:w="947" w:type="dxa"/>
                  <w:vMerge w:val="continue"/>
                  <w:vAlign w:val="center"/>
                </w:tcPr>
                <w:p>
                  <w:pPr>
                    <w:pStyle w:val="22"/>
                    <w:rPr>
                      <w:rFonts w:hint="default" w:ascii="Times New Roman" w:hAnsi="Times New Roman" w:cs="Times New Roman" w:eastAsiaTheme="minorEastAsia"/>
                      <w:b w:val="0"/>
                      <w:bCs w:val="0"/>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0" w:type="dxa"/>
                  <w:vMerge w:val="continue"/>
                  <w:noWrap/>
                  <w:vAlign w:val="center"/>
                </w:tcPr>
                <w:p>
                  <w:pPr>
                    <w:pStyle w:val="22"/>
                    <w:rPr>
                      <w:rFonts w:hint="default" w:ascii="Times New Roman" w:hAnsi="Times New Roman" w:cs="Times New Roman" w:eastAsiaTheme="minorEastAsia"/>
                      <w:b w:val="0"/>
                      <w:bCs w:val="0"/>
                      <w:color w:val="auto"/>
                      <w:sz w:val="21"/>
                      <w:szCs w:val="21"/>
                    </w:rPr>
                  </w:pPr>
                </w:p>
              </w:tc>
              <w:tc>
                <w:tcPr>
                  <w:tcW w:w="1097" w:type="dxa"/>
                  <w:noWrap/>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val="en-US" w:eastAsia="zh-CN"/>
                    </w:rPr>
                    <w:t>硫酸亚锡</w:t>
                  </w:r>
                </w:p>
              </w:tc>
              <w:tc>
                <w:tcPr>
                  <w:tcW w:w="1014"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液态</w:t>
                  </w:r>
                </w:p>
              </w:tc>
              <w:tc>
                <w:tcPr>
                  <w:tcW w:w="918" w:type="dxa"/>
                  <w:noWrap/>
                  <w:vAlign w:val="center"/>
                </w:tcPr>
                <w:p>
                  <w:pPr>
                    <w:pStyle w:val="22"/>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lang w:val="en-US"/>
                    </w:rPr>
                    <w:t>20%锡</w:t>
                  </w:r>
                </w:p>
              </w:tc>
              <w:tc>
                <w:tcPr>
                  <w:tcW w:w="2203" w:type="dxa"/>
                  <w:noWrap/>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硫酸亚锡</w:t>
                  </w:r>
                </w:p>
              </w:tc>
              <w:tc>
                <w:tcPr>
                  <w:tcW w:w="1065" w:type="dxa"/>
                  <w:noWrap/>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11.28</w:t>
                  </w:r>
                </w:p>
              </w:tc>
              <w:tc>
                <w:tcPr>
                  <w:tcW w:w="1282"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val="en-US"/>
                    </w:rPr>
                    <w:t>50kg/桶</w:t>
                  </w:r>
                </w:p>
              </w:tc>
              <w:tc>
                <w:tcPr>
                  <w:tcW w:w="947" w:type="dxa"/>
                  <w:vMerge w:val="continue"/>
                  <w:vAlign w:val="center"/>
                </w:tcPr>
                <w:p>
                  <w:pPr>
                    <w:pStyle w:val="22"/>
                    <w:rPr>
                      <w:rFonts w:hint="default" w:ascii="Times New Roman" w:hAnsi="Times New Roman" w:cs="Times New Roman" w:eastAsiaTheme="minorEastAsia"/>
                      <w:b w:val="0"/>
                      <w:bCs w:val="0"/>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0" w:type="dxa"/>
                  <w:vMerge w:val="continue"/>
                  <w:noWrap/>
                  <w:vAlign w:val="center"/>
                </w:tcPr>
                <w:p>
                  <w:pPr>
                    <w:pStyle w:val="22"/>
                    <w:rPr>
                      <w:rFonts w:hint="default" w:ascii="Times New Roman" w:hAnsi="Times New Roman" w:cs="Times New Roman" w:eastAsiaTheme="minorEastAsia"/>
                      <w:b w:val="0"/>
                      <w:bCs w:val="0"/>
                      <w:color w:val="auto"/>
                      <w:sz w:val="21"/>
                      <w:szCs w:val="21"/>
                    </w:rPr>
                  </w:pPr>
                </w:p>
              </w:tc>
              <w:tc>
                <w:tcPr>
                  <w:tcW w:w="1097" w:type="dxa"/>
                  <w:noWrap/>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锡</w:t>
                  </w:r>
                  <w:r>
                    <w:rPr>
                      <w:rFonts w:hint="eastAsia" w:ascii="Times New Roman" w:hAnsi="Times New Roman" w:cs="Times New Roman" w:eastAsiaTheme="minorEastAsia"/>
                      <w:b w:val="0"/>
                      <w:bCs w:val="0"/>
                      <w:color w:val="auto"/>
                      <w:sz w:val="21"/>
                      <w:szCs w:val="21"/>
                      <w:lang w:val="en-US" w:eastAsia="zh-CN"/>
                    </w:rPr>
                    <w:t>块</w:t>
                  </w:r>
                </w:p>
              </w:tc>
              <w:tc>
                <w:tcPr>
                  <w:tcW w:w="1014" w:type="dxa"/>
                  <w:vAlign w:val="center"/>
                </w:tcPr>
                <w:p>
                  <w:pPr>
                    <w:pStyle w:val="22"/>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固态</w:t>
                  </w:r>
                </w:p>
              </w:tc>
              <w:tc>
                <w:tcPr>
                  <w:tcW w:w="918" w:type="dxa"/>
                  <w:noWrap/>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99%</w:t>
                  </w:r>
                </w:p>
              </w:tc>
              <w:tc>
                <w:tcPr>
                  <w:tcW w:w="2203" w:type="dxa"/>
                  <w:noWrap/>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锡</w:t>
                  </w:r>
                </w:p>
              </w:tc>
              <w:tc>
                <w:tcPr>
                  <w:tcW w:w="1065" w:type="dxa"/>
                  <w:noWrap/>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1.09</w:t>
                  </w:r>
                </w:p>
              </w:tc>
              <w:tc>
                <w:tcPr>
                  <w:tcW w:w="1282" w:type="dxa"/>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散装</w:t>
                  </w:r>
                </w:p>
              </w:tc>
              <w:tc>
                <w:tcPr>
                  <w:tcW w:w="947" w:type="dxa"/>
                  <w:vMerge w:val="continue"/>
                  <w:vAlign w:val="center"/>
                </w:tcPr>
                <w:p>
                  <w:pPr>
                    <w:pStyle w:val="22"/>
                    <w:rPr>
                      <w:rFonts w:hint="default" w:ascii="Times New Roman" w:hAnsi="Times New Roman" w:cs="Times New Roman" w:eastAsiaTheme="minorEastAsia"/>
                      <w:b w:val="0"/>
                      <w:bCs w:val="0"/>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0" w:type="dxa"/>
                  <w:vMerge w:val="continue"/>
                  <w:noWrap/>
                  <w:vAlign w:val="center"/>
                </w:tcPr>
                <w:p>
                  <w:pPr>
                    <w:pStyle w:val="22"/>
                    <w:rPr>
                      <w:rFonts w:hint="default" w:ascii="Times New Roman" w:hAnsi="Times New Roman" w:cs="Times New Roman" w:eastAsiaTheme="minorEastAsia"/>
                      <w:b w:val="0"/>
                      <w:bCs w:val="0"/>
                      <w:color w:val="auto"/>
                      <w:sz w:val="21"/>
                      <w:szCs w:val="21"/>
                    </w:rPr>
                  </w:pPr>
                </w:p>
              </w:tc>
              <w:tc>
                <w:tcPr>
                  <w:tcW w:w="1097" w:type="dxa"/>
                  <w:noWrap/>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镍镀液</w:t>
                  </w:r>
                </w:p>
              </w:tc>
              <w:tc>
                <w:tcPr>
                  <w:tcW w:w="1014" w:type="dxa"/>
                  <w:vAlign w:val="center"/>
                </w:tcPr>
                <w:p>
                  <w:pPr>
                    <w:pStyle w:val="22"/>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液态</w:t>
                  </w:r>
                </w:p>
              </w:tc>
              <w:tc>
                <w:tcPr>
                  <w:tcW w:w="918" w:type="dxa"/>
                  <w:noWrap/>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40%</w:t>
                  </w:r>
                </w:p>
              </w:tc>
              <w:tc>
                <w:tcPr>
                  <w:tcW w:w="2203" w:type="dxa"/>
                  <w:noWrap/>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硫酸镍、氯化镍</w:t>
                  </w:r>
                </w:p>
              </w:tc>
              <w:tc>
                <w:tcPr>
                  <w:tcW w:w="1065" w:type="dxa"/>
                  <w:noWrap/>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5.86</w:t>
                  </w:r>
                </w:p>
              </w:tc>
              <w:tc>
                <w:tcPr>
                  <w:tcW w:w="1282" w:type="dxa"/>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rPr>
                    <w:t>50kg/桶</w:t>
                  </w:r>
                </w:p>
              </w:tc>
              <w:tc>
                <w:tcPr>
                  <w:tcW w:w="947" w:type="dxa"/>
                  <w:vMerge w:val="continue"/>
                  <w:vAlign w:val="center"/>
                </w:tcPr>
                <w:p>
                  <w:pPr>
                    <w:pStyle w:val="22"/>
                    <w:rPr>
                      <w:rFonts w:hint="default" w:ascii="Times New Roman" w:hAnsi="Times New Roman" w:cs="Times New Roman" w:eastAsiaTheme="minorEastAsia"/>
                      <w:b w:val="0"/>
                      <w:bCs w:val="0"/>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0" w:type="dxa"/>
                  <w:vMerge w:val="continue"/>
                  <w:noWrap/>
                  <w:vAlign w:val="center"/>
                </w:tcPr>
                <w:p>
                  <w:pPr>
                    <w:pStyle w:val="22"/>
                    <w:rPr>
                      <w:rFonts w:hint="default" w:ascii="Times New Roman" w:hAnsi="Times New Roman" w:cs="Times New Roman" w:eastAsiaTheme="minorEastAsia"/>
                      <w:b w:val="0"/>
                      <w:bCs w:val="0"/>
                      <w:color w:val="auto"/>
                      <w:sz w:val="21"/>
                      <w:szCs w:val="21"/>
                    </w:rPr>
                  </w:pPr>
                </w:p>
              </w:tc>
              <w:tc>
                <w:tcPr>
                  <w:tcW w:w="1097" w:type="dxa"/>
                  <w:noWrap/>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镍板</w:t>
                  </w:r>
                </w:p>
              </w:tc>
              <w:tc>
                <w:tcPr>
                  <w:tcW w:w="1014" w:type="dxa"/>
                  <w:vAlign w:val="center"/>
                </w:tcPr>
                <w:p>
                  <w:pPr>
                    <w:pStyle w:val="22"/>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固态</w:t>
                  </w:r>
                </w:p>
              </w:tc>
              <w:tc>
                <w:tcPr>
                  <w:tcW w:w="918" w:type="dxa"/>
                  <w:noWrap/>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99%</w:t>
                  </w:r>
                </w:p>
              </w:tc>
              <w:tc>
                <w:tcPr>
                  <w:tcW w:w="2203" w:type="dxa"/>
                  <w:noWrap/>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w:t>
                  </w:r>
                </w:p>
              </w:tc>
              <w:tc>
                <w:tcPr>
                  <w:tcW w:w="1065" w:type="dxa"/>
                  <w:noWrap/>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10.21</w:t>
                  </w:r>
                </w:p>
              </w:tc>
              <w:tc>
                <w:tcPr>
                  <w:tcW w:w="1282" w:type="dxa"/>
                  <w:vAlign w:val="center"/>
                </w:tcPr>
                <w:p>
                  <w:pPr>
                    <w:pStyle w:val="22"/>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lang w:val="en-US" w:eastAsia="zh-CN"/>
                    </w:rPr>
                    <w:t>散装</w:t>
                  </w:r>
                </w:p>
              </w:tc>
              <w:tc>
                <w:tcPr>
                  <w:tcW w:w="947" w:type="dxa"/>
                  <w:vMerge w:val="continue"/>
                  <w:vAlign w:val="center"/>
                </w:tcPr>
                <w:p>
                  <w:pPr>
                    <w:pStyle w:val="22"/>
                    <w:rPr>
                      <w:rFonts w:hint="default" w:ascii="Times New Roman" w:hAnsi="Times New Roman" w:cs="Times New Roman" w:eastAsiaTheme="minorEastAsia"/>
                      <w:b w:val="0"/>
                      <w:bCs w:val="0"/>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340" w:hRule="atLeast"/>
              </w:trPr>
              <w:tc>
                <w:tcPr>
                  <w:tcW w:w="720" w:type="dxa"/>
                  <w:vMerge w:val="continue"/>
                  <w:noWrap/>
                  <w:vAlign w:val="center"/>
                </w:tcPr>
                <w:p>
                  <w:pPr>
                    <w:pStyle w:val="22"/>
                    <w:rPr>
                      <w:rFonts w:hint="default" w:ascii="Times New Roman" w:hAnsi="Times New Roman" w:cs="Times New Roman" w:eastAsiaTheme="minorEastAsia"/>
                      <w:b w:val="0"/>
                      <w:bCs w:val="0"/>
                      <w:color w:val="auto"/>
                      <w:sz w:val="21"/>
                      <w:szCs w:val="21"/>
                    </w:rPr>
                  </w:pPr>
                </w:p>
              </w:tc>
              <w:tc>
                <w:tcPr>
                  <w:tcW w:w="1097" w:type="dxa"/>
                  <w:noWrap/>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除油剂</w:t>
                  </w:r>
                </w:p>
              </w:tc>
              <w:tc>
                <w:tcPr>
                  <w:tcW w:w="1014"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固态</w:t>
                  </w:r>
                </w:p>
              </w:tc>
              <w:tc>
                <w:tcPr>
                  <w:tcW w:w="918" w:type="dxa"/>
                  <w:noWrap/>
                  <w:vAlign w:val="center"/>
                </w:tcPr>
                <w:p>
                  <w:pPr>
                    <w:pStyle w:val="22"/>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lang w:val="en-US"/>
                    </w:rPr>
                    <w:t>/</w:t>
                  </w:r>
                </w:p>
              </w:tc>
              <w:tc>
                <w:tcPr>
                  <w:tcW w:w="2203" w:type="dxa"/>
                  <w:noWrap/>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rPr>
                    <w:t>NaOH、C10-14-烷基苯磺酸衍生物钠盐，硅酸钠</w:t>
                  </w:r>
                </w:p>
              </w:tc>
              <w:tc>
                <w:tcPr>
                  <w:tcW w:w="1065" w:type="dxa"/>
                  <w:noWrap/>
                  <w:vAlign w:val="center"/>
                </w:tcPr>
                <w:p>
                  <w:pPr>
                    <w:pStyle w:val="22"/>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rPr>
                    <w:t>3.5</w:t>
                  </w:r>
                  <w:r>
                    <w:rPr>
                      <w:rFonts w:hint="default" w:ascii="Times New Roman" w:hAnsi="Times New Roman" w:cs="Times New Roman" w:eastAsiaTheme="minorEastAsia"/>
                      <w:b w:val="0"/>
                      <w:bCs w:val="0"/>
                      <w:color w:val="auto"/>
                      <w:sz w:val="21"/>
                      <w:szCs w:val="21"/>
                      <w:lang w:val="en-US"/>
                    </w:rPr>
                    <w:t>4</w:t>
                  </w:r>
                </w:p>
              </w:tc>
              <w:tc>
                <w:tcPr>
                  <w:tcW w:w="1282"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25kg/袋</w:t>
                  </w:r>
                </w:p>
              </w:tc>
              <w:tc>
                <w:tcPr>
                  <w:tcW w:w="947" w:type="dxa"/>
                  <w:vMerge w:val="continue"/>
                  <w:vAlign w:val="center"/>
                </w:tcPr>
                <w:p>
                  <w:pPr>
                    <w:pStyle w:val="22"/>
                    <w:rPr>
                      <w:rFonts w:hint="default" w:ascii="Times New Roman" w:hAnsi="Times New Roman" w:cs="Times New Roman" w:eastAsiaTheme="minorEastAsia"/>
                      <w:b w:val="0"/>
                      <w:bCs w:val="0"/>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0" w:type="dxa"/>
                  <w:vMerge w:val="continue"/>
                  <w:noWrap/>
                  <w:vAlign w:val="center"/>
                </w:tcPr>
                <w:p>
                  <w:pPr>
                    <w:pStyle w:val="22"/>
                    <w:rPr>
                      <w:rFonts w:hint="default" w:ascii="Times New Roman" w:hAnsi="Times New Roman" w:cs="Times New Roman" w:eastAsiaTheme="minorEastAsia"/>
                      <w:b w:val="0"/>
                      <w:bCs w:val="0"/>
                      <w:color w:val="auto"/>
                      <w:sz w:val="21"/>
                      <w:szCs w:val="21"/>
                    </w:rPr>
                  </w:pPr>
                </w:p>
              </w:tc>
              <w:tc>
                <w:tcPr>
                  <w:tcW w:w="1097" w:type="dxa"/>
                  <w:noWrap/>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盐酸</w:t>
                  </w:r>
                </w:p>
              </w:tc>
              <w:tc>
                <w:tcPr>
                  <w:tcW w:w="1014"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液态</w:t>
                  </w:r>
                </w:p>
              </w:tc>
              <w:tc>
                <w:tcPr>
                  <w:tcW w:w="918" w:type="dxa"/>
                  <w:noWrap/>
                  <w:vAlign w:val="center"/>
                </w:tcPr>
                <w:p>
                  <w:pPr>
                    <w:pStyle w:val="22"/>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lang w:val="en-US"/>
                    </w:rPr>
                    <w:t>3</w:t>
                  </w:r>
                  <w:r>
                    <w:rPr>
                      <w:rFonts w:hint="default" w:ascii="Times New Roman" w:hAnsi="Times New Roman" w:cs="Times New Roman" w:eastAsiaTheme="minorEastAsia"/>
                      <w:b w:val="0"/>
                      <w:bCs w:val="0"/>
                      <w:color w:val="auto"/>
                      <w:sz w:val="21"/>
                      <w:szCs w:val="21"/>
                      <w:lang w:val="en-US" w:eastAsia="zh-CN"/>
                    </w:rPr>
                    <w:t>0</w:t>
                  </w:r>
                  <w:r>
                    <w:rPr>
                      <w:rFonts w:hint="default" w:ascii="Times New Roman" w:hAnsi="Times New Roman" w:cs="Times New Roman" w:eastAsiaTheme="minorEastAsia"/>
                      <w:b w:val="0"/>
                      <w:bCs w:val="0"/>
                      <w:color w:val="auto"/>
                      <w:sz w:val="21"/>
                      <w:szCs w:val="21"/>
                      <w:lang w:val="en-US"/>
                    </w:rPr>
                    <w:t>%</w:t>
                  </w:r>
                </w:p>
              </w:tc>
              <w:tc>
                <w:tcPr>
                  <w:tcW w:w="2203" w:type="dxa"/>
                  <w:noWrap/>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w:t>
                  </w:r>
                </w:p>
              </w:tc>
              <w:tc>
                <w:tcPr>
                  <w:tcW w:w="1065" w:type="dxa"/>
                  <w:noWrap/>
                  <w:vAlign w:val="center"/>
                </w:tcPr>
                <w:p>
                  <w:pPr>
                    <w:pStyle w:val="22"/>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lang w:val="en-US"/>
                    </w:rPr>
                    <w:t>75</w:t>
                  </w:r>
                </w:p>
              </w:tc>
              <w:tc>
                <w:tcPr>
                  <w:tcW w:w="1282"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val="en-US"/>
                    </w:rPr>
                    <w:t>50kg/桶</w:t>
                  </w:r>
                </w:p>
              </w:tc>
              <w:tc>
                <w:tcPr>
                  <w:tcW w:w="947"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eastAsia="zh-CN"/>
                    </w:rPr>
                    <w:t>电镀中心储罐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0" w:type="dxa"/>
                  <w:vMerge w:val="continue"/>
                  <w:noWrap/>
                  <w:vAlign w:val="center"/>
                </w:tcPr>
                <w:p>
                  <w:pPr>
                    <w:pStyle w:val="22"/>
                    <w:rPr>
                      <w:rFonts w:hint="default" w:ascii="Times New Roman" w:hAnsi="Times New Roman" w:cs="Times New Roman" w:eastAsiaTheme="minorEastAsia"/>
                      <w:b w:val="0"/>
                      <w:bCs w:val="0"/>
                      <w:color w:val="auto"/>
                      <w:sz w:val="21"/>
                      <w:szCs w:val="21"/>
                    </w:rPr>
                  </w:pPr>
                </w:p>
              </w:tc>
              <w:tc>
                <w:tcPr>
                  <w:tcW w:w="1097" w:type="dxa"/>
                  <w:noWrap/>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环保封闭剂</w:t>
                  </w:r>
                </w:p>
              </w:tc>
              <w:tc>
                <w:tcPr>
                  <w:tcW w:w="1014" w:type="dxa"/>
                  <w:vAlign w:val="center"/>
                </w:tcPr>
                <w:p>
                  <w:pPr>
                    <w:jc w:val="center"/>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液体</w:t>
                  </w:r>
                </w:p>
              </w:tc>
              <w:tc>
                <w:tcPr>
                  <w:tcW w:w="918" w:type="dxa"/>
                  <w:noWrap/>
                  <w:vAlign w:val="center"/>
                </w:tcPr>
                <w:p>
                  <w:pPr>
                    <w:jc w:val="center"/>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rPr>
                    <w:t>工业级</w:t>
                  </w:r>
                </w:p>
              </w:tc>
              <w:tc>
                <w:tcPr>
                  <w:tcW w:w="2203" w:type="dxa"/>
                  <w:noWrap/>
                  <w:vAlign w:val="center"/>
                </w:tcPr>
                <w:p>
                  <w:pPr>
                    <w:jc w:val="center"/>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rPr>
                    <w:t>水溶性环保有机硅烷封闭剂</w:t>
                  </w:r>
                </w:p>
              </w:tc>
              <w:tc>
                <w:tcPr>
                  <w:tcW w:w="1065" w:type="dxa"/>
                  <w:noWrap/>
                  <w:vAlign w:val="center"/>
                </w:tcPr>
                <w:p>
                  <w:pPr>
                    <w:pStyle w:val="22"/>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lang w:val="en-US"/>
                    </w:rPr>
                    <w:t>6.12</w:t>
                  </w:r>
                </w:p>
              </w:tc>
              <w:tc>
                <w:tcPr>
                  <w:tcW w:w="1282"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val="en-US"/>
                    </w:rPr>
                    <w:t>50kg/桶</w:t>
                  </w:r>
                </w:p>
              </w:tc>
              <w:tc>
                <w:tcPr>
                  <w:tcW w:w="947" w:type="dxa"/>
                  <w:vMerge w:val="restart"/>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eastAsia="zh-CN"/>
                    </w:rPr>
                    <w:t>电镀中心化学品库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0" w:type="dxa"/>
                  <w:vMerge w:val="continue"/>
                  <w:noWrap/>
                  <w:vAlign w:val="center"/>
                </w:tcPr>
                <w:p>
                  <w:pPr>
                    <w:pStyle w:val="22"/>
                    <w:rPr>
                      <w:rFonts w:hint="default" w:ascii="Times New Roman" w:hAnsi="Times New Roman" w:cs="Times New Roman" w:eastAsiaTheme="minorEastAsia"/>
                      <w:b w:val="0"/>
                      <w:bCs w:val="0"/>
                      <w:color w:val="auto"/>
                      <w:sz w:val="21"/>
                      <w:szCs w:val="21"/>
                    </w:rPr>
                  </w:pPr>
                </w:p>
              </w:tc>
              <w:tc>
                <w:tcPr>
                  <w:tcW w:w="1097" w:type="dxa"/>
                  <w:noWrap/>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三价铬钝化液</w:t>
                  </w:r>
                </w:p>
              </w:tc>
              <w:tc>
                <w:tcPr>
                  <w:tcW w:w="1014"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液态</w:t>
                  </w:r>
                </w:p>
              </w:tc>
              <w:tc>
                <w:tcPr>
                  <w:tcW w:w="918" w:type="dxa"/>
                  <w:noWrap/>
                  <w:vAlign w:val="center"/>
                </w:tcPr>
                <w:p>
                  <w:pPr>
                    <w:pStyle w:val="22"/>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工业级</w:t>
                  </w:r>
                </w:p>
              </w:tc>
              <w:tc>
                <w:tcPr>
                  <w:tcW w:w="2203" w:type="dxa"/>
                  <w:noWrap/>
                  <w:vAlign w:val="center"/>
                </w:tcPr>
                <w:p>
                  <w:pPr>
                    <w:pStyle w:val="22"/>
                    <w:rPr>
                      <w:rFonts w:hint="default" w:ascii="Times New Roman" w:hAnsi="Times New Roman" w:cs="Times New Roman" w:eastAsiaTheme="minorEastAsia"/>
                      <w:b w:val="0"/>
                      <w:bCs w:val="0"/>
                      <w:color w:val="auto"/>
                      <w:sz w:val="21"/>
                      <w:szCs w:val="21"/>
                      <w:lang w:val="en-US"/>
                    </w:rPr>
                  </w:pPr>
                  <w:r>
                    <w:rPr>
                      <w:rFonts w:hint="default" w:ascii="Times New Roman" w:hAnsi="Times New Roman" w:cs="Times New Roman" w:eastAsiaTheme="minorEastAsia"/>
                      <w:b w:val="0"/>
                      <w:bCs w:val="0"/>
                      <w:color w:val="auto"/>
                      <w:sz w:val="21"/>
                      <w:szCs w:val="21"/>
                    </w:rPr>
                    <w:t>硝酸铬、硝酸铵、氟化铵</w:t>
                  </w:r>
                </w:p>
              </w:tc>
              <w:tc>
                <w:tcPr>
                  <w:tcW w:w="1065" w:type="dxa"/>
                  <w:noWrap/>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val="en-US"/>
                    </w:rPr>
                    <w:t>9</w:t>
                  </w:r>
                </w:p>
              </w:tc>
              <w:tc>
                <w:tcPr>
                  <w:tcW w:w="1282"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val="en-US"/>
                    </w:rPr>
                    <w:t>50kg/桶</w:t>
                  </w:r>
                </w:p>
              </w:tc>
              <w:tc>
                <w:tcPr>
                  <w:tcW w:w="947" w:type="dxa"/>
                  <w:vMerge w:val="continue"/>
                  <w:vAlign w:val="center"/>
                </w:tcPr>
                <w:p>
                  <w:pPr>
                    <w:pStyle w:val="22"/>
                    <w:rPr>
                      <w:rFonts w:hint="default" w:ascii="Times New Roman" w:hAnsi="Times New Roman" w:cs="Times New Roman" w:eastAsiaTheme="minorEastAsia"/>
                      <w:b w:val="0"/>
                      <w:bCs w:val="0"/>
                      <w:color w:val="auto"/>
                      <w:sz w:val="21"/>
                      <w:szCs w:val="21"/>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b/>
                <w:bCs/>
                <w:color w:val="000000" w:themeColor="text1"/>
                <w:sz w:val="22"/>
                <w:szCs w:val="2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b/>
                <w:bCs/>
                <w:color w:val="000000" w:themeColor="text1"/>
                <w:sz w:val="22"/>
                <w:szCs w:val="2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b/>
                <w:bCs/>
                <w:color w:val="000000" w:themeColor="text1"/>
                <w:sz w:val="22"/>
                <w:szCs w:val="2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28"/>
                <w:szCs w:val="28"/>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79" w:hRule="atLeast"/>
        </w:trPr>
        <w:tc>
          <w:tcPr>
            <w:tcW w:w="5000" w:type="pct"/>
            <w:tcBorders>
              <w:top w:val="single" w:color="000000" w:sz="6" w:space="0"/>
              <w:bottom w:val="single" w:color="000000" w:sz="6" w:space="0"/>
            </w:tcBorders>
          </w:tcPr>
          <w:p>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 xml:space="preserve">生产工艺简述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 xml:space="preserve">    本项目 4 条电镀生产线全部离地建设，每条电镀线底部安装托盘收集清洗液和槽液，车间内每条废水管线均进行明示，张贴分类水质标签所有退镀工序均合并至每条生产线内，不单独设置退镀线，退镀产生的废水废气均与生产线产生的废水废气共同收集处理。  </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548" w:firstLineChars="200"/>
              <w:textAlignment w:val="auto"/>
              <w:rPr>
                <w:rFonts w:hint="eastAsia" w:ascii="Times New Roman" w:hAnsi="Times New Roman" w:cs="Times New Roman"/>
                <w:sz w:val="28"/>
                <w:szCs w:val="28"/>
                <w:lang w:val="en-US" w:eastAsia="zh-CN"/>
              </w:rPr>
            </w:pPr>
            <w:r>
              <w:rPr>
                <w:rFonts w:hint="default" w:ascii="Times New Roman" w:hAnsi="Times New Roman" w:cs="Times New Roman"/>
                <w:color w:val="auto"/>
                <w:spacing w:val="-3"/>
                <w:sz w:val="28"/>
                <w:szCs w:val="28"/>
              </w:rPr>
              <w:t>挂镀镀锌</w:t>
            </w:r>
            <w:r>
              <w:rPr>
                <w:rFonts w:hint="eastAsia" w:ascii="Times New Roman" w:hAnsi="Times New Roman" w:cs="Times New Roman"/>
                <w:color w:val="auto"/>
                <w:spacing w:val="-3"/>
                <w:sz w:val="28"/>
                <w:szCs w:val="28"/>
                <w:lang w:eastAsia="zh-CN"/>
              </w:rPr>
              <w:t>生产</w:t>
            </w:r>
            <w:r>
              <w:rPr>
                <w:rFonts w:hint="default" w:ascii="Times New Roman" w:hAnsi="Times New Roman" w:cs="Times New Roman"/>
                <w:color w:val="auto"/>
                <w:spacing w:val="-3"/>
                <w:sz w:val="28"/>
                <w:szCs w:val="28"/>
              </w:rPr>
              <w:t>线</w:t>
            </w:r>
            <w:r>
              <w:rPr>
                <w:rFonts w:hint="eastAsia" w:ascii="Times New Roman" w:hAnsi="Times New Roman" w:cs="Times New Roman"/>
                <w:sz w:val="28"/>
                <w:szCs w:val="28"/>
                <w:lang w:val="en-US" w:eastAsia="zh-CN"/>
              </w:rPr>
              <w:t>（挂镀锌不设置退镀工艺）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（1）镀件上挂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各类镀件放置于挂架上，待处理。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（2）化学除油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镀件表面常沾有指纹、油污以及靠静电作用而附着的灰尘等污染物，这些污垢应加以去除。化学除油是利用热碱溶液对油脂的皂化和乳化作用，将零件表面油污除去的过程。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（3）二级逆流水洗</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将化学除油后的工件移入水洗槽，室温下采取两级逆流漂洗方式进行水洗，不添加任何清洗剂，水洗清洗时间 10s，溢流流量按照 3 小时1 个水洗槽容积循环，即 0.39L/s。第二道清洗水水质较好，通过槽间溢流口直接套用至第一次清洗工序，即只有第一次清洗槽有废水排出，第二道清洗槽内补充用水。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（4）电解除油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电解除油是将待镀件在碱性电解液的阴极或阳极上，在直流电的作用下将零件表面的油脂除去除油彻底、效果好。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（5）水洗</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与上述生产线中“二级逆流水洗”工艺基本一致。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（6）酸洗</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二级逆流水洗后镀件放入酸洗槽（15%盐酸）常温酸洗活化 6-18 分钟，添加酸雾抑制剂（a-异癸基-ω-羟基-聚（氧-1，2-亚乙基）），挂镀锌生产线设置 2 个酸洗槽，酸洗完成后镀件在酸槽上稍作停留沥去表面酸液，以减少盐酸带出量，再进入下一道酸洗槽。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（7）二级逆流水洗</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酸洗后镀件再次放入水洗槽进行逆流水洗，与上述“二级逆流水洗” 中工艺完全一致。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（8）活化</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与上述“酸洗”中工艺基本一致。主要区别在于盐酸溶液约 5%，操作时间持续约 3min。</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（9）二级逆流水洗</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活化后镀件再次放入水洗槽进行逆流水洗，与上述“二级逆流水洗” 中工艺完全一致。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（10）电镀锌</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项目镀锌生产线采用无氰镀锌工艺，无氰镀锌为环保型镀锌，镀液不含剧毒氰化物，废水易处理。镀锌槽液不更换，定期分析进行主盐补充，生产过程槽液进行连续过滤处理，产生废过滤芯（S-废滤芯），平均更换周期为 2 个月，建设单位收集后前期放入车间一层的危废暂存间暂存，委托有资质单位处理，后期待电镀中心危废间建成后，交由电镀中心统一收集、暂存后委托有资质单位处理。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（11）二级逆流水洗</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镀锌后将镀件移入水洗槽，与上述“二级逆流水洗”中工艺和原理基本一致。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（12）出光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钝化前把镀锌件在稀硝酸溶液中浸一下，可提高镀锌层的光亮度，还可以中和零件表面未清洗干净的碱液，有利于钝化液稳定。</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（13）钝化、水洗</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锌的化学性质活泼，在大气中容易氧化变暗，最后产生“白锈”腐蚀。镀锌后经过铬酸盐处理，以便在锌上覆盖一层化学转化膜，使活泼的金属处于钝态，这就叫锌层铬酸盐钝化处理。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（14）封闭</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为了弥补镀层缺陷，提高镀层防护性能，采用自来水配置 300g/L 封闭溶液（水溶性环保有机硅烷封闭剂）进行封闭处理，设置 1 个封闭槽，操作温度为常温，操作时间 30s。</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（15）烘干</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sz w:val="28"/>
                <w:szCs w:val="28"/>
                <w:lang w:val="en-US" w:eastAsia="zh-CN"/>
              </w:rPr>
            </w:pPr>
            <w:r>
              <w:drawing>
                <wp:anchor distT="0" distB="0" distL="114300" distR="114300" simplePos="0" relativeHeight="251666432" behindDoc="0" locked="0" layoutInCell="1" allowOverlap="1">
                  <wp:simplePos x="0" y="0"/>
                  <wp:positionH relativeFrom="column">
                    <wp:posOffset>-117475</wp:posOffset>
                  </wp:positionH>
                  <wp:positionV relativeFrom="paragraph">
                    <wp:posOffset>3262630</wp:posOffset>
                  </wp:positionV>
                  <wp:extent cx="6124575" cy="6257925"/>
                  <wp:effectExtent l="0" t="0" r="9525" b="9525"/>
                  <wp:wrapTopAndBottom/>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tretch>
                            <a:fillRect/>
                          </a:stretch>
                        </pic:blipFill>
                        <pic:spPr>
                          <a:xfrm>
                            <a:off x="0" y="0"/>
                            <a:ext cx="6124575" cy="6257925"/>
                          </a:xfrm>
                          <a:prstGeom prst="rect">
                            <a:avLst/>
                          </a:prstGeom>
                          <a:noFill/>
                          <a:ln>
                            <a:noFill/>
                          </a:ln>
                        </pic:spPr>
                      </pic:pic>
                    </a:graphicData>
                  </a:graphic>
                </wp:anchor>
              </w:drawing>
            </w:r>
            <w:r>
              <w:rPr>
                <w:rFonts w:hint="eastAsia" w:ascii="Times New Roman" w:hAnsi="Times New Roman" w:cs="Times New Roman"/>
                <w:sz w:val="28"/>
                <w:szCs w:val="28"/>
                <w:lang w:val="en-US" w:eastAsia="zh-CN"/>
              </w:rPr>
              <w:t>项目采用蒸汽间接加热对镀件烘干。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79" w:hRule="atLeast"/>
        </w:trPr>
        <w:tc>
          <w:tcPr>
            <w:tcW w:w="5000" w:type="pct"/>
            <w:tcBorders>
              <w:top w:val="single" w:color="000000" w:sz="6" w:space="0"/>
              <w:bottom w:val="single" w:color="000000" w:sz="6" w:space="0"/>
            </w:tcBorders>
          </w:tcPr>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 xml:space="preserve">滚镀镀锌生产线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（1）酸性镀锌</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项目酸性滚镀锌生产线采用无氰镀锌工艺，无氰镀锌为环保型镀锌，镀液不含剧毒氰化物，废水易处理。镀液以纯水配置，主要成份为ZnCl2：40-60g/L、KCl：200-260g/l、H3BO3：25~30g/L、添加剂 20g/L， 添加剂主要包括光亮剂（亚苄基丙酮，2-氯苯甲醛，2-丁氧基乙醇）、柔软剂（（1-甲基乙基）苯单磺酸钠，硫酸单（2-乙基己基）酯钠盐）。槽液温度控制在 25~35℃，操作时间约 3h。镀锌完成后镀件在镀锌槽上稍作停留沥去表面槽液，以减少槽液带出量。镀锌槽液不更换，定期分析进行主盐补充，生产过程槽液进行连续过滤处理，产生废过滤芯，平均更换周期为 2 个月，建设单位收集后前期放入车间一层的危废暂存间暂存，委托有资质单位处理，后期待电镀中心危废间建成后，交由电镀中心统一收集、暂存后委托有资质单位处理。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（2）离心甩干</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钝化水洗后工件常温条件下离心甩干 60s。</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（3）料筒退镀</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 xml:space="preserve">经检验不合格镀锌挂镀件和挂具需要退除镀层重新上挂。退镀镀锌件经盐酸酸液溶解退镀，退镀槽内主要成分为 15%盐酸溶液，室温条件下操作，退镀操作时间 240s~360s 左右，在通入电流的作用下去除挂具上的镀层。槽液定期检测分析，添加盐酸，退镀槽液不进行更换，定期对退镀槽内槽渣进行清理，作为危废处置。  </w:t>
            </w:r>
          </w:p>
          <w:p>
            <w:pPr>
              <w:pStyle w:val="2"/>
              <w:rPr>
                <w:rFonts w:hint="eastAsia"/>
                <w:lang w:val="en-US" w:eastAsia="zh-CN"/>
              </w:rPr>
            </w:pPr>
            <w:r>
              <w:drawing>
                <wp:inline distT="0" distB="0" distL="114300" distR="114300">
                  <wp:extent cx="5915025" cy="7048500"/>
                  <wp:effectExtent l="0" t="0" r="9525"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0"/>
                          <a:stretch>
                            <a:fillRect/>
                          </a:stretch>
                        </pic:blipFill>
                        <pic:spPr>
                          <a:xfrm>
                            <a:off x="0" y="0"/>
                            <a:ext cx="5915025" cy="7048500"/>
                          </a:xfrm>
                          <a:prstGeom prst="rect">
                            <a:avLst/>
                          </a:prstGeom>
                          <a:noFill/>
                          <a:ln>
                            <a:noFill/>
                          </a:ln>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Chars="200" w:firstLine="274" w:firstLineChars="100"/>
              <w:textAlignment w:val="auto"/>
              <w:rPr>
                <w:rFonts w:hint="eastAsia" w:ascii="Times New Roman" w:hAnsi="Times New Roman" w:cs="Times New Roman"/>
                <w:color w:val="auto"/>
                <w:spacing w:val="-3"/>
                <w:sz w:val="28"/>
                <w:szCs w:val="28"/>
                <w:lang w:val="en-US" w:eastAsia="zh-CN"/>
              </w:rPr>
            </w:pP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Chars="200" w:firstLine="274" w:firstLineChars="100"/>
              <w:textAlignment w:val="auto"/>
              <w:rPr>
                <w:rFonts w:hint="eastAsia" w:ascii="Times New Roman" w:hAnsi="Times New Roman" w:cs="Times New Roman"/>
                <w:color w:val="auto"/>
                <w:spacing w:val="-3"/>
                <w:sz w:val="28"/>
                <w:szCs w:val="28"/>
                <w:lang w:val="en-US" w:eastAsia="zh-CN"/>
              </w:rPr>
            </w:pP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Chars="200" w:firstLine="274" w:firstLineChars="100"/>
              <w:textAlignment w:val="auto"/>
              <w:rPr>
                <w:rFonts w:hint="eastAsia" w:ascii="Times New Roman" w:hAnsi="Times New Roman" w:cs="Times New Roman"/>
                <w:color w:val="auto"/>
                <w:spacing w:val="-3"/>
                <w:sz w:val="28"/>
                <w:szCs w:val="28"/>
                <w:lang w:val="en-US" w:eastAsia="zh-CN"/>
              </w:rPr>
            </w:pP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Chars="200" w:firstLine="274" w:firstLineChars="100"/>
              <w:textAlignment w:val="auto"/>
              <w:rPr>
                <w:rFonts w:hint="eastAsia" w:ascii="Times New Roman" w:hAnsi="Times New Roman" w:cs="Times New Roman"/>
                <w:color w:val="auto"/>
                <w:spacing w:val="-3"/>
                <w:sz w:val="28"/>
                <w:szCs w:val="28"/>
                <w:lang w:val="en-US" w:eastAsia="zh-CN"/>
              </w:rPr>
            </w:pP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Chars="200" w:firstLine="274" w:firstLineChars="100"/>
              <w:textAlignment w:val="auto"/>
              <w:rPr>
                <w:rFonts w:hint="eastAsia" w:ascii="Times New Roman" w:hAnsi="Times New Roman" w:cs="Times New Roman"/>
                <w:color w:val="auto"/>
                <w:spacing w:val="-3"/>
                <w:sz w:val="28"/>
                <w:szCs w:val="28"/>
                <w:lang w:val="en-US" w:eastAsia="zh-CN"/>
              </w:rPr>
            </w:pP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Chars="200" w:firstLine="274" w:firstLineChars="100"/>
              <w:textAlignment w:val="auto"/>
              <w:rPr>
                <w:rFonts w:hint="eastAsia" w:ascii="Times New Roman" w:hAnsi="Times New Roman" w:cs="Times New Roman"/>
                <w:color w:val="auto"/>
                <w:spacing w:val="-3"/>
                <w:sz w:val="28"/>
                <w:szCs w:val="28"/>
                <w:lang w:val="en-US" w:eastAsia="zh-CN"/>
              </w:rPr>
            </w:pPr>
            <w:r>
              <w:rPr>
                <w:rFonts w:hint="eastAsia" w:ascii="Times New Roman" w:hAnsi="Times New Roman" w:cs="Times New Roman"/>
                <w:color w:val="auto"/>
                <w:spacing w:val="-3"/>
                <w:sz w:val="28"/>
                <w:szCs w:val="28"/>
                <w:lang w:val="en-US" w:eastAsia="zh-CN"/>
              </w:rPr>
              <w:t>3、</w:t>
            </w:r>
            <w:r>
              <w:rPr>
                <w:rFonts w:hint="eastAsia" w:ascii="Times New Roman" w:hAnsi="Times New Roman" w:cs="Times New Roman"/>
                <w:color w:val="auto"/>
                <w:spacing w:val="-3"/>
                <w:sz w:val="28"/>
                <w:szCs w:val="28"/>
                <w:lang w:eastAsia="zh-CN"/>
              </w:rPr>
              <w:t>挂镀镍铬生产线</w:t>
            </w:r>
            <w:r>
              <w:rPr>
                <w:rFonts w:hint="eastAsia" w:ascii="Times New Roman" w:hAnsi="Times New Roman" w:cs="Times New Roman"/>
                <w:color w:val="auto"/>
                <w:spacing w:val="-3"/>
                <w:sz w:val="28"/>
                <w:szCs w:val="28"/>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Times New Roman" w:hAnsi="Times New Roman" w:cs="Times New Roman"/>
                <w:color w:val="auto"/>
                <w:spacing w:val="-3"/>
                <w:sz w:val="28"/>
                <w:szCs w:val="28"/>
                <w:lang w:val="en-US" w:eastAsia="zh-CN"/>
              </w:rPr>
            </w:pPr>
            <w:r>
              <w:rPr>
                <w:rFonts w:hint="eastAsia" w:ascii="Times New Roman" w:hAnsi="Times New Roman" w:cs="Times New Roman"/>
                <w:color w:val="auto"/>
                <w:spacing w:val="-3"/>
                <w:sz w:val="28"/>
                <w:szCs w:val="28"/>
                <w:lang w:val="en-US" w:eastAsia="zh-CN"/>
              </w:rPr>
              <w:t xml:space="preserve"> （1）镀镍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48" w:firstLineChars="200"/>
              <w:textAlignment w:val="auto"/>
              <w:rPr>
                <w:rFonts w:hint="eastAsia" w:ascii="Times New Roman" w:hAnsi="Times New Roman" w:cs="Times New Roman"/>
                <w:color w:val="auto"/>
                <w:spacing w:val="-3"/>
                <w:sz w:val="28"/>
                <w:szCs w:val="28"/>
                <w:lang w:val="en-US" w:eastAsia="zh-CN"/>
              </w:rPr>
            </w:pPr>
            <w:r>
              <w:rPr>
                <w:rFonts w:hint="eastAsia" w:ascii="Times New Roman" w:hAnsi="Times New Roman" w:cs="Times New Roman"/>
                <w:color w:val="auto"/>
                <w:spacing w:val="-3"/>
                <w:sz w:val="28"/>
                <w:szCs w:val="28"/>
                <w:lang w:val="en-US" w:eastAsia="zh-CN"/>
              </w:rPr>
              <w:t>本项目镀镍采用硫酸镍电镀工艺，硫酸镍为主盐，提供镀镍所需的Ni2+，氯化钠为溶液中的阳极活化剂，硼酸主要充当镀液电镀pH值缓冲剂。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48" w:firstLineChars="200"/>
              <w:textAlignment w:val="auto"/>
              <w:rPr>
                <w:rFonts w:hint="eastAsia" w:ascii="Times New Roman" w:hAnsi="Times New Roman" w:cs="Times New Roman"/>
                <w:color w:val="auto"/>
                <w:spacing w:val="-3"/>
                <w:sz w:val="28"/>
                <w:szCs w:val="28"/>
                <w:lang w:val="en-US" w:eastAsia="zh-CN"/>
              </w:rPr>
            </w:pPr>
            <w:r>
              <w:rPr>
                <w:rFonts w:hint="eastAsia" w:ascii="Times New Roman" w:hAnsi="Times New Roman" w:cs="Times New Roman"/>
                <w:color w:val="auto"/>
                <w:spacing w:val="-3"/>
                <w:sz w:val="28"/>
                <w:szCs w:val="28"/>
                <w:lang w:val="en-US" w:eastAsia="zh-CN"/>
              </w:rPr>
              <w:t>电镀工序不产生废水及工艺废气，在电镀过程中将产生一定量的氢气和氧气。随着电镀时间的增长，电镀原料中会有少量杂质及氧化物将逐渐沉积在槽底，形成槽内镀渣，镀渣采用在线过滤装置进行过滤，其中含有一定量金属离子，滤芯2个月更换一次，属于危险固废，经过过滤后的槽液不更换。废滤芯收集后前期放入3#车间一层的危废暂存间暂存，委托有资质单位处理，后期待电镀中心危废间建成后，交由电镀中心统一收集、暂存后委托有资质单位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48" w:firstLineChars="200"/>
              <w:textAlignment w:val="auto"/>
              <w:rPr>
                <w:rFonts w:hint="eastAsia" w:ascii="Times New Roman" w:hAnsi="Times New Roman" w:cs="Times New Roman"/>
                <w:color w:val="auto"/>
                <w:spacing w:val="-3"/>
                <w:sz w:val="28"/>
                <w:szCs w:val="28"/>
                <w:lang w:val="en-US" w:eastAsia="zh-CN"/>
              </w:rPr>
            </w:pPr>
            <w:r>
              <w:rPr>
                <w:rFonts w:hint="eastAsia" w:ascii="Times New Roman" w:hAnsi="Times New Roman" w:cs="Times New Roman"/>
                <w:color w:val="auto"/>
                <w:spacing w:val="-3"/>
                <w:sz w:val="28"/>
                <w:szCs w:val="28"/>
                <w:lang w:val="en-US" w:eastAsia="zh-CN"/>
              </w:rPr>
              <w:t>（2）镀铬</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48" w:firstLineChars="200"/>
              <w:textAlignment w:val="auto"/>
              <w:rPr>
                <w:rFonts w:hint="eastAsia" w:ascii="Times New Roman" w:hAnsi="Times New Roman" w:cs="Times New Roman"/>
                <w:color w:val="auto"/>
                <w:spacing w:val="-3"/>
                <w:sz w:val="28"/>
                <w:szCs w:val="28"/>
                <w:lang w:val="en-US" w:eastAsia="zh-CN"/>
              </w:rPr>
            </w:pPr>
            <w:r>
              <w:rPr>
                <w:rFonts w:hint="eastAsia" w:ascii="Times New Roman" w:hAnsi="Times New Roman" w:cs="Times New Roman"/>
                <w:color w:val="auto"/>
                <w:spacing w:val="-3"/>
                <w:sz w:val="28"/>
                <w:szCs w:val="28"/>
                <w:lang w:val="en-US" w:eastAsia="zh-CN"/>
              </w:rPr>
              <w:t>镀铬液中仅含有铬酐和硫酸，铬酐的浓度在150g/L左右，硫酸浓度在15g/L左右。铬酐溶液后形成Cr2O72-，在电解过程中，阴极反应为六价铬还原成三价铬，阳极基板上形成一层金属氧化膜，然后镀液中阴极反应六价铬还原成铬层，阳极反应中三价铬氧化成六价铬，这样保持电镀的正常进行。</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48" w:firstLineChars="200"/>
              <w:textAlignment w:val="auto"/>
              <w:rPr>
                <w:rFonts w:hint="eastAsia" w:ascii="Times New Roman" w:hAnsi="Times New Roman" w:cs="Times New Roman"/>
                <w:color w:val="auto"/>
                <w:spacing w:val="-3"/>
                <w:sz w:val="28"/>
                <w:szCs w:val="28"/>
                <w:lang w:val="en-US" w:eastAsia="zh-CN"/>
              </w:rPr>
            </w:pPr>
            <w:r>
              <w:rPr>
                <w:rFonts w:hint="eastAsia" w:ascii="Times New Roman" w:hAnsi="Times New Roman" w:cs="Times New Roman"/>
                <w:color w:val="auto"/>
                <w:spacing w:val="-3"/>
                <w:sz w:val="28"/>
                <w:szCs w:val="28"/>
                <w:lang w:val="en-US" w:eastAsia="zh-CN"/>
              </w:rPr>
              <w:t xml:space="preserve">项目生产过程中将加入酸雾抑制剂，抑制剂在镀液中形成的泡沫层，严密覆盖在镀液表面，当带有铬酸的氢气和氧气析出时，与泡沫层相碰撞，铬酸雾形成大的液滴，由于重力作用重新返回镀槽。同时在槽边两侧和顶部设置抽风系统，收集的铬酸雾采用喷淋塔凝聚回收法进行处理。 </w:t>
            </w: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Chars="200" w:firstLine="274" w:firstLineChars="100"/>
              <w:textAlignment w:val="auto"/>
              <w:rPr>
                <w:rFonts w:hint="eastAsia" w:ascii="Times New Roman" w:hAnsi="Times New Roman" w:cs="Times New Roman"/>
                <w:color w:val="auto"/>
                <w:spacing w:val="-3"/>
                <w:sz w:val="28"/>
                <w:szCs w:val="28"/>
                <w:lang w:val="en-US" w:eastAsia="zh-CN"/>
              </w:rPr>
            </w:pP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Chars="200" w:firstLine="274" w:firstLineChars="100"/>
              <w:textAlignment w:val="auto"/>
              <w:rPr>
                <w:rFonts w:hint="eastAsia" w:ascii="Times New Roman" w:hAnsi="Times New Roman" w:cs="Times New Roman"/>
                <w:color w:val="auto"/>
                <w:spacing w:val="-3"/>
                <w:sz w:val="28"/>
                <w:szCs w:val="28"/>
                <w:lang w:val="en-US" w:eastAsia="zh-CN"/>
              </w:rPr>
            </w:pP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Chars="200" w:firstLine="274" w:firstLineChars="100"/>
              <w:textAlignment w:val="auto"/>
              <w:rPr>
                <w:rFonts w:hint="eastAsia" w:ascii="Times New Roman" w:hAnsi="Times New Roman" w:cs="Times New Roman"/>
                <w:color w:val="auto"/>
                <w:spacing w:val="-3"/>
                <w:sz w:val="28"/>
                <w:szCs w:val="28"/>
                <w:lang w:val="en-US" w:eastAsia="zh-CN"/>
              </w:rPr>
            </w:pP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Chars="200" w:firstLine="274" w:firstLineChars="100"/>
              <w:textAlignment w:val="auto"/>
              <w:rPr>
                <w:rFonts w:hint="eastAsia" w:ascii="Times New Roman" w:hAnsi="Times New Roman" w:cs="Times New Roman"/>
                <w:color w:val="auto"/>
                <w:spacing w:val="-3"/>
                <w:sz w:val="28"/>
                <w:szCs w:val="28"/>
                <w:lang w:val="en-US" w:eastAsia="zh-CN"/>
              </w:rPr>
            </w:pP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Chars="200" w:firstLine="274" w:firstLineChars="100"/>
              <w:textAlignment w:val="auto"/>
              <w:rPr>
                <w:rFonts w:hint="eastAsia" w:ascii="Times New Roman" w:hAnsi="Times New Roman" w:cs="Times New Roman"/>
                <w:color w:val="auto"/>
                <w:spacing w:val="-3"/>
                <w:sz w:val="28"/>
                <w:szCs w:val="28"/>
                <w:lang w:val="en-US" w:eastAsia="zh-CN"/>
              </w:rPr>
            </w:pP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Chars="200" w:firstLine="274" w:firstLineChars="100"/>
              <w:textAlignment w:val="auto"/>
              <w:rPr>
                <w:rFonts w:hint="eastAsia" w:ascii="Times New Roman" w:hAnsi="Times New Roman" w:cs="Times New Roman"/>
                <w:color w:val="auto"/>
                <w:spacing w:val="-3"/>
                <w:sz w:val="28"/>
                <w:szCs w:val="28"/>
                <w:lang w:val="en-US" w:eastAsia="zh-CN"/>
              </w:rPr>
            </w:pP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Chars="200" w:firstLine="274" w:firstLineChars="100"/>
              <w:textAlignment w:val="auto"/>
              <w:rPr>
                <w:rFonts w:hint="eastAsia" w:ascii="Times New Roman" w:hAnsi="Times New Roman" w:cs="Times New Roman"/>
                <w:color w:val="auto"/>
                <w:spacing w:val="-3"/>
                <w:sz w:val="28"/>
                <w:szCs w:val="28"/>
                <w:lang w:val="en-US" w:eastAsia="zh-CN"/>
              </w:rPr>
            </w:pP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color w:val="auto"/>
                <w:spacing w:val="-3"/>
                <w:sz w:val="28"/>
                <w:szCs w:val="28"/>
                <w:lang w:val="en-US" w:eastAsia="zh-CN"/>
              </w:rPr>
            </w:pPr>
            <w:r>
              <w:drawing>
                <wp:inline distT="0" distB="0" distL="114300" distR="114300">
                  <wp:extent cx="6105525" cy="5991225"/>
                  <wp:effectExtent l="0" t="0" r="9525" b="952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1"/>
                          <a:stretch>
                            <a:fillRect/>
                          </a:stretch>
                        </pic:blipFill>
                        <pic:spPr>
                          <a:xfrm>
                            <a:off x="0" y="0"/>
                            <a:ext cx="6105525" cy="5991225"/>
                          </a:xfrm>
                          <a:prstGeom prst="rect">
                            <a:avLst/>
                          </a:prstGeom>
                          <a:noFill/>
                          <a:ln>
                            <a:noFill/>
                          </a:ln>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Chars="200" w:firstLine="274" w:firstLineChars="100"/>
              <w:textAlignment w:val="auto"/>
              <w:rPr>
                <w:rFonts w:hint="eastAsia" w:ascii="Times New Roman" w:hAnsi="Times New Roman" w:cs="Times New Roman"/>
                <w:color w:val="auto"/>
                <w:spacing w:val="-3"/>
                <w:sz w:val="28"/>
                <w:szCs w:val="28"/>
                <w:lang w:val="en-US" w:eastAsia="zh-CN"/>
              </w:rPr>
            </w:pP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Chars="200" w:firstLine="274" w:firstLineChars="100"/>
              <w:textAlignment w:val="auto"/>
              <w:rPr>
                <w:rFonts w:hint="eastAsia" w:ascii="Times New Roman" w:hAnsi="Times New Roman" w:cs="Times New Roman"/>
                <w:color w:val="auto"/>
                <w:spacing w:val="-3"/>
                <w:sz w:val="28"/>
                <w:szCs w:val="28"/>
                <w:lang w:val="en-US" w:eastAsia="zh-CN"/>
              </w:rPr>
            </w:pP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Chars="200" w:firstLine="274" w:firstLineChars="100"/>
              <w:textAlignment w:val="auto"/>
              <w:rPr>
                <w:rFonts w:hint="eastAsia" w:ascii="Times New Roman" w:hAnsi="Times New Roman" w:cs="Times New Roman"/>
                <w:color w:val="auto"/>
                <w:spacing w:val="-3"/>
                <w:sz w:val="28"/>
                <w:szCs w:val="28"/>
                <w:lang w:val="en-US" w:eastAsia="zh-CN"/>
              </w:rPr>
            </w:pP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Chars="200" w:firstLine="274" w:firstLineChars="100"/>
              <w:textAlignment w:val="auto"/>
              <w:rPr>
                <w:rFonts w:hint="eastAsia" w:ascii="Times New Roman" w:hAnsi="Times New Roman" w:cs="Times New Roman"/>
                <w:color w:val="auto"/>
                <w:spacing w:val="-3"/>
                <w:sz w:val="28"/>
                <w:szCs w:val="28"/>
                <w:lang w:val="en-US" w:eastAsia="zh-CN"/>
              </w:rPr>
            </w:pP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Chars="200" w:firstLine="274" w:firstLineChars="100"/>
              <w:textAlignment w:val="auto"/>
              <w:rPr>
                <w:rFonts w:hint="eastAsia" w:ascii="Times New Roman" w:hAnsi="Times New Roman" w:cs="Times New Roman"/>
                <w:color w:val="auto"/>
                <w:spacing w:val="-3"/>
                <w:sz w:val="28"/>
                <w:szCs w:val="28"/>
                <w:lang w:val="en-US" w:eastAsia="zh-CN"/>
              </w:rPr>
            </w:pP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Chars="200" w:firstLine="274" w:firstLineChars="100"/>
              <w:textAlignment w:val="auto"/>
              <w:rPr>
                <w:rFonts w:hint="eastAsia" w:ascii="Times New Roman" w:hAnsi="Times New Roman" w:cs="Times New Roman"/>
                <w:color w:val="auto"/>
                <w:spacing w:val="-3"/>
                <w:sz w:val="28"/>
                <w:szCs w:val="28"/>
                <w:lang w:val="en-US" w:eastAsia="zh-CN"/>
              </w:rPr>
            </w:pP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color w:val="auto"/>
                <w:spacing w:val="-3"/>
                <w:sz w:val="28"/>
                <w:szCs w:val="28"/>
                <w:lang w:val="en-US" w:eastAsia="zh-CN"/>
              </w:rPr>
            </w:pPr>
          </w:p>
          <w:p>
            <w:pPr>
              <w:pStyle w:val="2"/>
              <w:rPr>
                <w:rFonts w:hint="eastAsia"/>
                <w:lang w:val="en-US" w:eastAsia="zh-CN"/>
              </w:rPr>
            </w:pP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leftChars="200" w:firstLine="274" w:firstLineChars="100"/>
              <w:textAlignment w:val="auto"/>
              <w:rPr>
                <w:rFonts w:hint="eastAsia" w:ascii="Times New Roman" w:hAnsi="Times New Roman" w:cs="Times New Roman"/>
                <w:color w:val="auto"/>
                <w:spacing w:val="-3"/>
                <w:sz w:val="28"/>
                <w:szCs w:val="28"/>
                <w:lang w:eastAsia="zh-CN"/>
              </w:rPr>
            </w:pPr>
            <w:r>
              <w:rPr>
                <w:rFonts w:hint="eastAsia" w:ascii="Times New Roman" w:hAnsi="Times New Roman" w:cs="Times New Roman"/>
                <w:color w:val="auto"/>
                <w:spacing w:val="-3"/>
                <w:sz w:val="28"/>
                <w:szCs w:val="28"/>
                <w:lang w:val="en-US" w:eastAsia="zh-CN"/>
              </w:rPr>
              <w:t>4、</w:t>
            </w:r>
            <w:r>
              <w:rPr>
                <w:rFonts w:hint="eastAsia" w:ascii="Times New Roman" w:hAnsi="Times New Roman" w:cs="Times New Roman"/>
                <w:color w:val="auto"/>
                <w:spacing w:val="-3"/>
                <w:sz w:val="28"/>
                <w:szCs w:val="28"/>
                <w:lang w:eastAsia="zh-CN"/>
              </w:rPr>
              <w:t>电镀铜锡合金生产线</w:t>
            </w:r>
          </w:p>
          <w:p>
            <w:pPr>
              <w:pStyle w:val="13"/>
              <w:spacing w:line="360" w:lineRule="auto"/>
              <w:ind w:firstLine="48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en-US"/>
              </w:rPr>
              <w:t>1</w:t>
            </w:r>
            <w:r>
              <w:rPr>
                <w:rFonts w:hint="default" w:ascii="Times New Roman" w:hAnsi="Times New Roman" w:cs="Times New Roman"/>
                <w:color w:val="auto"/>
                <w:sz w:val="28"/>
                <w:szCs w:val="28"/>
              </w:rPr>
              <w:t>）镀铜锡</w:t>
            </w:r>
          </w:p>
          <w:p>
            <w:pPr>
              <w:pStyle w:val="13"/>
              <w:spacing w:line="360" w:lineRule="auto"/>
              <w:ind w:firstLine="480"/>
              <w:rPr>
                <w:rFonts w:hint="default" w:ascii="Times New Roman" w:hAnsi="Times New Roman" w:cs="Times New Roman"/>
                <w:color w:val="auto"/>
                <w:sz w:val="28"/>
                <w:szCs w:val="28"/>
                <w:lang w:val="en-US"/>
              </w:rPr>
            </w:pPr>
            <w:r>
              <w:rPr>
                <w:rFonts w:hint="default" w:ascii="Times New Roman" w:hAnsi="Times New Roman" w:cs="Times New Roman"/>
                <w:color w:val="auto"/>
                <w:sz w:val="28"/>
                <w:szCs w:val="28"/>
              </w:rPr>
              <w:t>项目镀铜锡</w:t>
            </w:r>
            <w:r>
              <w:rPr>
                <w:rFonts w:hint="default" w:ascii="Times New Roman" w:hAnsi="Times New Roman" w:cs="Times New Roman"/>
                <w:color w:val="auto"/>
                <w:sz w:val="28"/>
                <w:szCs w:val="28"/>
                <w:lang w:eastAsia="zh-CN"/>
              </w:rPr>
              <w:t>前需先镀一层镍，镀镍采用硫酸镍、氯化镍、硼酸和镍板，镀镍</w:t>
            </w:r>
            <w:r>
              <w:rPr>
                <w:rFonts w:hint="eastAsia" w:ascii="Times New Roman" w:hAnsi="Times New Roman" w:cs="Times New Roman"/>
                <w:color w:val="auto"/>
                <w:sz w:val="28"/>
                <w:szCs w:val="28"/>
                <w:lang w:eastAsia="zh-CN"/>
              </w:rPr>
              <w:t>时间</w:t>
            </w:r>
            <w:r>
              <w:rPr>
                <w:rFonts w:hint="default" w:ascii="Times New Roman" w:hAnsi="Times New Roman" w:cs="Times New Roman"/>
                <w:color w:val="auto"/>
                <w:sz w:val="28"/>
                <w:szCs w:val="28"/>
                <w:lang w:eastAsia="zh-CN"/>
              </w:rPr>
              <w:t>约为</w:t>
            </w:r>
            <w:r>
              <w:rPr>
                <w:rFonts w:hint="default" w:ascii="Times New Roman" w:hAnsi="Times New Roman" w:cs="Times New Roman"/>
                <w:color w:val="auto"/>
                <w:sz w:val="28"/>
                <w:szCs w:val="28"/>
                <w:lang w:val="en-US" w:eastAsia="zh-CN"/>
              </w:rPr>
              <w:t>20-50分钟；镀镍完成后</w:t>
            </w:r>
            <w:r>
              <w:rPr>
                <w:rFonts w:hint="default" w:ascii="Times New Roman" w:hAnsi="Times New Roman" w:cs="Times New Roman"/>
                <w:color w:val="auto"/>
                <w:sz w:val="28"/>
                <w:szCs w:val="28"/>
              </w:rPr>
              <w:t>采用碱性镀铜工艺，</w:t>
            </w:r>
            <w:r>
              <w:rPr>
                <w:rFonts w:hint="default" w:ascii="Times New Roman" w:hAnsi="Times New Roman" w:cs="Times New Roman"/>
                <w:color w:val="auto"/>
                <w:sz w:val="28"/>
                <w:szCs w:val="28"/>
                <w:lang w:eastAsia="zh-CN"/>
              </w:rPr>
              <w:t>铜</w:t>
            </w:r>
            <w:r>
              <w:rPr>
                <w:rFonts w:hint="default" w:ascii="Times New Roman" w:hAnsi="Times New Roman" w:cs="Times New Roman"/>
                <w:color w:val="auto"/>
                <w:sz w:val="28"/>
                <w:szCs w:val="28"/>
              </w:rPr>
              <w:t>镀液</w:t>
            </w:r>
            <w:r>
              <w:rPr>
                <w:rFonts w:hint="default" w:ascii="Times New Roman" w:hAnsi="Times New Roman" w:cs="Times New Roman"/>
                <w:color w:val="auto"/>
                <w:sz w:val="28"/>
                <w:szCs w:val="28"/>
                <w:lang w:eastAsia="zh-CN"/>
              </w:rPr>
              <w:t>为</w:t>
            </w:r>
            <w:r>
              <w:rPr>
                <w:rFonts w:hint="default" w:ascii="Times New Roman" w:hAnsi="Times New Roman" w:cs="Times New Roman"/>
                <w:color w:val="auto"/>
                <w:sz w:val="28"/>
                <w:szCs w:val="28"/>
              </w:rPr>
              <w:t>硫酸铜、氢氧化钠</w:t>
            </w:r>
            <w:r>
              <w:rPr>
                <w:rFonts w:hint="default" w:ascii="Times New Roman" w:hAnsi="Times New Roman" w:cs="Times New Roman"/>
                <w:color w:val="auto"/>
                <w:sz w:val="28"/>
                <w:szCs w:val="28"/>
                <w:lang w:eastAsia="zh-CN"/>
              </w:rPr>
              <w:t>和磷铜板，镀铜完成后镀锡，锡镀液为硫酸亚锡</w:t>
            </w:r>
            <w:r>
              <w:rPr>
                <w:rFonts w:hint="default" w:ascii="Times New Roman" w:hAnsi="Times New Roman" w:cs="Times New Roman"/>
                <w:color w:val="auto"/>
                <w:sz w:val="28"/>
                <w:szCs w:val="28"/>
              </w:rPr>
              <w:t>溶液</w:t>
            </w:r>
            <w:r>
              <w:rPr>
                <w:rFonts w:hint="default" w:ascii="Times New Roman" w:hAnsi="Times New Roman" w:cs="Times New Roman"/>
                <w:color w:val="auto"/>
                <w:sz w:val="28"/>
                <w:szCs w:val="28"/>
                <w:lang w:eastAsia="zh-CN"/>
              </w:rPr>
              <w:t>和锡板</w:t>
            </w:r>
            <w:r>
              <w:rPr>
                <w:rFonts w:hint="default" w:ascii="Times New Roman" w:hAnsi="Times New Roman" w:cs="Times New Roman"/>
                <w:color w:val="auto"/>
                <w:sz w:val="28"/>
                <w:szCs w:val="28"/>
              </w:rPr>
              <w:t>组成，坯件槽中</w:t>
            </w:r>
            <w:r>
              <w:rPr>
                <w:rFonts w:hint="default" w:ascii="Times New Roman" w:hAnsi="Times New Roman" w:cs="Times New Roman"/>
                <w:color w:val="auto"/>
                <w:sz w:val="28"/>
                <w:szCs w:val="28"/>
                <w:lang w:eastAsia="zh-CN"/>
              </w:rPr>
              <w:t>，</w:t>
            </w:r>
            <w:r>
              <w:rPr>
                <w:rFonts w:hint="default" w:ascii="Times New Roman" w:hAnsi="Times New Roman" w:cs="Times New Roman"/>
                <w:color w:val="auto"/>
                <w:sz w:val="28"/>
                <w:szCs w:val="28"/>
              </w:rPr>
              <w:t>镀铜</w:t>
            </w:r>
            <w:r>
              <w:rPr>
                <w:rFonts w:hint="default" w:ascii="Times New Roman" w:hAnsi="Times New Roman" w:cs="Times New Roman"/>
                <w:color w:val="auto"/>
                <w:sz w:val="28"/>
                <w:szCs w:val="28"/>
                <w:lang w:eastAsia="zh-CN"/>
              </w:rPr>
              <w:t>和镀锡</w:t>
            </w:r>
            <w:r>
              <w:rPr>
                <w:rFonts w:hint="default" w:ascii="Times New Roman" w:hAnsi="Times New Roman" w:cs="Times New Roman"/>
                <w:color w:val="auto"/>
                <w:sz w:val="28"/>
                <w:szCs w:val="28"/>
              </w:rPr>
              <w:t>时间约为</w:t>
            </w:r>
            <w:r>
              <w:rPr>
                <w:rFonts w:hint="default" w:ascii="Times New Roman" w:hAnsi="Times New Roman" w:cs="Times New Roman"/>
                <w:color w:val="auto"/>
                <w:sz w:val="28"/>
                <w:szCs w:val="28"/>
                <w:lang w:val="en-US" w:eastAsia="zh-CN"/>
              </w:rPr>
              <w:t>70</w:t>
            </w:r>
            <w:r>
              <w:rPr>
                <w:rFonts w:hint="default" w:ascii="Times New Roman" w:hAnsi="Times New Roman" w:cs="Times New Roman"/>
                <w:color w:val="auto"/>
                <w:sz w:val="28"/>
                <w:szCs w:val="28"/>
              </w:rPr>
              <w:t>分钟，该工艺镀液对设备腐蚀性小，镀液较稳定，平时只需更换阴极铜、锡板、加入氢氧化钠即可。槽液通过滤芯过滤回用，滤芯定期更换，过滤后的槽液</w:t>
            </w:r>
            <w:r>
              <w:rPr>
                <w:rFonts w:hint="default" w:ascii="Times New Roman" w:hAnsi="Times New Roman" w:cs="Times New Roman"/>
                <w:color w:val="auto"/>
                <w:sz w:val="28"/>
                <w:szCs w:val="28"/>
                <w:lang w:eastAsia="zh-CN"/>
              </w:rPr>
              <w:t>不更换</w:t>
            </w:r>
            <w:r>
              <w:rPr>
                <w:rFonts w:hint="default" w:ascii="Times New Roman" w:hAnsi="Times New Roman" w:cs="Times New Roman"/>
                <w:color w:val="auto"/>
                <w:sz w:val="28"/>
                <w:szCs w:val="28"/>
                <w:lang w:val="en-US"/>
              </w:rPr>
              <w:t>。</w:t>
            </w:r>
          </w:p>
          <w:p>
            <w:pPr>
              <w:pStyle w:val="13"/>
              <w:spacing w:line="360" w:lineRule="auto"/>
              <w:ind w:firstLine="48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en-US"/>
              </w:rPr>
              <w:t>2</w:t>
            </w:r>
            <w:r>
              <w:rPr>
                <w:rFonts w:hint="default" w:ascii="Times New Roman" w:hAnsi="Times New Roman" w:cs="Times New Roman"/>
                <w:color w:val="auto"/>
                <w:sz w:val="28"/>
                <w:szCs w:val="28"/>
              </w:rPr>
              <w:t>）镀液回收工段</w:t>
            </w:r>
          </w:p>
          <w:p>
            <w:pPr>
              <w:pStyle w:val="13"/>
              <w:spacing w:line="360" w:lineRule="auto"/>
              <w:ind w:firstLine="48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本项目电镀采用自动化生产线，镀件在电镀槽内电镀完毕后，一定量镀液将附着在镀件表面，拟建项目将设置镀液回收装置，镀件电镀完毕后在回收槽上静置一段时间，使镀件上的镀液滴落到回收槽内。回收槽定期采用新鲜水冲洗，冲洗水及收集的镀液返回到电镀槽内。本工序无污染物产生。</w:t>
            </w:r>
          </w:p>
          <w:p>
            <w:pPr>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en-US"/>
              </w:rPr>
              <w:t>3</w:t>
            </w:r>
            <w:r>
              <w:rPr>
                <w:rFonts w:hint="default" w:ascii="Times New Roman" w:hAnsi="Times New Roman" w:cs="Times New Roman"/>
                <w:color w:val="auto"/>
                <w:sz w:val="28"/>
                <w:szCs w:val="28"/>
              </w:rPr>
              <w:t>）热水洗</w:t>
            </w:r>
          </w:p>
          <w:p>
            <w:pPr>
              <w:pStyle w:val="13"/>
              <w:spacing w:line="360" w:lineRule="auto"/>
              <w:ind w:firstLine="48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坯件送至50~60</w:t>
            </w:r>
            <w:r>
              <w:rPr>
                <w:rFonts w:hint="default" w:ascii="Times New Roman" w:hAnsi="Times New Roman" w:cs="Times New Roman"/>
                <w:color w:val="auto"/>
                <w:sz w:val="28"/>
                <w:szCs w:val="28"/>
                <w:vertAlign w:val="superscript"/>
              </w:rPr>
              <w:t>o</w:t>
            </w:r>
            <w:r>
              <w:rPr>
                <w:rFonts w:hint="default" w:ascii="Times New Roman" w:hAnsi="Times New Roman" w:cs="Times New Roman"/>
                <w:color w:val="auto"/>
                <w:sz w:val="28"/>
                <w:szCs w:val="28"/>
              </w:rPr>
              <w:t>C的热水槽中浸洗，热水槽内热水每月更换一次。</w:t>
            </w:r>
            <w:r>
              <w:drawing>
                <wp:inline distT="0" distB="0" distL="114300" distR="114300">
                  <wp:extent cx="6010275" cy="4819650"/>
                  <wp:effectExtent l="0" t="0" r="9525"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2"/>
                          <a:stretch>
                            <a:fillRect/>
                          </a:stretch>
                        </pic:blipFill>
                        <pic:spPr>
                          <a:xfrm>
                            <a:off x="0" y="0"/>
                            <a:ext cx="6010275" cy="48196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default" w:ascii="Times New Roman" w:hAnsi="Times New Roman" w:cs="Times New Roman"/>
                <w:sz w:val="28"/>
                <w:szCs w:val="28"/>
                <w:lang w:val="en-US" w:eastAsia="zh-CN"/>
              </w:rPr>
            </w:pPr>
            <w:r>
              <w:rPr>
                <w:rFonts w:hint="eastAsia" w:ascii="Times New Roman" w:hAnsi="Times New Roman" w:cs="Times New Roman"/>
                <w:color w:val="auto"/>
                <w:spacing w:val="-3"/>
                <w:sz w:val="28"/>
                <w:szCs w:val="28"/>
                <w:lang w:val="en-US" w:eastAsia="zh-CN"/>
              </w:rPr>
              <w:t xml:space="preserve"> </w:t>
            </w:r>
          </w:p>
        </w:tc>
      </w:tr>
    </w:tbl>
    <w:p>
      <w:pPr>
        <w:pStyle w:val="19"/>
        <w:spacing w:line="360" w:lineRule="auto"/>
        <w:rPr>
          <w:rFonts w:hint="eastAsia" w:ascii="Times New Roman" w:hAnsi="Times New Roman" w:eastAsia="宋体" w:cs="Times New Roman"/>
          <w:sz w:val="24"/>
          <w:szCs w:val="24"/>
          <w:lang w:eastAsia="zh-CN"/>
        </w:rPr>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p>
    <w:p>
      <w:pPr>
        <w:pStyle w:val="2"/>
        <w:tabs>
          <w:tab w:val="left" w:pos="788"/>
        </w:tabs>
        <w:spacing w:line="415" w:lineRule="exact"/>
        <w:ind w:right="274"/>
        <w:jc w:val="both"/>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表三</w:t>
      </w:r>
    </w:p>
    <w:tbl>
      <w:tblPr>
        <w:tblStyle w:val="1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7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81" w:hRule="atLeast"/>
        </w:trPr>
        <w:tc>
          <w:tcPr>
            <w:tcW w:w="5000" w:type="pct"/>
            <w:vAlign w:val="center"/>
          </w:tcPr>
          <w:p>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主要污染源、污染物处理及排放</w:t>
            </w:r>
          </w:p>
          <w:p>
            <w:pPr>
              <w:numPr>
                <w:ilvl w:val="0"/>
                <w:numId w:val="5"/>
              </w:numPr>
              <w:spacing w:line="360" w:lineRule="auto"/>
              <w:ind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固体废物</w:t>
            </w:r>
          </w:p>
          <w:p>
            <w:pPr>
              <w:numPr>
                <w:ilvl w:val="0"/>
                <w:numId w:val="0"/>
              </w:numPr>
              <w:spacing w:line="360" w:lineRule="auto"/>
              <w:ind w:firstLine="560" w:firstLineChars="2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加强固体废物污染防治，按分类收集、贮存，分质处置。</w:t>
            </w:r>
          </w:p>
          <w:p>
            <w:pPr>
              <w:numPr>
                <w:ilvl w:val="0"/>
                <w:numId w:val="6"/>
              </w:num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生活垃圾：项目劳动定员 32人，生活垃圾产生量按照 0.5kg/人天计，其生活垃圾产生量约为4.8t/a，委托环卫部门定期清运处理。</w:t>
            </w:r>
          </w:p>
          <w:p>
            <w:pPr>
              <w:numPr>
                <w:ilvl w:val="0"/>
                <w:numId w:val="0"/>
              </w:num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anchor distT="0" distB="0" distL="114300" distR="114300" simplePos="0" relativeHeight="251662336" behindDoc="0" locked="0" layoutInCell="1" allowOverlap="1">
                  <wp:simplePos x="0" y="0"/>
                  <wp:positionH relativeFrom="column">
                    <wp:posOffset>710565</wp:posOffset>
                  </wp:positionH>
                  <wp:positionV relativeFrom="paragraph">
                    <wp:posOffset>151765</wp:posOffset>
                  </wp:positionV>
                  <wp:extent cx="4585970" cy="4382770"/>
                  <wp:effectExtent l="0" t="0" r="17780" b="5080"/>
                  <wp:wrapTopAndBottom/>
                  <wp:docPr id="10" name="图片 10" descr="9e86fbf58945c627c807d875869c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e86fbf58945c627c807d875869c23c"/>
                          <pic:cNvPicPr>
                            <a:picLocks noChangeAspect="1"/>
                          </pic:cNvPicPr>
                        </pic:nvPicPr>
                        <pic:blipFill>
                          <a:blip r:embed="rId13"/>
                          <a:stretch>
                            <a:fillRect/>
                          </a:stretch>
                        </pic:blipFill>
                        <pic:spPr>
                          <a:xfrm rot="5400000">
                            <a:off x="0" y="0"/>
                            <a:ext cx="4585970" cy="4382770"/>
                          </a:xfrm>
                          <a:prstGeom prst="rect">
                            <a:avLst/>
                          </a:prstGeom>
                        </pic:spPr>
                      </pic:pic>
                    </a:graphicData>
                  </a:graphic>
                </wp:anchor>
              </w:drawing>
            </w:r>
          </w:p>
          <w:p>
            <w:pPr>
              <w:numPr>
                <w:ilvl w:val="0"/>
                <w:numId w:val="6"/>
              </w:numPr>
              <w:spacing w:line="360" w:lineRule="auto"/>
              <w:ind w:left="0" w:leftChars="0"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一般固体废物：项目生产过程中一般工业固体废物为不合格产品，按照业主实际生产经验，不合格品年产生量约为1t/a。不合格品退镀后重新上镀处理，不外排。</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1113"/>
              <w:gridCol w:w="1247"/>
              <w:gridCol w:w="684"/>
              <w:gridCol w:w="1082"/>
              <w:gridCol w:w="1477"/>
              <w:gridCol w:w="1082"/>
              <w:gridCol w:w="893"/>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序号</w:t>
                  </w:r>
                </w:p>
              </w:tc>
              <w:tc>
                <w:tcPr>
                  <w:tcW w:w="57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名称</w:t>
                  </w:r>
                </w:p>
              </w:tc>
              <w:tc>
                <w:tcPr>
                  <w:tcW w:w="64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产生工序</w:t>
                  </w:r>
                </w:p>
              </w:tc>
              <w:tc>
                <w:tcPr>
                  <w:tcW w:w="35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形态</w:t>
                  </w:r>
                </w:p>
              </w:tc>
              <w:tc>
                <w:tcPr>
                  <w:tcW w:w="5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主要成分</w:t>
                  </w:r>
                </w:p>
              </w:tc>
              <w:tc>
                <w:tcPr>
                  <w:tcW w:w="75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种类</w:t>
                  </w:r>
                </w:p>
              </w:tc>
              <w:tc>
                <w:tcPr>
                  <w:tcW w:w="5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产生周期</w:t>
                  </w:r>
                </w:p>
              </w:tc>
              <w:tc>
                <w:tcPr>
                  <w:tcW w:w="45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产生量</w:t>
                  </w:r>
                </w:p>
              </w:tc>
              <w:tc>
                <w:tcPr>
                  <w:tcW w:w="75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处理处置措施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57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不合格产品</w:t>
                  </w:r>
                </w:p>
              </w:tc>
              <w:tc>
                <w:tcPr>
                  <w:tcW w:w="640"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产品检验</w:t>
                  </w:r>
                </w:p>
              </w:tc>
              <w:tc>
                <w:tcPr>
                  <w:tcW w:w="35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rPr>
                    <w:t>固</w:t>
                  </w:r>
                  <w:r>
                    <w:rPr>
                      <w:rFonts w:hint="eastAsia" w:ascii="宋体" w:hAnsi="宋体" w:eastAsia="宋体" w:cs="宋体"/>
                      <w:kern w:val="0"/>
                      <w:sz w:val="21"/>
                      <w:szCs w:val="21"/>
                      <w:lang w:eastAsia="zh-CN"/>
                    </w:rPr>
                    <w:t>体</w:t>
                  </w:r>
                </w:p>
              </w:tc>
              <w:tc>
                <w:tcPr>
                  <w:tcW w:w="5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w:t>
                  </w:r>
                </w:p>
              </w:tc>
              <w:tc>
                <w:tcPr>
                  <w:tcW w:w="75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一般工业固废</w:t>
                  </w:r>
                </w:p>
              </w:tc>
              <w:tc>
                <w:tcPr>
                  <w:tcW w:w="5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w:t>
                  </w:r>
                </w:p>
              </w:tc>
              <w:tc>
                <w:tcPr>
                  <w:tcW w:w="45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1</w:t>
                  </w:r>
                  <w:r>
                    <w:rPr>
                      <w:rFonts w:hint="eastAsia" w:ascii="宋体" w:hAnsi="宋体" w:eastAsia="宋体" w:cs="宋体"/>
                      <w:kern w:val="0"/>
                      <w:sz w:val="21"/>
                      <w:szCs w:val="21"/>
                    </w:rPr>
                    <w:t xml:space="preserve"> t/a</w:t>
                  </w:r>
                </w:p>
              </w:tc>
              <w:tc>
                <w:tcPr>
                  <w:tcW w:w="75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重新上镀</w:t>
                  </w:r>
                </w:p>
              </w:tc>
            </w:tr>
          </w:tbl>
          <w:p>
            <w:pPr>
              <w:pStyle w:val="2"/>
              <w:numPr>
                <w:numId w:val="0"/>
              </w:numPr>
              <w:ind w:leftChars="200" w:firstLine="3373" w:firstLineChars="1200"/>
              <w:rPr>
                <w:rFonts w:hint="eastAsia" w:ascii="宋体" w:hAnsi="宋体" w:eastAsia="宋体" w:cs="宋体"/>
                <w:sz w:val="28"/>
                <w:szCs w:val="28"/>
                <w:lang w:val="en-US" w:eastAsia="zh-CN"/>
              </w:rPr>
            </w:pPr>
            <w:r>
              <w:rPr>
                <w:rFonts w:hint="eastAsia" w:ascii="宋体" w:hAnsi="宋体" w:eastAsia="宋体" w:cs="宋体"/>
                <w:b/>
                <w:bCs/>
                <w:color w:val="000000" w:themeColor="text1"/>
                <w:sz w:val="28"/>
                <w:szCs w:val="28"/>
                <w:lang w:val="en-US" w:eastAsia="zh-CN"/>
                <w14:textFill>
                  <w14:solidFill>
                    <w14:schemeClr w14:val="tx1"/>
                  </w14:solidFill>
                </w14:textFill>
              </w:rPr>
              <w:t>废槽液产污节点</w:t>
            </w:r>
          </w:p>
          <w:p>
            <w:pPr>
              <w:pStyle w:val="2"/>
              <w:spacing w:line="360" w:lineRule="auto"/>
              <w:ind w:firstLine="48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（3）危险废物：生产过程中的废槽液、废机油、废过滤芯、废树脂和废包装物放于厂内危废库，委托安徽浩悦环境科技有限责任公司进行处理。</w:t>
            </w:r>
          </w:p>
          <w:p>
            <w:pPr>
              <w:pStyle w:val="2"/>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color w:val="000000" w:themeColor="text1"/>
                <w:sz w:val="28"/>
                <w:szCs w:val="28"/>
                <w:lang w:val="en-US" w:eastAsia="zh-CN"/>
                <w14:textFill>
                  <w14:solidFill>
                    <w14:schemeClr w14:val="tx1"/>
                  </w14:solidFill>
                </w14:textFill>
              </w:rPr>
              <w:t>1、</w:t>
            </w:r>
            <w:r>
              <w:rPr>
                <w:rFonts w:hint="eastAsia" w:ascii="宋体" w:hAnsi="宋体" w:eastAsia="宋体" w:cs="宋体"/>
                <w:sz w:val="28"/>
                <w:szCs w:val="28"/>
                <w:lang w:val="en-US" w:eastAsia="zh-CN"/>
              </w:rPr>
              <w:t>废槽液：项目挂镀线、滚镀线废槽液产生量约3t/a。</w:t>
            </w:r>
            <w:r>
              <w:rPr>
                <w:rFonts w:hint="eastAsia" w:ascii="宋体" w:hAnsi="宋体" w:eastAsia="宋体" w:cs="宋体"/>
                <w:color w:val="000000" w:themeColor="text1"/>
                <w:sz w:val="28"/>
                <w:szCs w:val="28"/>
                <w:lang w:eastAsia="zh-CN"/>
                <w14:textFill>
                  <w14:solidFill>
                    <w14:schemeClr w14:val="tx1"/>
                  </w14:solidFill>
                </w14:textFill>
              </w:rPr>
              <w:drawing>
                <wp:anchor distT="0" distB="0" distL="114300" distR="114300" simplePos="0" relativeHeight="251663360" behindDoc="0" locked="0" layoutInCell="1" allowOverlap="1">
                  <wp:simplePos x="0" y="0"/>
                  <wp:positionH relativeFrom="column">
                    <wp:posOffset>648335</wp:posOffset>
                  </wp:positionH>
                  <wp:positionV relativeFrom="paragraph">
                    <wp:posOffset>-7908290</wp:posOffset>
                  </wp:positionV>
                  <wp:extent cx="2028825" cy="2284095"/>
                  <wp:effectExtent l="0" t="0" r="1905" b="9525"/>
                  <wp:wrapTopAndBottom/>
                  <wp:docPr id="2" name="图片 2" descr="9f45f30be7e89ebf7c5bca54f1a81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f45f30be7e89ebf7c5bca54f1a81ff"/>
                          <pic:cNvPicPr>
                            <a:picLocks noChangeAspect="1"/>
                          </pic:cNvPicPr>
                        </pic:nvPicPr>
                        <pic:blipFill>
                          <a:blip r:embed="rId14"/>
                          <a:stretch>
                            <a:fillRect/>
                          </a:stretch>
                        </pic:blipFill>
                        <pic:spPr>
                          <a:xfrm rot="5400000">
                            <a:off x="0" y="0"/>
                            <a:ext cx="2028825" cy="2284095"/>
                          </a:xfrm>
                          <a:prstGeom prst="rect">
                            <a:avLst/>
                          </a:prstGeom>
                        </pic:spPr>
                      </pic:pic>
                    </a:graphicData>
                  </a:graphic>
                </wp:anchor>
              </w:drawing>
            </w:r>
            <w:r>
              <w:rPr>
                <w:rFonts w:hint="eastAsia" w:ascii="宋体" w:hAnsi="宋体" w:eastAsia="宋体" w:cs="宋体"/>
                <w:color w:val="000000" w:themeColor="text1"/>
                <w:sz w:val="28"/>
                <w:szCs w:val="28"/>
                <w:lang w:eastAsia="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3347085</wp:posOffset>
                  </wp:positionH>
                  <wp:positionV relativeFrom="paragraph">
                    <wp:posOffset>-7699375</wp:posOffset>
                  </wp:positionV>
                  <wp:extent cx="2009140" cy="2284095"/>
                  <wp:effectExtent l="0" t="0" r="1905" b="10160"/>
                  <wp:wrapTopAndBottom/>
                  <wp:docPr id="11" name="图片 11" descr="345f7a03bbaf26e6aa448f72df26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45f7a03bbaf26e6aa448f72df2667a"/>
                          <pic:cNvPicPr>
                            <a:picLocks noChangeAspect="1"/>
                          </pic:cNvPicPr>
                        </pic:nvPicPr>
                        <pic:blipFill>
                          <a:blip r:embed="rId15"/>
                          <a:stretch>
                            <a:fillRect/>
                          </a:stretch>
                        </pic:blipFill>
                        <pic:spPr>
                          <a:xfrm rot="5400000">
                            <a:off x="0" y="0"/>
                            <a:ext cx="2009140" cy="2284095"/>
                          </a:xfrm>
                          <a:prstGeom prst="rect">
                            <a:avLst/>
                          </a:prstGeom>
                        </pic:spPr>
                      </pic:pic>
                    </a:graphicData>
                  </a:graphic>
                </wp:anchor>
              </w:drawing>
            </w:r>
          </w:p>
          <w:p>
            <w:pPr>
              <w:numPr>
                <w:ilvl w:val="0"/>
                <w:numId w:val="0"/>
              </w:num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2、废机油：</w:t>
            </w:r>
            <w:r>
              <w:rPr>
                <w:rFonts w:hint="eastAsia" w:ascii="宋体" w:hAnsi="宋体" w:eastAsia="宋体" w:cs="宋体"/>
                <w:b w:val="0"/>
                <w:bCs w:val="0"/>
                <w:color w:val="000000" w:themeColor="text1"/>
                <w:sz w:val="28"/>
                <w:szCs w:val="28"/>
                <w:lang w:val="en-US" w:eastAsia="zh-CN"/>
                <w14:textFill>
                  <w14:solidFill>
                    <w14:schemeClr w14:val="tx1"/>
                  </w14:solidFill>
                </w14:textFill>
              </w:rPr>
              <w:t>现有项目无废机油产生</w:t>
            </w:r>
            <w:r>
              <w:rPr>
                <w:rFonts w:hint="eastAsia" w:ascii="宋体" w:hAnsi="宋体" w:eastAsia="宋体" w:cs="宋体"/>
                <w:sz w:val="28"/>
                <w:szCs w:val="28"/>
                <w:lang w:val="en-US" w:eastAsia="zh-CN"/>
              </w:rPr>
              <w:t>。</w:t>
            </w:r>
          </w:p>
          <w:p>
            <w:pPr>
              <w:numPr>
                <w:ilvl w:val="0"/>
                <w:numId w:val="0"/>
              </w:num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3、废油泥：生产过程中除油工序产生，约1t/a。</w:t>
            </w:r>
          </w:p>
          <w:p>
            <w:pPr>
              <w:numPr>
                <w:ilvl w:val="0"/>
                <w:numId w:val="0"/>
              </w:num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4、废滤芯（含槽渣）：生产过程各线电镀工序、封闭工序产生，约2t/a。</w:t>
            </w:r>
          </w:p>
          <w:p>
            <w:pPr>
              <w:pStyle w:val="2"/>
              <w:jc w:val="center"/>
              <w:rPr>
                <w:rFonts w:hint="eastAsia"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drawing>
                <wp:anchor distT="0" distB="0" distL="114300" distR="114300" simplePos="0" relativeHeight="251664384" behindDoc="0" locked="0" layoutInCell="1" allowOverlap="1">
                  <wp:simplePos x="0" y="0"/>
                  <wp:positionH relativeFrom="column">
                    <wp:posOffset>1670050</wp:posOffset>
                  </wp:positionH>
                  <wp:positionV relativeFrom="paragraph">
                    <wp:posOffset>-459105</wp:posOffset>
                  </wp:positionV>
                  <wp:extent cx="2905125" cy="4206875"/>
                  <wp:effectExtent l="0" t="0" r="3175" b="9525"/>
                  <wp:wrapTopAndBottom/>
                  <wp:docPr id="12" name="图片 12" descr="b8e8ed1ad8a55ce20790aa7534743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8e8ed1ad8a55ce20790aa75347432f"/>
                          <pic:cNvPicPr>
                            <a:picLocks noChangeAspect="1"/>
                          </pic:cNvPicPr>
                        </pic:nvPicPr>
                        <pic:blipFill>
                          <a:blip r:embed="rId16"/>
                          <a:stretch>
                            <a:fillRect/>
                          </a:stretch>
                        </pic:blipFill>
                        <pic:spPr>
                          <a:xfrm rot="5400000">
                            <a:off x="0" y="0"/>
                            <a:ext cx="2905125" cy="4206875"/>
                          </a:xfrm>
                          <a:prstGeom prst="rect">
                            <a:avLst/>
                          </a:prstGeom>
                        </pic:spPr>
                      </pic:pic>
                    </a:graphicData>
                  </a:graphic>
                </wp:anchor>
              </w:drawing>
            </w:r>
          </w:p>
          <w:p>
            <w:pPr>
              <w:pStyle w:val="2"/>
              <w:jc w:val="center"/>
              <w:rPr>
                <w:rFonts w:hint="eastAsia" w:ascii="宋体" w:hAnsi="宋体" w:eastAsia="宋体" w:cs="宋体"/>
                <w:sz w:val="28"/>
                <w:szCs w:val="28"/>
                <w:lang w:val="en-US" w:eastAsia="zh-CN"/>
              </w:rPr>
            </w:pPr>
            <w:r>
              <w:rPr>
                <w:rFonts w:hint="eastAsia" w:ascii="宋体" w:hAnsi="宋体" w:eastAsia="宋体" w:cs="宋体"/>
                <w:b/>
                <w:bCs/>
                <w:color w:val="000000" w:themeColor="text1"/>
                <w:sz w:val="28"/>
                <w:szCs w:val="28"/>
                <w:lang w:val="en-US" w:eastAsia="zh-CN"/>
                <w14:textFill>
                  <w14:solidFill>
                    <w14:schemeClr w14:val="tx1"/>
                  </w14:solidFill>
                </w14:textFill>
              </w:rPr>
              <w:t>废滤芯产污节点</w:t>
            </w:r>
          </w:p>
          <w:p>
            <w:pPr>
              <w:numPr>
                <w:ilvl w:val="0"/>
                <w:numId w:val="0"/>
              </w:numPr>
              <w:spacing w:line="360" w:lineRule="auto"/>
              <w:ind w:firstLine="560" w:firstLineChars="200"/>
              <w:jc w:val="both"/>
              <w:rPr>
                <w:rFonts w:hint="eastAsia" w:ascii="宋体" w:hAnsi="宋体" w:eastAsia="宋体" w:cs="宋体"/>
                <w:sz w:val="28"/>
                <w:szCs w:val="28"/>
                <w:lang w:val="en-US" w:eastAsia="zh-CN"/>
              </w:rPr>
            </w:pPr>
          </w:p>
          <w:p>
            <w:pPr>
              <w:numPr>
                <w:ilvl w:val="0"/>
                <w:numId w:val="7"/>
              </w:num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废包装物：指沾染危险化学品包装物，包括废油漆桶、废稀释剂桶等包装物，产生量约为0.25t/a。</w:t>
            </w:r>
          </w:p>
          <w:p>
            <w:pPr>
              <w:pStyle w:val="2"/>
              <w:numPr>
                <w:ilvl w:val="0"/>
                <w:numId w:val="0"/>
              </w:numPr>
              <w:rPr>
                <w:rFonts w:hint="eastAsia" w:ascii="宋体" w:hAnsi="宋体" w:eastAsia="宋体" w:cs="宋体"/>
                <w:sz w:val="28"/>
                <w:szCs w:val="28"/>
                <w:lang w:eastAsia="zh-CN"/>
              </w:rPr>
            </w:pPr>
          </w:p>
          <w:p>
            <w:pPr>
              <w:pStyle w:val="3"/>
              <w:jc w:val="center"/>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危废库建设场所</w:t>
            </w:r>
          </w:p>
          <w:p>
            <w:pPr>
              <w:pStyle w:val="3"/>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6047105" cy="3103245"/>
                  <wp:effectExtent l="0" t="0" r="10795" b="1905"/>
                  <wp:docPr id="4" name="图片 4" descr="52d4695519c4c8446dd6c7a9c0bb8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2d4695519c4c8446dd6c7a9c0bb8a8"/>
                          <pic:cNvPicPr>
                            <a:picLocks noChangeAspect="1"/>
                          </pic:cNvPicPr>
                        </pic:nvPicPr>
                        <pic:blipFill>
                          <a:blip r:embed="rId17"/>
                          <a:stretch>
                            <a:fillRect/>
                          </a:stretch>
                        </pic:blipFill>
                        <pic:spPr>
                          <a:xfrm>
                            <a:off x="0" y="0"/>
                            <a:ext cx="6047105" cy="3103245"/>
                          </a:xfrm>
                          <a:prstGeom prst="rect">
                            <a:avLst/>
                          </a:prstGeom>
                        </pic:spPr>
                      </pic:pic>
                    </a:graphicData>
                  </a:graphic>
                </wp:inline>
              </w:drawing>
            </w:r>
          </w:p>
          <w:p>
            <w:pPr>
              <w:pStyle w:val="3"/>
              <w:rPr>
                <w:rFonts w:hint="eastAsia" w:ascii="宋体" w:hAnsi="宋体" w:eastAsia="宋体" w:cs="宋体"/>
                <w:sz w:val="28"/>
                <w:szCs w:val="28"/>
                <w:lang w:eastAsia="zh-CN"/>
              </w:rPr>
            </w:pPr>
            <w:r>
              <w:rPr>
                <w:rFonts w:hint="eastAsia" w:ascii="宋体" w:hAnsi="宋体" w:eastAsia="宋体" w:cs="宋体"/>
                <w:sz w:val="28"/>
                <w:szCs w:val="28"/>
              </w:rPr>
              <w:drawing>
                <wp:inline distT="0" distB="0" distL="114300" distR="114300">
                  <wp:extent cx="2713990" cy="2562225"/>
                  <wp:effectExtent l="0" t="0" r="10160" b="952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8"/>
                          <a:stretch>
                            <a:fillRect/>
                          </a:stretch>
                        </pic:blipFill>
                        <pic:spPr>
                          <a:xfrm>
                            <a:off x="0" y="0"/>
                            <a:ext cx="2713990" cy="2562225"/>
                          </a:xfrm>
                          <a:prstGeom prst="rect">
                            <a:avLst/>
                          </a:prstGeom>
                          <a:noFill/>
                          <a:ln>
                            <a:noFill/>
                          </a:ln>
                        </pic:spPr>
                      </pic:pic>
                    </a:graphicData>
                  </a:graphic>
                </wp:inline>
              </w:drawing>
            </w:r>
            <w:r>
              <w:rPr>
                <w:rFonts w:hint="eastAsia" w:ascii="宋体" w:hAnsi="宋体" w:eastAsia="宋体" w:cs="宋体"/>
                <w:sz w:val="28"/>
                <w:szCs w:val="28"/>
                <w:lang w:eastAsia="zh-CN"/>
              </w:rPr>
              <w:drawing>
                <wp:anchor distT="0" distB="0" distL="114300" distR="114300" simplePos="0" relativeHeight="251665408" behindDoc="0" locked="0" layoutInCell="1" allowOverlap="1">
                  <wp:simplePos x="0" y="0"/>
                  <wp:positionH relativeFrom="column">
                    <wp:posOffset>3200400</wp:posOffset>
                  </wp:positionH>
                  <wp:positionV relativeFrom="paragraph">
                    <wp:posOffset>55880</wp:posOffset>
                  </wp:positionV>
                  <wp:extent cx="2771775" cy="2492375"/>
                  <wp:effectExtent l="0" t="0" r="9525" b="3175"/>
                  <wp:wrapSquare wrapText="bothSides"/>
                  <wp:docPr id="16" name="图片 16" descr="958133273a3703f18480e539d851f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58133273a3703f18480e539d851fd5"/>
                          <pic:cNvPicPr>
                            <a:picLocks noChangeAspect="1"/>
                          </pic:cNvPicPr>
                        </pic:nvPicPr>
                        <pic:blipFill>
                          <a:blip r:embed="rId19"/>
                          <a:stretch>
                            <a:fillRect/>
                          </a:stretch>
                        </pic:blipFill>
                        <pic:spPr>
                          <a:xfrm>
                            <a:off x="0" y="0"/>
                            <a:ext cx="2771775" cy="2492375"/>
                          </a:xfrm>
                          <a:prstGeom prst="rect">
                            <a:avLst/>
                          </a:prstGeom>
                        </pic:spPr>
                      </pic:pic>
                    </a:graphicData>
                  </a:graphic>
                </wp:anchor>
              </w:drawing>
            </w:r>
          </w:p>
          <w:p>
            <w:pPr>
              <w:pStyle w:val="19"/>
              <w:spacing w:line="374" w:lineRule="exact"/>
              <w:rPr>
                <w:rFonts w:hint="eastAsia" w:ascii="宋体" w:hAnsi="宋体" w:eastAsia="宋体" w:cs="宋体"/>
                <w:sz w:val="28"/>
                <w:szCs w:val="28"/>
              </w:rPr>
            </w:pPr>
          </w:p>
        </w:tc>
      </w:tr>
    </w:tbl>
    <w:p>
      <w:pPr>
        <w:spacing w:line="374" w:lineRule="exact"/>
        <w:rPr>
          <w:rFonts w:ascii="Times New Roman" w:hAnsi="Times New Roman" w:eastAsia="宋体" w:cs="Times New Roman"/>
        </w:rPr>
        <w:sectPr>
          <w:pgSz w:w="11910" w:h="16840"/>
          <w:pgMar w:top="1440" w:right="1080" w:bottom="1440" w:left="1080" w:header="863" w:footer="996" w:gutter="0"/>
          <w:pgBorders>
            <w:top w:val="none" w:sz="0" w:space="0"/>
            <w:left w:val="none" w:sz="0" w:space="0"/>
            <w:bottom w:val="none" w:sz="0" w:space="0"/>
            <w:right w:val="none" w:sz="0" w:space="0"/>
          </w:pgBorders>
          <w:cols w:space="720" w:num="1"/>
        </w:sectPr>
      </w:pPr>
    </w:p>
    <w:tbl>
      <w:tblPr>
        <w:tblStyle w:val="15"/>
        <w:tblW w:w="500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7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99" w:hRule="atLeast"/>
        </w:trPr>
        <w:tc>
          <w:tcPr>
            <w:tcW w:w="5000" w:type="pct"/>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both"/>
              <w:textAlignment w:val="auto"/>
              <w:outlineLvl w:val="9"/>
              <w:rPr>
                <w:rFonts w:hint="eastAsia" w:ascii="Times New Roman" w:hAnsi="Times New Roman" w:eastAsia="宋体" w:cs="Times New Roman"/>
                <w:b/>
                <w:bCs/>
                <w:sz w:val="22"/>
                <w:szCs w:val="28"/>
                <w:lang w:val="en-US" w:eastAsia="zh-CN"/>
              </w:rPr>
            </w:pPr>
            <w:r>
              <w:rPr>
                <w:rFonts w:hint="eastAsia" w:ascii="Times New Roman" w:hAnsi="Times New Roman" w:eastAsia="宋体" w:cs="Times New Roman"/>
                <w:b/>
                <w:bCs/>
                <w:sz w:val="22"/>
                <w:szCs w:val="28"/>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2"/>
                <w:szCs w:val="28"/>
                <w:lang w:val="en-US" w:eastAsia="zh-CN"/>
              </w:rPr>
            </w:pPr>
            <w:r>
              <w:rPr>
                <w:rFonts w:hint="eastAsia" w:ascii="Times New Roman" w:hAnsi="Times New Roman" w:cs="Times New Roman"/>
                <w:b/>
                <w:color w:val="000000" w:themeColor="text1"/>
                <w:sz w:val="28"/>
                <w:szCs w:val="28"/>
                <w:lang w:val="en-US" w:eastAsia="zh-CN"/>
                <w14:textFill>
                  <w14:solidFill>
                    <w14:schemeClr w14:val="tx1"/>
                  </w14:solidFill>
                </w14:textFill>
              </w:rPr>
              <w:t>表3-2</w:t>
            </w:r>
            <w:r>
              <w:rPr>
                <w:rFonts w:hint="eastAsia" w:ascii="Times New Roman" w:hAnsi="Times New Roman" w:cs="Times New Roman"/>
                <w:b/>
                <w:color w:val="000000" w:themeColor="text1"/>
                <w:sz w:val="28"/>
                <w:szCs w:val="28"/>
                <w:lang w:eastAsia="zh-CN"/>
                <w14:textFill>
                  <w14:solidFill>
                    <w14:schemeClr w14:val="tx1"/>
                  </w14:solidFill>
                </w14:textFill>
              </w:rPr>
              <w:t>危废产生情况</w:t>
            </w:r>
            <w:r>
              <w:rPr>
                <w:rFonts w:hint="default" w:ascii="Times New Roman" w:hAnsi="Times New Roman" w:cs="Times New Roman"/>
                <w:b/>
                <w:color w:val="000000" w:themeColor="text1"/>
                <w:sz w:val="28"/>
                <w:szCs w:val="28"/>
                <w:lang w:eastAsia="zh-CN"/>
                <w14:textFill>
                  <w14:solidFill>
                    <w14:schemeClr w14:val="tx1"/>
                  </w14:solidFill>
                </w14:textFill>
              </w:rPr>
              <w:t>一览表</w:t>
            </w:r>
          </w:p>
          <w:tbl>
            <w:tblPr>
              <w:tblStyle w:val="15"/>
              <w:tblW w:w="499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8"/>
              <w:gridCol w:w="923"/>
              <w:gridCol w:w="940"/>
              <w:gridCol w:w="1242"/>
              <w:gridCol w:w="666"/>
              <w:gridCol w:w="486"/>
              <w:gridCol w:w="806"/>
              <w:gridCol w:w="572"/>
              <w:gridCol w:w="1243"/>
              <w:gridCol w:w="876"/>
              <w:gridCol w:w="877"/>
              <w:gridCol w:w="65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2"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序号</w:t>
                  </w:r>
                </w:p>
              </w:tc>
              <w:tc>
                <w:tcPr>
                  <w:tcW w:w="486"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固体废物名称</w:t>
                  </w:r>
                </w:p>
              </w:tc>
              <w:tc>
                <w:tcPr>
                  <w:tcW w:w="495"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产生工序</w:t>
                  </w:r>
                </w:p>
              </w:tc>
              <w:tc>
                <w:tcPr>
                  <w:tcW w:w="650"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主要成分</w:t>
                  </w:r>
                </w:p>
              </w:tc>
              <w:tc>
                <w:tcPr>
                  <w:tcW w:w="354"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形态</w:t>
                  </w:r>
                </w:p>
              </w:tc>
              <w:tc>
                <w:tcPr>
                  <w:tcW w:w="262"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产废周期</w:t>
                  </w:r>
                </w:p>
              </w:tc>
              <w:tc>
                <w:tcPr>
                  <w:tcW w:w="426"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废物类别</w:t>
                  </w:r>
                </w:p>
              </w:tc>
              <w:tc>
                <w:tcPr>
                  <w:tcW w:w="306" w:type="pct"/>
                  <w:tcBorders>
                    <w:tl2br w:val="nil"/>
                    <w:tr2bl w:val="nil"/>
                  </w:tcBorders>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危险特性</w:t>
                  </w:r>
                </w:p>
              </w:tc>
              <w:tc>
                <w:tcPr>
                  <w:tcW w:w="640"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危废代码</w:t>
                  </w:r>
                </w:p>
              </w:tc>
              <w:tc>
                <w:tcPr>
                  <w:tcW w:w="399"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eastAsia" w:ascii="Times New Roman" w:hAnsi="Times New Roman" w:cs="Times New Roman"/>
                      <w:b w:val="0"/>
                      <w:bCs w:val="0"/>
                      <w:color w:val="auto"/>
                      <w:sz w:val="22"/>
                      <w:szCs w:val="24"/>
                      <w:lang w:eastAsia="zh-CN"/>
                    </w:rPr>
                    <w:t>环评</w:t>
                  </w:r>
                  <w:r>
                    <w:rPr>
                      <w:rFonts w:hint="default" w:ascii="Times New Roman" w:hAnsi="Times New Roman" w:cs="Times New Roman"/>
                      <w:b w:val="0"/>
                      <w:bCs w:val="0"/>
                      <w:color w:val="auto"/>
                      <w:sz w:val="22"/>
                      <w:szCs w:val="24"/>
                    </w:rPr>
                    <w:t>产生量（t/a）</w:t>
                  </w:r>
                </w:p>
              </w:tc>
              <w:tc>
                <w:tcPr>
                  <w:tcW w:w="399" w:type="pct"/>
                  <w:tcBorders>
                    <w:tl2br w:val="nil"/>
                    <w:tr2bl w:val="nil"/>
                  </w:tcBorders>
                  <w:shd w:val="clear" w:color="auto" w:fill="auto"/>
                  <w:vAlign w:val="center"/>
                </w:tcPr>
                <w:p>
                  <w:pPr>
                    <w:pStyle w:val="21"/>
                    <w:rPr>
                      <w:rFonts w:hint="eastAsia" w:ascii="Times New Roman" w:hAnsi="Times New Roman" w:eastAsia="宋体" w:cs="Times New Roman"/>
                      <w:b w:val="0"/>
                      <w:bCs w:val="0"/>
                      <w:color w:val="auto"/>
                      <w:sz w:val="22"/>
                      <w:szCs w:val="24"/>
                      <w:lang w:eastAsia="zh-CN"/>
                    </w:rPr>
                  </w:pPr>
                  <w:r>
                    <w:rPr>
                      <w:rFonts w:hint="eastAsia" w:ascii="Times New Roman" w:hAnsi="Times New Roman" w:cs="Times New Roman"/>
                      <w:b w:val="0"/>
                      <w:bCs w:val="0"/>
                      <w:color w:val="auto"/>
                      <w:sz w:val="22"/>
                      <w:szCs w:val="24"/>
                      <w:lang w:eastAsia="zh-CN"/>
                    </w:rPr>
                    <w:t>实际产生量（</w:t>
                  </w:r>
                  <w:r>
                    <w:rPr>
                      <w:rFonts w:hint="eastAsia" w:ascii="Times New Roman" w:hAnsi="Times New Roman" w:cs="Times New Roman"/>
                      <w:b w:val="0"/>
                      <w:bCs w:val="0"/>
                      <w:color w:val="auto"/>
                      <w:sz w:val="22"/>
                      <w:szCs w:val="24"/>
                      <w:lang w:val="en-US" w:eastAsia="zh-CN"/>
                    </w:rPr>
                    <w:t>t/a</w:t>
                  </w:r>
                  <w:r>
                    <w:rPr>
                      <w:rFonts w:hint="eastAsia" w:ascii="Times New Roman" w:hAnsi="Times New Roman" w:cs="Times New Roman"/>
                      <w:b w:val="0"/>
                      <w:bCs w:val="0"/>
                      <w:color w:val="auto"/>
                      <w:sz w:val="22"/>
                      <w:szCs w:val="24"/>
                      <w:lang w:eastAsia="zh-CN"/>
                    </w:rPr>
                    <w:t>）</w:t>
                  </w:r>
                </w:p>
              </w:tc>
              <w:tc>
                <w:tcPr>
                  <w:tcW w:w="337" w:type="pct"/>
                  <w:tcBorders>
                    <w:tl2br w:val="nil"/>
                    <w:tr2bl w:val="nil"/>
                  </w:tcBorders>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防治措施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42" w:type="pct"/>
                  <w:vMerge w:val="restart"/>
                  <w:tcBorders>
                    <w:tl2br w:val="nil"/>
                    <w:tr2bl w:val="nil"/>
                  </w:tcBorders>
                  <w:shd w:val="clear" w:color="auto" w:fill="auto"/>
                  <w:vAlign w:val="center"/>
                </w:tcPr>
                <w:p>
                  <w:pPr>
                    <w:pStyle w:val="21"/>
                    <w:rPr>
                      <w:rFonts w:hint="eastAsia" w:ascii="Times New Roman" w:hAnsi="Times New Roman" w:eastAsia="宋体" w:cs="Times New Roman"/>
                      <w:b w:val="0"/>
                      <w:bCs w:val="0"/>
                      <w:color w:val="auto"/>
                      <w:sz w:val="22"/>
                      <w:szCs w:val="24"/>
                      <w:lang w:eastAsia="zh-CN"/>
                    </w:rPr>
                  </w:pPr>
                  <w:r>
                    <w:rPr>
                      <w:rFonts w:hint="eastAsia" w:cs="Times New Roman"/>
                      <w:b w:val="0"/>
                      <w:bCs w:val="0"/>
                      <w:color w:val="auto"/>
                      <w:sz w:val="22"/>
                      <w:szCs w:val="24"/>
                      <w:lang w:val="en-US" w:eastAsia="zh-CN"/>
                    </w:rPr>
                    <w:t>1</w:t>
                  </w:r>
                </w:p>
              </w:tc>
              <w:tc>
                <w:tcPr>
                  <w:tcW w:w="486" w:type="pct"/>
                  <w:tcBorders>
                    <w:tl2br w:val="nil"/>
                    <w:tr2bl w:val="nil"/>
                  </w:tcBorders>
                  <w:shd w:val="clear" w:color="auto" w:fill="auto"/>
                  <w:vAlign w:val="center"/>
                </w:tcPr>
                <w:p>
                  <w:pPr>
                    <w:pStyle w:val="21"/>
                    <w:rPr>
                      <w:rFonts w:hint="eastAsia" w:ascii="Times New Roman" w:hAnsi="Times New Roman" w:eastAsia="宋体" w:cs="Times New Roman"/>
                      <w:b w:val="0"/>
                      <w:bCs w:val="0"/>
                      <w:color w:val="auto"/>
                      <w:sz w:val="22"/>
                      <w:szCs w:val="24"/>
                      <w:lang w:eastAsia="zh-CN"/>
                    </w:rPr>
                  </w:pPr>
                  <w:r>
                    <w:rPr>
                      <w:rFonts w:hint="default" w:ascii="Times New Roman" w:hAnsi="Times New Roman" w:cs="Times New Roman"/>
                      <w:b w:val="0"/>
                      <w:bCs w:val="0"/>
                      <w:color w:val="auto"/>
                      <w:sz w:val="22"/>
                      <w:szCs w:val="24"/>
                      <w:lang w:eastAsia="zh-CN"/>
                    </w:rPr>
                    <w:t>退镀槽</w:t>
                  </w:r>
                  <w:r>
                    <w:rPr>
                      <w:rFonts w:hint="default" w:ascii="Times New Roman" w:hAnsi="Times New Roman" w:cs="Times New Roman"/>
                      <w:b w:val="0"/>
                      <w:bCs w:val="0"/>
                      <w:color w:val="auto"/>
                      <w:sz w:val="22"/>
                      <w:szCs w:val="24"/>
                    </w:rPr>
                    <w:t>废槽液</w:t>
                  </w:r>
                </w:p>
              </w:tc>
              <w:tc>
                <w:tcPr>
                  <w:tcW w:w="495" w:type="pct"/>
                  <w:tcBorders>
                    <w:tl2br w:val="nil"/>
                    <w:tr2bl w:val="nil"/>
                  </w:tcBorders>
                  <w:shd w:val="clear" w:color="auto" w:fill="auto"/>
                  <w:vAlign w:val="center"/>
                </w:tcPr>
                <w:p>
                  <w:pPr>
                    <w:pStyle w:val="21"/>
                    <w:rPr>
                      <w:rFonts w:hint="eastAsia" w:ascii="Times New Roman" w:hAnsi="Times New Roman" w:eastAsia="宋体" w:cs="Times New Roman"/>
                      <w:b w:val="0"/>
                      <w:bCs w:val="0"/>
                      <w:color w:val="auto"/>
                      <w:sz w:val="22"/>
                      <w:szCs w:val="24"/>
                      <w:lang w:eastAsia="zh-CN"/>
                    </w:rPr>
                  </w:pPr>
                  <w:r>
                    <w:rPr>
                      <w:rFonts w:hint="default" w:ascii="Times New Roman" w:hAnsi="Times New Roman" w:cs="Times New Roman"/>
                      <w:b w:val="0"/>
                      <w:bCs w:val="0"/>
                      <w:color w:val="auto"/>
                      <w:sz w:val="22"/>
                      <w:szCs w:val="24"/>
                      <w:lang w:eastAsia="zh-CN"/>
                    </w:rPr>
                    <w:t>滚</w:t>
                  </w:r>
                  <w:r>
                    <w:rPr>
                      <w:rFonts w:hint="default" w:ascii="Times New Roman" w:hAnsi="Times New Roman" w:cs="Times New Roman"/>
                      <w:b w:val="0"/>
                      <w:bCs w:val="0"/>
                      <w:color w:val="auto"/>
                      <w:sz w:val="22"/>
                      <w:szCs w:val="24"/>
                    </w:rPr>
                    <w:t>镀锌</w:t>
                  </w:r>
                  <w:r>
                    <w:rPr>
                      <w:rFonts w:hint="default" w:ascii="Times New Roman" w:hAnsi="Times New Roman" w:cs="Times New Roman"/>
                      <w:b w:val="0"/>
                      <w:bCs w:val="0"/>
                      <w:color w:val="auto"/>
                      <w:sz w:val="22"/>
                      <w:szCs w:val="24"/>
                      <w:lang w:eastAsia="zh-CN"/>
                    </w:rPr>
                    <w:t>、滚镀锌镍、镀镍铬</w:t>
                  </w:r>
                </w:p>
              </w:tc>
              <w:tc>
                <w:tcPr>
                  <w:tcW w:w="650"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锌</w:t>
                  </w:r>
                  <w:r>
                    <w:rPr>
                      <w:rFonts w:hint="default" w:ascii="Times New Roman" w:hAnsi="Times New Roman" w:cs="Times New Roman"/>
                      <w:b w:val="0"/>
                      <w:bCs w:val="0"/>
                      <w:color w:val="auto"/>
                      <w:sz w:val="22"/>
                      <w:szCs w:val="24"/>
                      <w:lang w:eastAsia="zh-CN"/>
                    </w:rPr>
                    <w:t>、镍、铬</w:t>
                  </w:r>
                </w:p>
              </w:tc>
              <w:tc>
                <w:tcPr>
                  <w:tcW w:w="354" w:type="pct"/>
                  <w:vMerge w:val="restar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液态</w:t>
                  </w:r>
                </w:p>
              </w:tc>
              <w:tc>
                <w:tcPr>
                  <w:tcW w:w="262" w:type="pct"/>
                  <w:vMerge w:val="restar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w:t>
                  </w:r>
                </w:p>
              </w:tc>
              <w:tc>
                <w:tcPr>
                  <w:tcW w:w="426" w:type="pct"/>
                  <w:vMerge w:val="restart"/>
                  <w:tcBorders>
                    <w:tl2br w:val="nil"/>
                    <w:tr2bl w:val="nil"/>
                  </w:tcBorders>
                  <w:shd w:val="clear" w:color="auto" w:fill="auto"/>
                  <w:vAlign w:val="center"/>
                </w:tcPr>
                <w:p>
                  <w:pPr>
                    <w:pStyle w:val="21"/>
                    <w:rPr>
                      <w:rFonts w:hint="default" w:ascii="Times New Roman" w:hAnsi="Times New Roman" w:eastAsia="宋体" w:cs="Times New Roman"/>
                      <w:b w:val="0"/>
                      <w:bCs w:val="0"/>
                      <w:color w:val="auto"/>
                      <w:sz w:val="22"/>
                      <w:szCs w:val="24"/>
                      <w:lang w:val="en-US" w:eastAsia="zh-CN"/>
                    </w:rPr>
                  </w:pPr>
                  <w:r>
                    <w:rPr>
                      <w:rFonts w:hint="default" w:ascii="Times New Roman" w:hAnsi="Times New Roman" w:cs="Times New Roman"/>
                      <w:b w:val="0"/>
                      <w:bCs w:val="0"/>
                      <w:color w:val="auto"/>
                      <w:sz w:val="22"/>
                      <w:szCs w:val="24"/>
                    </w:rPr>
                    <w:t>HW</w:t>
                  </w:r>
                  <w:r>
                    <w:rPr>
                      <w:rFonts w:hint="eastAsia" w:cs="Times New Roman"/>
                      <w:b w:val="0"/>
                      <w:bCs w:val="0"/>
                      <w:color w:val="auto"/>
                      <w:sz w:val="22"/>
                      <w:szCs w:val="24"/>
                      <w:lang w:val="en-US" w:eastAsia="zh-CN"/>
                    </w:rPr>
                    <w:t>17</w:t>
                  </w:r>
                </w:p>
              </w:tc>
              <w:tc>
                <w:tcPr>
                  <w:tcW w:w="306" w:type="pct"/>
                  <w:vMerge w:val="restar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T/I</w:t>
                  </w:r>
                </w:p>
              </w:tc>
              <w:tc>
                <w:tcPr>
                  <w:tcW w:w="640"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lang w:val="en-US"/>
                    </w:rPr>
                    <w:t>336-052-17</w:t>
                  </w:r>
                </w:p>
              </w:tc>
              <w:tc>
                <w:tcPr>
                  <w:tcW w:w="399" w:type="pct"/>
                  <w:vMerge w:val="restart"/>
                  <w:tcBorders>
                    <w:tl2br w:val="nil"/>
                    <w:tr2bl w:val="nil"/>
                  </w:tcBorders>
                  <w:shd w:val="clear" w:color="auto" w:fill="auto"/>
                  <w:vAlign w:val="center"/>
                </w:tcPr>
                <w:p>
                  <w:pPr>
                    <w:pStyle w:val="21"/>
                    <w:rPr>
                      <w:rFonts w:hint="default" w:ascii="Times New Roman" w:hAnsi="Times New Roman" w:eastAsia="宋体" w:cs="Times New Roman"/>
                      <w:b w:val="0"/>
                      <w:bCs w:val="0"/>
                      <w:color w:val="auto"/>
                      <w:sz w:val="22"/>
                      <w:szCs w:val="24"/>
                      <w:lang w:val="en-US" w:eastAsia="zh-CN"/>
                    </w:rPr>
                  </w:pPr>
                  <w:r>
                    <w:rPr>
                      <w:rFonts w:hint="eastAsia" w:ascii="Times New Roman" w:hAnsi="Times New Roman" w:cs="Times New Roman"/>
                      <w:b w:val="0"/>
                      <w:bCs w:val="0"/>
                      <w:color w:val="auto"/>
                      <w:sz w:val="22"/>
                      <w:szCs w:val="24"/>
                      <w:lang w:val="en-US" w:eastAsia="zh-CN"/>
                    </w:rPr>
                    <w:t>60.81</w:t>
                  </w:r>
                </w:p>
              </w:tc>
              <w:tc>
                <w:tcPr>
                  <w:tcW w:w="871" w:type="dxa"/>
                  <w:vMerge w:val="restart"/>
                  <w:tcBorders>
                    <w:tl2br w:val="nil"/>
                    <w:tr2bl w:val="nil"/>
                  </w:tcBorders>
                  <w:shd w:val="clear" w:color="auto" w:fill="auto"/>
                  <w:vAlign w:val="center"/>
                </w:tcPr>
                <w:p>
                  <w:pPr>
                    <w:pStyle w:val="21"/>
                    <w:rPr>
                      <w:rFonts w:hint="default" w:cs="Times New Roman"/>
                      <w:b w:val="0"/>
                      <w:bCs w:val="0"/>
                      <w:color w:val="auto"/>
                      <w:sz w:val="22"/>
                      <w:szCs w:val="24"/>
                      <w:lang w:val="en-US" w:eastAsia="zh-CN"/>
                    </w:rPr>
                  </w:pPr>
                  <w:r>
                    <w:rPr>
                      <w:rFonts w:hint="eastAsia" w:cs="Times New Roman"/>
                      <w:b w:val="0"/>
                      <w:bCs w:val="0"/>
                      <w:color w:val="auto"/>
                      <w:sz w:val="22"/>
                      <w:szCs w:val="24"/>
                      <w:lang w:val="en-US" w:eastAsia="zh-CN"/>
                    </w:rPr>
                    <w:t>3.0</w:t>
                  </w:r>
                </w:p>
              </w:tc>
              <w:tc>
                <w:tcPr>
                  <w:tcW w:w="337" w:type="pct"/>
                  <w:vMerge w:val="restart"/>
                  <w:tcBorders>
                    <w:tl2br w:val="nil"/>
                    <w:tr2bl w:val="nil"/>
                  </w:tcBorders>
                  <w:vAlign w:val="center"/>
                </w:tcPr>
                <w:p>
                  <w:pPr>
                    <w:pStyle w:val="21"/>
                    <w:rPr>
                      <w:rFonts w:hint="eastAsia" w:ascii="Times New Roman" w:hAnsi="Times New Roman" w:eastAsia="宋体" w:cs="Times New Roman"/>
                      <w:b w:val="0"/>
                      <w:bCs w:val="0"/>
                      <w:color w:val="auto"/>
                      <w:sz w:val="22"/>
                      <w:szCs w:val="24"/>
                      <w:lang w:eastAsia="zh-CN"/>
                    </w:rPr>
                  </w:pPr>
                  <w:r>
                    <w:rPr>
                      <w:rFonts w:hint="eastAsia" w:ascii="Times New Roman" w:hAnsi="Times New Roman" w:cs="Times New Roman"/>
                      <w:b w:val="0"/>
                      <w:bCs w:val="0"/>
                      <w:color w:val="auto"/>
                      <w:sz w:val="22"/>
                      <w:szCs w:val="24"/>
                      <w:lang w:eastAsia="zh-CN"/>
                    </w:rPr>
                    <w:t>已建成厂内危废暂存场所，定期交与有资质单位处理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42" w:type="pct"/>
                  <w:vMerge w:val="continue"/>
                  <w:tcBorders>
                    <w:tl2br w:val="nil"/>
                    <w:tr2bl w:val="nil"/>
                  </w:tcBorders>
                  <w:shd w:val="clear" w:color="auto" w:fill="auto"/>
                  <w:vAlign w:val="center"/>
                </w:tcPr>
                <w:p>
                  <w:pPr>
                    <w:pStyle w:val="21"/>
                    <w:rPr>
                      <w:b w:val="0"/>
                      <w:bCs w:val="0"/>
                      <w:sz w:val="22"/>
                      <w:szCs w:val="24"/>
                    </w:rPr>
                  </w:pPr>
                </w:p>
              </w:tc>
              <w:tc>
                <w:tcPr>
                  <w:tcW w:w="486" w:type="pct"/>
                  <w:tcBorders>
                    <w:tl2br w:val="nil"/>
                    <w:tr2bl w:val="nil"/>
                  </w:tcBorders>
                  <w:shd w:val="clear" w:color="auto" w:fill="auto"/>
                  <w:vAlign w:val="center"/>
                </w:tcPr>
                <w:p>
                  <w:pPr>
                    <w:pStyle w:val="21"/>
                    <w:rPr>
                      <w:b w:val="0"/>
                      <w:bCs w:val="0"/>
                      <w:sz w:val="22"/>
                      <w:szCs w:val="24"/>
                    </w:rPr>
                  </w:pPr>
                  <w:r>
                    <w:rPr>
                      <w:rFonts w:hint="default" w:ascii="Times New Roman" w:hAnsi="Times New Roman" w:cs="Times New Roman"/>
                      <w:b w:val="0"/>
                      <w:bCs w:val="0"/>
                      <w:color w:val="auto"/>
                      <w:sz w:val="22"/>
                      <w:szCs w:val="24"/>
                    </w:rPr>
                    <w:t>钝化槽废槽液</w:t>
                  </w:r>
                </w:p>
              </w:tc>
              <w:tc>
                <w:tcPr>
                  <w:tcW w:w="495" w:type="pct"/>
                  <w:tcBorders>
                    <w:tl2br w:val="nil"/>
                    <w:tr2bl w:val="nil"/>
                  </w:tcBorders>
                  <w:shd w:val="clear" w:color="auto" w:fill="auto"/>
                  <w:vAlign w:val="center"/>
                </w:tcPr>
                <w:p>
                  <w:pPr>
                    <w:pStyle w:val="21"/>
                    <w:rPr>
                      <w:b w:val="0"/>
                      <w:bCs w:val="0"/>
                      <w:sz w:val="22"/>
                      <w:szCs w:val="24"/>
                    </w:rPr>
                  </w:pPr>
                  <w:r>
                    <w:rPr>
                      <w:rFonts w:hint="default" w:ascii="Times New Roman" w:hAnsi="Times New Roman" w:cs="Times New Roman"/>
                      <w:b w:val="0"/>
                      <w:bCs w:val="0"/>
                      <w:color w:val="auto"/>
                      <w:sz w:val="22"/>
                      <w:szCs w:val="24"/>
                    </w:rPr>
                    <w:t>钝化工序</w:t>
                  </w:r>
                </w:p>
              </w:tc>
              <w:tc>
                <w:tcPr>
                  <w:tcW w:w="650" w:type="pct"/>
                  <w:tcBorders>
                    <w:tl2br w:val="nil"/>
                    <w:tr2bl w:val="nil"/>
                  </w:tcBorders>
                  <w:shd w:val="clear" w:color="auto" w:fill="auto"/>
                  <w:vAlign w:val="center"/>
                </w:tcPr>
                <w:p>
                  <w:pPr>
                    <w:pStyle w:val="21"/>
                    <w:rPr>
                      <w:b w:val="0"/>
                      <w:bCs w:val="0"/>
                      <w:sz w:val="22"/>
                      <w:szCs w:val="24"/>
                    </w:rPr>
                  </w:pPr>
                  <w:r>
                    <w:rPr>
                      <w:rFonts w:hint="default" w:ascii="Times New Roman" w:hAnsi="Times New Roman" w:cs="Times New Roman"/>
                      <w:b w:val="0"/>
                      <w:bCs w:val="0"/>
                      <w:color w:val="auto"/>
                      <w:sz w:val="22"/>
                      <w:szCs w:val="24"/>
                    </w:rPr>
                    <w:t>三价铬</w:t>
                  </w:r>
                </w:p>
              </w:tc>
              <w:tc>
                <w:tcPr>
                  <w:tcW w:w="354" w:type="pct"/>
                  <w:vMerge w:val="continue"/>
                  <w:tcBorders>
                    <w:tl2br w:val="nil"/>
                    <w:tr2bl w:val="nil"/>
                  </w:tcBorders>
                  <w:shd w:val="clear" w:color="auto" w:fill="auto"/>
                  <w:vAlign w:val="center"/>
                </w:tcPr>
                <w:p>
                  <w:pPr>
                    <w:pStyle w:val="21"/>
                    <w:rPr>
                      <w:b w:val="0"/>
                      <w:bCs w:val="0"/>
                      <w:sz w:val="22"/>
                      <w:szCs w:val="24"/>
                    </w:rPr>
                  </w:pPr>
                </w:p>
              </w:tc>
              <w:tc>
                <w:tcPr>
                  <w:tcW w:w="262" w:type="pct"/>
                  <w:vMerge w:val="continue"/>
                  <w:tcBorders>
                    <w:tl2br w:val="nil"/>
                    <w:tr2bl w:val="nil"/>
                  </w:tcBorders>
                  <w:shd w:val="clear" w:color="auto" w:fill="auto"/>
                  <w:vAlign w:val="center"/>
                </w:tcPr>
                <w:p>
                  <w:pPr>
                    <w:pStyle w:val="21"/>
                    <w:rPr>
                      <w:b w:val="0"/>
                      <w:bCs w:val="0"/>
                      <w:sz w:val="22"/>
                      <w:szCs w:val="24"/>
                    </w:rPr>
                  </w:pPr>
                </w:p>
              </w:tc>
              <w:tc>
                <w:tcPr>
                  <w:tcW w:w="426" w:type="pct"/>
                  <w:vMerge w:val="continue"/>
                  <w:tcBorders>
                    <w:tl2br w:val="nil"/>
                    <w:tr2bl w:val="nil"/>
                  </w:tcBorders>
                  <w:shd w:val="clear" w:color="auto" w:fill="auto"/>
                  <w:vAlign w:val="center"/>
                </w:tcPr>
                <w:p>
                  <w:pPr>
                    <w:pStyle w:val="21"/>
                    <w:rPr>
                      <w:b w:val="0"/>
                      <w:bCs w:val="0"/>
                      <w:sz w:val="22"/>
                      <w:szCs w:val="24"/>
                    </w:rPr>
                  </w:pPr>
                </w:p>
              </w:tc>
              <w:tc>
                <w:tcPr>
                  <w:tcW w:w="306" w:type="pct"/>
                  <w:vMerge w:val="continue"/>
                  <w:tcBorders>
                    <w:tl2br w:val="nil"/>
                    <w:tr2bl w:val="nil"/>
                  </w:tcBorders>
                  <w:shd w:val="clear" w:color="auto" w:fill="auto"/>
                  <w:vAlign w:val="center"/>
                </w:tcPr>
                <w:p>
                  <w:pPr>
                    <w:pStyle w:val="21"/>
                    <w:rPr>
                      <w:b w:val="0"/>
                      <w:bCs w:val="0"/>
                      <w:sz w:val="22"/>
                      <w:szCs w:val="24"/>
                    </w:rPr>
                  </w:pPr>
                </w:p>
              </w:tc>
              <w:tc>
                <w:tcPr>
                  <w:tcW w:w="640"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336-068-17</w:t>
                  </w:r>
                </w:p>
              </w:tc>
              <w:tc>
                <w:tcPr>
                  <w:tcW w:w="399" w:type="pct"/>
                  <w:vMerge w:val="continue"/>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p>
              </w:tc>
              <w:tc>
                <w:tcPr>
                  <w:tcW w:w="399" w:type="pct"/>
                  <w:vMerge w:val="continue"/>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p>
              </w:tc>
              <w:tc>
                <w:tcPr>
                  <w:tcW w:w="337" w:type="pct"/>
                  <w:vMerge w:val="continue"/>
                  <w:tcBorders>
                    <w:tl2br w:val="nil"/>
                    <w:tr2bl w:val="nil"/>
                  </w:tcBorders>
                  <w:vAlign w:val="center"/>
                </w:tcPr>
                <w:p>
                  <w:pPr>
                    <w:pStyle w:val="21"/>
                    <w:rPr>
                      <w:rFonts w:hint="default" w:ascii="Times New Roman" w:hAnsi="Times New Roman" w:cs="Times New Roman"/>
                      <w:b w:val="0"/>
                      <w:bCs w:val="0"/>
                      <w:color w:val="auto"/>
                      <w:sz w:val="22"/>
                      <w:szCs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42" w:type="pct"/>
                  <w:tcBorders>
                    <w:tl2br w:val="nil"/>
                    <w:tr2bl w:val="nil"/>
                  </w:tcBorders>
                  <w:shd w:val="clear" w:color="auto" w:fill="auto"/>
                  <w:vAlign w:val="center"/>
                </w:tcPr>
                <w:p>
                  <w:pPr>
                    <w:pStyle w:val="21"/>
                    <w:rPr>
                      <w:rFonts w:hint="eastAsia" w:ascii="Times New Roman" w:hAnsi="Times New Roman" w:eastAsia="宋体" w:cs="Times New Roman"/>
                      <w:b w:val="0"/>
                      <w:bCs w:val="0"/>
                      <w:color w:val="auto"/>
                      <w:sz w:val="22"/>
                      <w:szCs w:val="24"/>
                      <w:lang w:eastAsia="zh-CN"/>
                    </w:rPr>
                  </w:pPr>
                  <w:r>
                    <w:rPr>
                      <w:rFonts w:hint="eastAsia" w:ascii="Times New Roman" w:hAnsi="Times New Roman" w:cs="Times New Roman"/>
                      <w:b w:val="0"/>
                      <w:bCs w:val="0"/>
                      <w:color w:val="auto"/>
                      <w:sz w:val="22"/>
                      <w:szCs w:val="24"/>
                      <w:lang w:val="en-US" w:eastAsia="zh-CN"/>
                    </w:rPr>
                    <w:t>2</w:t>
                  </w:r>
                </w:p>
              </w:tc>
              <w:tc>
                <w:tcPr>
                  <w:tcW w:w="486"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废机油</w:t>
                  </w:r>
                </w:p>
              </w:tc>
              <w:tc>
                <w:tcPr>
                  <w:tcW w:w="495"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设备维护等工序</w:t>
                  </w:r>
                </w:p>
              </w:tc>
              <w:tc>
                <w:tcPr>
                  <w:tcW w:w="650"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机油</w:t>
                  </w:r>
                </w:p>
              </w:tc>
              <w:tc>
                <w:tcPr>
                  <w:tcW w:w="354"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液态</w:t>
                  </w:r>
                </w:p>
              </w:tc>
              <w:tc>
                <w:tcPr>
                  <w:tcW w:w="262"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w:t>
                  </w:r>
                </w:p>
              </w:tc>
              <w:tc>
                <w:tcPr>
                  <w:tcW w:w="426"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HW08</w:t>
                  </w:r>
                </w:p>
              </w:tc>
              <w:tc>
                <w:tcPr>
                  <w:tcW w:w="306"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T/I</w:t>
                  </w:r>
                </w:p>
              </w:tc>
              <w:tc>
                <w:tcPr>
                  <w:tcW w:w="640"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900-249-08</w:t>
                  </w:r>
                </w:p>
              </w:tc>
              <w:tc>
                <w:tcPr>
                  <w:tcW w:w="399" w:type="pct"/>
                  <w:tcBorders>
                    <w:tl2br w:val="nil"/>
                    <w:tr2bl w:val="nil"/>
                  </w:tcBorders>
                  <w:shd w:val="clear" w:color="auto" w:fill="auto"/>
                  <w:vAlign w:val="center"/>
                </w:tcPr>
                <w:p>
                  <w:pPr>
                    <w:pStyle w:val="21"/>
                    <w:rPr>
                      <w:rFonts w:hint="default" w:ascii="Times New Roman" w:hAnsi="Times New Roman" w:eastAsia="宋体" w:cs="Times New Roman"/>
                      <w:b w:val="0"/>
                      <w:bCs w:val="0"/>
                      <w:color w:val="auto"/>
                      <w:sz w:val="22"/>
                      <w:szCs w:val="24"/>
                      <w:lang w:val="en-US" w:eastAsia="zh-CN"/>
                    </w:rPr>
                  </w:pPr>
                  <w:r>
                    <w:rPr>
                      <w:rFonts w:hint="eastAsia" w:ascii="Times New Roman" w:hAnsi="Times New Roman" w:cs="Times New Roman"/>
                      <w:b w:val="0"/>
                      <w:bCs w:val="0"/>
                      <w:color w:val="auto"/>
                      <w:sz w:val="22"/>
                      <w:szCs w:val="24"/>
                      <w:lang w:val="en-US" w:eastAsia="zh-CN"/>
                    </w:rPr>
                    <w:t>1.8</w:t>
                  </w:r>
                </w:p>
              </w:tc>
              <w:tc>
                <w:tcPr>
                  <w:tcW w:w="871" w:type="dxa"/>
                  <w:tcBorders>
                    <w:tl2br w:val="nil"/>
                    <w:tr2bl w:val="nil"/>
                  </w:tcBorders>
                  <w:shd w:val="clear" w:color="auto" w:fill="auto"/>
                  <w:vAlign w:val="center"/>
                </w:tcPr>
                <w:p>
                  <w:pPr>
                    <w:pStyle w:val="21"/>
                    <w:rPr>
                      <w:rFonts w:hint="eastAsia" w:cs="Times New Roman"/>
                      <w:b w:val="0"/>
                      <w:bCs w:val="0"/>
                      <w:color w:val="auto"/>
                      <w:sz w:val="22"/>
                      <w:szCs w:val="24"/>
                      <w:lang w:val="en-US" w:eastAsia="zh-CN"/>
                    </w:rPr>
                  </w:pPr>
                  <w:r>
                    <w:rPr>
                      <w:rFonts w:hint="eastAsia" w:cs="Times New Roman"/>
                      <w:b w:val="0"/>
                      <w:bCs w:val="0"/>
                      <w:color w:val="auto"/>
                      <w:sz w:val="22"/>
                      <w:szCs w:val="24"/>
                      <w:lang w:val="en-US" w:eastAsia="zh-CN"/>
                    </w:rPr>
                    <w:t>0</w:t>
                  </w:r>
                </w:p>
              </w:tc>
              <w:tc>
                <w:tcPr>
                  <w:tcW w:w="337" w:type="pct"/>
                  <w:vMerge w:val="continue"/>
                  <w:tcBorders>
                    <w:tl2br w:val="nil"/>
                    <w:tr2bl w:val="nil"/>
                  </w:tcBorders>
                  <w:vAlign w:val="center"/>
                </w:tcPr>
                <w:p>
                  <w:pPr>
                    <w:pStyle w:val="21"/>
                    <w:rPr>
                      <w:rFonts w:hint="default" w:ascii="Times New Roman" w:hAnsi="Times New Roman" w:cs="Times New Roman"/>
                      <w:b w:val="0"/>
                      <w:bCs w:val="0"/>
                      <w:color w:val="auto"/>
                      <w:sz w:val="22"/>
                      <w:szCs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2" w:type="pct"/>
                  <w:tcBorders>
                    <w:tl2br w:val="nil"/>
                    <w:tr2bl w:val="nil"/>
                  </w:tcBorders>
                  <w:shd w:val="clear" w:color="auto" w:fill="auto"/>
                  <w:vAlign w:val="center"/>
                </w:tcPr>
                <w:p>
                  <w:pPr>
                    <w:pStyle w:val="21"/>
                    <w:rPr>
                      <w:rFonts w:hint="eastAsia" w:ascii="Times New Roman" w:hAnsi="Times New Roman" w:eastAsia="宋体" w:cs="Times New Roman"/>
                      <w:b w:val="0"/>
                      <w:bCs w:val="0"/>
                      <w:color w:val="auto"/>
                      <w:sz w:val="22"/>
                      <w:szCs w:val="24"/>
                      <w:lang w:eastAsia="zh-CN"/>
                    </w:rPr>
                  </w:pPr>
                  <w:r>
                    <w:rPr>
                      <w:rFonts w:hint="eastAsia" w:ascii="Times New Roman" w:hAnsi="Times New Roman" w:cs="Times New Roman"/>
                      <w:b w:val="0"/>
                      <w:bCs w:val="0"/>
                      <w:color w:val="auto"/>
                      <w:sz w:val="22"/>
                      <w:szCs w:val="24"/>
                      <w:lang w:val="en-US" w:eastAsia="zh-CN"/>
                    </w:rPr>
                    <w:t>3</w:t>
                  </w:r>
                </w:p>
              </w:tc>
              <w:tc>
                <w:tcPr>
                  <w:tcW w:w="486"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废油泥</w:t>
                  </w:r>
                </w:p>
              </w:tc>
              <w:tc>
                <w:tcPr>
                  <w:tcW w:w="495"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除油工序</w:t>
                  </w:r>
                </w:p>
              </w:tc>
              <w:tc>
                <w:tcPr>
                  <w:tcW w:w="650"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油水混合物</w:t>
                  </w:r>
                </w:p>
              </w:tc>
              <w:tc>
                <w:tcPr>
                  <w:tcW w:w="354"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半固态</w:t>
                  </w:r>
                </w:p>
              </w:tc>
              <w:tc>
                <w:tcPr>
                  <w:tcW w:w="262" w:type="pct"/>
                  <w:tcBorders>
                    <w:tl2br w:val="nil"/>
                    <w:tr2bl w:val="nil"/>
                  </w:tcBorders>
                  <w:shd w:val="clear" w:color="auto" w:fill="auto"/>
                  <w:vAlign w:val="center"/>
                </w:tcPr>
                <w:p>
                  <w:pPr>
                    <w:pStyle w:val="21"/>
                    <w:rPr>
                      <w:rFonts w:hint="eastAsia" w:ascii="Times New Roman" w:hAnsi="Times New Roman" w:eastAsia="宋体" w:cs="Times New Roman"/>
                      <w:b w:val="0"/>
                      <w:bCs w:val="0"/>
                      <w:color w:val="auto"/>
                      <w:sz w:val="22"/>
                      <w:szCs w:val="24"/>
                      <w:lang w:val="en-US" w:eastAsia="zh-CN"/>
                    </w:rPr>
                  </w:pPr>
                  <w:r>
                    <w:rPr>
                      <w:rFonts w:hint="eastAsia" w:cs="Times New Roman"/>
                      <w:b w:val="0"/>
                      <w:bCs w:val="0"/>
                      <w:color w:val="auto"/>
                      <w:sz w:val="22"/>
                      <w:szCs w:val="24"/>
                      <w:lang w:val="en-US" w:eastAsia="zh-CN"/>
                    </w:rPr>
                    <w:t>/</w:t>
                  </w:r>
                </w:p>
              </w:tc>
              <w:tc>
                <w:tcPr>
                  <w:tcW w:w="426"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HW17</w:t>
                  </w:r>
                </w:p>
              </w:tc>
              <w:tc>
                <w:tcPr>
                  <w:tcW w:w="306"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T/I</w:t>
                  </w:r>
                </w:p>
              </w:tc>
              <w:tc>
                <w:tcPr>
                  <w:tcW w:w="640"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336-064-17</w:t>
                  </w:r>
                </w:p>
              </w:tc>
              <w:tc>
                <w:tcPr>
                  <w:tcW w:w="399" w:type="pct"/>
                  <w:tcBorders>
                    <w:tl2br w:val="nil"/>
                    <w:tr2bl w:val="nil"/>
                  </w:tcBorders>
                  <w:shd w:val="clear" w:color="auto" w:fill="auto"/>
                  <w:vAlign w:val="center"/>
                </w:tcPr>
                <w:p>
                  <w:pPr>
                    <w:pStyle w:val="21"/>
                    <w:rPr>
                      <w:rFonts w:hint="default" w:ascii="Times New Roman" w:hAnsi="Times New Roman" w:eastAsia="宋体" w:cs="Times New Roman"/>
                      <w:b w:val="0"/>
                      <w:bCs w:val="0"/>
                      <w:color w:val="auto"/>
                      <w:sz w:val="22"/>
                      <w:szCs w:val="24"/>
                      <w:lang w:val="en-US" w:eastAsia="zh-CN"/>
                    </w:rPr>
                  </w:pPr>
                  <w:r>
                    <w:rPr>
                      <w:rFonts w:hint="eastAsia" w:ascii="Times New Roman" w:hAnsi="Times New Roman" w:cs="Times New Roman"/>
                      <w:b w:val="0"/>
                      <w:bCs w:val="0"/>
                      <w:color w:val="auto"/>
                      <w:sz w:val="22"/>
                      <w:szCs w:val="24"/>
                      <w:lang w:val="en-US" w:eastAsia="zh-CN"/>
                    </w:rPr>
                    <w:t>3.0</w:t>
                  </w:r>
                </w:p>
              </w:tc>
              <w:tc>
                <w:tcPr>
                  <w:tcW w:w="871" w:type="dxa"/>
                  <w:tcBorders>
                    <w:tl2br w:val="nil"/>
                    <w:tr2bl w:val="nil"/>
                  </w:tcBorders>
                  <w:shd w:val="clear" w:color="auto" w:fill="auto"/>
                  <w:vAlign w:val="center"/>
                </w:tcPr>
                <w:p>
                  <w:pPr>
                    <w:pStyle w:val="21"/>
                    <w:rPr>
                      <w:rFonts w:hint="default" w:cs="Times New Roman"/>
                      <w:b w:val="0"/>
                      <w:bCs w:val="0"/>
                      <w:color w:val="auto"/>
                      <w:sz w:val="22"/>
                      <w:szCs w:val="24"/>
                      <w:lang w:val="en-US" w:eastAsia="zh-CN"/>
                    </w:rPr>
                  </w:pPr>
                  <w:r>
                    <w:rPr>
                      <w:rFonts w:hint="eastAsia" w:cs="Times New Roman"/>
                      <w:b w:val="0"/>
                      <w:bCs w:val="0"/>
                      <w:color w:val="auto"/>
                      <w:sz w:val="22"/>
                      <w:szCs w:val="24"/>
                      <w:lang w:val="en-US" w:eastAsia="zh-CN"/>
                    </w:rPr>
                    <w:t>1.0</w:t>
                  </w:r>
                </w:p>
              </w:tc>
              <w:tc>
                <w:tcPr>
                  <w:tcW w:w="337" w:type="pct"/>
                  <w:vMerge w:val="continue"/>
                  <w:tcBorders>
                    <w:tl2br w:val="nil"/>
                    <w:tr2bl w:val="nil"/>
                  </w:tcBorders>
                  <w:vAlign w:val="center"/>
                </w:tcPr>
                <w:p>
                  <w:pPr>
                    <w:pStyle w:val="21"/>
                    <w:rPr>
                      <w:rFonts w:hint="default" w:ascii="Times New Roman" w:hAnsi="Times New Roman" w:cs="Times New Roman"/>
                      <w:b w:val="0"/>
                      <w:bCs w:val="0"/>
                      <w:color w:val="auto"/>
                      <w:sz w:val="22"/>
                      <w:szCs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2" w:type="pct"/>
                  <w:tcBorders>
                    <w:tl2br w:val="nil"/>
                    <w:tr2bl w:val="nil"/>
                  </w:tcBorders>
                  <w:shd w:val="clear" w:color="auto" w:fill="auto"/>
                  <w:vAlign w:val="center"/>
                </w:tcPr>
                <w:p>
                  <w:pPr>
                    <w:pStyle w:val="21"/>
                    <w:rPr>
                      <w:rFonts w:hint="eastAsia" w:ascii="Times New Roman" w:hAnsi="Times New Roman" w:eastAsia="宋体" w:cs="Times New Roman"/>
                      <w:b w:val="0"/>
                      <w:bCs w:val="0"/>
                      <w:color w:val="auto"/>
                      <w:sz w:val="22"/>
                      <w:szCs w:val="24"/>
                      <w:lang w:eastAsia="zh-CN"/>
                    </w:rPr>
                  </w:pPr>
                  <w:r>
                    <w:rPr>
                      <w:rFonts w:hint="eastAsia" w:ascii="Times New Roman" w:hAnsi="Times New Roman" w:cs="Times New Roman"/>
                      <w:b w:val="0"/>
                      <w:bCs w:val="0"/>
                      <w:color w:val="auto"/>
                      <w:sz w:val="22"/>
                      <w:szCs w:val="24"/>
                      <w:lang w:val="en-US" w:eastAsia="zh-CN"/>
                    </w:rPr>
                    <w:t>4</w:t>
                  </w:r>
                </w:p>
              </w:tc>
              <w:tc>
                <w:tcPr>
                  <w:tcW w:w="486" w:type="pct"/>
                  <w:tcBorders>
                    <w:tl2br w:val="nil"/>
                    <w:tr2bl w:val="nil"/>
                  </w:tcBorders>
                  <w:shd w:val="clear" w:color="auto" w:fill="auto"/>
                  <w:vAlign w:val="center"/>
                </w:tcPr>
                <w:p>
                  <w:pPr>
                    <w:pStyle w:val="21"/>
                    <w:rPr>
                      <w:rFonts w:hint="default" w:ascii="Times New Roman" w:hAnsi="Times New Roman" w:eastAsia="宋体" w:cs="Times New Roman"/>
                      <w:b w:val="0"/>
                      <w:bCs w:val="0"/>
                      <w:color w:val="auto"/>
                      <w:sz w:val="22"/>
                      <w:szCs w:val="24"/>
                      <w:lang w:eastAsia="zh-CN"/>
                    </w:rPr>
                  </w:pPr>
                  <w:r>
                    <w:rPr>
                      <w:rFonts w:hint="default" w:ascii="Times New Roman" w:hAnsi="Times New Roman" w:cs="Times New Roman"/>
                      <w:b w:val="0"/>
                      <w:bCs w:val="0"/>
                      <w:color w:val="auto"/>
                      <w:sz w:val="22"/>
                      <w:szCs w:val="24"/>
                    </w:rPr>
                    <w:t>镀槽废滤芯</w:t>
                  </w:r>
                  <w:r>
                    <w:rPr>
                      <w:rFonts w:hint="default" w:ascii="Times New Roman" w:hAnsi="Times New Roman" w:cs="Times New Roman"/>
                      <w:b w:val="0"/>
                      <w:bCs w:val="0"/>
                      <w:color w:val="auto"/>
                      <w:sz w:val="22"/>
                      <w:szCs w:val="24"/>
                      <w:lang w:eastAsia="zh-CN"/>
                    </w:rPr>
                    <w:t>（含槽渣）</w:t>
                  </w:r>
                </w:p>
              </w:tc>
              <w:tc>
                <w:tcPr>
                  <w:tcW w:w="495"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各线电镀工序</w:t>
                  </w:r>
                </w:p>
              </w:tc>
              <w:tc>
                <w:tcPr>
                  <w:tcW w:w="650"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锌、镍、铬、铜等重金属离子等</w:t>
                  </w:r>
                </w:p>
              </w:tc>
              <w:tc>
                <w:tcPr>
                  <w:tcW w:w="354" w:type="pct"/>
                  <w:tcBorders>
                    <w:tl2br w:val="nil"/>
                    <w:tr2bl w:val="nil"/>
                  </w:tcBorders>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半固态</w:t>
                  </w:r>
                </w:p>
              </w:tc>
              <w:tc>
                <w:tcPr>
                  <w:tcW w:w="262" w:type="pct"/>
                  <w:tcBorders>
                    <w:tl2br w:val="nil"/>
                    <w:tr2bl w:val="nil"/>
                  </w:tcBorders>
                  <w:vAlign w:val="center"/>
                </w:tcPr>
                <w:p>
                  <w:pPr>
                    <w:pStyle w:val="21"/>
                    <w:rPr>
                      <w:rFonts w:hint="eastAsia" w:ascii="Times New Roman" w:hAnsi="Times New Roman" w:eastAsia="宋体" w:cs="Times New Roman"/>
                      <w:b w:val="0"/>
                      <w:bCs w:val="0"/>
                      <w:color w:val="auto"/>
                      <w:sz w:val="22"/>
                      <w:szCs w:val="24"/>
                      <w:lang w:val="en-US" w:eastAsia="zh-CN"/>
                    </w:rPr>
                  </w:pPr>
                  <w:r>
                    <w:rPr>
                      <w:rFonts w:hint="eastAsia" w:cs="Times New Roman"/>
                      <w:b w:val="0"/>
                      <w:bCs w:val="0"/>
                      <w:color w:val="auto"/>
                      <w:sz w:val="22"/>
                      <w:szCs w:val="24"/>
                      <w:lang w:val="en-US" w:eastAsia="zh-CN"/>
                    </w:rPr>
                    <w:t>/</w:t>
                  </w:r>
                </w:p>
              </w:tc>
              <w:tc>
                <w:tcPr>
                  <w:tcW w:w="426"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HW17</w:t>
                  </w:r>
                </w:p>
              </w:tc>
              <w:tc>
                <w:tcPr>
                  <w:tcW w:w="306"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T</w:t>
                  </w:r>
                </w:p>
              </w:tc>
              <w:tc>
                <w:tcPr>
                  <w:tcW w:w="640"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336-053-17</w:t>
                  </w:r>
                </w:p>
              </w:tc>
              <w:tc>
                <w:tcPr>
                  <w:tcW w:w="399" w:type="pct"/>
                  <w:tcBorders>
                    <w:tl2br w:val="nil"/>
                    <w:tr2bl w:val="nil"/>
                  </w:tcBorders>
                  <w:shd w:val="clear" w:color="auto" w:fill="auto"/>
                  <w:vAlign w:val="center"/>
                </w:tcPr>
                <w:p>
                  <w:pPr>
                    <w:pStyle w:val="21"/>
                    <w:rPr>
                      <w:rFonts w:hint="default" w:ascii="Times New Roman" w:hAnsi="Times New Roman" w:eastAsia="宋体" w:cs="Times New Roman"/>
                      <w:b w:val="0"/>
                      <w:bCs w:val="0"/>
                      <w:color w:val="auto"/>
                      <w:sz w:val="22"/>
                      <w:szCs w:val="24"/>
                      <w:lang w:val="en-US" w:eastAsia="zh-CN"/>
                    </w:rPr>
                  </w:pPr>
                  <w:r>
                    <w:rPr>
                      <w:rFonts w:hint="eastAsia" w:ascii="Times New Roman" w:hAnsi="Times New Roman" w:cs="Times New Roman"/>
                      <w:b w:val="0"/>
                      <w:bCs w:val="0"/>
                      <w:color w:val="auto"/>
                      <w:sz w:val="22"/>
                      <w:szCs w:val="24"/>
                      <w:lang w:val="en-US" w:eastAsia="zh-CN"/>
                    </w:rPr>
                    <w:t>2.76</w:t>
                  </w:r>
                </w:p>
              </w:tc>
              <w:tc>
                <w:tcPr>
                  <w:tcW w:w="871" w:type="dxa"/>
                  <w:tcBorders>
                    <w:tl2br w:val="nil"/>
                    <w:tr2bl w:val="nil"/>
                  </w:tcBorders>
                  <w:shd w:val="clear" w:color="auto" w:fill="auto"/>
                  <w:vAlign w:val="center"/>
                </w:tcPr>
                <w:p>
                  <w:pPr>
                    <w:pStyle w:val="21"/>
                    <w:rPr>
                      <w:rFonts w:hint="default" w:cs="Times New Roman"/>
                      <w:b w:val="0"/>
                      <w:bCs w:val="0"/>
                      <w:color w:val="auto"/>
                      <w:sz w:val="22"/>
                      <w:szCs w:val="24"/>
                      <w:lang w:val="en-US" w:eastAsia="zh-CN"/>
                    </w:rPr>
                  </w:pPr>
                  <w:r>
                    <w:rPr>
                      <w:rFonts w:hint="eastAsia" w:cs="Times New Roman"/>
                      <w:b w:val="0"/>
                      <w:bCs w:val="0"/>
                      <w:color w:val="auto"/>
                      <w:sz w:val="22"/>
                      <w:szCs w:val="24"/>
                      <w:lang w:val="en-US" w:eastAsia="zh-CN"/>
                    </w:rPr>
                    <w:t>2.0</w:t>
                  </w:r>
                </w:p>
              </w:tc>
              <w:tc>
                <w:tcPr>
                  <w:tcW w:w="337" w:type="pct"/>
                  <w:vMerge w:val="continue"/>
                  <w:tcBorders>
                    <w:tl2br w:val="nil"/>
                    <w:tr2bl w:val="nil"/>
                  </w:tcBorders>
                  <w:vAlign w:val="center"/>
                </w:tcPr>
                <w:p>
                  <w:pPr>
                    <w:pStyle w:val="21"/>
                    <w:rPr>
                      <w:rFonts w:hint="default" w:ascii="Times New Roman" w:hAnsi="Times New Roman" w:cs="Times New Roman"/>
                      <w:b w:val="0"/>
                      <w:bCs w:val="0"/>
                      <w:color w:val="auto"/>
                      <w:sz w:val="22"/>
                      <w:szCs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2" w:type="pct"/>
                  <w:tcBorders>
                    <w:tl2br w:val="nil"/>
                    <w:tr2bl w:val="nil"/>
                  </w:tcBorders>
                  <w:shd w:val="clear" w:color="auto" w:fill="auto"/>
                  <w:vAlign w:val="center"/>
                </w:tcPr>
                <w:p>
                  <w:pPr>
                    <w:pStyle w:val="21"/>
                    <w:rPr>
                      <w:rFonts w:hint="eastAsia" w:ascii="Times New Roman" w:hAnsi="Times New Roman" w:eastAsia="宋体" w:cs="Times New Roman"/>
                      <w:b w:val="0"/>
                      <w:bCs w:val="0"/>
                      <w:color w:val="auto"/>
                      <w:sz w:val="22"/>
                      <w:szCs w:val="24"/>
                      <w:lang w:eastAsia="zh-CN"/>
                    </w:rPr>
                  </w:pPr>
                  <w:r>
                    <w:rPr>
                      <w:rFonts w:hint="eastAsia" w:ascii="Times New Roman" w:hAnsi="Times New Roman" w:cs="Times New Roman"/>
                      <w:b w:val="0"/>
                      <w:bCs w:val="0"/>
                      <w:color w:val="auto"/>
                      <w:sz w:val="22"/>
                      <w:szCs w:val="24"/>
                      <w:lang w:val="en-US" w:eastAsia="zh-CN"/>
                    </w:rPr>
                    <w:t>5</w:t>
                  </w:r>
                </w:p>
              </w:tc>
              <w:tc>
                <w:tcPr>
                  <w:tcW w:w="486"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封孔槽液废过滤</w:t>
                  </w:r>
                  <w:r>
                    <w:rPr>
                      <w:rFonts w:hint="default" w:ascii="Times New Roman" w:hAnsi="Times New Roman" w:cs="Times New Roman"/>
                      <w:b w:val="0"/>
                      <w:bCs w:val="0"/>
                      <w:color w:val="auto"/>
                      <w:sz w:val="22"/>
                      <w:szCs w:val="24"/>
                      <w:lang w:eastAsia="zh-CN"/>
                    </w:rPr>
                    <w:t>（含槽渣）</w:t>
                  </w:r>
                </w:p>
              </w:tc>
              <w:tc>
                <w:tcPr>
                  <w:tcW w:w="495"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封闭工序</w:t>
                  </w:r>
                </w:p>
              </w:tc>
              <w:tc>
                <w:tcPr>
                  <w:tcW w:w="650"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有机硅烷类滤渣</w:t>
                  </w:r>
                </w:p>
              </w:tc>
              <w:tc>
                <w:tcPr>
                  <w:tcW w:w="354"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半固态</w:t>
                  </w:r>
                </w:p>
              </w:tc>
              <w:tc>
                <w:tcPr>
                  <w:tcW w:w="262" w:type="pct"/>
                  <w:tcBorders>
                    <w:tl2br w:val="nil"/>
                    <w:tr2bl w:val="nil"/>
                  </w:tcBorders>
                  <w:shd w:val="clear" w:color="auto" w:fill="auto"/>
                  <w:vAlign w:val="center"/>
                </w:tcPr>
                <w:p>
                  <w:pPr>
                    <w:pStyle w:val="21"/>
                    <w:rPr>
                      <w:rFonts w:hint="eastAsia" w:ascii="Times New Roman" w:hAnsi="Times New Roman" w:eastAsia="宋体" w:cs="Times New Roman"/>
                      <w:b w:val="0"/>
                      <w:bCs w:val="0"/>
                      <w:color w:val="auto"/>
                      <w:sz w:val="22"/>
                      <w:szCs w:val="24"/>
                      <w:lang w:val="en-US" w:eastAsia="zh-CN"/>
                    </w:rPr>
                  </w:pPr>
                  <w:r>
                    <w:rPr>
                      <w:rFonts w:hint="eastAsia" w:cs="Times New Roman"/>
                      <w:b w:val="0"/>
                      <w:bCs w:val="0"/>
                      <w:color w:val="auto"/>
                      <w:sz w:val="22"/>
                      <w:szCs w:val="24"/>
                      <w:lang w:val="en-US" w:eastAsia="zh-CN"/>
                    </w:rPr>
                    <w:t>/</w:t>
                  </w:r>
                </w:p>
              </w:tc>
              <w:tc>
                <w:tcPr>
                  <w:tcW w:w="426"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HW49</w:t>
                  </w:r>
                </w:p>
              </w:tc>
              <w:tc>
                <w:tcPr>
                  <w:tcW w:w="306"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T</w:t>
                  </w:r>
                </w:p>
              </w:tc>
              <w:tc>
                <w:tcPr>
                  <w:tcW w:w="640"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900-041-49</w:t>
                  </w:r>
                </w:p>
              </w:tc>
              <w:tc>
                <w:tcPr>
                  <w:tcW w:w="399" w:type="pct"/>
                  <w:tcBorders>
                    <w:tl2br w:val="nil"/>
                    <w:tr2bl w:val="nil"/>
                  </w:tcBorders>
                  <w:shd w:val="clear" w:color="auto" w:fill="auto"/>
                  <w:vAlign w:val="center"/>
                </w:tcPr>
                <w:p>
                  <w:pPr>
                    <w:pStyle w:val="21"/>
                    <w:rPr>
                      <w:rFonts w:hint="default" w:ascii="Times New Roman" w:hAnsi="Times New Roman" w:eastAsia="宋体" w:cs="Times New Roman"/>
                      <w:b w:val="0"/>
                      <w:bCs w:val="0"/>
                      <w:color w:val="auto"/>
                      <w:sz w:val="22"/>
                      <w:szCs w:val="24"/>
                      <w:lang w:val="en-US" w:eastAsia="zh-CN"/>
                    </w:rPr>
                  </w:pPr>
                  <w:r>
                    <w:rPr>
                      <w:rFonts w:hint="eastAsia" w:ascii="Times New Roman" w:hAnsi="Times New Roman" w:cs="Times New Roman"/>
                      <w:b w:val="0"/>
                      <w:bCs w:val="0"/>
                      <w:color w:val="auto"/>
                      <w:sz w:val="22"/>
                      <w:szCs w:val="24"/>
                      <w:lang w:val="en-US" w:eastAsia="zh-CN"/>
                    </w:rPr>
                    <w:t>0.6</w:t>
                  </w:r>
                </w:p>
              </w:tc>
              <w:tc>
                <w:tcPr>
                  <w:tcW w:w="871" w:type="dxa"/>
                  <w:tcBorders>
                    <w:tl2br w:val="nil"/>
                    <w:tr2bl w:val="nil"/>
                  </w:tcBorders>
                  <w:shd w:val="clear" w:color="auto" w:fill="auto"/>
                  <w:vAlign w:val="center"/>
                </w:tcPr>
                <w:p>
                  <w:pPr>
                    <w:pStyle w:val="21"/>
                    <w:rPr>
                      <w:rFonts w:hint="eastAsia" w:cs="Times New Roman"/>
                      <w:b w:val="0"/>
                      <w:bCs w:val="0"/>
                      <w:color w:val="auto"/>
                      <w:sz w:val="22"/>
                      <w:szCs w:val="24"/>
                      <w:lang w:val="en-US" w:eastAsia="zh-CN"/>
                    </w:rPr>
                  </w:pPr>
                  <w:r>
                    <w:rPr>
                      <w:rFonts w:hint="eastAsia" w:cs="Times New Roman"/>
                      <w:b w:val="0"/>
                      <w:bCs w:val="0"/>
                      <w:color w:val="auto"/>
                      <w:sz w:val="22"/>
                      <w:szCs w:val="24"/>
                      <w:lang w:val="en-US" w:eastAsia="zh-CN"/>
                    </w:rPr>
                    <w:t>0</w:t>
                  </w:r>
                </w:p>
              </w:tc>
              <w:tc>
                <w:tcPr>
                  <w:tcW w:w="337" w:type="pct"/>
                  <w:vMerge w:val="continue"/>
                  <w:tcBorders>
                    <w:tl2br w:val="nil"/>
                    <w:tr2bl w:val="nil"/>
                  </w:tcBorders>
                  <w:vAlign w:val="center"/>
                </w:tcPr>
                <w:p>
                  <w:pPr>
                    <w:pStyle w:val="21"/>
                    <w:rPr>
                      <w:rFonts w:hint="default" w:ascii="Times New Roman" w:hAnsi="Times New Roman" w:cs="Times New Roman"/>
                      <w:b w:val="0"/>
                      <w:bCs w:val="0"/>
                      <w:color w:val="auto"/>
                      <w:sz w:val="22"/>
                      <w:szCs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2" w:type="pct"/>
                  <w:tcBorders>
                    <w:tl2br w:val="nil"/>
                    <w:tr2bl w:val="nil"/>
                  </w:tcBorders>
                  <w:shd w:val="clear" w:color="auto" w:fill="auto"/>
                  <w:vAlign w:val="center"/>
                </w:tcPr>
                <w:p>
                  <w:pPr>
                    <w:pStyle w:val="21"/>
                    <w:rPr>
                      <w:rFonts w:hint="eastAsia" w:ascii="Times New Roman" w:hAnsi="Times New Roman" w:eastAsia="宋体" w:cs="Times New Roman"/>
                      <w:b w:val="0"/>
                      <w:bCs w:val="0"/>
                      <w:color w:val="auto"/>
                      <w:sz w:val="22"/>
                      <w:szCs w:val="24"/>
                      <w:lang w:val="en-US" w:eastAsia="zh-CN"/>
                    </w:rPr>
                  </w:pPr>
                  <w:r>
                    <w:rPr>
                      <w:rFonts w:hint="eastAsia" w:ascii="Times New Roman" w:hAnsi="Times New Roman" w:cs="Times New Roman"/>
                      <w:b w:val="0"/>
                      <w:bCs w:val="0"/>
                      <w:color w:val="auto"/>
                      <w:sz w:val="22"/>
                      <w:szCs w:val="24"/>
                      <w:lang w:val="en-US" w:eastAsia="zh-CN"/>
                    </w:rPr>
                    <w:t>6</w:t>
                  </w:r>
                </w:p>
              </w:tc>
              <w:tc>
                <w:tcPr>
                  <w:tcW w:w="486"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废包装物</w:t>
                  </w:r>
                </w:p>
              </w:tc>
              <w:tc>
                <w:tcPr>
                  <w:tcW w:w="495"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全部生产</w:t>
                  </w:r>
                </w:p>
              </w:tc>
              <w:tc>
                <w:tcPr>
                  <w:tcW w:w="650"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沾染危险化学品包装物，包括废油漆桶、废稀释剂桶等</w:t>
                  </w:r>
                </w:p>
              </w:tc>
              <w:tc>
                <w:tcPr>
                  <w:tcW w:w="354" w:type="pct"/>
                  <w:tcBorders>
                    <w:tl2br w:val="nil"/>
                    <w:tr2bl w:val="nil"/>
                  </w:tcBorders>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固态</w:t>
                  </w:r>
                </w:p>
              </w:tc>
              <w:tc>
                <w:tcPr>
                  <w:tcW w:w="262" w:type="pct"/>
                  <w:tcBorders>
                    <w:tl2br w:val="nil"/>
                    <w:tr2bl w:val="nil"/>
                  </w:tcBorders>
                  <w:vAlign w:val="center"/>
                </w:tcPr>
                <w:p>
                  <w:pPr>
                    <w:pStyle w:val="21"/>
                    <w:rPr>
                      <w:rFonts w:hint="eastAsia" w:ascii="Times New Roman" w:hAnsi="Times New Roman" w:eastAsia="宋体" w:cs="Times New Roman"/>
                      <w:b w:val="0"/>
                      <w:bCs w:val="0"/>
                      <w:color w:val="auto"/>
                      <w:sz w:val="22"/>
                      <w:szCs w:val="24"/>
                      <w:lang w:val="en-US" w:eastAsia="zh-CN"/>
                    </w:rPr>
                  </w:pPr>
                  <w:r>
                    <w:rPr>
                      <w:rFonts w:hint="eastAsia" w:cs="Times New Roman"/>
                      <w:b w:val="0"/>
                      <w:bCs w:val="0"/>
                      <w:color w:val="auto"/>
                      <w:sz w:val="22"/>
                      <w:szCs w:val="24"/>
                      <w:lang w:val="en-US" w:eastAsia="zh-CN"/>
                    </w:rPr>
                    <w:t>/</w:t>
                  </w:r>
                </w:p>
              </w:tc>
              <w:tc>
                <w:tcPr>
                  <w:tcW w:w="426"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HW49</w:t>
                  </w:r>
                </w:p>
              </w:tc>
              <w:tc>
                <w:tcPr>
                  <w:tcW w:w="306"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T/I</w:t>
                  </w:r>
                </w:p>
              </w:tc>
              <w:tc>
                <w:tcPr>
                  <w:tcW w:w="640"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900-041-49</w:t>
                  </w:r>
                </w:p>
              </w:tc>
              <w:tc>
                <w:tcPr>
                  <w:tcW w:w="399" w:type="pct"/>
                  <w:tcBorders>
                    <w:tl2br w:val="nil"/>
                    <w:tr2bl w:val="nil"/>
                  </w:tcBorders>
                  <w:shd w:val="clear" w:color="auto" w:fill="auto"/>
                  <w:vAlign w:val="center"/>
                </w:tcPr>
                <w:p>
                  <w:pPr>
                    <w:pStyle w:val="21"/>
                    <w:rPr>
                      <w:rFonts w:hint="default" w:ascii="Times New Roman" w:hAnsi="Times New Roman" w:eastAsia="宋体" w:cs="Times New Roman"/>
                      <w:b w:val="0"/>
                      <w:bCs w:val="0"/>
                      <w:color w:val="auto"/>
                      <w:sz w:val="22"/>
                      <w:szCs w:val="24"/>
                      <w:lang w:val="en-US" w:eastAsia="zh-CN"/>
                    </w:rPr>
                  </w:pPr>
                  <w:r>
                    <w:rPr>
                      <w:rFonts w:hint="eastAsia" w:ascii="Times New Roman" w:hAnsi="Times New Roman" w:cs="Times New Roman"/>
                      <w:b w:val="0"/>
                      <w:bCs w:val="0"/>
                      <w:color w:val="auto"/>
                      <w:sz w:val="22"/>
                      <w:szCs w:val="24"/>
                      <w:lang w:val="en-US" w:eastAsia="zh-CN"/>
                    </w:rPr>
                    <w:t>1.5</w:t>
                  </w:r>
                </w:p>
              </w:tc>
              <w:tc>
                <w:tcPr>
                  <w:tcW w:w="871" w:type="dxa"/>
                  <w:tcBorders>
                    <w:tl2br w:val="nil"/>
                    <w:tr2bl w:val="nil"/>
                  </w:tcBorders>
                  <w:shd w:val="clear" w:color="auto" w:fill="auto"/>
                  <w:vAlign w:val="center"/>
                </w:tcPr>
                <w:p>
                  <w:pPr>
                    <w:pStyle w:val="21"/>
                    <w:rPr>
                      <w:rFonts w:hint="eastAsia" w:cs="Times New Roman"/>
                      <w:b w:val="0"/>
                      <w:bCs w:val="0"/>
                      <w:color w:val="auto"/>
                      <w:sz w:val="22"/>
                      <w:szCs w:val="24"/>
                      <w:lang w:val="en-US" w:eastAsia="zh-CN"/>
                    </w:rPr>
                  </w:pPr>
                  <w:r>
                    <w:rPr>
                      <w:rFonts w:hint="eastAsia" w:cs="Times New Roman"/>
                      <w:b w:val="0"/>
                      <w:bCs w:val="0"/>
                      <w:color w:val="auto"/>
                      <w:sz w:val="22"/>
                      <w:szCs w:val="24"/>
                      <w:lang w:val="en-US" w:eastAsia="zh-CN"/>
                    </w:rPr>
                    <w:t>0.25</w:t>
                  </w:r>
                </w:p>
              </w:tc>
              <w:tc>
                <w:tcPr>
                  <w:tcW w:w="337" w:type="pct"/>
                  <w:vMerge w:val="continue"/>
                  <w:tcBorders>
                    <w:tl2br w:val="nil"/>
                    <w:tr2bl w:val="nil"/>
                  </w:tcBorders>
                  <w:vAlign w:val="center"/>
                </w:tcPr>
                <w:p>
                  <w:pPr>
                    <w:pStyle w:val="21"/>
                    <w:rPr>
                      <w:rFonts w:hint="default" w:ascii="Times New Roman" w:hAnsi="Times New Roman" w:cs="Times New Roman"/>
                      <w:b w:val="0"/>
                      <w:bCs w:val="0"/>
                      <w:color w:val="auto"/>
                      <w:sz w:val="22"/>
                      <w:szCs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2" w:type="pct"/>
                  <w:tcBorders>
                    <w:tl2br w:val="nil"/>
                    <w:tr2bl w:val="nil"/>
                  </w:tcBorders>
                  <w:shd w:val="clear" w:color="auto" w:fill="auto"/>
                  <w:vAlign w:val="center"/>
                </w:tcPr>
                <w:p>
                  <w:pPr>
                    <w:pStyle w:val="21"/>
                    <w:rPr>
                      <w:rFonts w:hint="default" w:ascii="Times New Roman" w:hAnsi="Times New Roman" w:cs="Times New Roman"/>
                      <w:b w:val="0"/>
                      <w:bCs w:val="0"/>
                      <w:color w:val="auto"/>
                      <w:sz w:val="22"/>
                      <w:szCs w:val="24"/>
                    </w:rPr>
                  </w:pPr>
                </w:p>
              </w:tc>
              <w:tc>
                <w:tcPr>
                  <w:tcW w:w="3620" w:type="pct"/>
                  <w:gridSpan w:val="8"/>
                  <w:tcBorders>
                    <w:tl2br w:val="nil"/>
                    <w:tr2bl w:val="nil"/>
                  </w:tcBorders>
                  <w:vAlign w:val="center"/>
                </w:tcPr>
                <w:p>
                  <w:pPr>
                    <w:pStyle w:val="21"/>
                    <w:rPr>
                      <w:rFonts w:hint="default" w:ascii="Times New Roman" w:hAnsi="Times New Roman" w:cs="Times New Roman"/>
                      <w:b w:val="0"/>
                      <w:bCs w:val="0"/>
                      <w:color w:val="auto"/>
                      <w:sz w:val="22"/>
                      <w:szCs w:val="24"/>
                    </w:rPr>
                  </w:pPr>
                  <w:r>
                    <w:rPr>
                      <w:rFonts w:hint="default" w:ascii="Times New Roman" w:hAnsi="Times New Roman" w:cs="Times New Roman"/>
                      <w:b w:val="0"/>
                      <w:bCs w:val="0"/>
                      <w:color w:val="auto"/>
                      <w:sz w:val="22"/>
                      <w:szCs w:val="24"/>
                    </w:rPr>
                    <w:t>合计</w:t>
                  </w:r>
                </w:p>
              </w:tc>
              <w:tc>
                <w:tcPr>
                  <w:tcW w:w="399" w:type="pct"/>
                  <w:tcBorders>
                    <w:tl2br w:val="nil"/>
                    <w:tr2bl w:val="nil"/>
                  </w:tcBorders>
                  <w:shd w:val="clear" w:color="auto" w:fill="auto"/>
                  <w:vAlign w:val="center"/>
                </w:tcPr>
                <w:p>
                  <w:pPr>
                    <w:pStyle w:val="21"/>
                    <w:rPr>
                      <w:rFonts w:hint="default" w:ascii="Times New Roman" w:hAnsi="Times New Roman" w:eastAsia="宋体" w:cs="Times New Roman"/>
                      <w:b w:val="0"/>
                      <w:bCs w:val="0"/>
                      <w:color w:val="auto"/>
                      <w:sz w:val="22"/>
                      <w:szCs w:val="24"/>
                      <w:lang w:val="en-US" w:eastAsia="zh-CN"/>
                    </w:rPr>
                  </w:pPr>
                  <w:r>
                    <w:rPr>
                      <w:rFonts w:hint="eastAsia" w:ascii="Times New Roman" w:hAnsi="Times New Roman" w:cs="Times New Roman"/>
                      <w:b w:val="0"/>
                      <w:bCs w:val="0"/>
                      <w:color w:val="auto"/>
                      <w:sz w:val="22"/>
                      <w:szCs w:val="24"/>
                      <w:lang w:val="en-US" w:eastAsia="zh-CN"/>
                    </w:rPr>
                    <w:t>70.47</w:t>
                  </w:r>
                </w:p>
              </w:tc>
              <w:tc>
                <w:tcPr>
                  <w:tcW w:w="871" w:type="dxa"/>
                  <w:tcBorders>
                    <w:tl2br w:val="nil"/>
                    <w:tr2bl w:val="nil"/>
                  </w:tcBorders>
                  <w:shd w:val="clear" w:color="auto" w:fill="auto"/>
                  <w:vAlign w:val="center"/>
                </w:tcPr>
                <w:p>
                  <w:pPr>
                    <w:pStyle w:val="21"/>
                    <w:rPr>
                      <w:rFonts w:hint="default" w:cs="Times New Roman"/>
                      <w:b w:val="0"/>
                      <w:bCs w:val="0"/>
                      <w:color w:val="auto"/>
                      <w:sz w:val="22"/>
                      <w:szCs w:val="24"/>
                      <w:lang w:val="en-US" w:eastAsia="zh-CN"/>
                    </w:rPr>
                  </w:pPr>
                  <w:r>
                    <w:rPr>
                      <w:rFonts w:hint="eastAsia" w:cs="Times New Roman"/>
                      <w:b w:val="0"/>
                      <w:bCs w:val="0"/>
                      <w:color w:val="auto"/>
                      <w:sz w:val="22"/>
                      <w:szCs w:val="24"/>
                      <w:lang w:val="en-US" w:eastAsia="zh-CN"/>
                    </w:rPr>
                    <w:t>6.25</w:t>
                  </w:r>
                </w:p>
              </w:tc>
              <w:tc>
                <w:tcPr>
                  <w:tcW w:w="337" w:type="pct"/>
                  <w:vMerge w:val="continue"/>
                  <w:tcBorders>
                    <w:tl2br w:val="nil"/>
                    <w:tr2bl w:val="nil"/>
                  </w:tcBorders>
                  <w:vAlign w:val="center"/>
                </w:tcPr>
                <w:p>
                  <w:pPr>
                    <w:pStyle w:val="21"/>
                    <w:rPr>
                      <w:rFonts w:hint="default" w:ascii="Times New Roman" w:hAnsi="Times New Roman" w:cs="Times New Roman"/>
                      <w:b w:val="0"/>
                      <w:bCs w:val="0"/>
                      <w:color w:val="auto"/>
                      <w:sz w:val="22"/>
                      <w:szCs w:val="24"/>
                    </w:rPr>
                  </w:pPr>
                </w:p>
              </w:tc>
            </w:tr>
          </w:tbl>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b w:val="0"/>
                <w:bCs w:val="0"/>
                <w:color w:val="000000" w:themeColor="text1"/>
                <w:sz w:val="28"/>
                <w:szCs w:val="28"/>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8"/>
                <w:szCs w:val="28"/>
                <w:lang w:val="en-US" w:eastAsia="zh-CN"/>
                <w14:textFill>
                  <w14:solidFill>
                    <w14:schemeClr w14:val="tx1"/>
                  </w14:solidFill>
                </w14:textFill>
              </w:rPr>
              <w:t>对照原环评和此次固废验收，根据上表此次危险废物变动内容为：</w:t>
            </w:r>
          </w:p>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b w:val="0"/>
                <w:bCs w:val="0"/>
                <w:color w:val="000000" w:themeColor="text1"/>
                <w:sz w:val="28"/>
                <w:szCs w:val="28"/>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8"/>
                <w:szCs w:val="28"/>
                <w:lang w:val="en-US" w:eastAsia="zh-CN"/>
                <w14:textFill>
                  <w14:solidFill>
                    <w14:schemeClr w14:val="tx1"/>
                  </w14:solidFill>
                </w14:textFill>
              </w:rPr>
              <w:t>1、退镀槽废槽液和钝化槽废槽液量由原环评中60.81t/a变为3.0t/a。</w:t>
            </w:r>
          </w:p>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b w:val="0"/>
                <w:bCs w:val="0"/>
                <w:color w:val="000000" w:themeColor="text1"/>
                <w:sz w:val="28"/>
                <w:szCs w:val="28"/>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8"/>
                <w:szCs w:val="28"/>
                <w:lang w:val="en-US" w:eastAsia="zh-CN"/>
                <w14:textFill>
                  <w14:solidFill>
                    <w14:schemeClr w14:val="tx1"/>
                  </w14:solidFill>
                </w14:textFill>
              </w:rPr>
              <w:t>2、现有项目无废机油产生。</w:t>
            </w:r>
          </w:p>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Theme="minorEastAsia"/>
                <w:sz w:val="20"/>
                <w:szCs w:val="20"/>
                <w:lang w:val="en-US" w:eastAsia="zh-CN"/>
              </w:rPr>
            </w:pPr>
            <w:r>
              <w:rPr>
                <w:rFonts w:hint="eastAsia" w:ascii="Times New Roman" w:hAnsi="Times New Roman" w:eastAsia="宋体" w:cs="Times New Roman"/>
                <w:b w:val="0"/>
                <w:bCs w:val="0"/>
                <w:color w:val="000000" w:themeColor="text1"/>
                <w:sz w:val="28"/>
                <w:szCs w:val="28"/>
                <w:lang w:val="en-US" w:eastAsia="zh-CN"/>
                <w14:textFill>
                  <w14:solidFill>
                    <w14:schemeClr w14:val="tx1"/>
                  </w14:solidFill>
                </w14:textFill>
              </w:rPr>
              <w:t>3、废油泥由原环评3.0t/a减少为1.0t/a。</w:t>
            </w:r>
          </w:p>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b w:val="0"/>
                <w:bCs w:val="0"/>
                <w:color w:val="000000" w:themeColor="text1"/>
                <w:sz w:val="28"/>
                <w:szCs w:val="28"/>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8"/>
                <w:szCs w:val="28"/>
                <w:lang w:val="en-US" w:eastAsia="zh-CN"/>
                <w14:textFill>
                  <w14:solidFill>
                    <w14:schemeClr w14:val="tx1"/>
                  </w14:solidFill>
                </w14:textFill>
              </w:rPr>
              <w:t>4、镀槽废滤芯（含槽渣）由原环评2.76t/a减少为2.0t/a。</w:t>
            </w:r>
          </w:p>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b w:val="0"/>
                <w:bCs w:val="0"/>
                <w:color w:val="000000" w:themeColor="text1"/>
                <w:sz w:val="28"/>
                <w:szCs w:val="28"/>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8"/>
                <w:szCs w:val="28"/>
                <w:lang w:val="en-US" w:eastAsia="zh-CN"/>
                <w14:textFill>
                  <w14:solidFill>
                    <w14:schemeClr w14:val="tx1"/>
                  </w14:solidFill>
                </w14:textFill>
              </w:rPr>
              <w:t>5、现生产过程中无封孔槽液废过滤（含槽渣）。</w:t>
            </w:r>
          </w:p>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cs="Times New Roman"/>
                <w:b/>
                <w:color w:val="000000" w:themeColor="text1"/>
                <w:sz w:val="28"/>
                <w:szCs w:val="28"/>
                <w:lang w:eastAsia="zh-CN"/>
                <w14:textFill>
                  <w14:solidFill>
                    <w14:schemeClr w14:val="tx1"/>
                  </w14:solidFill>
                </w14:textFill>
              </w:rPr>
            </w:pPr>
            <w:r>
              <w:rPr>
                <w:rFonts w:hint="eastAsia" w:ascii="Times New Roman" w:hAnsi="Times New Roman" w:eastAsia="宋体" w:cs="Times New Roman"/>
                <w:b w:val="0"/>
                <w:bCs w:val="0"/>
                <w:color w:val="000000" w:themeColor="text1"/>
                <w:sz w:val="28"/>
                <w:szCs w:val="28"/>
                <w:lang w:val="en-US" w:eastAsia="zh-CN"/>
                <w14:textFill>
                  <w14:solidFill>
                    <w14:schemeClr w14:val="tx1"/>
                  </w14:solidFill>
                </w14:textFill>
              </w:rPr>
              <w:t>6、废包装物由原环评1.5t/a减少为0.25t/a。</w:t>
            </w:r>
          </w:p>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562" w:firstLineChars="200"/>
              <w:jc w:val="both"/>
              <w:textAlignment w:val="auto"/>
              <w:outlineLvl w:val="9"/>
              <w:rPr>
                <w:rFonts w:hint="eastAsia" w:ascii="Times New Roman" w:hAnsi="Times New Roman" w:eastAsia="宋体" w:cs="Times New Roman"/>
                <w:b w:val="0"/>
                <w:bCs w:val="0"/>
                <w:color w:val="000000" w:themeColor="text1"/>
                <w:sz w:val="28"/>
                <w:szCs w:val="28"/>
                <w:lang w:val="en-US" w:eastAsia="zh-CN"/>
                <w14:textFill>
                  <w14:solidFill>
                    <w14:schemeClr w14:val="tx1"/>
                  </w14:solidFill>
                </w14:textFill>
              </w:rPr>
            </w:pPr>
            <w:r>
              <w:rPr>
                <w:rFonts w:hint="eastAsia" w:ascii="Times New Roman" w:hAnsi="Times New Roman" w:eastAsia="宋体" w:cs="Times New Roman"/>
                <w:b/>
                <w:bCs/>
                <w:color w:val="000000" w:themeColor="text1"/>
                <w:sz w:val="28"/>
                <w:szCs w:val="28"/>
                <w:lang w:val="en-US" w:eastAsia="zh-CN"/>
                <w14:textFill>
                  <w14:solidFill>
                    <w14:schemeClr w14:val="tx1"/>
                  </w14:solidFill>
                </w14:textFill>
              </w:rPr>
              <w:t>二、</w:t>
            </w:r>
            <w:r>
              <w:rPr>
                <w:rFonts w:hint="eastAsia" w:ascii="Times New Roman" w:hAnsi="Times New Roman" w:eastAsia="宋体" w:cs="Times New Roman"/>
                <w:b w:val="0"/>
                <w:bCs w:val="0"/>
                <w:color w:val="000000" w:themeColor="text1"/>
                <w:sz w:val="28"/>
                <w:szCs w:val="28"/>
                <w:lang w:val="en-US" w:eastAsia="zh-CN"/>
                <w14:textFill>
                  <w14:solidFill>
                    <w14:schemeClr w14:val="tx1"/>
                  </w14:solidFill>
                </w14:textFill>
              </w:rPr>
              <w:t>本项目三同时落实情况：</w:t>
            </w:r>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4"/>
              <w:gridCol w:w="2436"/>
              <w:gridCol w:w="2437"/>
              <w:gridCol w:w="2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49" w:type="pct"/>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z w:val="22"/>
                      <w:szCs w:val="22"/>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vertAlign w:val="baseline"/>
                      <w:lang w:val="en-US" w:eastAsia="zh-CN"/>
                      <w14:textFill>
                        <w14:solidFill>
                          <w14:schemeClr w14:val="tx1"/>
                        </w14:solidFill>
                      </w14:textFill>
                    </w:rPr>
                    <w:t>处理对象</w:t>
                  </w:r>
                </w:p>
              </w:tc>
              <w:tc>
                <w:tcPr>
                  <w:tcW w:w="1250" w:type="pct"/>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z w:val="22"/>
                      <w:szCs w:val="22"/>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vertAlign w:val="baseline"/>
                      <w:lang w:val="en-US" w:eastAsia="zh-CN"/>
                      <w14:textFill>
                        <w14:solidFill>
                          <w14:schemeClr w14:val="tx1"/>
                        </w14:solidFill>
                      </w14:textFill>
                    </w:rPr>
                    <w:t>环评批复情况</w:t>
                  </w:r>
                </w:p>
              </w:tc>
              <w:tc>
                <w:tcPr>
                  <w:tcW w:w="1250" w:type="pct"/>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z w:val="22"/>
                      <w:szCs w:val="22"/>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vertAlign w:val="baseline"/>
                      <w:lang w:val="en-US" w:eastAsia="zh-CN"/>
                      <w14:textFill>
                        <w14:solidFill>
                          <w14:schemeClr w14:val="tx1"/>
                        </w14:solidFill>
                      </w14:textFill>
                    </w:rPr>
                    <w:t>实际情况</w:t>
                  </w:r>
                </w:p>
              </w:tc>
              <w:tc>
                <w:tcPr>
                  <w:tcW w:w="1250" w:type="pct"/>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z w:val="22"/>
                      <w:szCs w:val="22"/>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vertAlign w:val="baseline"/>
                      <w:lang w:val="en-US" w:eastAsia="zh-CN"/>
                      <w14:textFill>
                        <w14:solidFill>
                          <w14:schemeClr w14:val="tx1"/>
                        </w14:solidFill>
                      </w14:textFill>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49" w:type="pct"/>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z w:val="22"/>
                      <w:szCs w:val="22"/>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vertAlign w:val="baseline"/>
                      <w:lang w:val="en-US" w:eastAsia="zh-CN"/>
                      <w14:textFill>
                        <w14:solidFill>
                          <w14:schemeClr w14:val="tx1"/>
                        </w14:solidFill>
                      </w14:textFill>
                    </w:rPr>
                    <w:t>固体废物</w:t>
                  </w:r>
                </w:p>
              </w:tc>
              <w:tc>
                <w:tcPr>
                  <w:tcW w:w="125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 w:val="0"/>
                      <w:bCs w:val="0"/>
                      <w:color w:val="000000" w:themeColor="text1"/>
                      <w:sz w:val="22"/>
                      <w:szCs w:val="22"/>
                      <w:vertAlign w:val="baseline"/>
                      <w:lang w:val="en-US" w:eastAsia="zh-CN"/>
                      <w14:textFill>
                        <w14:solidFill>
                          <w14:schemeClr w14:val="tx1"/>
                        </w14:solidFill>
                      </w14:textFill>
                    </w:rPr>
                  </w:pPr>
                  <w:r>
                    <w:rPr>
                      <w:rFonts w:hint="eastAsia"/>
                      <w:b w:val="0"/>
                      <w:bCs w:val="0"/>
                      <w:sz w:val="22"/>
                      <w:szCs w:val="22"/>
                      <w:vertAlign w:val="baseline"/>
                      <w:lang w:val="en-US" w:eastAsia="zh-CN"/>
                    </w:rPr>
                    <w:t>加强固体废物污染防治。按分类收集、贮存，分质处置的原则，认真落实《报告书》提出的固体废物收集、贮存和处置工作。依法严格落实危险废物全过程规范化管理的各项要求</w:t>
                  </w:r>
                  <w:r>
                    <w:rPr>
                      <w:rFonts w:hint="eastAsia" w:ascii="Times New Roman" w:hAnsi="Times New Roman" w:eastAsia="宋体" w:cs="Times New Roman"/>
                      <w:b w:val="0"/>
                      <w:bCs w:val="0"/>
                      <w:color w:val="000000" w:themeColor="text1"/>
                      <w:sz w:val="22"/>
                      <w:szCs w:val="22"/>
                      <w:vertAlign w:val="baseline"/>
                      <w:lang w:val="en-US" w:eastAsia="zh-CN"/>
                      <w14:textFill>
                        <w14:solidFill>
                          <w14:schemeClr w14:val="tx1"/>
                        </w14:solidFill>
                      </w14:textFill>
                    </w:rPr>
                    <w:t>。</w:t>
                  </w:r>
                </w:p>
              </w:tc>
              <w:tc>
                <w:tcPr>
                  <w:tcW w:w="125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2"/>
                      <w:szCs w:val="22"/>
                      <w:lang w:val="en-US" w:eastAsia="zh-CN" w:bidi="ar-SA"/>
                    </w:rPr>
                  </w:pPr>
                  <w:r>
                    <w:rPr>
                      <w:rFonts w:hint="default" w:ascii="Times New Roman" w:hAnsi="Times New Roman" w:eastAsia="宋体" w:cs="Times New Roman"/>
                      <w:color w:val="auto"/>
                      <w:sz w:val="22"/>
                      <w:szCs w:val="22"/>
                      <w:lang w:val="en-US" w:eastAsia="zh-CN"/>
                    </w:rPr>
                    <w:t>项目车间一层设置一处危险危废暂存间，危险废物</w:t>
                  </w:r>
                  <w:r>
                    <w:rPr>
                      <w:rFonts w:hint="eastAsia" w:ascii="Times New Roman" w:hAnsi="Times New Roman" w:eastAsia="宋体" w:cs="Times New Roman"/>
                      <w:color w:val="auto"/>
                      <w:sz w:val="22"/>
                      <w:szCs w:val="22"/>
                      <w:lang w:val="en-US" w:eastAsia="zh-CN"/>
                    </w:rPr>
                    <w:t>暂存于危废间，定期交有资质单位处置。</w:t>
                  </w:r>
                  <w:r>
                    <w:rPr>
                      <w:rFonts w:hint="default" w:ascii="Times New Roman" w:hAnsi="Times New Roman" w:eastAsia="宋体" w:cs="Times New Roman"/>
                      <w:color w:val="auto"/>
                      <w:sz w:val="22"/>
                      <w:szCs w:val="22"/>
                    </w:rPr>
                    <w:t>不合格产品重新上镀，厂房内设置一处一般固废暂存处</w:t>
                  </w:r>
                  <w:r>
                    <w:rPr>
                      <w:rFonts w:hint="eastAsia" w:ascii="Times New Roman" w:hAnsi="Times New Roman" w:cs="Times New Roman"/>
                      <w:color w:val="auto"/>
                      <w:sz w:val="22"/>
                      <w:szCs w:val="22"/>
                      <w:lang w:eastAsia="zh-CN"/>
                    </w:rPr>
                    <w:t>。</w:t>
                  </w:r>
                  <w:r>
                    <w:rPr>
                      <w:rFonts w:hint="default" w:ascii="Times New Roman" w:hAnsi="Times New Roman" w:eastAsia="宋体" w:cs="Times New Roman"/>
                      <w:color w:val="auto"/>
                      <w:sz w:val="22"/>
                      <w:szCs w:val="22"/>
                    </w:rPr>
                    <w:t>生活垃圾交由环卫部门统一收运</w:t>
                  </w:r>
                  <w:r>
                    <w:rPr>
                      <w:rFonts w:hint="eastAsia" w:ascii="Times New Roman" w:hAnsi="Times New Roman" w:cs="Times New Roman"/>
                      <w:color w:val="auto"/>
                      <w:sz w:val="22"/>
                      <w:szCs w:val="22"/>
                      <w:lang w:eastAsia="zh-CN"/>
                    </w:rPr>
                    <w:t>。</w:t>
                  </w:r>
                </w:p>
              </w:tc>
              <w:tc>
                <w:tcPr>
                  <w:tcW w:w="1250" w:type="pct"/>
                  <w:vAlign w:val="center"/>
                </w:tcPr>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z w:val="22"/>
                      <w:szCs w:val="22"/>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vertAlign w:val="baseline"/>
                      <w:lang w:val="en-US" w:eastAsia="zh-CN"/>
                      <w14:textFill>
                        <w14:solidFill>
                          <w14:schemeClr w14:val="tx1"/>
                        </w14:solidFill>
                      </w14:textFill>
                    </w:rPr>
                    <w:t>落实</w:t>
                  </w:r>
                </w:p>
              </w:tc>
            </w:tr>
          </w:tbl>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42" w:firstLineChars="200"/>
              <w:jc w:val="both"/>
              <w:textAlignment w:val="auto"/>
              <w:outlineLvl w:val="9"/>
              <w:rPr>
                <w:rFonts w:hint="default" w:ascii="Times New Roman" w:hAnsi="Times New Roman" w:eastAsia="宋体" w:cs="Times New Roman"/>
                <w:b/>
                <w:bCs/>
                <w:sz w:val="22"/>
                <w:szCs w:val="28"/>
                <w:lang w:val="en-US" w:eastAsia="zh-CN"/>
              </w:rPr>
            </w:pPr>
          </w:p>
        </w:tc>
      </w:tr>
    </w:tbl>
    <w:p>
      <w:pPr>
        <w:rPr>
          <w:rFonts w:ascii="Times New Roman" w:hAnsi="Times New Roman" w:eastAsia="宋体" w:cs="Times New Roman"/>
        </w:rPr>
      </w:pPr>
    </w:p>
    <w:p>
      <w:pPr>
        <w:rPr>
          <w:rFonts w:ascii="Times New Roman" w:hAnsi="Times New Roman" w:eastAsia="宋体" w:cs="Times New Roman"/>
        </w:rPr>
        <w:sectPr>
          <w:headerReference r:id="rId4" w:type="default"/>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p>
    <w:p>
      <w:pPr>
        <w:pStyle w:val="7"/>
        <w:rPr>
          <w:rFonts w:hint="eastAsia" w:ascii="宋体" w:hAnsi="宋体" w:eastAsia="宋体" w:cs="宋体"/>
          <w:b/>
          <w:bCs/>
          <w:sz w:val="24"/>
          <w:szCs w:val="36"/>
          <w:lang w:eastAsia="zh-CN"/>
        </w:rPr>
      </w:pPr>
      <w:r>
        <w:rPr>
          <w:rFonts w:hint="eastAsia" w:ascii="宋体" w:hAnsi="宋体" w:eastAsia="宋体" w:cs="宋体"/>
          <w:b/>
          <w:bCs/>
          <w:sz w:val="24"/>
          <w:szCs w:val="36"/>
        </w:rPr>
        <w:t>表</w:t>
      </w:r>
      <w:r>
        <w:rPr>
          <w:rFonts w:hint="eastAsia" w:ascii="宋体" w:hAnsi="宋体" w:eastAsia="宋体" w:cs="宋体"/>
          <w:b/>
          <w:bCs/>
          <w:sz w:val="24"/>
          <w:szCs w:val="36"/>
          <w:lang w:eastAsia="zh-CN"/>
        </w:rPr>
        <w:t>四</w:t>
      </w:r>
    </w:p>
    <w:tbl>
      <w:tblPr>
        <w:tblStyle w:val="15"/>
        <w:tblW w:w="500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7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2" w:hRule="atLeast"/>
          <w:jc w:val="center"/>
        </w:trPr>
        <w:tc>
          <w:tcPr>
            <w:tcW w:w="5000" w:type="pct"/>
            <w:vAlign w:val="top"/>
          </w:tcPr>
          <w:p>
            <w:pPr>
              <w:pStyle w:val="19"/>
              <w:spacing w:line="360" w:lineRule="auto"/>
              <w:ind w:firstLine="562" w:firstLineChars="200"/>
              <w:rPr>
                <w:rFonts w:hint="eastAsia" w:ascii="Times New Roman" w:hAnsi="Times New Roman" w:eastAsia="宋体" w:cs="Times New Roman"/>
                <w:b/>
                <w:bCs/>
                <w:sz w:val="28"/>
                <w:szCs w:val="28"/>
                <w:lang w:val="en-US" w:eastAsia="zh-CN"/>
              </w:rPr>
            </w:pPr>
            <w:r>
              <w:rPr>
                <w:rFonts w:ascii="Times New Roman" w:hAnsi="Times New Roman" w:eastAsia="宋体" w:cs="Times New Roman"/>
                <w:b/>
                <w:bCs/>
                <w:sz w:val="28"/>
                <w:szCs w:val="28"/>
              </w:rPr>
              <w:t>调查结论</w:t>
            </w:r>
            <w:r>
              <w:rPr>
                <w:rFonts w:hint="eastAsia" w:ascii="Times New Roman" w:hAnsi="Times New Roman" w:eastAsia="宋体" w:cs="Times New Roman"/>
                <w:b/>
                <w:bCs/>
                <w:sz w:val="28"/>
                <w:szCs w:val="28"/>
                <w:lang w:eastAsia="zh-CN"/>
              </w:rPr>
              <w:t>：</w:t>
            </w:r>
          </w:p>
          <w:p>
            <w:pPr>
              <w:pStyle w:val="19"/>
              <w:spacing w:line="360" w:lineRule="auto"/>
              <w:ind w:firstLine="560" w:firstLineChars="200"/>
              <w:rPr>
                <w:rFonts w:hint="eastAsia" w:ascii="Times New Roman" w:hAnsi="Times New Roman" w:eastAsia="宋体" w:cs="Times New Roman"/>
                <w:color w:val="000000"/>
                <w:sz w:val="28"/>
                <w:szCs w:val="28"/>
                <w:lang w:val="en-US" w:eastAsia="zh-CN"/>
              </w:rPr>
            </w:pPr>
            <w:r>
              <w:rPr>
                <w:rFonts w:hint="eastAsia" w:ascii="Times New Roman" w:hAnsi="Times New Roman" w:cs="Times New Roman"/>
                <w:color w:val="auto"/>
                <w:sz w:val="28"/>
                <w:szCs w:val="28"/>
                <w:lang w:val="en-US" w:eastAsia="zh-CN"/>
              </w:rPr>
              <w:t>1、一般工业固废为生产过程中</w:t>
            </w:r>
            <w:r>
              <w:rPr>
                <w:rFonts w:hint="default" w:ascii="Times New Roman" w:hAnsi="Times New Roman" w:eastAsia="宋体" w:cs="Times New Roman"/>
                <w:color w:val="000000"/>
                <w:sz w:val="28"/>
                <w:szCs w:val="28"/>
              </w:rPr>
              <w:t>不合格产品</w:t>
            </w:r>
            <w:r>
              <w:rPr>
                <w:rFonts w:hint="eastAsia" w:ascii="Times New Roman" w:hAnsi="Times New Roman" w:eastAsia="宋体" w:cs="Times New Roman"/>
                <w:color w:val="000000"/>
                <w:sz w:val="28"/>
                <w:szCs w:val="28"/>
                <w:lang w:val="en-US" w:eastAsia="zh-CN"/>
              </w:rPr>
              <w:t>，产生量约为1.2t/a，</w:t>
            </w:r>
            <w:r>
              <w:rPr>
                <w:rFonts w:hint="default" w:ascii="Times New Roman" w:hAnsi="Times New Roman" w:eastAsia="宋体" w:cs="Times New Roman"/>
                <w:color w:val="000000"/>
                <w:sz w:val="28"/>
                <w:szCs w:val="28"/>
              </w:rPr>
              <w:t>采取无害化处置措施</w:t>
            </w:r>
            <w:r>
              <w:rPr>
                <w:rFonts w:hint="eastAsia" w:ascii="Times New Roman" w:hAnsi="Times New Roman" w:eastAsia="宋体" w:cs="Times New Roman"/>
                <w:color w:val="000000"/>
                <w:sz w:val="28"/>
                <w:szCs w:val="28"/>
                <w:lang w:eastAsia="zh-CN"/>
              </w:rPr>
              <w:t>。</w:t>
            </w:r>
            <w:r>
              <w:rPr>
                <w:rFonts w:hint="eastAsia" w:ascii="Times New Roman" w:hAnsi="Times New Roman" w:eastAsia="宋体" w:cs="Times New Roman"/>
                <w:color w:val="000000"/>
                <w:sz w:val="28"/>
                <w:szCs w:val="28"/>
                <w:lang w:val="en-US" w:eastAsia="zh-CN"/>
              </w:rPr>
              <w:t>重新镀件，不外排，符合国家环境保护标准。</w:t>
            </w:r>
          </w:p>
          <w:p>
            <w:pPr>
              <w:pStyle w:val="19"/>
              <w:spacing w:line="360" w:lineRule="auto"/>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color w:val="000000"/>
                <w:sz w:val="28"/>
                <w:szCs w:val="28"/>
                <w:lang w:val="en-US" w:eastAsia="zh-CN"/>
              </w:rPr>
              <w:t>2、</w:t>
            </w:r>
            <w:r>
              <w:rPr>
                <w:rFonts w:hint="eastAsia" w:ascii="Times New Roman" w:hAnsi="Times New Roman" w:eastAsia="宋体" w:cs="Times New Roman"/>
                <w:color w:val="000000"/>
                <w:sz w:val="28"/>
                <w:szCs w:val="28"/>
                <w:lang w:eastAsia="zh-CN"/>
              </w:rPr>
              <w:t>本</w:t>
            </w:r>
            <w:r>
              <w:rPr>
                <w:rFonts w:hint="default" w:ascii="Times New Roman" w:hAnsi="Times New Roman" w:cs="Times New Roman"/>
                <w:sz w:val="28"/>
                <w:szCs w:val="28"/>
              </w:rPr>
              <w:t>项目</w:t>
            </w:r>
            <w:r>
              <w:rPr>
                <w:rFonts w:hint="eastAsia" w:ascii="Times New Roman" w:hAnsi="Times New Roman" w:eastAsia="宋体" w:cs="Times New Roman"/>
                <w:color w:val="000000"/>
                <w:sz w:val="28"/>
                <w:szCs w:val="28"/>
                <w:lang w:val="en-US" w:eastAsia="zh-CN"/>
              </w:rPr>
              <w:t>生活垃圾产生量约为4.8t/a，厂内地点放置垃圾桶，未随意倾倒、抛撒和堆放，</w:t>
            </w:r>
            <w:r>
              <w:rPr>
                <w:rFonts w:hint="default" w:ascii="Times New Roman" w:hAnsi="Times New Roman" w:cs="Times New Roman"/>
                <w:sz w:val="28"/>
                <w:szCs w:val="28"/>
              </w:rPr>
              <w:t>委托环卫部门</w:t>
            </w:r>
            <w:r>
              <w:rPr>
                <w:rFonts w:hint="eastAsia" w:ascii="Times New Roman" w:hAnsi="Times New Roman" w:eastAsia="宋体" w:cs="Times New Roman"/>
                <w:sz w:val="28"/>
                <w:szCs w:val="28"/>
                <w:lang w:eastAsia="zh-CN"/>
              </w:rPr>
              <w:t>统一</w:t>
            </w:r>
            <w:r>
              <w:rPr>
                <w:rFonts w:hint="default" w:ascii="Times New Roman" w:hAnsi="Times New Roman" w:cs="Times New Roman"/>
                <w:sz w:val="28"/>
                <w:szCs w:val="28"/>
              </w:rPr>
              <w:t>清运处理</w:t>
            </w:r>
            <w:r>
              <w:rPr>
                <w:rFonts w:hint="eastAsia" w:ascii="Times New Roman" w:hAnsi="Times New Roman" w:eastAsia="宋体" w:cs="Times New Roman"/>
                <w:sz w:val="28"/>
                <w:szCs w:val="28"/>
                <w:lang w:eastAsia="zh-CN"/>
              </w:rPr>
              <w:t>。</w:t>
            </w:r>
          </w:p>
          <w:p>
            <w:pPr>
              <w:pStyle w:val="19"/>
              <w:spacing w:line="360" w:lineRule="auto"/>
              <w:ind w:firstLine="560" w:firstLineChars="200"/>
              <w:rPr>
                <w:rFonts w:hint="eastAsia" w:ascii="Times New Roman" w:hAnsi="Times New Roman" w:eastAsia="宋体" w:cs="Times New Roman"/>
                <w:color w:val="000000"/>
                <w:sz w:val="28"/>
                <w:szCs w:val="28"/>
                <w:lang w:val="en-US" w:eastAsia="zh-CN"/>
              </w:rPr>
            </w:pPr>
            <w:r>
              <w:rPr>
                <w:rFonts w:hint="eastAsia" w:ascii="Times New Roman" w:hAnsi="Times New Roman" w:eastAsia="宋体" w:cs="Times New Roman"/>
                <w:sz w:val="28"/>
                <w:szCs w:val="28"/>
                <w:lang w:val="en-US" w:eastAsia="zh-CN"/>
              </w:rPr>
              <w:t>3、</w:t>
            </w:r>
            <w:r>
              <w:rPr>
                <w:rFonts w:hint="eastAsia" w:ascii="Times New Roman" w:hAnsi="Times New Roman" w:eastAsia="宋体" w:cs="Times New Roman"/>
                <w:color w:val="000000"/>
                <w:sz w:val="28"/>
                <w:szCs w:val="28"/>
                <w:lang w:val="en-US" w:eastAsia="zh-CN"/>
              </w:rPr>
              <w:t>项目车间一层设置一处危险危废暂存间，危险废物暂存于危废间，定期交有资质单位处置。</w:t>
            </w:r>
          </w:p>
          <w:p>
            <w:pPr>
              <w:pStyle w:val="19"/>
              <w:spacing w:line="360" w:lineRule="auto"/>
              <w:ind w:firstLine="560" w:firstLineChars="200"/>
              <w:rPr>
                <w:rFonts w:hint="eastAsia" w:ascii="Times New Roman" w:hAnsi="Times New Roman" w:eastAsia="宋体" w:cs="Times New Roman"/>
                <w:color w:val="000000"/>
                <w:sz w:val="28"/>
                <w:szCs w:val="28"/>
                <w:lang w:val="en-US" w:eastAsia="zh-CN"/>
              </w:rPr>
            </w:pPr>
            <w:r>
              <w:rPr>
                <w:rFonts w:hint="eastAsia" w:ascii="Times New Roman" w:hAnsi="Times New Roman" w:eastAsia="宋体" w:cs="Times New Roman"/>
                <w:color w:val="000000"/>
                <w:sz w:val="28"/>
                <w:szCs w:val="28"/>
                <w:lang w:val="en-US" w:eastAsia="zh-CN"/>
              </w:rPr>
              <w:t>（1）危险废物暂存场所按规定设计和建造，防雨、防渗、防盗， 建造场地的地质结构稳定，设施底部高于地下水最高水位。</w:t>
            </w:r>
          </w:p>
          <w:p>
            <w:pPr>
              <w:pStyle w:val="19"/>
              <w:spacing w:line="360" w:lineRule="auto"/>
              <w:ind w:firstLine="560" w:firstLineChars="200"/>
              <w:rPr>
                <w:rFonts w:hint="eastAsia" w:ascii="Times New Roman" w:hAnsi="Times New Roman" w:eastAsia="宋体" w:cs="Times New Roman"/>
                <w:color w:val="000000"/>
                <w:sz w:val="28"/>
                <w:szCs w:val="28"/>
                <w:lang w:val="en-US" w:eastAsia="zh-CN"/>
              </w:rPr>
            </w:pPr>
            <w:r>
              <w:rPr>
                <w:rFonts w:hint="eastAsia" w:ascii="Times New Roman" w:hAnsi="Times New Roman" w:eastAsia="宋体" w:cs="Times New Roman"/>
                <w:color w:val="000000"/>
                <w:sz w:val="28"/>
                <w:szCs w:val="28"/>
                <w:lang w:val="en-US" w:eastAsia="zh-CN"/>
              </w:rPr>
              <w:t>（2）盛载危险废物的器具按标准要求 ，危险废物在贮存设施内分类堆放并在盛装危险废物的容器上粘贴符合标准的标签。</w:t>
            </w:r>
          </w:p>
          <w:p>
            <w:pPr>
              <w:pStyle w:val="19"/>
              <w:spacing w:line="360" w:lineRule="auto"/>
              <w:ind w:firstLine="560" w:firstLineChars="200"/>
              <w:rPr>
                <w:rFonts w:hint="eastAsia" w:ascii="Times New Roman" w:hAnsi="Times New Roman" w:eastAsia="宋体" w:cs="Times New Roman"/>
                <w:color w:val="000000"/>
                <w:sz w:val="28"/>
                <w:szCs w:val="28"/>
                <w:lang w:val="en-US" w:eastAsia="zh-CN"/>
              </w:rPr>
            </w:pPr>
            <w:r>
              <w:rPr>
                <w:rFonts w:hint="eastAsia" w:ascii="Times New Roman" w:hAnsi="Times New Roman" w:eastAsia="宋体" w:cs="Times New Roman"/>
                <w:color w:val="000000"/>
                <w:sz w:val="28"/>
                <w:szCs w:val="28"/>
                <w:lang w:val="en-US" w:eastAsia="zh-CN"/>
              </w:rPr>
              <w:t>（3）定期对所贮存的危险废物包装容器及贮存设施进行检查，发现破损，及时采取措施清理更换。</w:t>
            </w:r>
          </w:p>
          <w:p>
            <w:pPr>
              <w:pStyle w:val="19"/>
              <w:spacing w:line="360" w:lineRule="auto"/>
              <w:ind w:firstLine="560" w:firstLineChars="200"/>
              <w:rPr>
                <w:rFonts w:hint="eastAsia" w:ascii="Times New Roman" w:hAnsi="Times New Roman" w:eastAsia="宋体" w:cs="Times New Roman"/>
                <w:color w:val="000000"/>
                <w:sz w:val="28"/>
                <w:szCs w:val="28"/>
                <w:lang w:val="en-US" w:eastAsia="zh-CN"/>
              </w:rPr>
            </w:pPr>
            <w:r>
              <w:rPr>
                <w:rFonts w:hint="eastAsia" w:ascii="Times New Roman" w:hAnsi="Times New Roman" w:eastAsia="宋体" w:cs="Times New Roman"/>
                <w:color w:val="000000"/>
                <w:sz w:val="28"/>
                <w:szCs w:val="28"/>
                <w:lang w:val="en-US" w:eastAsia="zh-CN"/>
              </w:rPr>
              <w:t>（4）按规范设置设有危废标识标牌。</w:t>
            </w:r>
          </w:p>
          <w:p>
            <w:pPr>
              <w:pStyle w:val="13"/>
              <w:spacing w:line="360" w:lineRule="auto"/>
              <w:ind w:firstLine="480"/>
              <w:rPr>
                <w:rFonts w:hint="default" w:ascii="Times New Roman" w:hAnsi="Times New Roman" w:cs="Times New Roman"/>
                <w:color w:val="auto"/>
                <w:sz w:val="28"/>
                <w:szCs w:val="28"/>
                <w:lang w:val="en-US" w:eastAsia="zh-CN"/>
              </w:rPr>
            </w:pPr>
            <w:r>
              <w:rPr>
                <w:rFonts w:hint="eastAsia" w:ascii="Times New Roman" w:hAnsi="Times New Roman" w:eastAsia="宋体" w:cs="Times New Roman"/>
                <w:color w:val="000000"/>
                <w:sz w:val="28"/>
                <w:szCs w:val="28"/>
                <w:lang w:val="en-US" w:eastAsia="zh-CN"/>
              </w:rPr>
              <w:t>（5）危险废物产生和危险废物贮存台账记录完整，记录上注明了危险废物的名称、来源、数量</w:t>
            </w:r>
            <w:r>
              <w:rPr>
                <w:rFonts w:hint="eastAsia" w:ascii="Times New Roman" w:hAnsi="Times New Roman" w:cs="Times New Roman"/>
                <w:color w:val="auto"/>
                <w:sz w:val="28"/>
                <w:szCs w:val="28"/>
                <w:lang w:val="en-US" w:eastAsia="zh-CN"/>
              </w:rPr>
              <w:t>、特性和包装容器的类别、入库日期、存放库位、废物出库日期及接收单位名称。</w:t>
            </w:r>
          </w:p>
          <w:p>
            <w:pPr>
              <w:pStyle w:val="13"/>
              <w:spacing w:line="360" w:lineRule="auto"/>
              <w:ind w:firstLine="480"/>
              <w:rPr>
                <w:rFonts w:hint="default"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（6）危险废物处置已签订危废协议，定期处理危险废物（见附件）。</w:t>
            </w:r>
          </w:p>
          <w:p>
            <w:pPr>
              <w:pStyle w:val="13"/>
              <w:spacing w:line="360" w:lineRule="auto"/>
              <w:ind w:firstLine="480"/>
              <w:rPr>
                <w:rFonts w:hint="default" w:ascii="Times New Roman" w:hAnsi="Times New Roman" w:cs="Times New Roman"/>
                <w:color w:val="auto"/>
                <w:sz w:val="28"/>
                <w:szCs w:val="28"/>
              </w:rPr>
            </w:pPr>
            <w:r>
              <w:rPr>
                <w:rFonts w:hint="eastAsia" w:ascii="Times New Roman" w:hAnsi="Times New Roman" w:cs="Times New Roman"/>
                <w:color w:val="auto"/>
                <w:sz w:val="28"/>
                <w:szCs w:val="28"/>
              </w:rPr>
              <w:t>二、建议</w:t>
            </w:r>
          </w:p>
          <w:p>
            <w:pPr>
              <w:pStyle w:val="13"/>
              <w:spacing w:line="360" w:lineRule="auto"/>
              <w:ind w:firstLine="480"/>
              <w:rPr>
                <w:rFonts w:hint="default" w:ascii="Times New Roman" w:hAnsi="Times New Roman" w:cs="Times New Roman"/>
                <w:color w:val="auto"/>
                <w:sz w:val="28"/>
                <w:szCs w:val="28"/>
              </w:rPr>
            </w:pPr>
            <w:r>
              <w:rPr>
                <w:rFonts w:hint="eastAsia" w:ascii="Times New Roman" w:hAnsi="Times New Roman" w:cs="Times New Roman"/>
                <w:color w:val="auto"/>
                <w:sz w:val="28"/>
                <w:szCs w:val="28"/>
              </w:rPr>
              <w:t>根据环境保护工程设计以及现场调查的工程建设情况，本次验收调查提出的建议如下：</w:t>
            </w:r>
          </w:p>
          <w:p>
            <w:pPr>
              <w:pStyle w:val="13"/>
              <w:spacing w:line="360" w:lineRule="auto"/>
              <w:ind w:firstLine="480"/>
              <w:rPr>
                <w:rFonts w:hint="eastAsia" w:ascii="Times New Roman" w:hAnsi="Times New Roman" w:cs="Times New Roman"/>
                <w:color w:val="auto"/>
                <w:sz w:val="28"/>
                <w:szCs w:val="28"/>
                <w:lang w:eastAsia="zh-CN"/>
              </w:rPr>
            </w:pPr>
            <w:r>
              <w:rPr>
                <w:rFonts w:hint="eastAsia" w:ascii="Times New Roman" w:hAnsi="Times New Roman" w:cs="Times New Roman"/>
                <w:color w:val="auto"/>
                <w:sz w:val="28"/>
                <w:szCs w:val="28"/>
              </w:rPr>
              <w:t>1</w:t>
            </w: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做好危险废物处置工作，依法严格落实危险废物全过程规范化管理的各项要求</w:t>
            </w:r>
            <w:r>
              <w:rPr>
                <w:rFonts w:hint="eastAsia" w:ascii="Times New Roman" w:hAnsi="Times New Roman" w:cs="Times New Roman"/>
                <w:color w:val="auto"/>
                <w:sz w:val="28"/>
                <w:szCs w:val="28"/>
                <w:lang w:eastAsia="zh-CN"/>
              </w:rPr>
              <w:t>。</w:t>
            </w:r>
          </w:p>
          <w:p>
            <w:pPr>
              <w:pStyle w:val="13"/>
              <w:spacing w:line="360" w:lineRule="auto"/>
              <w:ind w:firstLine="480"/>
              <w:rPr>
                <w:rFonts w:hint="eastAsia" w:ascii="Times New Roman" w:hAnsi="Times New Roman" w:cs="Times New Roman"/>
                <w:color w:val="auto"/>
                <w:sz w:val="28"/>
                <w:szCs w:val="28"/>
                <w:lang w:eastAsia="zh-CN"/>
              </w:rPr>
            </w:pPr>
            <w:r>
              <w:rPr>
                <w:rFonts w:hint="eastAsia" w:ascii="Times New Roman" w:hAnsi="Times New Roman" w:cs="Times New Roman"/>
                <w:color w:val="auto"/>
                <w:sz w:val="28"/>
                <w:szCs w:val="28"/>
              </w:rPr>
              <w:t>2</w:t>
            </w:r>
            <w:r>
              <w:rPr>
                <w:rFonts w:hint="eastAsia" w:ascii="Times New Roman" w:hAnsi="Times New Roman" w:cs="Times New Roman"/>
                <w:color w:val="auto"/>
                <w:sz w:val="28"/>
                <w:szCs w:val="28"/>
                <w:lang w:eastAsia="zh-CN"/>
              </w:rPr>
              <w:t>、</w:t>
            </w:r>
            <w:r>
              <w:rPr>
                <w:rFonts w:hint="default" w:ascii="Times New Roman" w:hAnsi="Times New Roman" w:cs="Times New Roman"/>
                <w:color w:val="auto"/>
                <w:sz w:val="28"/>
                <w:szCs w:val="28"/>
              </w:rPr>
              <w:t>为了能使项目区内各项污染防治措施达到较好的实际使用效果，建议</w:t>
            </w:r>
            <w:r>
              <w:rPr>
                <w:rFonts w:hint="eastAsia" w:ascii="Times New Roman" w:hAnsi="Times New Roman" w:cs="Times New Roman"/>
                <w:color w:val="auto"/>
                <w:sz w:val="28"/>
                <w:szCs w:val="28"/>
                <w:lang w:val="en-US" w:eastAsia="zh-CN"/>
              </w:rPr>
              <w:t>健全污染环境防治责任制度,采取防治工业固体废物污染环境的措施</w:t>
            </w:r>
            <w:r>
              <w:rPr>
                <w:rFonts w:hint="eastAsia" w:ascii="Times New Roman" w:hAnsi="Times New Roman" w:cs="Times New Roman"/>
                <w:color w:val="auto"/>
                <w:sz w:val="28"/>
                <w:szCs w:val="28"/>
                <w:lang w:eastAsia="zh-CN"/>
              </w:rPr>
              <w:t>。</w:t>
            </w:r>
          </w:p>
          <w:p>
            <w:pPr>
              <w:pStyle w:val="13"/>
              <w:spacing w:line="360" w:lineRule="auto"/>
              <w:ind w:firstLine="480"/>
              <w:rPr>
                <w:rFonts w:hint="eastAsia"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3、认真落实本项目的环境管理工作，切实贯彻“三同时”制度，严格执行环境保护法规。</w:t>
            </w:r>
          </w:p>
          <w:p>
            <w:pPr>
              <w:pStyle w:val="19"/>
              <w:spacing w:line="360" w:lineRule="auto"/>
              <w:ind w:firstLine="560" w:firstLineChars="200"/>
              <w:rPr>
                <w:rFonts w:hint="default" w:ascii="Times New Roman" w:hAnsi="Times New Roman" w:eastAsia="宋体" w:cs="Times New Roman"/>
                <w:b w:val="0"/>
                <w:bCs w:val="0"/>
                <w:color w:val="auto"/>
                <w:sz w:val="28"/>
                <w:szCs w:val="28"/>
                <w:lang w:val="en-US" w:eastAsia="zh-CN"/>
              </w:rPr>
            </w:pPr>
            <w:r>
              <w:rPr>
                <w:rFonts w:hint="eastAsia" w:ascii="Times New Roman" w:hAnsi="Times New Roman" w:eastAsia="宋体" w:cs="Times New Roman"/>
                <w:b w:val="0"/>
                <w:bCs w:val="0"/>
                <w:color w:val="auto"/>
                <w:sz w:val="28"/>
                <w:szCs w:val="28"/>
                <w:lang w:val="en-US" w:eastAsia="zh-CN"/>
              </w:rPr>
              <w:t>4、根据</w:t>
            </w:r>
            <w:r>
              <w:rPr>
                <w:rFonts w:hint="eastAsia" w:ascii="Times New Roman" w:hAnsi="Times New Roman" w:cs="Times New Roman"/>
                <w:color w:val="auto"/>
                <w:sz w:val="28"/>
                <w:szCs w:val="28"/>
                <w:lang w:val="en-US" w:eastAsia="zh-CN"/>
              </w:rPr>
              <w:t>安徽皖欣环境科技有限公司《宣城虹桥金属表面处理有限公司立晨公司危险废物变动情况补充报告》，需尽快采用先进的生产工艺和设备，减少工业固体废物产生量，降低工业固体废物的危害性。</w:t>
            </w:r>
          </w:p>
        </w:tc>
      </w:tr>
    </w:tbl>
    <w:p>
      <w:pPr>
        <w:bidi w:val="0"/>
        <w:jc w:val="both"/>
        <w:rPr>
          <w:rFonts w:hint="eastAsia"/>
          <w:lang w:eastAsia="zh-CN"/>
        </w:rPr>
      </w:pPr>
    </w:p>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Noto Sans Mono CJK JP Bold">
    <w:altName w:val="Segoe Print"/>
    <w:panose1 w:val="00000000000000000000"/>
    <w:charset w:val="00"/>
    <w:family w:val="swiss"/>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w:panose1 w:val="020F0502020204030204"/>
    <w:charset w:val="86"/>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0"/>
      <w:ind w:right="360" w:firstLine="360"/>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577CC8"/>
    <w:multiLevelType w:val="singleLevel"/>
    <w:tmpl w:val="89577CC8"/>
    <w:lvl w:ilvl="0" w:tentative="0">
      <w:start w:val="2"/>
      <w:numFmt w:val="decimal"/>
      <w:suff w:val="nothing"/>
      <w:lvlText w:val="（%1）"/>
      <w:lvlJc w:val="left"/>
    </w:lvl>
  </w:abstractNum>
  <w:abstractNum w:abstractNumId="1">
    <w:nsid w:val="DBB4BC75"/>
    <w:multiLevelType w:val="singleLevel"/>
    <w:tmpl w:val="DBB4BC75"/>
    <w:lvl w:ilvl="0" w:tentative="0">
      <w:start w:val="5"/>
      <w:numFmt w:val="decimal"/>
      <w:suff w:val="nothing"/>
      <w:lvlText w:val="%1、"/>
      <w:lvlJc w:val="left"/>
    </w:lvl>
  </w:abstractNum>
  <w:abstractNum w:abstractNumId="2">
    <w:nsid w:val="F7D25D0E"/>
    <w:multiLevelType w:val="singleLevel"/>
    <w:tmpl w:val="F7D25D0E"/>
    <w:lvl w:ilvl="0" w:tentative="0">
      <w:start w:val="9"/>
      <w:numFmt w:val="decimal"/>
      <w:suff w:val="nothing"/>
      <w:lvlText w:val="%1、"/>
      <w:lvlJc w:val="left"/>
    </w:lvl>
  </w:abstractNum>
  <w:abstractNum w:abstractNumId="3">
    <w:nsid w:val="FA900CF0"/>
    <w:multiLevelType w:val="singleLevel"/>
    <w:tmpl w:val="FA900CF0"/>
    <w:lvl w:ilvl="0" w:tentative="0">
      <w:start w:val="1"/>
      <w:numFmt w:val="decimal"/>
      <w:suff w:val="nothing"/>
      <w:lvlText w:val="%1、"/>
      <w:lvlJc w:val="left"/>
    </w:lvl>
  </w:abstractNum>
  <w:abstractNum w:abstractNumId="4">
    <w:nsid w:val="216C39DE"/>
    <w:multiLevelType w:val="singleLevel"/>
    <w:tmpl w:val="216C39DE"/>
    <w:lvl w:ilvl="0" w:tentative="0">
      <w:start w:val="1"/>
      <w:numFmt w:val="chineseCounting"/>
      <w:suff w:val="nothing"/>
      <w:lvlText w:val="%1、"/>
      <w:lvlJc w:val="left"/>
      <w:rPr>
        <w:rFonts w:hint="eastAsia"/>
      </w:rPr>
    </w:lvl>
  </w:abstractNum>
  <w:abstractNum w:abstractNumId="5">
    <w:nsid w:val="654AA885"/>
    <w:multiLevelType w:val="singleLevel"/>
    <w:tmpl w:val="654AA885"/>
    <w:lvl w:ilvl="0" w:tentative="0">
      <w:start w:val="1"/>
      <w:numFmt w:val="decimal"/>
      <w:suff w:val="nothing"/>
      <w:lvlText w:val="（%1）"/>
      <w:lvlJc w:val="left"/>
    </w:lvl>
  </w:abstractNum>
  <w:abstractNum w:abstractNumId="6">
    <w:nsid w:val="74F7FFFC"/>
    <w:multiLevelType w:val="singleLevel"/>
    <w:tmpl w:val="74F7FFFC"/>
    <w:lvl w:ilvl="0" w:tentative="0">
      <w:start w:val="2"/>
      <w:numFmt w:val="chineseCounting"/>
      <w:suff w:val="nothing"/>
      <w:lvlText w:val="%1、"/>
      <w:lvlJc w:val="left"/>
      <w:rPr>
        <w:rFonts w:hint="eastAsia"/>
      </w:rPr>
    </w:lvl>
  </w:abstractNum>
  <w:num w:numId="1">
    <w:abstractNumId w:val="2"/>
  </w:num>
  <w:num w:numId="2">
    <w:abstractNumId w:val="6"/>
  </w:num>
  <w:num w:numId="3">
    <w:abstractNumId w:val="0"/>
  </w:num>
  <w:num w:numId="4">
    <w:abstractNumId w:val="3"/>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2F714D8"/>
    <w:rsid w:val="05597DC7"/>
    <w:rsid w:val="09E64FC3"/>
    <w:rsid w:val="111B4926"/>
    <w:rsid w:val="11956AB2"/>
    <w:rsid w:val="138F2C67"/>
    <w:rsid w:val="15507EFD"/>
    <w:rsid w:val="157669B9"/>
    <w:rsid w:val="168A41A5"/>
    <w:rsid w:val="1D78662A"/>
    <w:rsid w:val="27C871AC"/>
    <w:rsid w:val="27E42DFC"/>
    <w:rsid w:val="2A5C0744"/>
    <w:rsid w:val="3B9A1CAC"/>
    <w:rsid w:val="40A246C2"/>
    <w:rsid w:val="43C3791E"/>
    <w:rsid w:val="473521C6"/>
    <w:rsid w:val="59A42D3D"/>
    <w:rsid w:val="5BF9760B"/>
    <w:rsid w:val="5CEF4561"/>
    <w:rsid w:val="5D006300"/>
    <w:rsid w:val="5DD534BF"/>
    <w:rsid w:val="63E57501"/>
    <w:rsid w:val="694C048D"/>
    <w:rsid w:val="6FDB45C4"/>
    <w:rsid w:val="705718D5"/>
    <w:rsid w:val="74FC503E"/>
    <w:rsid w:val="78CD7A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5"/>
    <w:qFormat/>
    <w:uiPriority w:val="0"/>
    <w:pPr>
      <w:keepNext/>
      <w:keepLines/>
      <w:spacing w:before="260" w:after="260" w:line="416" w:lineRule="auto"/>
      <w:outlineLvl w:val="1"/>
    </w:pPr>
    <w:rPr>
      <w:rFonts w:ascii="Arial" w:hAnsi="Arial" w:eastAsia="黑体"/>
      <w:b/>
      <w:bCs/>
      <w:sz w:val="32"/>
      <w:szCs w:val="32"/>
    </w:rPr>
  </w:style>
  <w:style w:type="paragraph" w:styleId="6">
    <w:name w:val="heading 4"/>
    <w:basedOn w:val="1"/>
    <w:next w:val="1"/>
    <w:qFormat/>
    <w:uiPriority w:val="1"/>
    <w:pPr>
      <w:ind w:left="1068"/>
      <w:outlineLvl w:val="3"/>
    </w:pPr>
    <w:rPr>
      <w:rFonts w:ascii="宋体" w:hAnsi="宋体" w:cs="宋体"/>
      <w:b/>
      <w:bCs/>
      <w:sz w:val="24"/>
      <w:lang w:val="zh-CN" w:bidi="zh-CN"/>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customStyle="1" w:styleId="3">
    <w:name w:val="xl27"/>
    <w:basedOn w:val="1"/>
    <w:qFormat/>
    <w:uiPriority w:val="0"/>
    <w:pPr>
      <w:spacing w:before="100" w:beforeAutospacing="1" w:after="100" w:afterAutospacing="1"/>
    </w:pPr>
    <w:rPr>
      <w:color w:val="FF0000"/>
      <w:sz w:val="24"/>
    </w:rPr>
  </w:style>
  <w:style w:type="paragraph" w:styleId="5">
    <w:name w:val="Normal Indent"/>
    <w:basedOn w:val="1"/>
    <w:next w:val="6"/>
    <w:qFormat/>
    <w:uiPriority w:val="0"/>
    <w:rPr>
      <w:sz w:val="28"/>
    </w:rPr>
  </w:style>
  <w:style w:type="paragraph" w:styleId="7">
    <w:name w:val="caption"/>
    <w:basedOn w:val="1"/>
    <w:next w:val="1"/>
    <w:semiHidden/>
    <w:unhideWhenUsed/>
    <w:qFormat/>
    <w:uiPriority w:val="0"/>
    <w:rPr>
      <w:rFonts w:ascii="Arial" w:hAnsi="Arial" w:eastAsia="黑体"/>
      <w:sz w:val="20"/>
    </w:rPr>
  </w:style>
  <w:style w:type="paragraph" w:styleId="8">
    <w:name w:val="annotation text"/>
    <w:basedOn w:val="1"/>
    <w:qFormat/>
    <w:uiPriority w:val="0"/>
    <w:pPr>
      <w:jc w:val="left"/>
    </w:pPr>
    <w:rPr>
      <w:kern w:val="2"/>
      <w:sz w:val="21"/>
    </w:rPr>
  </w:style>
  <w:style w:type="paragraph" w:styleId="9">
    <w:name w:val="Body Text Indent"/>
    <w:basedOn w:val="1"/>
    <w:qFormat/>
    <w:uiPriority w:val="0"/>
    <w:pPr>
      <w:spacing w:after="120" w:afterLines="0"/>
      <w:ind w:left="420" w:leftChars="200"/>
    </w:pPr>
  </w:style>
  <w:style w:type="paragraph" w:styleId="10">
    <w:name w:val="Date"/>
    <w:basedOn w:val="1"/>
    <w:next w:val="1"/>
    <w:qFormat/>
    <w:uiPriority w:val="0"/>
    <w:pPr>
      <w:adjustRightInd w:val="0"/>
      <w:textAlignment w:val="baseline"/>
    </w:pPr>
    <w:rPr>
      <w:rFonts w:eastAsia="宋体"/>
      <w:kern w:val="2"/>
      <w:sz w:val="24"/>
      <w:lang w:val="en-US" w:eastAsia="zh-CN"/>
    </w:rPr>
  </w:style>
  <w:style w:type="paragraph" w:styleId="11">
    <w:name w:val="footer"/>
    <w:basedOn w:val="1"/>
    <w:qFormat/>
    <w:uiPriority w:val="0"/>
    <w:pPr>
      <w:tabs>
        <w:tab w:val="center" w:pos="4153"/>
        <w:tab w:val="right" w:pos="8306"/>
      </w:tabs>
    </w:pPr>
    <w:rPr>
      <w:rFonts w:eastAsia="宋体"/>
      <w:sz w:val="18"/>
      <w:szCs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Body Text First Indent"/>
    <w:basedOn w:val="1"/>
    <w:qFormat/>
    <w:uiPriority w:val="0"/>
    <w:pPr>
      <w:ind w:firstLine="200" w:firstLineChars="200"/>
    </w:pPr>
  </w:style>
  <w:style w:type="paragraph" w:styleId="14">
    <w:name w:val="Body Text First Indent 2"/>
    <w:basedOn w:val="9"/>
    <w:qFormat/>
    <w:uiPriority w:val="0"/>
    <w:pPr>
      <w:spacing w:line="480" w:lineRule="exact"/>
      <w:ind w:firstLine="420" w:firstLineChars="20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paragraph" w:customStyle="1" w:styleId="19">
    <w:name w:val="Table Paragraph"/>
    <w:basedOn w:val="1"/>
    <w:qFormat/>
    <w:uiPriority w:val="1"/>
    <w:rPr>
      <w:rFonts w:ascii="Noto Sans Mono CJK JP Bold" w:hAnsi="Noto Sans Mono CJK JP Bold" w:eastAsia="Noto Sans Mono CJK JP Bold" w:cs="Noto Sans Mono CJK JP Bold"/>
      <w:lang w:val="en-US" w:eastAsia="zh-CN" w:bidi="ar-SA"/>
    </w:rPr>
  </w:style>
  <w:style w:type="character" w:customStyle="1" w:styleId="20">
    <w:name w:val="表格标题 Char"/>
    <w:basedOn w:val="17"/>
    <w:qFormat/>
    <w:uiPriority w:val="0"/>
    <w:rPr>
      <w:rFonts w:ascii="Times New Roman" w:hAnsi="Times New Roman" w:eastAsia="宋体" w:cs="宋体"/>
      <w:b/>
      <w:kern w:val="2"/>
      <w:sz w:val="24"/>
      <w:lang w:bidi="ar-SA"/>
    </w:rPr>
  </w:style>
  <w:style w:type="paragraph" w:customStyle="1" w:styleId="21">
    <w:name w:val="表格字体文本"/>
    <w:basedOn w:val="1"/>
    <w:next w:val="1"/>
    <w:qFormat/>
    <w:uiPriority w:val="0"/>
    <w:pPr>
      <w:jc w:val="center"/>
    </w:pPr>
    <w:rPr>
      <w:rFonts w:ascii="Times New Roman" w:hAnsi="Times New Roman" w:eastAsia="宋体" w:cs="宋体"/>
      <w:sz w:val="21"/>
      <w:szCs w:val="22"/>
      <w:lang w:val="zh-CN" w:bidi="zh-CN"/>
    </w:rPr>
  </w:style>
  <w:style w:type="paragraph" w:customStyle="1" w:styleId="22">
    <w:name w:val="表格"/>
    <w:basedOn w:val="1"/>
    <w:qFormat/>
    <w:uiPriority w:val="0"/>
    <w:pPr>
      <w:jc w:val="center"/>
    </w:pPr>
    <w:rPr>
      <w:rFonts w:eastAsia="楷体_GB2312"/>
      <w:sz w:val="24"/>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2021-09-11T02:31:00Z</dcterms:created>
  <dc:creator>Administrator</dc:creator>
  <cp:lastModifiedBy>Administrator</cp:lastModifiedBy>
  <dcterms:modified xsi:type="dcterms:W3CDTF">2021-09-17T09:05:41Z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C72A5746EFBF4B5088129D6DD5F6BDB2</vt:lpwstr>
  </property>
</Properties>
</file>