
<file path=[Content_Types].xml><?xml version="1.0" encoding="utf-8"?>
<Types xmlns="http://schemas.openxmlformats.org/package/2006/content-types">
  <Default Extension="xml" ContentType="application/xml"/>
  <Default Extension="bin" ContentType="application/vnd.openxmlformats-officedocument.oleObject"/>
  <Default Extension="emf" ContentType="image/x-emf"/>
  <Default Extension="wmf" ContentType="image/x-wmf"/>
  <Default Extension="png" ContentType="image/png"/>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FFFFF"/>
  <w:body>
    <w:p>
      <w:pPr>
        <w:rPr>
          <w:color w:val="auto"/>
        </w:rPr>
      </w:pPr>
      <w:bookmarkStart w:id="0" w:name="_Toc335291728"/>
      <w:bookmarkStart w:id="1" w:name="_Toc333388568"/>
      <w:bookmarkStart w:id="2" w:name="_Toc366874090"/>
      <w:bookmarkStart w:id="3" w:name="_Toc333177915"/>
      <w:bookmarkStart w:id="4" w:name="_Toc287813358"/>
      <w:bookmarkStart w:id="5" w:name="_Toc367091849"/>
      <w:bookmarkStart w:id="6" w:name="_Toc333178526"/>
      <w:bookmarkStart w:id="7" w:name="_Toc206896684"/>
      <w:bookmarkStart w:id="8" w:name="_Toc178420458"/>
      <w:bookmarkStart w:id="9" w:name="_Toc155677613"/>
      <w:bookmarkStart w:id="10" w:name="_Toc185302849"/>
      <w:bookmarkStart w:id="11" w:name="_Toc165536840"/>
      <w:bookmarkStart w:id="12" w:name="_Toc160421804"/>
      <w:bookmarkStart w:id="13" w:name="_Toc160421903"/>
      <w:bookmarkStart w:id="14" w:name="_Toc160422002"/>
      <w:bookmarkStart w:id="15" w:name="_Toc162498002"/>
    </w:p>
    <w:p>
      <w:pPr>
        <w:rPr>
          <w:color w:val="auto"/>
        </w:rPr>
      </w:pPr>
    </w:p>
    <w:p>
      <w:pPr>
        <w:rPr>
          <w:color w:val="auto"/>
        </w:rPr>
      </w:pPr>
    </w:p>
    <w:p>
      <w:pPr>
        <w:spacing w:line="240" w:lineRule="atLeast"/>
        <w:jc w:val="center"/>
        <w:rPr>
          <w:rFonts w:hint="eastAsia" w:eastAsia="楷体_GB2312"/>
          <w:b/>
          <w:color w:val="auto"/>
          <w:sz w:val="52"/>
          <w:szCs w:val="52"/>
          <w:lang w:eastAsia="zh-CN"/>
        </w:rPr>
      </w:pPr>
      <w:r>
        <w:rPr>
          <w:rFonts w:hint="eastAsia" w:eastAsia="楷体_GB2312"/>
          <w:b/>
          <w:color w:val="auto"/>
          <w:sz w:val="52"/>
          <w:szCs w:val="52"/>
          <w:lang w:eastAsia="zh-CN"/>
        </w:rPr>
        <w:t>宁国市天马复合材料有限公司</w:t>
      </w:r>
    </w:p>
    <w:p>
      <w:pPr>
        <w:spacing w:line="240" w:lineRule="atLeast"/>
        <w:jc w:val="center"/>
        <w:rPr>
          <w:rFonts w:hint="eastAsia" w:eastAsia="楷体_GB2312"/>
          <w:b/>
          <w:color w:val="auto"/>
          <w:sz w:val="52"/>
          <w:szCs w:val="52"/>
          <w:lang w:eastAsia="zh-CN"/>
        </w:rPr>
      </w:pPr>
      <w:r>
        <w:rPr>
          <w:rFonts w:hint="eastAsia" w:eastAsia="楷体_GB2312"/>
          <w:b/>
          <w:color w:val="auto"/>
          <w:sz w:val="52"/>
          <w:szCs w:val="52"/>
          <w:lang w:eastAsia="zh-CN"/>
        </w:rPr>
        <w:t>汽车平面密封材料和汽车橡胶密封件生产项目</w:t>
      </w:r>
    </w:p>
    <w:p>
      <w:pPr>
        <w:spacing w:line="240" w:lineRule="atLeast"/>
        <w:jc w:val="center"/>
        <w:rPr>
          <w:rFonts w:eastAsia="楷体_GB2312"/>
          <w:b/>
          <w:color w:val="auto"/>
          <w:sz w:val="84"/>
          <w:szCs w:val="84"/>
        </w:rPr>
      </w:pPr>
      <w:r>
        <w:rPr>
          <w:rFonts w:eastAsia="楷体_GB2312"/>
          <w:b/>
          <w:color w:val="auto"/>
          <w:sz w:val="84"/>
          <w:szCs w:val="84"/>
        </w:rPr>
        <w:t>环境影响报告书</w:t>
      </w:r>
    </w:p>
    <w:p>
      <w:pPr>
        <w:spacing w:line="600" w:lineRule="exact"/>
        <w:rPr>
          <w:color w:val="auto"/>
        </w:rPr>
      </w:pPr>
    </w:p>
    <w:p>
      <w:pPr>
        <w:pStyle w:val="2"/>
        <w:rPr>
          <w:color w:val="auto"/>
        </w:rPr>
      </w:pPr>
    </w:p>
    <w:p>
      <w:pPr>
        <w:spacing w:line="600" w:lineRule="exact"/>
        <w:rPr>
          <w:color w:val="auto"/>
        </w:rPr>
      </w:pPr>
    </w:p>
    <w:p>
      <w:pPr>
        <w:spacing w:line="600" w:lineRule="exact"/>
        <w:rPr>
          <w:color w:val="auto"/>
        </w:rPr>
      </w:pPr>
    </w:p>
    <w:p>
      <w:pPr>
        <w:spacing w:line="600" w:lineRule="exact"/>
        <w:rPr>
          <w:color w:val="auto"/>
        </w:rPr>
      </w:pPr>
    </w:p>
    <w:p>
      <w:pPr>
        <w:spacing w:line="600" w:lineRule="exact"/>
        <w:rPr>
          <w:color w:val="auto"/>
        </w:rPr>
      </w:pPr>
    </w:p>
    <w:p>
      <w:pPr>
        <w:spacing w:line="600" w:lineRule="exact"/>
        <w:rPr>
          <w:color w:val="auto"/>
        </w:rPr>
      </w:pPr>
    </w:p>
    <w:p>
      <w:pPr>
        <w:spacing w:line="600" w:lineRule="exact"/>
        <w:rPr>
          <w:color w:val="auto"/>
        </w:rPr>
      </w:pPr>
    </w:p>
    <w:p>
      <w:pPr>
        <w:spacing w:line="600" w:lineRule="exact"/>
        <w:rPr>
          <w:b/>
          <w:color w:val="auto"/>
        </w:rPr>
      </w:pPr>
    </w:p>
    <w:p>
      <w:pPr>
        <w:spacing w:line="600" w:lineRule="exact"/>
        <w:jc w:val="center"/>
        <w:rPr>
          <w:b/>
          <w:color w:val="auto"/>
          <w:sz w:val="32"/>
          <w:szCs w:val="32"/>
        </w:rPr>
      </w:pPr>
      <w:r>
        <w:rPr>
          <w:b/>
          <w:color w:val="auto"/>
          <w:sz w:val="32"/>
          <w:szCs w:val="32"/>
        </w:rPr>
        <w:t>安徽资环环境工程有限公司</w:t>
      </w:r>
    </w:p>
    <w:p>
      <w:pPr>
        <w:spacing w:line="600" w:lineRule="exact"/>
        <w:jc w:val="center"/>
        <w:rPr>
          <w:b/>
          <w:color w:val="auto"/>
          <w:sz w:val="32"/>
          <w:szCs w:val="32"/>
        </w:rPr>
      </w:pPr>
      <w:r>
        <w:rPr>
          <w:b/>
          <w:color w:val="auto"/>
          <w:sz w:val="32"/>
          <w:szCs w:val="32"/>
        </w:rPr>
        <w:t>2020年</w:t>
      </w:r>
      <w:r>
        <w:rPr>
          <w:rFonts w:hint="eastAsia"/>
          <w:b/>
          <w:color w:val="auto"/>
          <w:sz w:val="32"/>
          <w:szCs w:val="32"/>
          <w:lang w:val="en-US" w:eastAsia="zh-CN"/>
        </w:rPr>
        <w:t>9</w:t>
      </w:r>
      <w:r>
        <w:rPr>
          <w:b/>
          <w:color w:val="auto"/>
          <w:sz w:val="32"/>
          <w:szCs w:val="32"/>
        </w:rPr>
        <w:t>月</w:t>
      </w:r>
    </w:p>
    <w:p>
      <w:pPr>
        <w:jc w:val="center"/>
        <w:rPr>
          <w:b/>
          <w:color w:val="auto"/>
          <w:sz w:val="44"/>
          <w:szCs w:val="44"/>
        </w:rPr>
      </w:pPr>
    </w:p>
    <w:p>
      <w:pPr>
        <w:jc w:val="center"/>
        <w:rPr>
          <w:b/>
          <w:color w:val="auto"/>
          <w:sz w:val="44"/>
          <w:szCs w:val="44"/>
        </w:rPr>
      </w:pPr>
    </w:p>
    <w:p>
      <w:pPr>
        <w:jc w:val="center"/>
        <w:rPr>
          <w:b/>
          <w:color w:val="auto"/>
          <w:sz w:val="44"/>
          <w:szCs w:val="44"/>
        </w:rPr>
      </w:pPr>
    </w:p>
    <w:p>
      <w:pPr>
        <w:jc w:val="center"/>
        <w:rPr>
          <w:b/>
          <w:color w:val="auto"/>
          <w:sz w:val="44"/>
          <w:szCs w:val="44"/>
        </w:rPr>
      </w:pPr>
    </w:p>
    <w:p>
      <w:pPr>
        <w:jc w:val="center"/>
        <w:rPr>
          <w:b/>
          <w:color w:val="auto"/>
          <w:sz w:val="44"/>
          <w:szCs w:val="44"/>
        </w:rPr>
      </w:pPr>
    </w:p>
    <w:p>
      <w:pPr>
        <w:rPr>
          <w:color w:val="auto"/>
        </w:rPr>
      </w:pPr>
    </w:p>
    <w:p>
      <w:pPr>
        <w:jc w:val="center"/>
        <w:rPr>
          <w:color w:val="auto"/>
        </w:rPr>
      </w:pPr>
    </w:p>
    <w:p>
      <w:pPr>
        <w:jc w:val="center"/>
        <w:rPr>
          <w:color w:val="auto"/>
        </w:rPr>
      </w:pPr>
    </w:p>
    <w:p>
      <w:pPr>
        <w:jc w:val="center"/>
        <w:rPr>
          <w:color w:val="auto"/>
        </w:rPr>
      </w:pPr>
    </w:p>
    <w:p>
      <w:pPr>
        <w:rPr>
          <w:color w:val="auto"/>
        </w:rPr>
      </w:pPr>
    </w:p>
    <w:p>
      <w:pPr>
        <w:jc w:val="center"/>
        <w:rPr>
          <w:b/>
          <w:color w:val="auto"/>
          <w:sz w:val="44"/>
          <w:szCs w:val="44"/>
        </w:rPr>
      </w:pPr>
      <w:r>
        <w:rPr>
          <w:b/>
          <w:color w:val="auto"/>
          <w:sz w:val="44"/>
          <w:szCs w:val="44"/>
        </w:rPr>
        <w:t>目   录</w:t>
      </w:r>
    </w:p>
    <w:p>
      <w:pPr>
        <w:pStyle w:val="37"/>
        <w:tabs>
          <w:tab w:val="right" w:leader="dot" w:pos="8734"/>
          <w:tab w:val="clear" w:pos="8720"/>
        </w:tabs>
      </w:pPr>
      <w:r>
        <w:rPr>
          <w:rFonts w:ascii="Times New Roman" w:hAnsi="Times New Roman"/>
          <w:color w:val="auto"/>
        </w:rPr>
        <w:fldChar w:fldCharType="begin"/>
      </w:r>
      <w:r>
        <w:rPr>
          <w:rFonts w:ascii="Times New Roman" w:hAnsi="Times New Roman"/>
          <w:color w:val="auto"/>
        </w:rPr>
        <w:instrText xml:space="preserve"> TOC \o "1-2" \h \z \u </w:instrText>
      </w:r>
      <w:r>
        <w:rPr>
          <w:rFonts w:ascii="Times New Roman" w:hAnsi="Times New Roman"/>
          <w:color w:val="auto"/>
        </w:rPr>
        <w:fldChar w:fldCharType="separate"/>
      </w:r>
      <w:r>
        <w:rPr>
          <w:rFonts w:ascii="Times New Roman" w:hAnsi="Times New Roman"/>
          <w:color w:val="auto"/>
        </w:rPr>
        <w:fldChar w:fldCharType="begin"/>
      </w:r>
      <w:r>
        <w:rPr>
          <w:rFonts w:ascii="Times New Roman" w:hAnsi="Times New Roman"/>
        </w:rPr>
        <w:instrText xml:space="preserve"> HYPERLINK \l _Toc17949 </w:instrText>
      </w:r>
      <w:r>
        <w:rPr>
          <w:rFonts w:ascii="Times New Roman" w:hAnsi="Times New Roman"/>
        </w:rPr>
        <w:fldChar w:fldCharType="separate"/>
      </w:r>
      <w:r>
        <w:rPr>
          <w:szCs w:val="36"/>
        </w:rPr>
        <w:t>第一章 概述</w:t>
      </w:r>
      <w:r>
        <w:tab/>
      </w:r>
      <w:r>
        <w:fldChar w:fldCharType="begin"/>
      </w:r>
      <w:r>
        <w:instrText xml:space="preserve"> PAGEREF _Toc17949 </w:instrText>
      </w:r>
      <w:r>
        <w:fldChar w:fldCharType="separate"/>
      </w:r>
      <w:r>
        <w:t>4</w:t>
      </w:r>
      <w:r>
        <w:fldChar w:fldCharType="end"/>
      </w:r>
      <w:r>
        <w:rPr>
          <w:rFonts w:ascii="Times New Roman" w:hAnsi="Times New Roman"/>
          <w:color w:val="auto"/>
        </w:rPr>
        <w:fldChar w:fldCharType="end"/>
      </w:r>
    </w:p>
    <w:p>
      <w:pPr>
        <w:pStyle w:val="43"/>
        <w:tabs>
          <w:tab w:val="right" w:leader="dot" w:pos="8734"/>
        </w:tabs>
      </w:pPr>
      <w:r>
        <w:rPr>
          <w:rFonts w:ascii="Times New Roman" w:hAnsi="Times New Roman" w:cs="Times New Roman"/>
          <w:color w:val="auto"/>
          <w:szCs w:val="24"/>
        </w:rPr>
        <w:fldChar w:fldCharType="begin"/>
      </w:r>
      <w:r>
        <w:rPr>
          <w:rFonts w:ascii="Times New Roman" w:hAnsi="Times New Roman" w:cs="Times New Roman"/>
          <w:szCs w:val="24"/>
        </w:rPr>
        <w:instrText xml:space="preserve"> HYPERLINK \l _Toc19013 </w:instrText>
      </w:r>
      <w:r>
        <w:rPr>
          <w:rFonts w:ascii="Times New Roman" w:hAnsi="Times New Roman" w:cs="Times New Roman"/>
          <w:szCs w:val="24"/>
        </w:rPr>
        <w:fldChar w:fldCharType="separate"/>
      </w:r>
      <w:r>
        <w:rPr>
          <w:rFonts w:ascii="Times New Roman" w:hAnsi="Times New Roman"/>
        </w:rPr>
        <w:t>1.1项目由来</w:t>
      </w:r>
      <w:r>
        <w:tab/>
      </w:r>
      <w:r>
        <w:fldChar w:fldCharType="begin"/>
      </w:r>
      <w:r>
        <w:instrText xml:space="preserve"> PAGEREF _Toc19013 </w:instrText>
      </w:r>
      <w:r>
        <w:fldChar w:fldCharType="separate"/>
      </w:r>
      <w:r>
        <w:t>4</w:t>
      </w:r>
      <w:r>
        <w:fldChar w:fldCharType="end"/>
      </w:r>
      <w:r>
        <w:rPr>
          <w:rFonts w:ascii="Times New Roman" w:hAnsi="Times New Roman" w:cs="Times New Roman"/>
          <w:color w:val="auto"/>
          <w:szCs w:val="24"/>
        </w:rPr>
        <w:fldChar w:fldCharType="end"/>
      </w:r>
    </w:p>
    <w:p>
      <w:pPr>
        <w:pStyle w:val="43"/>
        <w:tabs>
          <w:tab w:val="right" w:leader="dot" w:pos="8734"/>
        </w:tabs>
      </w:pPr>
      <w:r>
        <w:rPr>
          <w:rFonts w:ascii="Times New Roman" w:hAnsi="Times New Roman" w:cs="Times New Roman"/>
          <w:color w:val="auto"/>
          <w:szCs w:val="24"/>
        </w:rPr>
        <w:fldChar w:fldCharType="begin"/>
      </w:r>
      <w:r>
        <w:rPr>
          <w:rFonts w:ascii="Times New Roman" w:hAnsi="Times New Roman" w:cs="Times New Roman"/>
          <w:szCs w:val="24"/>
        </w:rPr>
        <w:instrText xml:space="preserve"> HYPERLINK \l _Toc27704 </w:instrText>
      </w:r>
      <w:r>
        <w:rPr>
          <w:rFonts w:ascii="Times New Roman" w:hAnsi="Times New Roman" w:cs="Times New Roman"/>
          <w:szCs w:val="24"/>
        </w:rPr>
        <w:fldChar w:fldCharType="separate"/>
      </w:r>
      <w:r>
        <w:rPr>
          <w:rFonts w:ascii="Times New Roman" w:hAnsi="Times New Roman"/>
        </w:rPr>
        <w:t>1.2环境影响评价的工作过程</w:t>
      </w:r>
      <w:r>
        <w:tab/>
      </w:r>
      <w:r>
        <w:fldChar w:fldCharType="begin"/>
      </w:r>
      <w:r>
        <w:instrText xml:space="preserve"> PAGEREF _Toc27704 </w:instrText>
      </w:r>
      <w:r>
        <w:fldChar w:fldCharType="separate"/>
      </w:r>
      <w:r>
        <w:t>5</w:t>
      </w:r>
      <w:r>
        <w:fldChar w:fldCharType="end"/>
      </w:r>
      <w:r>
        <w:rPr>
          <w:rFonts w:ascii="Times New Roman" w:hAnsi="Times New Roman" w:cs="Times New Roman"/>
          <w:color w:val="auto"/>
          <w:szCs w:val="24"/>
        </w:rPr>
        <w:fldChar w:fldCharType="end"/>
      </w:r>
    </w:p>
    <w:p>
      <w:pPr>
        <w:pStyle w:val="43"/>
        <w:tabs>
          <w:tab w:val="right" w:leader="dot" w:pos="8734"/>
        </w:tabs>
      </w:pPr>
      <w:r>
        <w:rPr>
          <w:rFonts w:ascii="Times New Roman" w:hAnsi="Times New Roman" w:cs="Times New Roman"/>
          <w:color w:val="auto"/>
          <w:szCs w:val="24"/>
        </w:rPr>
        <w:fldChar w:fldCharType="begin"/>
      </w:r>
      <w:r>
        <w:rPr>
          <w:rFonts w:ascii="Times New Roman" w:hAnsi="Times New Roman" w:cs="Times New Roman"/>
          <w:szCs w:val="24"/>
        </w:rPr>
        <w:instrText xml:space="preserve"> HYPERLINK \l _Toc7691 </w:instrText>
      </w:r>
      <w:r>
        <w:rPr>
          <w:rFonts w:ascii="Times New Roman" w:hAnsi="Times New Roman" w:cs="Times New Roman"/>
          <w:szCs w:val="24"/>
        </w:rPr>
        <w:fldChar w:fldCharType="separate"/>
      </w:r>
      <w:r>
        <w:rPr>
          <w:rFonts w:ascii="Times New Roman" w:hAnsi="Times New Roman"/>
        </w:rPr>
        <w:t>1.3关注的主要环境问题</w:t>
      </w:r>
      <w:r>
        <w:tab/>
      </w:r>
      <w:r>
        <w:fldChar w:fldCharType="begin"/>
      </w:r>
      <w:r>
        <w:instrText xml:space="preserve"> PAGEREF _Toc7691 </w:instrText>
      </w:r>
      <w:r>
        <w:fldChar w:fldCharType="separate"/>
      </w:r>
      <w:r>
        <w:t>5</w:t>
      </w:r>
      <w:r>
        <w:fldChar w:fldCharType="end"/>
      </w:r>
      <w:r>
        <w:rPr>
          <w:rFonts w:ascii="Times New Roman" w:hAnsi="Times New Roman" w:cs="Times New Roman"/>
          <w:color w:val="auto"/>
          <w:szCs w:val="24"/>
        </w:rPr>
        <w:fldChar w:fldCharType="end"/>
      </w:r>
    </w:p>
    <w:p>
      <w:pPr>
        <w:pStyle w:val="43"/>
        <w:tabs>
          <w:tab w:val="right" w:leader="dot" w:pos="8734"/>
        </w:tabs>
      </w:pPr>
      <w:r>
        <w:rPr>
          <w:rFonts w:ascii="Times New Roman" w:hAnsi="Times New Roman" w:cs="Times New Roman"/>
          <w:color w:val="auto"/>
          <w:szCs w:val="24"/>
        </w:rPr>
        <w:fldChar w:fldCharType="begin"/>
      </w:r>
      <w:r>
        <w:rPr>
          <w:rFonts w:ascii="Times New Roman" w:hAnsi="Times New Roman" w:cs="Times New Roman"/>
          <w:szCs w:val="24"/>
        </w:rPr>
        <w:instrText xml:space="preserve"> HYPERLINK \l _Toc6334 </w:instrText>
      </w:r>
      <w:r>
        <w:rPr>
          <w:rFonts w:ascii="Times New Roman" w:hAnsi="Times New Roman" w:cs="Times New Roman"/>
          <w:szCs w:val="24"/>
        </w:rPr>
        <w:fldChar w:fldCharType="separate"/>
      </w:r>
      <w:r>
        <w:rPr>
          <w:rFonts w:ascii="Times New Roman" w:hAnsi="Times New Roman"/>
          <w:szCs w:val="28"/>
        </w:rPr>
        <w:t>1.4“三线一单”分析</w:t>
      </w:r>
      <w:r>
        <w:tab/>
      </w:r>
      <w:r>
        <w:fldChar w:fldCharType="begin"/>
      </w:r>
      <w:r>
        <w:instrText xml:space="preserve"> PAGEREF _Toc6334 </w:instrText>
      </w:r>
      <w:r>
        <w:fldChar w:fldCharType="separate"/>
      </w:r>
      <w:r>
        <w:t>5</w:t>
      </w:r>
      <w:r>
        <w:fldChar w:fldCharType="end"/>
      </w:r>
      <w:r>
        <w:rPr>
          <w:rFonts w:ascii="Times New Roman" w:hAnsi="Times New Roman" w:cs="Times New Roman"/>
          <w:color w:val="auto"/>
          <w:szCs w:val="24"/>
        </w:rPr>
        <w:fldChar w:fldCharType="end"/>
      </w:r>
    </w:p>
    <w:p>
      <w:pPr>
        <w:pStyle w:val="43"/>
        <w:tabs>
          <w:tab w:val="right" w:leader="dot" w:pos="8734"/>
        </w:tabs>
      </w:pPr>
      <w:r>
        <w:rPr>
          <w:rFonts w:ascii="Times New Roman" w:hAnsi="Times New Roman" w:cs="Times New Roman"/>
          <w:color w:val="auto"/>
          <w:szCs w:val="24"/>
        </w:rPr>
        <w:fldChar w:fldCharType="begin"/>
      </w:r>
      <w:r>
        <w:rPr>
          <w:rFonts w:ascii="Times New Roman" w:hAnsi="Times New Roman" w:cs="Times New Roman"/>
          <w:szCs w:val="24"/>
        </w:rPr>
        <w:instrText xml:space="preserve"> HYPERLINK \l _Toc12946 </w:instrText>
      </w:r>
      <w:r>
        <w:rPr>
          <w:rFonts w:ascii="Times New Roman" w:hAnsi="Times New Roman" w:cs="Times New Roman"/>
          <w:szCs w:val="24"/>
        </w:rPr>
        <w:fldChar w:fldCharType="separate"/>
      </w:r>
      <w:r>
        <w:rPr>
          <w:rFonts w:ascii="Times New Roman" w:hAnsi="Times New Roman"/>
        </w:rPr>
        <w:t>1.5环境影响报告书主要结论</w:t>
      </w:r>
      <w:r>
        <w:tab/>
      </w:r>
      <w:r>
        <w:fldChar w:fldCharType="begin"/>
      </w:r>
      <w:r>
        <w:instrText xml:space="preserve"> PAGEREF _Toc12946 </w:instrText>
      </w:r>
      <w:r>
        <w:fldChar w:fldCharType="separate"/>
      </w:r>
      <w:r>
        <w:t>6</w:t>
      </w:r>
      <w:r>
        <w:fldChar w:fldCharType="end"/>
      </w:r>
      <w:r>
        <w:rPr>
          <w:rFonts w:ascii="Times New Roman" w:hAnsi="Times New Roman" w:cs="Times New Roman"/>
          <w:color w:val="auto"/>
          <w:szCs w:val="24"/>
        </w:rPr>
        <w:fldChar w:fldCharType="end"/>
      </w:r>
    </w:p>
    <w:p>
      <w:pPr>
        <w:pStyle w:val="37"/>
        <w:tabs>
          <w:tab w:val="right" w:leader="dot" w:pos="8734"/>
          <w:tab w:val="clear" w:pos="8720"/>
        </w:tabs>
      </w:pPr>
      <w:r>
        <w:rPr>
          <w:rFonts w:ascii="Times New Roman" w:hAnsi="Times New Roman" w:cs="Times New Roman"/>
          <w:color w:val="auto"/>
          <w:szCs w:val="24"/>
        </w:rPr>
        <w:fldChar w:fldCharType="begin"/>
      </w:r>
      <w:r>
        <w:rPr>
          <w:rFonts w:ascii="Times New Roman" w:hAnsi="Times New Roman" w:cs="Times New Roman"/>
          <w:szCs w:val="24"/>
        </w:rPr>
        <w:instrText xml:space="preserve"> HYPERLINK \l _Toc22529 </w:instrText>
      </w:r>
      <w:r>
        <w:rPr>
          <w:rFonts w:ascii="Times New Roman" w:hAnsi="Times New Roman" w:cs="Times New Roman"/>
          <w:szCs w:val="24"/>
        </w:rPr>
        <w:fldChar w:fldCharType="separate"/>
      </w:r>
      <w:r>
        <w:rPr>
          <w:szCs w:val="36"/>
        </w:rPr>
        <w:t>第二章 总  则</w:t>
      </w:r>
      <w:r>
        <w:tab/>
      </w:r>
      <w:r>
        <w:fldChar w:fldCharType="begin"/>
      </w:r>
      <w:r>
        <w:instrText xml:space="preserve"> PAGEREF _Toc22529 </w:instrText>
      </w:r>
      <w:r>
        <w:fldChar w:fldCharType="separate"/>
      </w:r>
      <w:r>
        <w:t>7</w:t>
      </w:r>
      <w:r>
        <w:fldChar w:fldCharType="end"/>
      </w:r>
      <w:r>
        <w:rPr>
          <w:rFonts w:ascii="Times New Roman" w:hAnsi="Times New Roman" w:cs="Times New Roman"/>
          <w:color w:val="auto"/>
          <w:szCs w:val="24"/>
        </w:rPr>
        <w:fldChar w:fldCharType="end"/>
      </w:r>
    </w:p>
    <w:p>
      <w:pPr>
        <w:pStyle w:val="43"/>
        <w:tabs>
          <w:tab w:val="right" w:leader="dot" w:pos="8734"/>
        </w:tabs>
      </w:pPr>
      <w:r>
        <w:rPr>
          <w:rFonts w:ascii="Times New Roman" w:hAnsi="Times New Roman" w:cs="Times New Roman"/>
          <w:color w:val="auto"/>
          <w:szCs w:val="24"/>
        </w:rPr>
        <w:fldChar w:fldCharType="begin"/>
      </w:r>
      <w:r>
        <w:rPr>
          <w:rFonts w:ascii="Times New Roman" w:hAnsi="Times New Roman" w:cs="Times New Roman"/>
          <w:szCs w:val="24"/>
        </w:rPr>
        <w:instrText xml:space="preserve"> HYPERLINK \l _Toc7395 </w:instrText>
      </w:r>
      <w:r>
        <w:rPr>
          <w:rFonts w:ascii="Times New Roman" w:hAnsi="Times New Roman" w:cs="Times New Roman"/>
          <w:szCs w:val="24"/>
        </w:rPr>
        <w:fldChar w:fldCharType="separate"/>
      </w:r>
      <w:r>
        <w:rPr>
          <w:rFonts w:ascii="Times New Roman" w:hAnsi="Times New Roman"/>
        </w:rPr>
        <w:t>2.1评价目的及指导思想</w:t>
      </w:r>
      <w:r>
        <w:tab/>
      </w:r>
      <w:r>
        <w:fldChar w:fldCharType="begin"/>
      </w:r>
      <w:r>
        <w:instrText xml:space="preserve"> PAGEREF _Toc7395 </w:instrText>
      </w:r>
      <w:r>
        <w:fldChar w:fldCharType="separate"/>
      </w:r>
      <w:r>
        <w:t>7</w:t>
      </w:r>
      <w:r>
        <w:fldChar w:fldCharType="end"/>
      </w:r>
      <w:r>
        <w:rPr>
          <w:rFonts w:ascii="Times New Roman" w:hAnsi="Times New Roman" w:cs="Times New Roman"/>
          <w:color w:val="auto"/>
          <w:szCs w:val="24"/>
        </w:rPr>
        <w:fldChar w:fldCharType="end"/>
      </w:r>
    </w:p>
    <w:p>
      <w:pPr>
        <w:pStyle w:val="43"/>
        <w:tabs>
          <w:tab w:val="right" w:leader="dot" w:pos="8734"/>
        </w:tabs>
      </w:pPr>
      <w:r>
        <w:rPr>
          <w:rFonts w:ascii="Times New Roman" w:hAnsi="Times New Roman" w:cs="Times New Roman"/>
          <w:color w:val="auto"/>
          <w:szCs w:val="24"/>
        </w:rPr>
        <w:fldChar w:fldCharType="begin"/>
      </w:r>
      <w:r>
        <w:rPr>
          <w:rFonts w:ascii="Times New Roman" w:hAnsi="Times New Roman" w:cs="Times New Roman"/>
          <w:szCs w:val="24"/>
        </w:rPr>
        <w:instrText xml:space="preserve"> HYPERLINK \l _Toc17628 </w:instrText>
      </w:r>
      <w:r>
        <w:rPr>
          <w:rFonts w:ascii="Times New Roman" w:hAnsi="Times New Roman" w:cs="Times New Roman"/>
          <w:szCs w:val="24"/>
        </w:rPr>
        <w:fldChar w:fldCharType="separate"/>
      </w:r>
      <w:r>
        <w:rPr>
          <w:rFonts w:ascii="Times New Roman" w:hAnsi="Times New Roman"/>
        </w:rPr>
        <w:t>2.2编制依据</w:t>
      </w:r>
      <w:r>
        <w:tab/>
      </w:r>
      <w:r>
        <w:fldChar w:fldCharType="begin"/>
      </w:r>
      <w:r>
        <w:instrText xml:space="preserve"> PAGEREF _Toc17628 </w:instrText>
      </w:r>
      <w:r>
        <w:fldChar w:fldCharType="separate"/>
      </w:r>
      <w:r>
        <w:t>7</w:t>
      </w:r>
      <w:r>
        <w:fldChar w:fldCharType="end"/>
      </w:r>
      <w:r>
        <w:rPr>
          <w:rFonts w:ascii="Times New Roman" w:hAnsi="Times New Roman" w:cs="Times New Roman"/>
          <w:color w:val="auto"/>
          <w:szCs w:val="24"/>
        </w:rPr>
        <w:fldChar w:fldCharType="end"/>
      </w:r>
    </w:p>
    <w:p>
      <w:pPr>
        <w:pStyle w:val="43"/>
        <w:tabs>
          <w:tab w:val="right" w:leader="dot" w:pos="8734"/>
        </w:tabs>
      </w:pPr>
      <w:r>
        <w:rPr>
          <w:rFonts w:ascii="Times New Roman" w:hAnsi="Times New Roman" w:cs="Times New Roman"/>
          <w:color w:val="auto"/>
          <w:szCs w:val="24"/>
        </w:rPr>
        <w:fldChar w:fldCharType="begin"/>
      </w:r>
      <w:r>
        <w:rPr>
          <w:rFonts w:ascii="Times New Roman" w:hAnsi="Times New Roman" w:cs="Times New Roman"/>
          <w:szCs w:val="24"/>
        </w:rPr>
        <w:instrText xml:space="preserve"> HYPERLINK \l _Toc26240 </w:instrText>
      </w:r>
      <w:r>
        <w:rPr>
          <w:rFonts w:ascii="Times New Roman" w:hAnsi="Times New Roman" w:cs="Times New Roman"/>
          <w:szCs w:val="24"/>
        </w:rPr>
        <w:fldChar w:fldCharType="separate"/>
      </w:r>
      <w:r>
        <w:rPr>
          <w:rFonts w:ascii="Times New Roman" w:hAnsi="Times New Roman"/>
        </w:rPr>
        <w:t>2.3评价工作等级</w:t>
      </w:r>
      <w:r>
        <w:tab/>
      </w:r>
      <w:r>
        <w:fldChar w:fldCharType="begin"/>
      </w:r>
      <w:r>
        <w:instrText xml:space="preserve"> PAGEREF _Toc26240 </w:instrText>
      </w:r>
      <w:r>
        <w:fldChar w:fldCharType="separate"/>
      </w:r>
      <w:r>
        <w:t>11</w:t>
      </w:r>
      <w:r>
        <w:fldChar w:fldCharType="end"/>
      </w:r>
      <w:r>
        <w:rPr>
          <w:rFonts w:ascii="Times New Roman" w:hAnsi="Times New Roman" w:cs="Times New Roman"/>
          <w:color w:val="auto"/>
          <w:szCs w:val="24"/>
        </w:rPr>
        <w:fldChar w:fldCharType="end"/>
      </w:r>
    </w:p>
    <w:p>
      <w:pPr>
        <w:pStyle w:val="43"/>
        <w:tabs>
          <w:tab w:val="right" w:leader="dot" w:pos="8734"/>
        </w:tabs>
      </w:pPr>
      <w:r>
        <w:rPr>
          <w:rFonts w:ascii="Times New Roman" w:hAnsi="Times New Roman" w:cs="Times New Roman"/>
          <w:color w:val="auto"/>
          <w:szCs w:val="24"/>
        </w:rPr>
        <w:fldChar w:fldCharType="begin"/>
      </w:r>
      <w:r>
        <w:rPr>
          <w:rFonts w:ascii="Times New Roman" w:hAnsi="Times New Roman" w:cs="Times New Roman"/>
          <w:szCs w:val="24"/>
        </w:rPr>
        <w:instrText xml:space="preserve"> HYPERLINK \l _Toc31898 </w:instrText>
      </w:r>
      <w:r>
        <w:rPr>
          <w:rFonts w:ascii="Times New Roman" w:hAnsi="Times New Roman" w:cs="Times New Roman"/>
          <w:szCs w:val="24"/>
        </w:rPr>
        <w:fldChar w:fldCharType="separate"/>
      </w:r>
      <w:r>
        <w:rPr>
          <w:rFonts w:ascii="Times New Roman" w:hAnsi="Times New Roman"/>
        </w:rPr>
        <w:t>2.4评价执行标准</w:t>
      </w:r>
      <w:r>
        <w:tab/>
      </w:r>
      <w:r>
        <w:fldChar w:fldCharType="begin"/>
      </w:r>
      <w:r>
        <w:instrText xml:space="preserve"> PAGEREF _Toc31898 </w:instrText>
      </w:r>
      <w:r>
        <w:fldChar w:fldCharType="separate"/>
      </w:r>
      <w:r>
        <w:t>13</w:t>
      </w:r>
      <w:r>
        <w:fldChar w:fldCharType="end"/>
      </w:r>
      <w:r>
        <w:rPr>
          <w:rFonts w:ascii="Times New Roman" w:hAnsi="Times New Roman" w:cs="Times New Roman"/>
          <w:color w:val="auto"/>
          <w:szCs w:val="24"/>
        </w:rPr>
        <w:fldChar w:fldCharType="end"/>
      </w:r>
    </w:p>
    <w:p>
      <w:pPr>
        <w:pStyle w:val="43"/>
        <w:tabs>
          <w:tab w:val="right" w:leader="dot" w:pos="8734"/>
        </w:tabs>
      </w:pPr>
      <w:r>
        <w:rPr>
          <w:rFonts w:ascii="Times New Roman" w:hAnsi="Times New Roman" w:cs="Times New Roman"/>
          <w:color w:val="auto"/>
          <w:szCs w:val="24"/>
        </w:rPr>
        <w:fldChar w:fldCharType="begin"/>
      </w:r>
      <w:r>
        <w:rPr>
          <w:rFonts w:ascii="Times New Roman" w:hAnsi="Times New Roman" w:cs="Times New Roman"/>
          <w:szCs w:val="24"/>
        </w:rPr>
        <w:instrText xml:space="preserve"> HYPERLINK \l _Toc12842 </w:instrText>
      </w:r>
      <w:r>
        <w:rPr>
          <w:rFonts w:ascii="Times New Roman" w:hAnsi="Times New Roman" w:cs="Times New Roman"/>
          <w:szCs w:val="24"/>
        </w:rPr>
        <w:fldChar w:fldCharType="separate"/>
      </w:r>
      <w:r>
        <w:rPr>
          <w:rFonts w:ascii="Times New Roman" w:hAnsi="Times New Roman"/>
        </w:rPr>
        <w:t>2.5评价内容及评价重点</w:t>
      </w:r>
      <w:r>
        <w:tab/>
      </w:r>
      <w:r>
        <w:fldChar w:fldCharType="begin"/>
      </w:r>
      <w:r>
        <w:instrText xml:space="preserve"> PAGEREF _Toc12842 </w:instrText>
      </w:r>
      <w:r>
        <w:fldChar w:fldCharType="separate"/>
      </w:r>
      <w:r>
        <w:t>17</w:t>
      </w:r>
      <w:r>
        <w:fldChar w:fldCharType="end"/>
      </w:r>
      <w:r>
        <w:rPr>
          <w:rFonts w:ascii="Times New Roman" w:hAnsi="Times New Roman" w:cs="Times New Roman"/>
          <w:color w:val="auto"/>
          <w:szCs w:val="24"/>
        </w:rPr>
        <w:fldChar w:fldCharType="end"/>
      </w:r>
    </w:p>
    <w:p>
      <w:pPr>
        <w:pStyle w:val="43"/>
        <w:tabs>
          <w:tab w:val="right" w:leader="dot" w:pos="8734"/>
        </w:tabs>
      </w:pPr>
      <w:r>
        <w:rPr>
          <w:rFonts w:ascii="Times New Roman" w:hAnsi="Times New Roman" w:cs="Times New Roman"/>
          <w:color w:val="auto"/>
          <w:szCs w:val="24"/>
        </w:rPr>
        <w:fldChar w:fldCharType="begin"/>
      </w:r>
      <w:r>
        <w:rPr>
          <w:rFonts w:ascii="Times New Roman" w:hAnsi="Times New Roman" w:cs="Times New Roman"/>
          <w:szCs w:val="24"/>
        </w:rPr>
        <w:instrText xml:space="preserve"> HYPERLINK \l _Toc12043 </w:instrText>
      </w:r>
      <w:r>
        <w:rPr>
          <w:rFonts w:ascii="Times New Roman" w:hAnsi="Times New Roman" w:cs="Times New Roman"/>
          <w:szCs w:val="24"/>
        </w:rPr>
        <w:fldChar w:fldCharType="separate"/>
      </w:r>
      <w:r>
        <w:rPr>
          <w:rFonts w:ascii="Times New Roman" w:hAnsi="Times New Roman"/>
          <w:szCs w:val="28"/>
        </w:rPr>
        <w:t>2.6评价时段</w:t>
      </w:r>
      <w:r>
        <w:tab/>
      </w:r>
      <w:r>
        <w:fldChar w:fldCharType="begin"/>
      </w:r>
      <w:r>
        <w:instrText xml:space="preserve"> PAGEREF _Toc12043 </w:instrText>
      </w:r>
      <w:r>
        <w:fldChar w:fldCharType="separate"/>
      </w:r>
      <w:r>
        <w:t>17</w:t>
      </w:r>
      <w:r>
        <w:fldChar w:fldCharType="end"/>
      </w:r>
      <w:r>
        <w:rPr>
          <w:rFonts w:ascii="Times New Roman" w:hAnsi="Times New Roman" w:cs="Times New Roman"/>
          <w:color w:val="auto"/>
          <w:szCs w:val="24"/>
        </w:rPr>
        <w:fldChar w:fldCharType="end"/>
      </w:r>
    </w:p>
    <w:p>
      <w:pPr>
        <w:pStyle w:val="43"/>
        <w:tabs>
          <w:tab w:val="right" w:leader="dot" w:pos="8734"/>
        </w:tabs>
      </w:pPr>
      <w:r>
        <w:rPr>
          <w:rFonts w:ascii="Times New Roman" w:hAnsi="Times New Roman" w:cs="Times New Roman"/>
          <w:color w:val="auto"/>
          <w:szCs w:val="24"/>
        </w:rPr>
        <w:fldChar w:fldCharType="begin"/>
      </w:r>
      <w:r>
        <w:rPr>
          <w:rFonts w:ascii="Times New Roman" w:hAnsi="Times New Roman" w:cs="Times New Roman"/>
          <w:szCs w:val="24"/>
        </w:rPr>
        <w:instrText xml:space="preserve"> HYPERLINK \l _Toc4132 </w:instrText>
      </w:r>
      <w:r>
        <w:rPr>
          <w:rFonts w:ascii="Times New Roman" w:hAnsi="Times New Roman" w:cs="Times New Roman"/>
          <w:szCs w:val="24"/>
        </w:rPr>
        <w:fldChar w:fldCharType="separate"/>
      </w:r>
      <w:r>
        <w:rPr>
          <w:rFonts w:ascii="Times New Roman" w:hAnsi="Times New Roman"/>
          <w:szCs w:val="28"/>
        </w:rPr>
        <w:t>2.7相关规划及环境功能区划</w:t>
      </w:r>
      <w:r>
        <w:tab/>
      </w:r>
      <w:r>
        <w:fldChar w:fldCharType="begin"/>
      </w:r>
      <w:r>
        <w:instrText xml:space="preserve"> PAGEREF _Toc4132 </w:instrText>
      </w:r>
      <w:r>
        <w:fldChar w:fldCharType="separate"/>
      </w:r>
      <w:r>
        <w:t>17</w:t>
      </w:r>
      <w:r>
        <w:fldChar w:fldCharType="end"/>
      </w:r>
      <w:r>
        <w:rPr>
          <w:rFonts w:ascii="Times New Roman" w:hAnsi="Times New Roman" w:cs="Times New Roman"/>
          <w:color w:val="auto"/>
          <w:szCs w:val="24"/>
        </w:rPr>
        <w:fldChar w:fldCharType="end"/>
      </w:r>
    </w:p>
    <w:p>
      <w:pPr>
        <w:pStyle w:val="43"/>
        <w:tabs>
          <w:tab w:val="right" w:leader="dot" w:pos="8734"/>
        </w:tabs>
      </w:pPr>
      <w:r>
        <w:rPr>
          <w:rFonts w:ascii="Times New Roman" w:hAnsi="Times New Roman" w:cs="Times New Roman"/>
          <w:color w:val="auto"/>
          <w:szCs w:val="24"/>
        </w:rPr>
        <w:fldChar w:fldCharType="begin"/>
      </w:r>
      <w:r>
        <w:rPr>
          <w:rFonts w:ascii="Times New Roman" w:hAnsi="Times New Roman" w:cs="Times New Roman"/>
          <w:szCs w:val="24"/>
        </w:rPr>
        <w:instrText xml:space="preserve"> HYPERLINK \l _Toc5206 </w:instrText>
      </w:r>
      <w:r>
        <w:rPr>
          <w:rFonts w:ascii="Times New Roman" w:hAnsi="Times New Roman" w:cs="Times New Roman"/>
          <w:szCs w:val="24"/>
        </w:rPr>
        <w:fldChar w:fldCharType="separate"/>
      </w:r>
      <w:r>
        <w:rPr>
          <w:rFonts w:ascii="Times New Roman" w:hAnsi="Times New Roman"/>
          <w:szCs w:val="28"/>
        </w:rPr>
        <w:t>2.8环境保护目标</w:t>
      </w:r>
      <w:r>
        <w:tab/>
      </w:r>
      <w:r>
        <w:fldChar w:fldCharType="begin"/>
      </w:r>
      <w:r>
        <w:instrText xml:space="preserve"> PAGEREF _Toc5206 </w:instrText>
      </w:r>
      <w:r>
        <w:fldChar w:fldCharType="separate"/>
      </w:r>
      <w:r>
        <w:t>24</w:t>
      </w:r>
      <w:r>
        <w:fldChar w:fldCharType="end"/>
      </w:r>
      <w:r>
        <w:rPr>
          <w:rFonts w:ascii="Times New Roman" w:hAnsi="Times New Roman" w:cs="Times New Roman"/>
          <w:color w:val="auto"/>
          <w:szCs w:val="24"/>
        </w:rPr>
        <w:fldChar w:fldCharType="end"/>
      </w:r>
    </w:p>
    <w:p>
      <w:pPr>
        <w:pStyle w:val="43"/>
        <w:tabs>
          <w:tab w:val="right" w:leader="dot" w:pos="8734"/>
        </w:tabs>
      </w:pPr>
      <w:r>
        <w:rPr>
          <w:rFonts w:ascii="Times New Roman" w:hAnsi="Times New Roman" w:cs="Times New Roman"/>
          <w:color w:val="auto"/>
          <w:szCs w:val="24"/>
        </w:rPr>
        <w:fldChar w:fldCharType="begin"/>
      </w:r>
      <w:r>
        <w:rPr>
          <w:rFonts w:ascii="Times New Roman" w:hAnsi="Times New Roman" w:cs="Times New Roman"/>
          <w:szCs w:val="24"/>
        </w:rPr>
        <w:instrText xml:space="preserve"> HYPERLINK \l _Toc7752 </w:instrText>
      </w:r>
      <w:r>
        <w:rPr>
          <w:rFonts w:ascii="Times New Roman" w:hAnsi="Times New Roman" w:cs="Times New Roman"/>
          <w:szCs w:val="24"/>
        </w:rPr>
        <w:fldChar w:fldCharType="separate"/>
      </w:r>
      <w:r>
        <w:rPr>
          <w:rFonts w:ascii="Times New Roman" w:hAnsi="Times New Roman"/>
          <w:szCs w:val="28"/>
        </w:rPr>
        <w:t>2.9评价工作程序</w:t>
      </w:r>
      <w:r>
        <w:tab/>
      </w:r>
      <w:r>
        <w:fldChar w:fldCharType="begin"/>
      </w:r>
      <w:r>
        <w:instrText xml:space="preserve"> PAGEREF _Toc7752 </w:instrText>
      </w:r>
      <w:r>
        <w:fldChar w:fldCharType="separate"/>
      </w:r>
      <w:r>
        <w:t>27</w:t>
      </w:r>
      <w:r>
        <w:fldChar w:fldCharType="end"/>
      </w:r>
      <w:r>
        <w:rPr>
          <w:rFonts w:ascii="Times New Roman" w:hAnsi="Times New Roman" w:cs="Times New Roman"/>
          <w:color w:val="auto"/>
          <w:szCs w:val="24"/>
        </w:rPr>
        <w:fldChar w:fldCharType="end"/>
      </w:r>
    </w:p>
    <w:p>
      <w:pPr>
        <w:pStyle w:val="37"/>
        <w:tabs>
          <w:tab w:val="right" w:leader="dot" w:pos="8734"/>
          <w:tab w:val="clear" w:pos="8720"/>
        </w:tabs>
      </w:pPr>
      <w:r>
        <w:rPr>
          <w:rFonts w:ascii="Times New Roman" w:hAnsi="Times New Roman" w:cs="Times New Roman"/>
          <w:color w:val="auto"/>
          <w:szCs w:val="24"/>
        </w:rPr>
        <w:fldChar w:fldCharType="begin"/>
      </w:r>
      <w:r>
        <w:rPr>
          <w:rFonts w:ascii="Times New Roman" w:hAnsi="Times New Roman" w:cs="Times New Roman"/>
          <w:szCs w:val="24"/>
        </w:rPr>
        <w:instrText xml:space="preserve"> HYPERLINK \l _Toc9051 </w:instrText>
      </w:r>
      <w:r>
        <w:rPr>
          <w:rFonts w:ascii="Times New Roman" w:hAnsi="Times New Roman" w:cs="Times New Roman"/>
          <w:szCs w:val="24"/>
        </w:rPr>
        <w:fldChar w:fldCharType="separate"/>
      </w:r>
      <w:r>
        <w:rPr>
          <w:szCs w:val="36"/>
        </w:rPr>
        <w:t>第三章 现有工程回顾分析</w:t>
      </w:r>
      <w:r>
        <w:tab/>
      </w:r>
      <w:r>
        <w:fldChar w:fldCharType="begin"/>
      </w:r>
      <w:r>
        <w:instrText xml:space="preserve"> PAGEREF _Toc9051 </w:instrText>
      </w:r>
      <w:r>
        <w:fldChar w:fldCharType="separate"/>
      </w:r>
      <w:r>
        <w:t>28</w:t>
      </w:r>
      <w:r>
        <w:fldChar w:fldCharType="end"/>
      </w:r>
      <w:r>
        <w:rPr>
          <w:rFonts w:ascii="Times New Roman" w:hAnsi="Times New Roman" w:cs="Times New Roman"/>
          <w:color w:val="auto"/>
          <w:szCs w:val="24"/>
        </w:rPr>
        <w:fldChar w:fldCharType="end"/>
      </w:r>
    </w:p>
    <w:p>
      <w:pPr>
        <w:pStyle w:val="43"/>
        <w:tabs>
          <w:tab w:val="right" w:leader="dot" w:pos="8734"/>
        </w:tabs>
      </w:pPr>
      <w:r>
        <w:rPr>
          <w:rFonts w:ascii="Times New Roman" w:hAnsi="Times New Roman" w:cs="Times New Roman"/>
          <w:color w:val="auto"/>
          <w:szCs w:val="24"/>
        </w:rPr>
        <w:fldChar w:fldCharType="begin"/>
      </w:r>
      <w:r>
        <w:rPr>
          <w:rFonts w:ascii="Times New Roman" w:hAnsi="Times New Roman" w:cs="Times New Roman"/>
          <w:szCs w:val="24"/>
        </w:rPr>
        <w:instrText xml:space="preserve"> HYPERLINK \l _Toc10543 </w:instrText>
      </w:r>
      <w:r>
        <w:rPr>
          <w:rFonts w:ascii="Times New Roman" w:hAnsi="Times New Roman" w:cs="Times New Roman"/>
          <w:szCs w:val="24"/>
        </w:rPr>
        <w:fldChar w:fldCharType="separate"/>
      </w:r>
      <w:r>
        <w:rPr>
          <w:rFonts w:ascii="Times New Roman" w:hAnsi="Times New Roman"/>
          <w:szCs w:val="28"/>
        </w:rPr>
        <w:t>3.1现有项目概况</w:t>
      </w:r>
      <w:r>
        <w:tab/>
      </w:r>
      <w:r>
        <w:fldChar w:fldCharType="begin"/>
      </w:r>
      <w:r>
        <w:instrText xml:space="preserve"> PAGEREF _Toc10543 </w:instrText>
      </w:r>
      <w:r>
        <w:fldChar w:fldCharType="separate"/>
      </w:r>
      <w:r>
        <w:t>28</w:t>
      </w:r>
      <w:r>
        <w:fldChar w:fldCharType="end"/>
      </w:r>
      <w:r>
        <w:rPr>
          <w:rFonts w:ascii="Times New Roman" w:hAnsi="Times New Roman" w:cs="Times New Roman"/>
          <w:color w:val="auto"/>
          <w:szCs w:val="24"/>
        </w:rPr>
        <w:fldChar w:fldCharType="end"/>
      </w:r>
    </w:p>
    <w:p>
      <w:pPr>
        <w:pStyle w:val="43"/>
        <w:tabs>
          <w:tab w:val="right" w:leader="dot" w:pos="8734"/>
        </w:tabs>
      </w:pPr>
      <w:r>
        <w:rPr>
          <w:rFonts w:ascii="Times New Roman" w:hAnsi="Times New Roman" w:cs="Times New Roman"/>
          <w:color w:val="auto"/>
          <w:szCs w:val="24"/>
        </w:rPr>
        <w:fldChar w:fldCharType="begin"/>
      </w:r>
      <w:r>
        <w:rPr>
          <w:rFonts w:ascii="Times New Roman" w:hAnsi="Times New Roman" w:cs="Times New Roman"/>
          <w:szCs w:val="24"/>
        </w:rPr>
        <w:instrText xml:space="preserve"> HYPERLINK \l _Toc18294 </w:instrText>
      </w:r>
      <w:r>
        <w:rPr>
          <w:rFonts w:ascii="Times New Roman" w:hAnsi="Times New Roman" w:cs="Times New Roman"/>
          <w:szCs w:val="24"/>
        </w:rPr>
        <w:fldChar w:fldCharType="separate"/>
      </w:r>
      <w:r>
        <w:rPr>
          <w:rFonts w:ascii="Times New Roman" w:hAnsi="Times New Roman"/>
          <w:szCs w:val="28"/>
        </w:rPr>
        <w:t>3.2现有项目生产工艺流程及产污环节</w:t>
      </w:r>
      <w:r>
        <w:tab/>
      </w:r>
      <w:r>
        <w:fldChar w:fldCharType="begin"/>
      </w:r>
      <w:r>
        <w:instrText xml:space="preserve"> PAGEREF _Toc18294 </w:instrText>
      </w:r>
      <w:r>
        <w:fldChar w:fldCharType="separate"/>
      </w:r>
      <w:r>
        <w:t>31</w:t>
      </w:r>
      <w:r>
        <w:fldChar w:fldCharType="end"/>
      </w:r>
      <w:r>
        <w:rPr>
          <w:rFonts w:ascii="Times New Roman" w:hAnsi="Times New Roman" w:cs="Times New Roman"/>
          <w:color w:val="auto"/>
          <w:szCs w:val="24"/>
        </w:rPr>
        <w:fldChar w:fldCharType="end"/>
      </w:r>
    </w:p>
    <w:p>
      <w:pPr>
        <w:pStyle w:val="43"/>
        <w:tabs>
          <w:tab w:val="right" w:leader="dot" w:pos="8734"/>
        </w:tabs>
      </w:pPr>
      <w:r>
        <w:rPr>
          <w:rFonts w:ascii="Times New Roman" w:hAnsi="Times New Roman" w:cs="Times New Roman"/>
          <w:color w:val="auto"/>
          <w:szCs w:val="24"/>
        </w:rPr>
        <w:fldChar w:fldCharType="begin"/>
      </w:r>
      <w:r>
        <w:rPr>
          <w:rFonts w:ascii="Times New Roman" w:hAnsi="Times New Roman" w:cs="Times New Roman"/>
          <w:szCs w:val="24"/>
        </w:rPr>
        <w:instrText xml:space="preserve"> HYPERLINK \l _Toc20617 </w:instrText>
      </w:r>
      <w:r>
        <w:rPr>
          <w:rFonts w:ascii="Times New Roman" w:hAnsi="Times New Roman" w:cs="Times New Roman"/>
          <w:szCs w:val="24"/>
        </w:rPr>
        <w:fldChar w:fldCharType="separate"/>
      </w:r>
      <w:r>
        <w:rPr>
          <w:rFonts w:ascii="Times New Roman" w:hAnsi="Times New Roman"/>
          <w:szCs w:val="28"/>
        </w:rPr>
        <w:t>3.3 现有工程污染源达标情况</w:t>
      </w:r>
      <w:r>
        <w:tab/>
      </w:r>
      <w:r>
        <w:fldChar w:fldCharType="begin"/>
      </w:r>
      <w:r>
        <w:instrText xml:space="preserve"> PAGEREF _Toc20617 </w:instrText>
      </w:r>
      <w:r>
        <w:fldChar w:fldCharType="separate"/>
      </w:r>
      <w:r>
        <w:t>33</w:t>
      </w:r>
      <w:r>
        <w:fldChar w:fldCharType="end"/>
      </w:r>
      <w:r>
        <w:rPr>
          <w:rFonts w:ascii="Times New Roman" w:hAnsi="Times New Roman" w:cs="Times New Roman"/>
          <w:color w:val="auto"/>
          <w:szCs w:val="24"/>
        </w:rPr>
        <w:fldChar w:fldCharType="end"/>
      </w:r>
    </w:p>
    <w:p>
      <w:pPr>
        <w:pStyle w:val="43"/>
        <w:tabs>
          <w:tab w:val="right" w:leader="dot" w:pos="8734"/>
        </w:tabs>
      </w:pPr>
      <w:r>
        <w:rPr>
          <w:rFonts w:ascii="Times New Roman" w:hAnsi="Times New Roman" w:cs="Times New Roman"/>
          <w:color w:val="auto"/>
          <w:szCs w:val="24"/>
        </w:rPr>
        <w:fldChar w:fldCharType="begin"/>
      </w:r>
      <w:r>
        <w:rPr>
          <w:rFonts w:ascii="Times New Roman" w:hAnsi="Times New Roman" w:cs="Times New Roman"/>
          <w:szCs w:val="24"/>
        </w:rPr>
        <w:instrText xml:space="preserve"> HYPERLINK \l _Toc28684 </w:instrText>
      </w:r>
      <w:r>
        <w:rPr>
          <w:rFonts w:ascii="Times New Roman" w:hAnsi="Times New Roman" w:cs="Times New Roman"/>
          <w:szCs w:val="24"/>
        </w:rPr>
        <w:fldChar w:fldCharType="separate"/>
      </w:r>
      <w:r>
        <w:rPr>
          <w:rFonts w:hint="eastAsia" w:ascii="Times New Roman" w:hAnsi="Times New Roman"/>
          <w:szCs w:val="28"/>
        </w:rPr>
        <w:t>3</w:t>
      </w:r>
      <w:r>
        <w:rPr>
          <w:rFonts w:ascii="Times New Roman" w:hAnsi="Times New Roman"/>
          <w:szCs w:val="28"/>
        </w:rPr>
        <w:t>.4 总量达标情况</w:t>
      </w:r>
      <w:r>
        <w:tab/>
      </w:r>
      <w:r>
        <w:fldChar w:fldCharType="begin"/>
      </w:r>
      <w:r>
        <w:instrText xml:space="preserve"> PAGEREF _Toc28684 </w:instrText>
      </w:r>
      <w:r>
        <w:fldChar w:fldCharType="separate"/>
      </w:r>
      <w:r>
        <w:t>36</w:t>
      </w:r>
      <w:r>
        <w:fldChar w:fldCharType="end"/>
      </w:r>
      <w:r>
        <w:rPr>
          <w:rFonts w:ascii="Times New Roman" w:hAnsi="Times New Roman" w:cs="Times New Roman"/>
          <w:color w:val="auto"/>
          <w:szCs w:val="24"/>
        </w:rPr>
        <w:fldChar w:fldCharType="end"/>
      </w:r>
    </w:p>
    <w:p>
      <w:pPr>
        <w:pStyle w:val="43"/>
        <w:tabs>
          <w:tab w:val="right" w:leader="dot" w:pos="8734"/>
        </w:tabs>
      </w:pPr>
      <w:r>
        <w:rPr>
          <w:rFonts w:ascii="Times New Roman" w:hAnsi="Times New Roman" w:cs="Times New Roman"/>
          <w:color w:val="auto"/>
          <w:szCs w:val="24"/>
        </w:rPr>
        <w:fldChar w:fldCharType="begin"/>
      </w:r>
      <w:r>
        <w:rPr>
          <w:rFonts w:ascii="Times New Roman" w:hAnsi="Times New Roman" w:cs="Times New Roman"/>
          <w:szCs w:val="24"/>
        </w:rPr>
        <w:instrText xml:space="preserve"> HYPERLINK \l _Toc28160 </w:instrText>
      </w:r>
      <w:r>
        <w:rPr>
          <w:rFonts w:ascii="Times New Roman" w:hAnsi="Times New Roman" w:cs="Times New Roman"/>
          <w:szCs w:val="24"/>
        </w:rPr>
        <w:fldChar w:fldCharType="separate"/>
      </w:r>
      <w:r>
        <w:rPr>
          <w:rFonts w:hint="eastAsia" w:ascii="Times New Roman" w:hAnsi="Times New Roman"/>
          <w:szCs w:val="28"/>
        </w:rPr>
        <w:t>3</w:t>
      </w:r>
      <w:r>
        <w:rPr>
          <w:rFonts w:ascii="Times New Roman" w:hAnsi="Times New Roman"/>
          <w:szCs w:val="28"/>
        </w:rPr>
        <w:t>.5现有工程存在的环境问题及整改措施</w:t>
      </w:r>
      <w:r>
        <w:tab/>
      </w:r>
      <w:r>
        <w:fldChar w:fldCharType="begin"/>
      </w:r>
      <w:r>
        <w:instrText xml:space="preserve"> PAGEREF _Toc28160 </w:instrText>
      </w:r>
      <w:r>
        <w:fldChar w:fldCharType="separate"/>
      </w:r>
      <w:r>
        <w:t>36</w:t>
      </w:r>
      <w:r>
        <w:fldChar w:fldCharType="end"/>
      </w:r>
      <w:r>
        <w:rPr>
          <w:rFonts w:ascii="Times New Roman" w:hAnsi="Times New Roman" w:cs="Times New Roman"/>
          <w:color w:val="auto"/>
          <w:szCs w:val="24"/>
        </w:rPr>
        <w:fldChar w:fldCharType="end"/>
      </w:r>
    </w:p>
    <w:p>
      <w:pPr>
        <w:pStyle w:val="37"/>
        <w:tabs>
          <w:tab w:val="right" w:leader="dot" w:pos="8734"/>
          <w:tab w:val="clear" w:pos="8720"/>
        </w:tabs>
      </w:pPr>
      <w:r>
        <w:rPr>
          <w:rFonts w:ascii="Times New Roman" w:hAnsi="Times New Roman" w:cs="Times New Roman"/>
          <w:color w:val="auto"/>
          <w:szCs w:val="24"/>
        </w:rPr>
        <w:fldChar w:fldCharType="begin"/>
      </w:r>
      <w:r>
        <w:rPr>
          <w:rFonts w:ascii="Times New Roman" w:hAnsi="Times New Roman" w:cs="Times New Roman"/>
          <w:szCs w:val="24"/>
        </w:rPr>
        <w:instrText xml:space="preserve"> HYPERLINK \l _Toc30874 </w:instrText>
      </w:r>
      <w:r>
        <w:rPr>
          <w:rFonts w:ascii="Times New Roman" w:hAnsi="Times New Roman" w:cs="Times New Roman"/>
          <w:szCs w:val="24"/>
        </w:rPr>
        <w:fldChar w:fldCharType="separate"/>
      </w:r>
      <w:r>
        <w:rPr>
          <w:szCs w:val="36"/>
        </w:rPr>
        <w:t>第</w:t>
      </w:r>
      <w:r>
        <w:rPr>
          <w:rFonts w:hint="eastAsia"/>
          <w:szCs w:val="36"/>
        </w:rPr>
        <w:t>四</w:t>
      </w:r>
      <w:r>
        <w:rPr>
          <w:szCs w:val="36"/>
        </w:rPr>
        <w:t>章 改扩建项目工程分析</w:t>
      </w:r>
      <w:r>
        <w:tab/>
      </w:r>
      <w:r>
        <w:fldChar w:fldCharType="begin"/>
      </w:r>
      <w:r>
        <w:instrText xml:space="preserve"> PAGEREF _Toc30874 </w:instrText>
      </w:r>
      <w:r>
        <w:fldChar w:fldCharType="separate"/>
      </w:r>
      <w:r>
        <w:t>37</w:t>
      </w:r>
      <w:r>
        <w:fldChar w:fldCharType="end"/>
      </w:r>
      <w:r>
        <w:rPr>
          <w:rFonts w:ascii="Times New Roman" w:hAnsi="Times New Roman" w:cs="Times New Roman"/>
          <w:color w:val="auto"/>
          <w:szCs w:val="24"/>
        </w:rPr>
        <w:fldChar w:fldCharType="end"/>
      </w:r>
    </w:p>
    <w:p>
      <w:pPr>
        <w:pStyle w:val="43"/>
        <w:tabs>
          <w:tab w:val="right" w:leader="dot" w:pos="8734"/>
        </w:tabs>
      </w:pPr>
      <w:r>
        <w:rPr>
          <w:rFonts w:ascii="Times New Roman" w:hAnsi="Times New Roman" w:cs="Times New Roman"/>
          <w:color w:val="auto"/>
          <w:szCs w:val="24"/>
        </w:rPr>
        <w:fldChar w:fldCharType="begin"/>
      </w:r>
      <w:r>
        <w:rPr>
          <w:rFonts w:ascii="Times New Roman" w:hAnsi="Times New Roman" w:cs="Times New Roman"/>
          <w:szCs w:val="24"/>
        </w:rPr>
        <w:instrText xml:space="preserve"> HYPERLINK \l _Toc15768 </w:instrText>
      </w:r>
      <w:r>
        <w:rPr>
          <w:rFonts w:ascii="Times New Roman" w:hAnsi="Times New Roman" w:cs="Times New Roman"/>
          <w:szCs w:val="24"/>
        </w:rPr>
        <w:fldChar w:fldCharType="separate"/>
      </w:r>
      <w:r>
        <w:rPr>
          <w:rFonts w:hint="eastAsia" w:ascii="Times New Roman" w:hAnsi="Times New Roman"/>
          <w:szCs w:val="28"/>
        </w:rPr>
        <w:t>4</w:t>
      </w:r>
      <w:r>
        <w:rPr>
          <w:rFonts w:ascii="Times New Roman" w:hAnsi="Times New Roman"/>
          <w:szCs w:val="28"/>
        </w:rPr>
        <w:t>.1改扩建项目概况</w:t>
      </w:r>
      <w:r>
        <w:tab/>
      </w:r>
      <w:r>
        <w:fldChar w:fldCharType="begin"/>
      </w:r>
      <w:r>
        <w:instrText xml:space="preserve"> PAGEREF _Toc15768 </w:instrText>
      </w:r>
      <w:r>
        <w:fldChar w:fldCharType="separate"/>
      </w:r>
      <w:r>
        <w:t>37</w:t>
      </w:r>
      <w:r>
        <w:fldChar w:fldCharType="end"/>
      </w:r>
      <w:r>
        <w:rPr>
          <w:rFonts w:ascii="Times New Roman" w:hAnsi="Times New Roman" w:cs="Times New Roman"/>
          <w:color w:val="auto"/>
          <w:szCs w:val="24"/>
        </w:rPr>
        <w:fldChar w:fldCharType="end"/>
      </w:r>
    </w:p>
    <w:p>
      <w:pPr>
        <w:pStyle w:val="43"/>
        <w:tabs>
          <w:tab w:val="right" w:leader="dot" w:pos="8734"/>
        </w:tabs>
      </w:pPr>
      <w:r>
        <w:rPr>
          <w:rFonts w:ascii="Times New Roman" w:hAnsi="Times New Roman" w:cs="Times New Roman"/>
          <w:color w:val="auto"/>
          <w:szCs w:val="24"/>
        </w:rPr>
        <w:fldChar w:fldCharType="begin"/>
      </w:r>
      <w:r>
        <w:rPr>
          <w:rFonts w:ascii="Times New Roman" w:hAnsi="Times New Roman" w:cs="Times New Roman"/>
          <w:szCs w:val="24"/>
        </w:rPr>
        <w:instrText xml:space="preserve"> HYPERLINK \l _Toc10669 </w:instrText>
      </w:r>
      <w:r>
        <w:rPr>
          <w:rFonts w:ascii="Times New Roman" w:hAnsi="Times New Roman" w:cs="Times New Roman"/>
          <w:szCs w:val="24"/>
        </w:rPr>
        <w:fldChar w:fldCharType="separate"/>
      </w:r>
      <w:r>
        <w:rPr>
          <w:rFonts w:hint="eastAsia" w:ascii="Times New Roman" w:hAnsi="Times New Roman"/>
          <w:szCs w:val="28"/>
        </w:rPr>
        <w:t>4</w:t>
      </w:r>
      <w:r>
        <w:rPr>
          <w:rFonts w:ascii="Times New Roman" w:hAnsi="Times New Roman"/>
          <w:szCs w:val="28"/>
        </w:rPr>
        <w:t>.2工程分析</w:t>
      </w:r>
      <w:r>
        <w:tab/>
      </w:r>
      <w:r>
        <w:fldChar w:fldCharType="begin"/>
      </w:r>
      <w:r>
        <w:instrText xml:space="preserve"> PAGEREF _Toc10669 </w:instrText>
      </w:r>
      <w:r>
        <w:fldChar w:fldCharType="separate"/>
      </w:r>
      <w:r>
        <w:t>45</w:t>
      </w:r>
      <w:r>
        <w:fldChar w:fldCharType="end"/>
      </w:r>
      <w:r>
        <w:rPr>
          <w:rFonts w:ascii="Times New Roman" w:hAnsi="Times New Roman" w:cs="Times New Roman"/>
          <w:color w:val="auto"/>
          <w:szCs w:val="24"/>
        </w:rPr>
        <w:fldChar w:fldCharType="end"/>
      </w:r>
    </w:p>
    <w:p>
      <w:pPr>
        <w:pStyle w:val="37"/>
        <w:tabs>
          <w:tab w:val="right" w:leader="dot" w:pos="8734"/>
          <w:tab w:val="clear" w:pos="8720"/>
        </w:tabs>
      </w:pPr>
      <w:r>
        <w:rPr>
          <w:rFonts w:ascii="Times New Roman" w:hAnsi="Times New Roman" w:cs="Times New Roman"/>
          <w:color w:val="auto"/>
          <w:szCs w:val="24"/>
        </w:rPr>
        <w:fldChar w:fldCharType="begin"/>
      </w:r>
      <w:r>
        <w:rPr>
          <w:rFonts w:ascii="Times New Roman" w:hAnsi="Times New Roman" w:cs="Times New Roman"/>
          <w:szCs w:val="24"/>
        </w:rPr>
        <w:instrText xml:space="preserve"> HYPERLINK \l _Toc14325 </w:instrText>
      </w:r>
      <w:r>
        <w:rPr>
          <w:rFonts w:ascii="Times New Roman" w:hAnsi="Times New Roman" w:cs="Times New Roman"/>
          <w:szCs w:val="24"/>
        </w:rPr>
        <w:fldChar w:fldCharType="separate"/>
      </w:r>
      <w:r>
        <w:rPr>
          <w:szCs w:val="36"/>
        </w:rPr>
        <w:t>第</w:t>
      </w:r>
      <w:r>
        <w:rPr>
          <w:rFonts w:hint="eastAsia"/>
          <w:szCs w:val="36"/>
        </w:rPr>
        <w:t>五</w:t>
      </w:r>
      <w:r>
        <w:rPr>
          <w:szCs w:val="36"/>
        </w:rPr>
        <w:t>章 环境现状调查与评价</w:t>
      </w:r>
      <w:r>
        <w:tab/>
      </w:r>
      <w:r>
        <w:fldChar w:fldCharType="begin"/>
      </w:r>
      <w:r>
        <w:instrText xml:space="preserve"> PAGEREF _Toc14325 </w:instrText>
      </w:r>
      <w:r>
        <w:fldChar w:fldCharType="separate"/>
      </w:r>
      <w:r>
        <w:t>70</w:t>
      </w:r>
      <w:r>
        <w:fldChar w:fldCharType="end"/>
      </w:r>
      <w:r>
        <w:rPr>
          <w:rFonts w:ascii="Times New Roman" w:hAnsi="Times New Roman" w:cs="Times New Roman"/>
          <w:color w:val="auto"/>
          <w:szCs w:val="24"/>
        </w:rPr>
        <w:fldChar w:fldCharType="end"/>
      </w:r>
    </w:p>
    <w:p>
      <w:pPr>
        <w:pStyle w:val="43"/>
        <w:tabs>
          <w:tab w:val="right" w:leader="dot" w:pos="8734"/>
        </w:tabs>
      </w:pPr>
      <w:r>
        <w:rPr>
          <w:rFonts w:ascii="Times New Roman" w:hAnsi="Times New Roman" w:cs="Times New Roman"/>
          <w:color w:val="auto"/>
          <w:szCs w:val="24"/>
        </w:rPr>
        <w:fldChar w:fldCharType="begin"/>
      </w:r>
      <w:r>
        <w:rPr>
          <w:rFonts w:ascii="Times New Roman" w:hAnsi="Times New Roman" w:cs="Times New Roman"/>
          <w:szCs w:val="24"/>
        </w:rPr>
        <w:instrText xml:space="preserve"> HYPERLINK \l _Toc19061 </w:instrText>
      </w:r>
      <w:r>
        <w:rPr>
          <w:rFonts w:ascii="Times New Roman" w:hAnsi="Times New Roman" w:cs="Times New Roman"/>
          <w:szCs w:val="24"/>
        </w:rPr>
        <w:fldChar w:fldCharType="separate"/>
      </w:r>
      <w:r>
        <w:rPr>
          <w:rFonts w:hint="eastAsia" w:ascii="Times New Roman" w:hAnsi="Times New Roman"/>
        </w:rPr>
        <w:t>5</w:t>
      </w:r>
      <w:r>
        <w:rPr>
          <w:rFonts w:ascii="Times New Roman" w:hAnsi="Times New Roman"/>
        </w:rPr>
        <w:t>.1</w:t>
      </w:r>
      <w:r>
        <w:rPr>
          <w:rFonts w:ascii="Times New Roman" w:hAnsi="Times New Roman" w:eastAsia="宋体"/>
        </w:rPr>
        <w:t>自然环境现状</w:t>
      </w:r>
      <w:r>
        <w:tab/>
      </w:r>
      <w:r>
        <w:fldChar w:fldCharType="begin"/>
      </w:r>
      <w:r>
        <w:instrText xml:space="preserve"> PAGEREF _Toc19061 </w:instrText>
      </w:r>
      <w:r>
        <w:fldChar w:fldCharType="separate"/>
      </w:r>
      <w:r>
        <w:t>70</w:t>
      </w:r>
      <w:r>
        <w:fldChar w:fldCharType="end"/>
      </w:r>
      <w:r>
        <w:rPr>
          <w:rFonts w:ascii="Times New Roman" w:hAnsi="Times New Roman" w:cs="Times New Roman"/>
          <w:color w:val="auto"/>
          <w:szCs w:val="24"/>
        </w:rPr>
        <w:fldChar w:fldCharType="end"/>
      </w:r>
    </w:p>
    <w:p>
      <w:pPr>
        <w:pStyle w:val="43"/>
        <w:tabs>
          <w:tab w:val="right" w:leader="dot" w:pos="8734"/>
        </w:tabs>
      </w:pPr>
      <w:r>
        <w:rPr>
          <w:rFonts w:ascii="Times New Roman" w:hAnsi="Times New Roman" w:cs="Times New Roman"/>
          <w:color w:val="auto"/>
          <w:szCs w:val="24"/>
        </w:rPr>
        <w:fldChar w:fldCharType="begin"/>
      </w:r>
      <w:r>
        <w:rPr>
          <w:rFonts w:ascii="Times New Roman" w:hAnsi="Times New Roman" w:cs="Times New Roman"/>
          <w:szCs w:val="24"/>
        </w:rPr>
        <w:instrText xml:space="preserve"> HYPERLINK \l _Toc31776 </w:instrText>
      </w:r>
      <w:r>
        <w:rPr>
          <w:rFonts w:ascii="Times New Roman" w:hAnsi="Times New Roman" w:cs="Times New Roman"/>
          <w:szCs w:val="24"/>
        </w:rPr>
        <w:fldChar w:fldCharType="separate"/>
      </w:r>
      <w:r>
        <w:rPr>
          <w:rFonts w:hint="eastAsia" w:ascii="Times New Roman" w:hAnsi="Times New Roman"/>
        </w:rPr>
        <w:t>5</w:t>
      </w:r>
      <w:r>
        <w:rPr>
          <w:rFonts w:ascii="Times New Roman" w:hAnsi="Times New Roman"/>
        </w:rPr>
        <w:t>.2环境质量现状评价</w:t>
      </w:r>
      <w:r>
        <w:tab/>
      </w:r>
      <w:r>
        <w:fldChar w:fldCharType="begin"/>
      </w:r>
      <w:r>
        <w:instrText xml:space="preserve"> PAGEREF _Toc31776 </w:instrText>
      </w:r>
      <w:r>
        <w:fldChar w:fldCharType="separate"/>
      </w:r>
      <w:r>
        <w:t>73</w:t>
      </w:r>
      <w:r>
        <w:fldChar w:fldCharType="end"/>
      </w:r>
      <w:r>
        <w:rPr>
          <w:rFonts w:ascii="Times New Roman" w:hAnsi="Times New Roman" w:cs="Times New Roman"/>
          <w:color w:val="auto"/>
          <w:szCs w:val="24"/>
        </w:rPr>
        <w:fldChar w:fldCharType="end"/>
      </w:r>
    </w:p>
    <w:p>
      <w:pPr>
        <w:pStyle w:val="37"/>
        <w:tabs>
          <w:tab w:val="right" w:leader="dot" w:pos="8734"/>
          <w:tab w:val="clear" w:pos="8720"/>
        </w:tabs>
      </w:pPr>
      <w:r>
        <w:rPr>
          <w:rFonts w:ascii="Times New Roman" w:hAnsi="Times New Roman" w:cs="Times New Roman"/>
          <w:color w:val="auto"/>
          <w:szCs w:val="24"/>
        </w:rPr>
        <w:fldChar w:fldCharType="begin"/>
      </w:r>
      <w:r>
        <w:rPr>
          <w:rFonts w:ascii="Times New Roman" w:hAnsi="Times New Roman" w:cs="Times New Roman"/>
          <w:szCs w:val="24"/>
        </w:rPr>
        <w:instrText xml:space="preserve"> HYPERLINK \l _Toc2057 </w:instrText>
      </w:r>
      <w:r>
        <w:rPr>
          <w:rFonts w:ascii="Times New Roman" w:hAnsi="Times New Roman" w:cs="Times New Roman"/>
          <w:szCs w:val="24"/>
        </w:rPr>
        <w:fldChar w:fldCharType="separate"/>
      </w:r>
      <w:r>
        <w:rPr>
          <w:szCs w:val="36"/>
        </w:rPr>
        <w:t>第</w:t>
      </w:r>
      <w:r>
        <w:rPr>
          <w:rFonts w:hint="eastAsia"/>
          <w:szCs w:val="36"/>
        </w:rPr>
        <w:t>六</w:t>
      </w:r>
      <w:r>
        <w:rPr>
          <w:szCs w:val="36"/>
        </w:rPr>
        <w:t>章 环境影响预测与评价</w:t>
      </w:r>
      <w:r>
        <w:tab/>
      </w:r>
      <w:r>
        <w:fldChar w:fldCharType="begin"/>
      </w:r>
      <w:r>
        <w:instrText xml:space="preserve"> PAGEREF _Toc2057 </w:instrText>
      </w:r>
      <w:r>
        <w:fldChar w:fldCharType="separate"/>
      </w:r>
      <w:r>
        <w:t>84</w:t>
      </w:r>
      <w:r>
        <w:fldChar w:fldCharType="end"/>
      </w:r>
      <w:r>
        <w:rPr>
          <w:rFonts w:ascii="Times New Roman" w:hAnsi="Times New Roman" w:cs="Times New Roman"/>
          <w:color w:val="auto"/>
          <w:szCs w:val="24"/>
        </w:rPr>
        <w:fldChar w:fldCharType="end"/>
      </w:r>
    </w:p>
    <w:p>
      <w:pPr>
        <w:pStyle w:val="43"/>
        <w:tabs>
          <w:tab w:val="right" w:leader="dot" w:pos="8734"/>
        </w:tabs>
      </w:pPr>
      <w:r>
        <w:rPr>
          <w:rFonts w:ascii="Times New Roman" w:hAnsi="Times New Roman" w:cs="Times New Roman"/>
          <w:color w:val="auto"/>
          <w:szCs w:val="24"/>
        </w:rPr>
        <w:fldChar w:fldCharType="begin"/>
      </w:r>
      <w:r>
        <w:rPr>
          <w:rFonts w:ascii="Times New Roman" w:hAnsi="Times New Roman" w:cs="Times New Roman"/>
          <w:szCs w:val="24"/>
        </w:rPr>
        <w:instrText xml:space="preserve"> HYPERLINK \l _Toc11327 </w:instrText>
      </w:r>
      <w:r>
        <w:rPr>
          <w:rFonts w:ascii="Times New Roman" w:hAnsi="Times New Roman" w:cs="Times New Roman"/>
          <w:szCs w:val="24"/>
        </w:rPr>
        <w:fldChar w:fldCharType="separate"/>
      </w:r>
      <w:r>
        <w:rPr>
          <w:rFonts w:hint="eastAsia" w:ascii="Times New Roman" w:hAnsi="Times New Roman"/>
        </w:rPr>
        <w:t>6</w:t>
      </w:r>
      <w:r>
        <w:rPr>
          <w:rFonts w:ascii="Times New Roman" w:hAnsi="Times New Roman"/>
        </w:rPr>
        <w:t>.1施工期环境影响分析</w:t>
      </w:r>
      <w:r>
        <w:tab/>
      </w:r>
      <w:r>
        <w:fldChar w:fldCharType="begin"/>
      </w:r>
      <w:r>
        <w:instrText xml:space="preserve"> PAGEREF _Toc11327 </w:instrText>
      </w:r>
      <w:r>
        <w:fldChar w:fldCharType="separate"/>
      </w:r>
      <w:r>
        <w:t>84</w:t>
      </w:r>
      <w:r>
        <w:fldChar w:fldCharType="end"/>
      </w:r>
      <w:r>
        <w:rPr>
          <w:rFonts w:ascii="Times New Roman" w:hAnsi="Times New Roman" w:cs="Times New Roman"/>
          <w:color w:val="auto"/>
          <w:szCs w:val="24"/>
        </w:rPr>
        <w:fldChar w:fldCharType="end"/>
      </w:r>
    </w:p>
    <w:p>
      <w:pPr>
        <w:pStyle w:val="43"/>
        <w:tabs>
          <w:tab w:val="right" w:leader="dot" w:pos="8734"/>
        </w:tabs>
      </w:pPr>
      <w:r>
        <w:rPr>
          <w:rFonts w:ascii="Times New Roman" w:hAnsi="Times New Roman" w:cs="Times New Roman"/>
          <w:color w:val="auto"/>
          <w:szCs w:val="24"/>
        </w:rPr>
        <w:fldChar w:fldCharType="begin"/>
      </w:r>
      <w:r>
        <w:rPr>
          <w:rFonts w:ascii="Times New Roman" w:hAnsi="Times New Roman" w:cs="Times New Roman"/>
          <w:szCs w:val="24"/>
        </w:rPr>
        <w:instrText xml:space="preserve"> HYPERLINK \l _Toc10175 </w:instrText>
      </w:r>
      <w:r>
        <w:rPr>
          <w:rFonts w:ascii="Times New Roman" w:hAnsi="Times New Roman" w:cs="Times New Roman"/>
          <w:szCs w:val="24"/>
        </w:rPr>
        <w:fldChar w:fldCharType="separate"/>
      </w:r>
      <w:r>
        <w:rPr>
          <w:rFonts w:hint="eastAsia" w:ascii="Times New Roman" w:hAnsi="Times New Roman"/>
        </w:rPr>
        <w:t>6</w:t>
      </w:r>
      <w:r>
        <w:rPr>
          <w:rFonts w:ascii="Times New Roman" w:hAnsi="Times New Roman"/>
        </w:rPr>
        <w:t>.2运营期环境影响分析</w:t>
      </w:r>
      <w:r>
        <w:tab/>
      </w:r>
      <w:r>
        <w:fldChar w:fldCharType="begin"/>
      </w:r>
      <w:r>
        <w:instrText xml:space="preserve"> PAGEREF _Toc10175 </w:instrText>
      </w:r>
      <w:r>
        <w:fldChar w:fldCharType="separate"/>
      </w:r>
      <w:r>
        <w:t>84</w:t>
      </w:r>
      <w:r>
        <w:fldChar w:fldCharType="end"/>
      </w:r>
      <w:r>
        <w:rPr>
          <w:rFonts w:ascii="Times New Roman" w:hAnsi="Times New Roman" w:cs="Times New Roman"/>
          <w:color w:val="auto"/>
          <w:szCs w:val="24"/>
        </w:rPr>
        <w:fldChar w:fldCharType="end"/>
      </w:r>
    </w:p>
    <w:p>
      <w:pPr>
        <w:pStyle w:val="43"/>
        <w:tabs>
          <w:tab w:val="right" w:leader="dot" w:pos="8734"/>
        </w:tabs>
      </w:pPr>
      <w:r>
        <w:rPr>
          <w:rFonts w:ascii="Times New Roman" w:hAnsi="Times New Roman" w:cs="Times New Roman"/>
          <w:color w:val="auto"/>
          <w:szCs w:val="24"/>
        </w:rPr>
        <w:fldChar w:fldCharType="begin"/>
      </w:r>
      <w:r>
        <w:rPr>
          <w:rFonts w:ascii="Times New Roman" w:hAnsi="Times New Roman" w:cs="Times New Roman"/>
          <w:szCs w:val="24"/>
        </w:rPr>
        <w:instrText xml:space="preserve"> HYPERLINK \l _Toc32008 </w:instrText>
      </w:r>
      <w:r>
        <w:rPr>
          <w:rFonts w:ascii="Times New Roman" w:hAnsi="Times New Roman" w:cs="Times New Roman"/>
          <w:szCs w:val="24"/>
        </w:rPr>
        <w:fldChar w:fldCharType="separate"/>
      </w:r>
      <w:r>
        <w:rPr>
          <w:rFonts w:hint="eastAsia" w:ascii="Times New Roman" w:hAnsi="Times New Roman"/>
        </w:rPr>
        <w:t>6</w:t>
      </w:r>
      <w:r>
        <w:rPr>
          <w:rFonts w:ascii="Times New Roman" w:hAnsi="Times New Roman"/>
        </w:rPr>
        <w:t>.3环境风险分析</w:t>
      </w:r>
      <w:r>
        <w:tab/>
      </w:r>
      <w:r>
        <w:fldChar w:fldCharType="begin"/>
      </w:r>
      <w:r>
        <w:instrText xml:space="preserve"> PAGEREF _Toc32008 </w:instrText>
      </w:r>
      <w:r>
        <w:fldChar w:fldCharType="separate"/>
      </w:r>
      <w:r>
        <w:t>111</w:t>
      </w:r>
      <w:r>
        <w:fldChar w:fldCharType="end"/>
      </w:r>
      <w:r>
        <w:rPr>
          <w:rFonts w:ascii="Times New Roman" w:hAnsi="Times New Roman" w:cs="Times New Roman"/>
          <w:color w:val="auto"/>
          <w:szCs w:val="24"/>
        </w:rPr>
        <w:fldChar w:fldCharType="end"/>
      </w:r>
    </w:p>
    <w:p>
      <w:pPr>
        <w:pStyle w:val="37"/>
        <w:tabs>
          <w:tab w:val="right" w:leader="dot" w:pos="8734"/>
          <w:tab w:val="clear" w:pos="8720"/>
        </w:tabs>
      </w:pPr>
      <w:r>
        <w:rPr>
          <w:rFonts w:ascii="Times New Roman" w:hAnsi="Times New Roman" w:cs="Times New Roman"/>
          <w:color w:val="auto"/>
          <w:szCs w:val="24"/>
        </w:rPr>
        <w:fldChar w:fldCharType="begin"/>
      </w:r>
      <w:r>
        <w:rPr>
          <w:rFonts w:ascii="Times New Roman" w:hAnsi="Times New Roman" w:cs="Times New Roman"/>
          <w:szCs w:val="24"/>
        </w:rPr>
        <w:instrText xml:space="preserve"> HYPERLINK \l _Toc25920 </w:instrText>
      </w:r>
      <w:r>
        <w:rPr>
          <w:rFonts w:ascii="Times New Roman" w:hAnsi="Times New Roman" w:cs="Times New Roman"/>
          <w:szCs w:val="24"/>
        </w:rPr>
        <w:fldChar w:fldCharType="separate"/>
      </w:r>
      <w:r>
        <w:rPr>
          <w:szCs w:val="36"/>
        </w:rPr>
        <w:t>第</w:t>
      </w:r>
      <w:r>
        <w:rPr>
          <w:rFonts w:hint="eastAsia"/>
          <w:szCs w:val="36"/>
        </w:rPr>
        <w:t>七</w:t>
      </w:r>
      <w:r>
        <w:rPr>
          <w:szCs w:val="36"/>
        </w:rPr>
        <w:t>章 环境保护措施及可行性论证</w:t>
      </w:r>
      <w:r>
        <w:tab/>
      </w:r>
      <w:r>
        <w:fldChar w:fldCharType="begin"/>
      </w:r>
      <w:r>
        <w:instrText xml:space="preserve"> PAGEREF _Toc25920 </w:instrText>
      </w:r>
      <w:r>
        <w:fldChar w:fldCharType="separate"/>
      </w:r>
      <w:r>
        <w:t>116</w:t>
      </w:r>
      <w:r>
        <w:fldChar w:fldCharType="end"/>
      </w:r>
      <w:r>
        <w:rPr>
          <w:rFonts w:ascii="Times New Roman" w:hAnsi="Times New Roman" w:cs="Times New Roman"/>
          <w:color w:val="auto"/>
          <w:szCs w:val="24"/>
        </w:rPr>
        <w:fldChar w:fldCharType="end"/>
      </w:r>
    </w:p>
    <w:p>
      <w:pPr>
        <w:pStyle w:val="43"/>
        <w:tabs>
          <w:tab w:val="right" w:leader="dot" w:pos="8734"/>
        </w:tabs>
      </w:pPr>
      <w:r>
        <w:rPr>
          <w:rFonts w:ascii="Times New Roman" w:hAnsi="Times New Roman" w:cs="Times New Roman"/>
          <w:color w:val="auto"/>
          <w:szCs w:val="24"/>
        </w:rPr>
        <w:fldChar w:fldCharType="begin"/>
      </w:r>
      <w:r>
        <w:rPr>
          <w:rFonts w:ascii="Times New Roman" w:hAnsi="Times New Roman" w:cs="Times New Roman"/>
          <w:szCs w:val="24"/>
        </w:rPr>
        <w:instrText xml:space="preserve"> HYPERLINK \l _Toc30220 </w:instrText>
      </w:r>
      <w:r>
        <w:rPr>
          <w:rFonts w:ascii="Times New Roman" w:hAnsi="Times New Roman" w:cs="Times New Roman"/>
          <w:szCs w:val="24"/>
        </w:rPr>
        <w:fldChar w:fldCharType="separate"/>
      </w:r>
      <w:r>
        <w:rPr>
          <w:rFonts w:hint="eastAsia" w:ascii="Times New Roman" w:hAnsi="Times New Roman"/>
        </w:rPr>
        <w:t>7</w:t>
      </w:r>
      <w:r>
        <w:rPr>
          <w:rFonts w:ascii="Times New Roman" w:hAnsi="Times New Roman"/>
        </w:rPr>
        <w:t>.1施工期污染防治对策</w:t>
      </w:r>
      <w:r>
        <w:tab/>
      </w:r>
      <w:r>
        <w:fldChar w:fldCharType="begin"/>
      </w:r>
      <w:r>
        <w:instrText xml:space="preserve"> PAGEREF _Toc30220 </w:instrText>
      </w:r>
      <w:r>
        <w:fldChar w:fldCharType="separate"/>
      </w:r>
      <w:r>
        <w:t>116</w:t>
      </w:r>
      <w:r>
        <w:fldChar w:fldCharType="end"/>
      </w:r>
      <w:r>
        <w:rPr>
          <w:rFonts w:ascii="Times New Roman" w:hAnsi="Times New Roman" w:cs="Times New Roman"/>
          <w:color w:val="auto"/>
          <w:szCs w:val="24"/>
        </w:rPr>
        <w:fldChar w:fldCharType="end"/>
      </w:r>
    </w:p>
    <w:p>
      <w:pPr>
        <w:pStyle w:val="43"/>
        <w:tabs>
          <w:tab w:val="right" w:leader="dot" w:pos="8734"/>
        </w:tabs>
      </w:pPr>
      <w:r>
        <w:rPr>
          <w:rFonts w:ascii="Times New Roman" w:hAnsi="Times New Roman" w:cs="Times New Roman"/>
          <w:color w:val="auto"/>
          <w:szCs w:val="24"/>
        </w:rPr>
        <w:fldChar w:fldCharType="begin"/>
      </w:r>
      <w:r>
        <w:rPr>
          <w:rFonts w:ascii="Times New Roman" w:hAnsi="Times New Roman" w:cs="Times New Roman"/>
          <w:szCs w:val="24"/>
        </w:rPr>
        <w:instrText xml:space="preserve"> HYPERLINK \l _Toc8770 </w:instrText>
      </w:r>
      <w:r>
        <w:rPr>
          <w:rFonts w:ascii="Times New Roman" w:hAnsi="Times New Roman" w:cs="Times New Roman"/>
          <w:szCs w:val="24"/>
        </w:rPr>
        <w:fldChar w:fldCharType="separate"/>
      </w:r>
      <w:r>
        <w:rPr>
          <w:rFonts w:hint="eastAsia" w:ascii="Times New Roman" w:hAnsi="Times New Roman"/>
        </w:rPr>
        <w:t>7</w:t>
      </w:r>
      <w:r>
        <w:rPr>
          <w:rFonts w:ascii="Times New Roman" w:hAnsi="Times New Roman"/>
        </w:rPr>
        <w:t>.2运营期污染防治措施</w:t>
      </w:r>
      <w:r>
        <w:tab/>
      </w:r>
      <w:r>
        <w:fldChar w:fldCharType="begin"/>
      </w:r>
      <w:r>
        <w:instrText xml:space="preserve"> PAGEREF _Toc8770 </w:instrText>
      </w:r>
      <w:r>
        <w:fldChar w:fldCharType="separate"/>
      </w:r>
      <w:r>
        <w:t>116</w:t>
      </w:r>
      <w:r>
        <w:fldChar w:fldCharType="end"/>
      </w:r>
      <w:r>
        <w:rPr>
          <w:rFonts w:ascii="Times New Roman" w:hAnsi="Times New Roman" w:cs="Times New Roman"/>
          <w:color w:val="auto"/>
          <w:szCs w:val="24"/>
        </w:rPr>
        <w:fldChar w:fldCharType="end"/>
      </w:r>
    </w:p>
    <w:p>
      <w:pPr>
        <w:pStyle w:val="43"/>
        <w:tabs>
          <w:tab w:val="right" w:leader="dot" w:pos="8734"/>
        </w:tabs>
      </w:pPr>
      <w:r>
        <w:rPr>
          <w:rFonts w:ascii="Times New Roman" w:hAnsi="Times New Roman" w:cs="Times New Roman"/>
          <w:color w:val="auto"/>
          <w:szCs w:val="24"/>
        </w:rPr>
        <w:fldChar w:fldCharType="begin"/>
      </w:r>
      <w:r>
        <w:rPr>
          <w:rFonts w:ascii="Times New Roman" w:hAnsi="Times New Roman" w:cs="Times New Roman"/>
          <w:szCs w:val="24"/>
        </w:rPr>
        <w:instrText xml:space="preserve"> HYPERLINK \l _Toc4353 </w:instrText>
      </w:r>
      <w:r>
        <w:rPr>
          <w:rFonts w:ascii="Times New Roman" w:hAnsi="Times New Roman" w:cs="Times New Roman"/>
          <w:szCs w:val="24"/>
        </w:rPr>
        <w:fldChar w:fldCharType="separate"/>
      </w:r>
      <w:r>
        <w:rPr>
          <w:rFonts w:hint="eastAsia" w:ascii="Times New Roman" w:hAnsi="Times New Roman"/>
        </w:rPr>
        <w:t>7</w:t>
      </w:r>
      <w:r>
        <w:rPr>
          <w:rFonts w:ascii="Times New Roman" w:hAnsi="Times New Roman"/>
        </w:rPr>
        <w:t>.3环保投资及主要环保设施</w:t>
      </w:r>
      <w:r>
        <w:tab/>
      </w:r>
      <w:r>
        <w:fldChar w:fldCharType="begin"/>
      </w:r>
      <w:r>
        <w:instrText xml:space="preserve"> PAGEREF _Toc4353 </w:instrText>
      </w:r>
      <w:r>
        <w:fldChar w:fldCharType="separate"/>
      </w:r>
      <w:r>
        <w:t>128</w:t>
      </w:r>
      <w:r>
        <w:fldChar w:fldCharType="end"/>
      </w:r>
      <w:r>
        <w:rPr>
          <w:rFonts w:ascii="Times New Roman" w:hAnsi="Times New Roman" w:cs="Times New Roman"/>
          <w:color w:val="auto"/>
          <w:szCs w:val="24"/>
        </w:rPr>
        <w:fldChar w:fldCharType="end"/>
      </w:r>
    </w:p>
    <w:p>
      <w:pPr>
        <w:pStyle w:val="37"/>
        <w:tabs>
          <w:tab w:val="right" w:leader="dot" w:pos="8734"/>
          <w:tab w:val="clear" w:pos="8720"/>
        </w:tabs>
      </w:pPr>
      <w:r>
        <w:rPr>
          <w:rFonts w:ascii="Times New Roman" w:hAnsi="Times New Roman" w:cs="Times New Roman"/>
          <w:color w:val="auto"/>
          <w:szCs w:val="24"/>
        </w:rPr>
        <w:fldChar w:fldCharType="begin"/>
      </w:r>
      <w:r>
        <w:rPr>
          <w:rFonts w:ascii="Times New Roman" w:hAnsi="Times New Roman" w:cs="Times New Roman"/>
          <w:szCs w:val="24"/>
        </w:rPr>
        <w:instrText xml:space="preserve"> HYPERLINK \l _Toc32015 </w:instrText>
      </w:r>
      <w:r>
        <w:rPr>
          <w:rFonts w:ascii="Times New Roman" w:hAnsi="Times New Roman" w:cs="Times New Roman"/>
          <w:szCs w:val="24"/>
        </w:rPr>
        <w:fldChar w:fldCharType="separate"/>
      </w:r>
      <w:r>
        <w:rPr>
          <w:szCs w:val="36"/>
        </w:rPr>
        <w:t>第</w:t>
      </w:r>
      <w:r>
        <w:rPr>
          <w:rFonts w:hint="eastAsia"/>
          <w:szCs w:val="36"/>
        </w:rPr>
        <w:t>八</w:t>
      </w:r>
      <w:r>
        <w:rPr>
          <w:szCs w:val="36"/>
        </w:rPr>
        <w:t>章 环境影响经济损益分析</w:t>
      </w:r>
      <w:r>
        <w:tab/>
      </w:r>
      <w:r>
        <w:fldChar w:fldCharType="begin"/>
      </w:r>
      <w:r>
        <w:instrText xml:space="preserve"> PAGEREF _Toc32015 </w:instrText>
      </w:r>
      <w:r>
        <w:fldChar w:fldCharType="separate"/>
      </w:r>
      <w:r>
        <w:t>129</w:t>
      </w:r>
      <w:r>
        <w:fldChar w:fldCharType="end"/>
      </w:r>
      <w:r>
        <w:rPr>
          <w:rFonts w:ascii="Times New Roman" w:hAnsi="Times New Roman" w:cs="Times New Roman"/>
          <w:color w:val="auto"/>
          <w:szCs w:val="24"/>
        </w:rPr>
        <w:fldChar w:fldCharType="end"/>
      </w:r>
    </w:p>
    <w:p>
      <w:pPr>
        <w:pStyle w:val="43"/>
        <w:tabs>
          <w:tab w:val="right" w:leader="dot" w:pos="8734"/>
        </w:tabs>
      </w:pPr>
      <w:r>
        <w:rPr>
          <w:rFonts w:ascii="Times New Roman" w:hAnsi="Times New Roman" w:cs="Times New Roman"/>
          <w:color w:val="auto"/>
          <w:szCs w:val="24"/>
        </w:rPr>
        <w:fldChar w:fldCharType="begin"/>
      </w:r>
      <w:r>
        <w:rPr>
          <w:rFonts w:ascii="Times New Roman" w:hAnsi="Times New Roman" w:cs="Times New Roman"/>
          <w:szCs w:val="24"/>
        </w:rPr>
        <w:instrText xml:space="preserve"> HYPERLINK \l _Toc6326 </w:instrText>
      </w:r>
      <w:r>
        <w:rPr>
          <w:rFonts w:ascii="Times New Roman" w:hAnsi="Times New Roman" w:cs="Times New Roman"/>
          <w:szCs w:val="24"/>
        </w:rPr>
        <w:fldChar w:fldCharType="separate"/>
      </w:r>
      <w:r>
        <w:rPr>
          <w:rFonts w:hint="eastAsia" w:ascii="Times New Roman" w:hAnsi="Times New Roman"/>
        </w:rPr>
        <w:t>8</w:t>
      </w:r>
      <w:r>
        <w:rPr>
          <w:rFonts w:ascii="Times New Roman" w:hAnsi="Times New Roman"/>
        </w:rPr>
        <w:t>.1经济效益分析</w:t>
      </w:r>
      <w:r>
        <w:tab/>
      </w:r>
      <w:r>
        <w:fldChar w:fldCharType="begin"/>
      </w:r>
      <w:r>
        <w:instrText xml:space="preserve"> PAGEREF _Toc6326 </w:instrText>
      </w:r>
      <w:r>
        <w:fldChar w:fldCharType="separate"/>
      </w:r>
      <w:r>
        <w:t>129</w:t>
      </w:r>
      <w:r>
        <w:fldChar w:fldCharType="end"/>
      </w:r>
      <w:r>
        <w:rPr>
          <w:rFonts w:ascii="Times New Roman" w:hAnsi="Times New Roman" w:cs="Times New Roman"/>
          <w:color w:val="auto"/>
          <w:szCs w:val="24"/>
        </w:rPr>
        <w:fldChar w:fldCharType="end"/>
      </w:r>
    </w:p>
    <w:p>
      <w:pPr>
        <w:pStyle w:val="43"/>
        <w:tabs>
          <w:tab w:val="right" w:leader="dot" w:pos="8734"/>
        </w:tabs>
      </w:pPr>
      <w:r>
        <w:rPr>
          <w:rFonts w:ascii="Times New Roman" w:hAnsi="Times New Roman" w:cs="Times New Roman"/>
          <w:color w:val="auto"/>
          <w:szCs w:val="24"/>
        </w:rPr>
        <w:fldChar w:fldCharType="begin"/>
      </w:r>
      <w:r>
        <w:rPr>
          <w:rFonts w:ascii="Times New Roman" w:hAnsi="Times New Roman" w:cs="Times New Roman"/>
          <w:szCs w:val="24"/>
        </w:rPr>
        <w:instrText xml:space="preserve"> HYPERLINK \l _Toc19519 </w:instrText>
      </w:r>
      <w:r>
        <w:rPr>
          <w:rFonts w:ascii="Times New Roman" w:hAnsi="Times New Roman" w:cs="Times New Roman"/>
          <w:szCs w:val="24"/>
        </w:rPr>
        <w:fldChar w:fldCharType="separate"/>
      </w:r>
      <w:r>
        <w:rPr>
          <w:rFonts w:hint="eastAsia" w:ascii="Times New Roman" w:hAnsi="Times New Roman"/>
        </w:rPr>
        <w:t>8</w:t>
      </w:r>
      <w:r>
        <w:rPr>
          <w:rFonts w:ascii="Times New Roman" w:hAnsi="Times New Roman"/>
        </w:rPr>
        <w:t>.2社会效益分析</w:t>
      </w:r>
      <w:r>
        <w:tab/>
      </w:r>
      <w:r>
        <w:fldChar w:fldCharType="begin"/>
      </w:r>
      <w:r>
        <w:instrText xml:space="preserve"> PAGEREF _Toc19519 </w:instrText>
      </w:r>
      <w:r>
        <w:fldChar w:fldCharType="separate"/>
      </w:r>
      <w:r>
        <w:t>129</w:t>
      </w:r>
      <w:r>
        <w:fldChar w:fldCharType="end"/>
      </w:r>
      <w:r>
        <w:rPr>
          <w:rFonts w:ascii="Times New Roman" w:hAnsi="Times New Roman" w:cs="Times New Roman"/>
          <w:color w:val="auto"/>
          <w:szCs w:val="24"/>
        </w:rPr>
        <w:fldChar w:fldCharType="end"/>
      </w:r>
    </w:p>
    <w:p>
      <w:pPr>
        <w:pStyle w:val="43"/>
        <w:tabs>
          <w:tab w:val="right" w:leader="dot" w:pos="8734"/>
        </w:tabs>
      </w:pPr>
      <w:r>
        <w:rPr>
          <w:rFonts w:ascii="Times New Roman" w:hAnsi="Times New Roman" w:cs="Times New Roman"/>
          <w:color w:val="auto"/>
          <w:szCs w:val="24"/>
        </w:rPr>
        <w:fldChar w:fldCharType="begin"/>
      </w:r>
      <w:r>
        <w:rPr>
          <w:rFonts w:ascii="Times New Roman" w:hAnsi="Times New Roman" w:cs="Times New Roman"/>
          <w:szCs w:val="24"/>
        </w:rPr>
        <w:instrText xml:space="preserve"> HYPERLINK \l _Toc27739 </w:instrText>
      </w:r>
      <w:r>
        <w:rPr>
          <w:rFonts w:ascii="Times New Roman" w:hAnsi="Times New Roman" w:cs="Times New Roman"/>
          <w:szCs w:val="24"/>
        </w:rPr>
        <w:fldChar w:fldCharType="separate"/>
      </w:r>
      <w:r>
        <w:rPr>
          <w:rFonts w:hint="eastAsia" w:ascii="Times New Roman" w:hAnsi="Times New Roman"/>
        </w:rPr>
        <w:t>8</w:t>
      </w:r>
      <w:r>
        <w:rPr>
          <w:rFonts w:ascii="Times New Roman" w:hAnsi="Times New Roman"/>
        </w:rPr>
        <w:t>.3环境经济损益分析</w:t>
      </w:r>
      <w:r>
        <w:tab/>
      </w:r>
      <w:r>
        <w:fldChar w:fldCharType="begin"/>
      </w:r>
      <w:r>
        <w:instrText xml:space="preserve"> PAGEREF _Toc27739 </w:instrText>
      </w:r>
      <w:r>
        <w:fldChar w:fldCharType="separate"/>
      </w:r>
      <w:r>
        <w:t>129</w:t>
      </w:r>
      <w:r>
        <w:fldChar w:fldCharType="end"/>
      </w:r>
      <w:r>
        <w:rPr>
          <w:rFonts w:ascii="Times New Roman" w:hAnsi="Times New Roman" w:cs="Times New Roman"/>
          <w:color w:val="auto"/>
          <w:szCs w:val="24"/>
        </w:rPr>
        <w:fldChar w:fldCharType="end"/>
      </w:r>
    </w:p>
    <w:p>
      <w:pPr>
        <w:pStyle w:val="43"/>
        <w:tabs>
          <w:tab w:val="right" w:leader="dot" w:pos="8734"/>
        </w:tabs>
      </w:pPr>
      <w:r>
        <w:rPr>
          <w:rFonts w:ascii="Times New Roman" w:hAnsi="Times New Roman" w:cs="Times New Roman"/>
          <w:color w:val="auto"/>
          <w:szCs w:val="24"/>
        </w:rPr>
        <w:fldChar w:fldCharType="begin"/>
      </w:r>
      <w:r>
        <w:rPr>
          <w:rFonts w:ascii="Times New Roman" w:hAnsi="Times New Roman" w:cs="Times New Roman"/>
          <w:szCs w:val="24"/>
        </w:rPr>
        <w:instrText xml:space="preserve"> HYPERLINK \l _Toc12625 </w:instrText>
      </w:r>
      <w:r>
        <w:rPr>
          <w:rFonts w:ascii="Times New Roman" w:hAnsi="Times New Roman" w:cs="Times New Roman"/>
          <w:szCs w:val="24"/>
        </w:rPr>
        <w:fldChar w:fldCharType="separate"/>
      </w:r>
      <w:r>
        <w:rPr>
          <w:rFonts w:hint="eastAsia" w:ascii="Times New Roman" w:hAnsi="Times New Roman"/>
        </w:rPr>
        <w:t>8</w:t>
      </w:r>
      <w:r>
        <w:rPr>
          <w:rFonts w:ascii="Times New Roman" w:hAnsi="Times New Roman"/>
        </w:rPr>
        <w:t>.4 环境经济效益分析</w:t>
      </w:r>
      <w:r>
        <w:tab/>
      </w:r>
      <w:r>
        <w:fldChar w:fldCharType="begin"/>
      </w:r>
      <w:r>
        <w:instrText xml:space="preserve"> PAGEREF _Toc12625 </w:instrText>
      </w:r>
      <w:r>
        <w:fldChar w:fldCharType="separate"/>
      </w:r>
      <w:r>
        <w:t>130</w:t>
      </w:r>
      <w:r>
        <w:fldChar w:fldCharType="end"/>
      </w:r>
      <w:r>
        <w:rPr>
          <w:rFonts w:ascii="Times New Roman" w:hAnsi="Times New Roman" w:cs="Times New Roman"/>
          <w:color w:val="auto"/>
          <w:szCs w:val="24"/>
        </w:rPr>
        <w:fldChar w:fldCharType="end"/>
      </w:r>
    </w:p>
    <w:p>
      <w:pPr>
        <w:pStyle w:val="43"/>
        <w:tabs>
          <w:tab w:val="right" w:leader="dot" w:pos="8734"/>
        </w:tabs>
      </w:pPr>
      <w:r>
        <w:rPr>
          <w:rFonts w:ascii="Times New Roman" w:hAnsi="Times New Roman" w:cs="Times New Roman"/>
          <w:color w:val="auto"/>
          <w:szCs w:val="24"/>
        </w:rPr>
        <w:fldChar w:fldCharType="begin"/>
      </w:r>
      <w:r>
        <w:rPr>
          <w:rFonts w:ascii="Times New Roman" w:hAnsi="Times New Roman" w:cs="Times New Roman"/>
          <w:szCs w:val="24"/>
        </w:rPr>
        <w:instrText xml:space="preserve"> HYPERLINK \l _Toc12858 </w:instrText>
      </w:r>
      <w:r>
        <w:rPr>
          <w:rFonts w:ascii="Times New Roman" w:hAnsi="Times New Roman" w:cs="Times New Roman"/>
          <w:szCs w:val="24"/>
        </w:rPr>
        <w:fldChar w:fldCharType="separate"/>
      </w:r>
      <w:r>
        <w:rPr>
          <w:rFonts w:hint="eastAsia" w:ascii="Times New Roman" w:hAnsi="Times New Roman"/>
        </w:rPr>
        <w:t>8</w:t>
      </w:r>
      <w:r>
        <w:rPr>
          <w:rFonts w:ascii="Times New Roman" w:hAnsi="Times New Roman"/>
        </w:rPr>
        <w:t>.5 项目环境损益分析</w:t>
      </w:r>
      <w:r>
        <w:tab/>
      </w:r>
      <w:r>
        <w:fldChar w:fldCharType="begin"/>
      </w:r>
      <w:r>
        <w:instrText xml:space="preserve"> PAGEREF _Toc12858 </w:instrText>
      </w:r>
      <w:r>
        <w:fldChar w:fldCharType="separate"/>
      </w:r>
      <w:r>
        <w:t>131</w:t>
      </w:r>
      <w:r>
        <w:fldChar w:fldCharType="end"/>
      </w:r>
      <w:r>
        <w:rPr>
          <w:rFonts w:ascii="Times New Roman" w:hAnsi="Times New Roman" w:cs="Times New Roman"/>
          <w:color w:val="auto"/>
          <w:szCs w:val="24"/>
        </w:rPr>
        <w:fldChar w:fldCharType="end"/>
      </w:r>
    </w:p>
    <w:p>
      <w:pPr>
        <w:pStyle w:val="43"/>
        <w:tabs>
          <w:tab w:val="right" w:leader="dot" w:pos="8734"/>
        </w:tabs>
      </w:pPr>
      <w:r>
        <w:rPr>
          <w:rFonts w:ascii="Times New Roman" w:hAnsi="Times New Roman" w:cs="Times New Roman"/>
          <w:color w:val="auto"/>
          <w:szCs w:val="24"/>
        </w:rPr>
        <w:fldChar w:fldCharType="begin"/>
      </w:r>
      <w:r>
        <w:rPr>
          <w:rFonts w:ascii="Times New Roman" w:hAnsi="Times New Roman" w:cs="Times New Roman"/>
          <w:szCs w:val="24"/>
        </w:rPr>
        <w:instrText xml:space="preserve"> HYPERLINK \l _Toc16653 </w:instrText>
      </w:r>
      <w:r>
        <w:rPr>
          <w:rFonts w:ascii="Times New Roman" w:hAnsi="Times New Roman" w:cs="Times New Roman"/>
          <w:szCs w:val="24"/>
        </w:rPr>
        <w:fldChar w:fldCharType="separate"/>
      </w:r>
      <w:r>
        <w:rPr>
          <w:rFonts w:hint="eastAsia" w:ascii="Times New Roman" w:hAnsi="Times New Roman"/>
        </w:rPr>
        <w:t>8</w:t>
      </w:r>
      <w:r>
        <w:rPr>
          <w:rFonts w:ascii="Times New Roman" w:hAnsi="Times New Roman"/>
        </w:rPr>
        <w:t>.6 环境经济损益综合分析</w:t>
      </w:r>
      <w:r>
        <w:tab/>
      </w:r>
      <w:r>
        <w:fldChar w:fldCharType="begin"/>
      </w:r>
      <w:r>
        <w:instrText xml:space="preserve"> PAGEREF _Toc16653 </w:instrText>
      </w:r>
      <w:r>
        <w:fldChar w:fldCharType="separate"/>
      </w:r>
      <w:r>
        <w:t>132</w:t>
      </w:r>
      <w:r>
        <w:fldChar w:fldCharType="end"/>
      </w:r>
      <w:r>
        <w:rPr>
          <w:rFonts w:ascii="Times New Roman" w:hAnsi="Times New Roman" w:cs="Times New Roman"/>
          <w:color w:val="auto"/>
          <w:szCs w:val="24"/>
        </w:rPr>
        <w:fldChar w:fldCharType="end"/>
      </w:r>
    </w:p>
    <w:p>
      <w:pPr>
        <w:pStyle w:val="43"/>
        <w:tabs>
          <w:tab w:val="right" w:leader="dot" w:pos="8734"/>
        </w:tabs>
      </w:pPr>
      <w:r>
        <w:rPr>
          <w:rFonts w:ascii="Times New Roman" w:hAnsi="Times New Roman" w:cs="Times New Roman"/>
          <w:color w:val="auto"/>
          <w:szCs w:val="24"/>
        </w:rPr>
        <w:fldChar w:fldCharType="begin"/>
      </w:r>
      <w:r>
        <w:rPr>
          <w:rFonts w:ascii="Times New Roman" w:hAnsi="Times New Roman" w:cs="Times New Roman"/>
          <w:szCs w:val="24"/>
        </w:rPr>
        <w:instrText xml:space="preserve"> HYPERLINK \l _Toc7453 </w:instrText>
      </w:r>
      <w:r>
        <w:rPr>
          <w:rFonts w:ascii="Times New Roman" w:hAnsi="Times New Roman" w:cs="Times New Roman"/>
          <w:szCs w:val="24"/>
        </w:rPr>
        <w:fldChar w:fldCharType="separate"/>
      </w:r>
      <w:r>
        <w:rPr>
          <w:rFonts w:hint="eastAsia" w:ascii="Times New Roman" w:hAnsi="Times New Roman"/>
        </w:rPr>
        <w:t>8</w:t>
      </w:r>
      <w:r>
        <w:rPr>
          <w:rFonts w:ascii="Times New Roman" w:hAnsi="Times New Roman"/>
        </w:rPr>
        <w:t>.7小结</w:t>
      </w:r>
      <w:r>
        <w:tab/>
      </w:r>
      <w:r>
        <w:fldChar w:fldCharType="begin"/>
      </w:r>
      <w:r>
        <w:instrText xml:space="preserve"> PAGEREF _Toc7453 </w:instrText>
      </w:r>
      <w:r>
        <w:fldChar w:fldCharType="separate"/>
      </w:r>
      <w:r>
        <w:t>133</w:t>
      </w:r>
      <w:r>
        <w:fldChar w:fldCharType="end"/>
      </w:r>
      <w:r>
        <w:rPr>
          <w:rFonts w:ascii="Times New Roman" w:hAnsi="Times New Roman" w:cs="Times New Roman"/>
          <w:color w:val="auto"/>
          <w:szCs w:val="24"/>
        </w:rPr>
        <w:fldChar w:fldCharType="end"/>
      </w:r>
    </w:p>
    <w:p>
      <w:pPr>
        <w:pStyle w:val="37"/>
        <w:tabs>
          <w:tab w:val="right" w:leader="dot" w:pos="8734"/>
          <w:tab w:val="clear" w:pos="8720"/>
        </w:tabs>
      </w:pPr>
      <w:r>
        <w:rPr>
          <w:rFonts w:ascii="Times New Roman" w:hAnsi="Times New Roman" w:cs="Times New Roman"/>
          <w:color w:val="auto"/>
          <w:szCs w:val="24"/>
        </w:rPr>
        <w:fldChar w:fldCharType="begin"/>
      </w:r>
      <w:r>
        <w:rPr>
          <w:rFonts w:ascii="Times New Roman" w:hAnsi="Times New Roman" w:cs="Times New Roman"/>
          <w:szCs w:val="24"/>
        </w:rPr>
        <w:instrText xml:space="preserve"> HYPERLINK \l _Toc30662 </w:instrText>
      </w:r>
      <w:r>
        <w:rPr>
          <w:rFonts w:ascii="Times New Roman" w:hAnsi="Times New Roman" w:cs="Times New Roman"/>
          <w:szCs w:val="24"/>
        </w:rPr>
        <w:fldChar w:fldCharType="separate"/>
      </w:r>
      <w:r>
        <w:rPr>
          <w:szCs w:val="36"/>
        </w:rPr>
        <w:t>第</w:t>
      </w:r>
      <w:r>
        <w:rPr>
          <w:rFonts w:hint="eastAsia"/>
          <w:szCs w:val="36"/>
        </w:rPr>
        <w:t>九</w:t>
      </w:r>
      <w:r>
        <w:rPr>
          <w:szCs w:val="36"/>
        </w:rPr>
        <w:t>章 环境管理与监测计划</w:t>
      </w:r>
      <w:r>
        <w:tab/>
      </w:r>
      <w:r>
        <w:fldChar w:fldCharType="begin"/>
      </w:r>
      <w:r>
        <w:instrText xml:space="preserve"> PAGEREF _Toc30662 </w:instrText>
      </w:r>
      <w:r>
        <w:fldChar w:fldCharType="separate"/>
      </w:r>
      <w:r>
        <w:t>134</w:t>
      </w:r>
      <w:r>
        <w:fldChar w:fldCharType="end"/>
      </w:r>
      <w:r>
        <w:rPr>
          <w:rFonts w:ascii="Times New Roman" w:hAnsi="Times New Roman" w:cs="Times New Roman"/>
          <w:color w:val="auto"/>
          <w:szCs w:val="24"/>
        </w:rPr>
        <w:fldChar w:fldCharType="end"/>
      </w:r>
    </w:p>
    <w:p>
      <w:pPr>
        <w:pStyle w:val="43"/>
        <w:tabs>
          <w:tab w:val="right" w:leader="dot" w:pos="8734"/>
        </w:tabs>
      </w:pPr>
      <w:r>
        <w:rPr>
          <w:rFonts w:ascii="Times New Roman" w:hAnsi="Times New Roman" w:cs="Times New Roman"/>
          <w:color w:val="auto"/>
          <w:szCs w:val="24"/>
        </w:rPr>
        <w:fldChar w:fldCharType="begin"/>
      </w:r>
      <w:r>
        <w:rPr>
          <w:rFonts w:ascii="Times New Roman" w:hAnsi="Times New Roman" w:cs="Times New Roman"/>
          <w:szCs w:val="24"/>
        </w:rPr>
        <w:instrText xml:space="preserve"> HYPERLINK \l _Toc16877 </w:instrText>
      </w:r>
      <w:r>
        <w:rPr>
          <w:rFonts w:ascii="Times New Roman" w:hAnsi="Times New Roman" w:cs="Times New Roman"/>
          <w:szCs w:val="24"/>
        </w:rPr>
        <w:fldChar w:fldCharType="separate"/>
      </w:r>
      <w:r>
        <w:rPr>
          <w:rFonts w:hint="eastAsia" w:ascii="Times New Roman" w:hAnsi="Times New Roman"/>
        </w:rPr>
        <w:t>9</w:t>
      </w:r>
      <w:r>
        <w:rPr>
          <w:rFonts w:ascii="Times New Roman" w:hAnsi="Times New Roman"/>
        </w:rPr>
        <w:t>.1环境管理目的</w:t>
      </w:r>
      <w:r>
        <w:tab/>
      </w:r>
      <w:r>
        <w:fldChar w:fldCharType="begin"/>
      </w:r>
      <w:r>
        <w:instrText xml:space="preserve"> PAGEREF _Toc16877 </w:instrText>
      </w:r>
      <w:r>
        <w:fldChar w:fldCharType="separate"/>
      </w:r>
      <w:r>
        <w:t>134</w:t>
      </w:r>
      <w:r>
        <w:fldChar w:fldCharType="end"/>
      </w:r>
      <w:r>
        <w:rPr>
          <w:rFonts w:ascii="Times New Roman" w:hAnsi="Times New Roman" w:cs="Times New Roman"/>
          <w:color w:val="auto"/>
          <w:szCs w:val="24"/>
        </w:rPr>
        <w:fldChar w:fldCharType="end"/>
      </w:r>
    </w:p>
    <w:p>
      <w:pPr>
        <w:pStyle w:val="43"/>
        <w:tabs>
          <w:tab w:val="right" w:leader="dot" w:pos="8734"/>
        </w:tabs>
      </w:pPr>
      <w:r>
        <w:rPr>
          <w:rFonts w:ascii="Times New Roman" w:hAnsi="Times New Roman" w:cs="Times New Roman"/>
          <w:color w:val="auto"/>
          <w:szCs w:val="24"/>
        </w:rPr>
        <w:fldChar w:fldCharType="begin"/>
      </w:r>
      <w:r>
        <w:rPr>
          <w:rFonts w:ascii="Times New Roman" w:hAnsi="Times New Roman" w:cs="Times New Roman"/>
          <w:szCs w:val="24"/>
        </w:rPr>
        <w:instrText xml:space="preserve"> HYPERLINK \l _Toc8451 </w:instrText>
      </w:r>
      <w:r>
        <w:rPr>
          <w:rFonts w:ascii="Times New Roman" w:hAnsi="Times New Roman" w:cs="Times New Roman"/>
          <w:szCs w:val="24"/>
        </w:rPr>
        <w:fldChar w:fldCharType="separate"/>
      </w:r>
      <w:r>
        <w:rPr>
          <w:rFonts w:hint="eastAsia" w:ascii="Times New Roman" w:hAnsi="Times New Roman"/>
        </w:rPr>
        <w:t>9</w:t>
      </w:r>
      <w:r>
        <w:rPr>
          <w:rFonts w:ascii="Times New Roman" w:hAnsi="Times New Roman"/>
        </w:rPr>
        <w:t>.2环境管理机构设置及主要职责</w:t>
      </w:r>
      <w:r>
        <w:tab/>
      </w:r>
      <w:r>
        <w:fldChar w:fldCharType="begin"/>
      </w:r>
      <w:r>
        <w:instrText xml:space="preserve"> PAGEREF _Toc8451 </w:instrText>
      </w:r>
      <w:r>
        <w:fldChar w:fldCharType="separate"/>
      </w:r>
      <w:r>
        <w:t>134</w:t>
      </w:r>
      <w:r>
        <w:fldChar w:fldCharType="end"/>
      </w:r>
      <w:r>
        <w:rPr>
          <w:rFonts w:ascii="Times New Roman" w:hAnsi="Times New Roman" w:cs="Times New Roman"/>
          <w:color w:val="auto"/>
          <w:szCs w:val="24"/>
        </w:rPr>
        <w:fldChar w:fldCharType="end"/>
      </w:r>
    </w:p>
    <w:p>
      <w:pPr>
        <w:pStyle w:val="43"/>
        <w:tabs>
          <w:tab w:val="right" w:leader="dot" w:pos="8734"/>
        </w:tabs>
      </w:pPr>
      <w:r>
        <w:rPr>
          <w:rFonts w:ascii="Times New Roman" w:hAnsi="Times New Roman" w:cs="Times New Roman"/>
          <w:color w:val="auto"/>
          <w:szCs w:val="24"/>
        </w:rPr>
        <w:fldChar w:fldCharType="begin"/>
      </w:r>
      <w:r>
        <w:rPr>
          <w:rFonts w:ascii="Times New Roman" w:hAnsi="Times New Roman" w:cs="Times New Roman"/>
          <w:szCs w:val="24"/>
        </w:rPr>
        <w:instrText xml:space="preserve"> HYPERLINK \l _Toc10068 </w:instrText>
      </w:r>
      <w:r>
        <w:rPr>
          <w:rFonts w:ascii="Times New Roman" w:hAnsi="Times New Roman" w:cs="Times New Roman"/>
          <w:szCs w:val="24"/>
        </w:rPr>
        <w:fldChar w:fldCharType="separate"/>
      </w:r>
      <w:r>
        <w:rPr>
          <w:rFonts w:hint="eastAsia" w:ascii="Times New Roman" w:hAnsi="Times New Roman"/>
        </w:rPr>
        <w:t>9</w:t>
      </w:r>
      <w:r>
        <w:rPr>
          <w:rFonts w:ascii="Times New Roman" w:hAnsi="Times New Roman"/>
        </w:rPr>
        <w:t>.3环境监测计划</w:t>
      </w:r>
      <w:r>
        <w:tab/>
      </w:r>
      <w:r>
        <w:fldChar w:fldCharType="begin"/>
      </w:r>
      <w:r>
        <w:instrText xml:space="preserve"> PAGEREF _Toc10068 </w:instrText>
      </w:r>
      <w:r>
        <w:fldChar w:fldCharType="separate"/>
      </w:r>
      <w:r>
        <w:t>136</w:t>
      </w:r>
      <w:r>
        <w:fldChar w:fldCharType="end"/>
      </w:r>
      <w:r>
        <w:rPr>
          <w:rFonts w:ascii="Times New Roman" w:hAnsi="Times New Roman" w:cs="Times New Roman"/>
          <w:color w:val="auto"/>
          <w:szCs w:val="24"/>
        </w:rPr>
        <w:fldChar w:fldCharType="end"/>
      </w:r>
    </w:p>
    <w:p>
      <w:pPr>
        <w:pStyle w:val="43"/>
        <w:tabs>
          <w:tab w:val="right" w:leader="dot" w:pos="8734"/>
        </w:tabs>
      </w:pPr>
      <w:r>
        <w:rPr>
          <w:rFonts w:ascii="Times New Roman" w:hAnsi="Times New Roman" w:cs="Times New Roman"/>
          <w:color w:val="auto"/>
          <w:szCs w:val="24"/>
        </w:rPr>
        <w:fldChar w:fldCharType="begin"/>
      </w:r>
      <w:r>
        <w:rPr>
          <w:rFonts w:ascii="Times New Roman" w:hAnsi="Times New Roman" w:cs="Times New Roman"/>
          <w:szCs w:val="24"/>
        </w:rPr>
        <w:instrText xml:space="preserve"> HYPERLINK \l _Toc21780 </w:instrText>
      </w:r>
      <w:r>
        <w:rPr>
          <w:rFonts w:ascii="Times New Roman" w:hAnsi="Times New Roman" w:cs="Times New Roman"/>
          <w:szCs w:val="24"/>
        </w:rPr>
        <w:fldChar w:fldCharType="separate"/>
      </w:r>
      <w:r>
        <w:rPr>
          <w:rFonts w:hint="eastAsia" w:ascii="Times New Roman" w:hAnsi="Times New Roman"/>
        </w:rPr>
        <w:t>9</w:t>
      </w:r>
      <w:r>
        <w:rPr>
          <w:rFonts w:ascii="Times New Roman" w:hAnsi="Times New Roman"/>
        </w:rPr>
        <w:t>.4 排污口规范化</w:t>
      </w:r>
      <w:r>
        <w:tab/>
      </w:r>
      <w:r>
        <w:fldChar w:fldCharType="begin"/>
      </w:r>
      <w:r>
        <w:instrText xml:space="preserve"> PAGEREF _Toc21780 </w:instrText>
      </w:r>
      <w:r>
        <w:fldChar w:fldCharType="separate"/>
      </w:r>
      <w:r>
        <w:t>138</w:t>
      </w:r>
      <w:r>
        <w:fldChar w:fldCharType="end"/>
      </w:r>
      <w:r>
        <w:rPr>
          <w:rFonts w:ascii="Times New Roman" w:hAnsi="Times New Roman" w:cs="Times New Roman"/>
          <w:color w:val="auto"/>
          <w:szCs w:val="24"/>
        </w:rPr>
        <w:fldChar w:fldCharType="end"/>
      </w:r>
    </w:p>
    <w:p>
      <w:pPr>
        <w:pStyle w:val="43"/>
        <w:tabs>
          <w:tab w:val="right" w:leader="dot" w:pos="8734"/>
        </w:tabs>
      </w:pPr>
      <w:r>
        <w:rPr>
          <w:rFonts w:ascii="Times New Roman" w:hAnsi="Times New Roman" w:cs="Times New Roman"/>
          <w:color w:val="auto"/>
          <w:szCs w:val="24"/>
        </w:rPr>
        <w:fldChar w:fldCharType="begin"/>
      </w:r>
      <w:r>
        <w:rPr>
          <w:rFonts w:ascii="Times New Roman" w:hAnsi="Times New Roman" w:cs="Times New Roman"/>
          <w:szCs w:val="24"/>
        </w:rPr>
        <w:instrText xml:space="preserve"> HYPERLINK \l _Toc18282 </w:instrText>
      </w:r>
      <w:r>
        <w:rPr>
          <w:rFonts w:ascii="Times New Roman" w:hAnsi="Times New Roman" w:cs="Times New Roman"/>
          <w:szCs w:val="24"/>
        </w:rPr>
        <w:fldChar w:fldCharType="separate"/>
      </w:r>
      <w:r>
        <w:rPr>
          <w:rFonts w:hint="eastAsia" w:ascii="Times New Roman" w:hAnsi="Times New Roman"/>
        </w:rPr>
        <w:t>9</w:t>
      </w:r>
      <w:r>
        <w:rPr>
          <w:rFonts w:ascii="Times New Roman" w:hAnsi="Times New Roman"/>
        </w:rPr>
        <w:t>.5总量指标</w:t>
      </w:r>
      <w:r>
        <w:tab/>
      </w:r>
      <w:r>
        <w:fldChar w:fldCharType="begin"/>
      </w:r>
      <w:r>
        <w:instrText xml:space="preserve"> PAGEREF _Toc18282 </w:instrText>
      </w:r>
      <w:r>
        <w:fldChar w:fldCharType="separate"/>
      </w:r>
      <w:r>
        <w:t>140</w:t>
      </w:r>
      <w:r>
        <w:fldChar w:fldCharType="end"/>
      </w:r>
      <w:r>
        <w:rPr>
          <w:rFonts w:ascii="Times New Roman" w:hAnsi="Times New Roman" w:cs="Times New Roman"/>
          <w:color w:val="auto"/>
          <w:szCs w:val="24"/>
        </w:rPr>
        <w:fldChar w:fldCharType="end"/>
      </w:r>
    </w:p>
    <w:p>
      <w:pPr>
        <w:pStyle w:val="43"/>
        <w:tabs>
          <w:tab w:val="right" w:leader="dot" w:pos="8734"/>
        </w:tabs>
      </w:pPr>
      <w:r>
        <w:rPr>
          <w:rFonts w:ascii="Times New Roman" w:hAnsi="Times New Roman" w:cs="Times New Roman"/>
          <w:color w:val="auto"/>
          <w:szCs w:val="24"/>
        </w:rPr>
        <w:fldChar w:fldCharType="begin"/>
      </w:r>
      <w:r>
        <w:rPr>
          <w:rFonts w:ascii="Times New Roman" w:hAnsi="Times New Roman" w:cs="Times New Roman"/>
          <w:szCs w:val="24"/>
        </w:rPr>
        <w:instrText xml:space="preserve"> HYPERLINK \l _Toc1176 </w:instrText>
      </w:r>
      <w:r>
        <w:rPr>
          <w:rFonts w:ascii="Times New Roman" w:hAnsi="Times New Roman" w:cs="Times New Roman"/>
          <w:szCs w:val="24"/>
        </w:rPr>
        <w:fldChar w:fldCharType="separate"/>
      </w:r>
      <w:r>
        <w:rPr>
          <w:rFonts w:hint="eastAsia" w:ascii="Times New Roman" w:hAnsi="Times New Roman"/>
        </w:rPr>
        <w:t>9</w:t>
      </w:r>
      <w:r>
        <w:rPr>
          <w:rFonts w:ascii="Times New Roman" w:hAnsi="Times New Roman"/>
        </w:rPr>
        <w:t>.6污染物排放管理</w:t>
      </w:r>
      <w:r>
        <w:tab/>
      </w:r>
      <w:r>
        <w:fldChar w:fldCharType="begin"/>
      </w:r>
      <w:r>
        <w:instrText xml:space="preserve"> PAGEREF _Toc1176 </w:instrText>
      </w:r>
      <w:r>
        <w:fldChar w:fldCharType="separate"/>
      </w:r>
      <w:r>
        <w:t>141</w:t>
      </w:r>
      <w:r>
        <w:fldChar w:fldCharType="end"/>
      </w:r>
      <w:r>
        <w:rPr>
          <w:rFonts w:ascii="Times New Roman" w:hAnsi="Times New Roman" w:cs="Times New Roman"/>
          <w:color w:val="auto"/>
          <w:szCs w:val="24"/>
        </w:rPr>
        <w:fldChar w:fldCharType="end"/>
      </w:r>
    </w:p>
    <w:p>
      <w:pPr>
        <w:pStyle w:val="43"/>
        <w:tabs>
          <w:tab w:val="right" w:leader="dot" w:pos="8734"/>
        </w:tabs>
      </w:pPr>
      <w:r>
        <w:rPr>
          <w:rFonts w:ascii="Times New Roman" w:hAnsi="Times New Roman" w:cs="Times New Roman"/>
          <w:color w:val="auto"/>
          <w:szCs w:val="24"/>
        </w:rPr>
        <w:fldChar w:fldCharType="begin"/>
      </w:r>
      <w:r>
        <w:rPr>
          <w:rFonts w:ascii="Times New Roman" w:hAnsi="Times New Roman" w:cs="Times New Roman"/>
          <w:szCs w:val="24"/>
        </w:rPr>
        <w:instrText xml:space="preserve"> HYPERLINK \l _Toc15275 </w:instrText>
      </w:r>
      <w:r>
        <w:rPr>
          <w:rFonts w:ascii="Times New Roman" w:hAnsi="Times New Roman" w:cs="Times New Roman"/>
          <w:szCs w:val="24"/>
        </w:rPr>
        <w:fldChar w:fldCharType="separate"/>
      </w:r>
      <w:r>
        <w:rPr>
          <w:rFonts w:hint="eastAsia" w:ascii="Times New Roman" w:hAnsi="Times New Roman"/>
        </w:rPr>
        <w:t>9</w:t>
      </w:r>
      <w:r>
        <w:rPr>
          <w:rFonts w:ascii="Times New Roman" w:hAnsi="Times New Roman"/>
        </w:rPr>
        <w:t>.7“三同时”验收</w:t>
      </w:r>
      <w:r>
        <w:tab/>
      </w:r>
      <w:r>
        <w:fldChar w:fldCharType="begin"/>
      </w:r>
      <w:r>
        <w:instrText xml:space="preserve"> PAGEREF _Toc15275 </w:instrText>
      </w:r>
      <w:r>
        <w:fldChar w:fldCharType="separate"/>
      </w:r>
      <w:r>
        <w:t>142</w:t>
      </w:r>
      <w:r>
        <w:fldChar w:fldCharType="end"/>
      </w:r>
      <w:r>
        <w:rPr>
          <w:rFonts w:ascii="Times New Roman" w:hAnsi="Times New Roman" w:cs="Times New Roman"/>
          <w:color w:val="auto"/>
          <w:szCs w:val="24"/>
        </w:rPr>
        <w:fldChar w:fldCharType="end"/>
      </w:r>
    </w:p>
    <w:p>
      <w:pPr>
        <w:pStyle w:val="37"/>
        <w:tabs>
          <w:tab w:val="right" w:leader="dot" w:pos="8734"/>
          <w:tab w:val="clear" w:pos="8720"/>
        </w:tabs>
      </w:pPr>
      <w:r>
        <w:rPr>
          <w:rFonts w:ascii="Times New Roman" w:hAnsi="Times New Roman" w:cs="Times New Roman"/>
          <w:color w:val="auto"/>
          <w:szCs w:val="24"/>
        </w:rPr>
        <w:fldChar w:fldCharType="begin"/>
      </w:r>
      <w:r>
        <w:rPr>
          <w:rFonts w:ascii="Times New Roman" w:hAnsi="Times New Roman" w:cs="Times New Roman"/>
          <w:szCs w:val="24"/>
        </w:rPr>
        <w:instrText xml:space="preserve"> HYPERLINK \l _Toc2315 </w:instrText>
      </w:r>
      <w:r>
        <w:rPr>
          <w:rFonts w:ascii="Times New Roman" w:hAnsi="Times New Roman" w:cs="Times New Roman"/>
          <w:szCs w:val="24"/>
        </w:rPr>
        <w:fldChar w:fldCharType="separate"/>
      </w:r>
      <w:r>
        <w:rPr>
          <w:szCs w:val="36"/>
        </w:rPr>
        <w:t>第</w:t>
      </w:r>
      <w:r>
        <w:rPr>
          <w:rFonts w:hint="eastAsia"/>
          <w:szCs w:val="36"/>
        </w:rPr>
        <w:t>十</w:t>
      </w:r>
      <w:r>
        <w:rPr>
          <w:szCs w:val="36"/>
        </w:rPr>
        <w:t>章 结 论</w:t>
      </w:r>
      <w:r>
        <w:tab/>
      </w:r>
      <w:r>
        <w:fldChar w:fldCharType="begin"/>
      </w:r>
      <w:r>
        <w:instrText xml:space="preserve"> PAGEREF _Toc2315 </w:instrText>
      </w:r>
      <w:r>
        <w:fldChar w:fldCharType="separate"/>
      </w:r>
      <w:r>
        <w:t>144</w:t>
      </w:r>
      <w:r>
        <w:fldChar w:fldCharType="end"/>
      </w:r>
      <w:r>
        <w:rPr>
          <w:rFonts w:ascii="Times New Roman" w:hAnsi="Times New Roman" w:cs="Times New Roman"/>
          <w:color w:val="auto"/>
          <w:szCs w:val="24"/>
        </w:rPr>
        <w:fldChar w:fldCharType="end"/>
      </w:r>
    </w:p>
    <w:p>
      <w:pPr>
        <w:pStyle w:val="43"/>
        <w:tabs>
          <w:tab w:val="right" w:leader="dot" w:pos="8734"/>
        </w:tabs>
      </w:pPr>
      <w:r>
        <w:rPr>
          <w:rFonts w:ascii="Times New Roman" w:hAnsi="Times New Roman" w:cs="Times New Roman"/>
          <w:color w:val="auto"/>
          <w:szCs w:val="24"/>
        </w:rPr>
        <w:fldChar w:fldCharType="begin"/>
      </w:r>
      <w:r>
        <w:rPr>
          <w:rFonts w:ascii="Times New Roman" w:hAnsi="Times New Roman" w:cs="Times New Roman"/>
          <w:szCs w:val="24"/>
        </w:rPr>
        <w:instrText xml:space="preserve"> HYPERLINK \l _Toc19919 </w:instrText>
      </w:r>
      <w:r>
        <w:rPr>
          <w:rFonts w:ascii="Times New Roman" w:hAnsi="Times New Roman" w:cs="Times New Roman"/>
          <w:szCs w:val="24"/>
        </w:rPr>
        <w:fldChar w:fldCharType="separate"/>
      </w:r>
      <w:r>
        <w:rPr>
          <w:rFonts w:hint="eastAsia" w:ascii="Times New Roman" w:hAnsi="Times New Roman"/>
        </w:rPr>
        <w:t>10</w:t>
      </w:r>
      <w:r>
        <w:rPr>
          <w:rFonts w:ascii="Times New Roman" w:hAnsi="Times New Roman"/>
        </w:rPr>
        <w:t>.1工程概况</w:t>
      </w:r>
      <w:r>
        <w:tab/>
      </w:r>
      <w:r>
        <w:fldChar w:fldCharType="begin"/>
      </w:r>
      <w:r>
        <w:instrText xml:space="preserve"> PAGEREF _Toc19919 </w:instrText>
      </w:r>
      <w:r>
        <w:fldChar w:fldCharType="separate"/>
      </w:r>
      <w:r>
        <w:t>144</w:t>
      </w:r>
      <w:r>
        <w:fldChar w:fldCharType="end"/>
      </w:r>
      <w:r>
        <w:rPr>
          <w:rFonts w:ascii="Times New Roman" w:hAnsi="Times New Roman" w:cs="Times New Roman"/>
          <w:color w:val="auto"/>
          <w:szCs w:val="24"/>
        </w:rPr>
        <w:fldChar w:fldCharType="end"/>
      </w:r>
    </w:p>
    <w:p>
      <w:pPr>
        <w:pStyle w:val="43"/>
        <w:tabs>
          <w:tab w:val="right" w:leader="dot" w:pos="8734"/>
        </w:tabs>
      </w:pPr>
      <w:r>
        <w:rPr>
          <w:rFonts w:ascii="Times New Roman" w:hAnsi="Times New Roman" w:cs="Times New Roman"/>
          <w:color w:val="auto"/>
          <w:szCs w:val="24"/>
        </w:rPr>
        <w:fldChar w:fldCharType="begin"/>
      </w:r>
      <w:r>
        <w:rPr>
          <w:rFonts w:ascii="Times New Roman" w:hAnsi="Times New Roman" w:cs="Times New Roman"/>
          <w:szCs w:val="24"/>
        </w:rPr>
        <w:instrText xml:space="preserve"> HYPERLINK \l _Toc10953 </w:instrText>
      </w:r>
      <w:r>
        <w:rPr>
          <w:rFonts w:ascii="Times New Roman" w:hAnsi="Times New Roman" w:cs="Times New Roman"/>
          <w:szCs w:val="24"/>
        </w:rPr>
        <w:fldChar w:fldCharType="separate"/>
      </w:r>
      <w:r>
        <w:rPr>
          <w:rFonts w:hint="eastAsia" w:ascii="Times New Roman" w:hAnsi="Times New Roman"/>
        </w:rPr>
        <w:t>10</w:t>
      </w:r>
      <w:r>
        <w:rPr>
          <w:rFonts w:ascii="Times New Roman" w:hAnsi="Times New Roman"/>
        </w:rPr>
        <w:t>.2环境质量现状评价</w:t>
      </w:r>
      <w:r>
        <w:tab/>
      </w:r>
      <w:r>
        <w:fldChar w:fldCharType="begin"/>
      </w:r>
      <w:r>
        <w:instrText xml:space="preserve"> PAGEREF _Toc10953 </w:instrText>
      </w:r>
      <w:r>
        <w:fldChar w:fldCharType="separate"/>
      </w:r>
      <w:r>
        <w:t>144</w:t>
      </w:r>
      <w:r>
        <w:fldChar w:fldCharType="end"/>
      </w:r>
      <w:r>
        <w:rPr>
          <w:rFonts w:ascii="Times New Roman" w:hAnsi="Times New Roman" w:cs="Times New Roman"/>
          <w:color w:val="auto"/>
          <w:szCs w:val="24"/>
        </w:rPr>
        <w:fldChar w:fldCharType="end"/>
      </w:r>
    </w:p>
    <w:p>
      <w:pPr>
        <w:pStyle w:val="43"/>
        <w:tabs>
          <w:tab w:val="right" w:leader="dot" w:pos="8734"/>
        </w:tabs>
      </w:pPr>
      <w:r>
        <w:rPr>
          <w:rFonts w:ascii="Times New Roman" w:hAnsi="Times New Roman" w:cs="Times New Roman"/>
          <w:color w:val="auto"/>
          <w:szCs w:val="24"/>
        </w:rPr>
        <w:fldChar w:fldCharType="begin"/>
      </w:r>
      <w:r>
        <w:rPr>
          <w:rFonts w:ascii="Times New Roman" w:hAnsi="Times New Roman" w:cs="Times New Roman"/>
          <w:szCs w:val="24"/>
        </w:rPr>
        <w:instrText xml:space="preserve"> HYPERLINK \l _Toc15420 </w:instrText>
      </w:r>
      <w:r>
        <w:rPr>
          <w:rFonts w:ascii="Times New Roman" w:hAnsi="Times New Roman" w:cs="Times New Roman"/>
          <w:szCs w:val="24"/>
        </w:rPr>
        <w:fldChar w:fldCharType="separate"/>
      </w:r>
      <w:r>
        <w:rPr>
          <w:rFonts w:hint="eastAsia" w:ascii="Times New Roman" w:hAnsi="Times New Roman"/>
        </w:rPr>
        <w:t>10</w:t>
      </w:r>
      <w:r>
        <w:rPr>
          <w:rFonts w:ascii="Times New Roman" w:hAnsi="Times New Roman"/>
        </w:rPr>
        <w:t>.3产业政策相符性分析</w:t>
      </w:r>
      <w:r>
        <w:tab/>
      </w:r>
      <w:r>
        <w:fldChar w:fldCharType="begin"/>
      </w:r>
      <w:r>
        <w:instrText xml:space="preserve"> PAGEREF _Toc15420 </w:instrText>
      </w:r>
      <w:r>
        <w:fldChar w:fldCharType="separate"/>
      </w:r>
      <w:r>
        <w:t>144</w:t>
      </w:r>
      <w:r>
        <w:fldChar w:fldCharType="end"/>
      </w:r>
      <w:r>
        <w:rPr>
          <w:rFonts w:ascii="Times New Roman" w:hAnsi="Times New Roman" w:cs="Times New Roman"/>
          <w:color w:val="auto"/>
          <w:szCs w:val="24"/>
        </w:rPr>
        <w:fldChar w:fldCharType="end"/>
      </w:r>
    </w:p>
    <w:p>
      <w:pPr>
        <w:pStyle w:val="43"/>
        <w:tabs>
          <w:tab w:val="right" w:leader="dot" w:pos="8734"/>
        </w:tabs>
      </w:pPr>
      <w:r>
        <w:rPr>
          <w:rFonts w:ascii="Times New Roman" w:hAnsi="Times New Roman" w:cs="Times New Roman"/>
          <w:color w:val="auto"/>
          <w:szCs w:val="24"/>
        </w:rPr>
        <w:fldChar w:fldCharType="begin"/>
      </w:r>
      <w:r>
        <w:rPr>
          <w:rFonts w:ascii="Times New Roman" w:hAnsi="Times New Roman" w:cs="Times New Roman"/>
          <w:szCs w:val="24"/>
        </w:rPr>
        <w:instrText xml:space="preserve"> HYPERLINK \l _Toc20525 </w:instrText>
      </w:r>
      <w:r>
        <w:rPr>
          <w:rFonts w:ascii="Times New Roman" w:hAnsi="Times New Roman" w:cs="Times New Roman"/>
          <w:szCs w:val="24"/>
        </w:rPr>
        <w:fldChar w:fldCharType="separate"/>
      </w:r>
      <w:r>
        <w:rPr>
          <w:rFonts w:hint="eastAsia" w:ascii="Times New Roman" w:hAnsi="Times New Roman"/>
        </w:rPr>
        <w:t>10</w:t>
      </w:r>
      <w:r>
        <w:rPr>
          <w:rFonts w:ascii="Times New Roman" w:hAnsi="Times New Roman"/>
        </w:rPr>
        <w:t>.4环境影响分析结论</w:t>
      </w:r>
      <w:r>
        <w:tab/>
      </w:r>
      <w:r>
        <w:fldChar w:fldCharType="begin"/>
      </w:r>
      <w:r>
        <w:instrText xml:space="preserve"> PAGEREF _Toc20525 </w:instrText>
      </w:r>
      <w:r>
        <w:fldChar w:fldCharType="separate"/>
      </w:r>
      <w:r>
        <w:t>145</w:t>
      </w:r>
      <w:r>
        <w:fldChar w:fldCharType="end"/>
      </w:r>
      <w:r>
        <w:rPr>
          <w:rFonts w:ascii="Times New Roman" w:hAnsi="Times New Roman" w:cs="Times New Roman"/>
          <w:color w:val="auto"/>
          <w:szCs w:val="24"/>
        </w:rPr>
        <w:fldChar w:fldCharType="end"/>
      </w:r>
    </w:p>
    <w:p>
      <w:pPr>
        <w:pStyle w:val="43"/>
        <w:tabs>
          <w:tab w:val="right" w:leader="dot" w:pos="8734"/>
        </w:tabs>
      </w:pPr>
      <w:r>
        <w:rPr>
          <w:rFonts w:ascii="Times New Roman" w:hAnsi="Times New Roman" w:cs="Times New Roman"/>
          <w:color w:val="auto"/>
          <w:szCs w:val="24"/>
        </w:rPr>
        <w:fldChar w:fldCharType="begin"/>
      </w:r>
      <w:r>
        <w:rPr>
          <w:rFonts w:ascii="Times New Roman" w:hAnsi="Times New Roman" w:cs="Times New Roman"/>
          <w:szCs w:val="24"/>
        </w:rPr>
        <w:instrText xml:space="preserve"> HYPERLINK \l _Toc14121 </w:instrText>
      </w:r>
      <w:r>
        <w:rPr>
          <w:rFonts w:ascii="Times New Roman" w:hAnsi="Times New Roman" w:cs="Times New Roman"/>
          <w:szCs w:val="24"/>
        </w:rPr>
        <w:fldChar w:fldCharType="separate"/>
      </w:r>
      <w:r>
        <w:rPr>
          <w:rFonts w:hint="eastAsia" w:ascii="Times New Roman" w:hAnsi="Times New Roman"/>
        </w:rPr>
        <w:t>10</w:t>
      </w:r>
      <w:r>
        <w:rPr>
          <w:rFonts w:ascii="Times New Roman" w:hAnsi="Times New Roman"/>
        </w:rPr>
        <w:t>.5环境经济损益分析</w:t>
      </w:r>
      <w:r>
        <w:tab/>
      </w:r>
      <w:r>
        <w:fldChar w:fldCharType="begin"/>
      </w:r>
      <w:r>
        <w:instrText xml:space="preserve"> PAGEREF _Toc14121 </w:instrText>
      </w:r>
      <w:r>
        <w:fldChar w:fldCharType="separate"/>
      </w:r>
      <w:r>
        <w:t>147</w:t>
      </w:r>
      <w:r>
        <w:fldChar w:fldCharType="end"/>
      </w:r>
      <w:r>
        <w:rPr>
          <w:rFonts w:ascii="Times New Roman" w:hAnsi="Times New Roman" w:cs="Times New Roman"/>
          <w:color w:val="auto"/>
          <w:szCs w:val="24"/>
        </w:rPr>
        <w:fldChar w:fldCharType="end"/>
      </w:r>
    </w:p>
    <w:p>
      <w:pPr>
        <w:pStyle w:val="43"/>
        <w:tabs>
          <w:tab w:val="right" w:leader="dot" w:pos="8734"/>
        </w:tabs>
      </w:pPr>
      <w:r>
        <w:rPr>
          <w:rFonts w:ascii="Times New Roman" w:hAnsi="Times New Roman" w:cs="Times New Roman"/>
          <w:color w:val="auto"/>
          <w:szCs w:val="24"/>
        </w:rPr>
        <w:fldChar w:fldCharType="begin"/>
      </w:r>
      <w:r>
        <w:rPr>
          <w:rFonts w:ascii="Times New Roman" w:hAnsi="Times New Roman" w:cs="Times New Roman"/>
          <w:szCs w:val="24"/>
        </w:rPr>
        <w:instrText xml:space="preserve"> HYPERLINK \l _Toc26299 </w:instrText>
      </w:r>
      <w:r>
        <w:rPr>
          <w:rFonts w:ascii="Times New Roman" w:hAnsi="Times New Roman" w:cs="Times New Roman"/>
          <w:szCs w:val="24"/>
        </w:rPr>
        <w:fldChar w:fldCharType="separate"/>
      </w:r>
      <w:r>
        <w:rPr>
          <w:rFonts w:hint="eastAsia" w:ascii="Times New Roman" w:hAnsi="Times New Roman"/>
        </w:rPr>
        <w:t>10</w:t>
      </w:r>
      <w:r>
        <w:rPr>
          <w:rFonts w:ascii="Times New Roman" w:hAnsi="Times New Roman"/>
        </w:rPr>
        <w:t>.6环境管理与监测计划</w:t>
      </w:r>
      <w:r>
        <w:tab/>
      </w:r>
      <w:r>
        <w:fldChar w:fldCharType="begin"/>
      </w:r>
      <w:r>
        <w:instrText xml:space="preserve"> PAGEREF _Toc26299 </w:instrText>
      </w:r>
      <w:r>
        <w:fldChar w:fldCharType="separate"/>
      </w:r>
      <w:r>
        <w:t>147</w:t>
      </w:r>
      <w:r>
        <w:fldChar w:fldCharType="end"/>
      </w:r>
      <w:r>
        <w:rPr>
          <w:rFonts w:ascii="Times New Roman" w:hAnsi="Times New Roman" w:cs="Times New Roman"/>
          <w:color w:val="auto"/>
          <w:szCs w:val="24"/>
        </w:rPr>
        <w:fldChar w:fldCharType="end"/>
      </w:r>
    </w:p>
    <w:p>
      <w:pPr>
        <w:pStyle w:val="43"/>
        <w:tabs>
          <w:tab w:val="right" w:leader="dot" w:pos="8734"/>
        </w:tabs>
      </w:pPr>
      <w:r>
        <w:rPr>
          <w:rFonts w:ascii="Times New Roman" w:hAnsi="Times New Roman" w:cs="Times New Roman"/>
          <w:color w:val="auto"/>
          <w:szCs w:val="24"/>
        </w:rPr>
        <w:fldChar w:fldCharType="begin"/>
      </w:r>
      <w:r>
        <w:rPr>
          <w:rFonts w:ascii="Times New Roman" w:hAnsi="Times New Roman" w:cs="Times New Roman"/>
          <w:szCs w:val="24"/>
        </w:rPr>
        <w:instrText xml:space="preserve"> HYPERLINK \l _Toc934 </w:instrText>
      </w:r>
      <w:r>
        <w:rPr>
          <w:rFonts w:ascii="Times New Roman" w:hAnsi="Times New Roman" w:cs="Times New Roman"/>
          <w:szCs w:val="24"/>
        </w:rPr>
        <w:fldChar w:fldCharType="separate"/>
      </w:r>
      <w:r>
        <w:rPr>
          <w:rFonts w:hint="eastAsia" w:ascii="Times New Roman" w:hAnsi="Times New Roman"/>
        </w:rPr>
        <w:t>10</w:t>
      </w:r>
      <w:r>
        <w:rPr>
          <w:rFonts w:ascii="Times New Roman" w:hAnsi="Times New Roman"/>
        </w:rPr>
        <w:t>.7公众参与结论</w:t>
      </w:r>
      <w:r>
        <w:tab/>
      </w:r>
      <w:r>
        <w:fldChar w:fldCharType="begin"/>
      </w:r>
      <w:r>
        <w:instrText xml:space="preserve"> PAGEREF _Toc934 </w:instrText>
      </w:r>
      <w:r>
        <w:fldChar w:fldCharType="separate"/>
      </w:r>
      <w:r>
        <w:t>147</w:t>
      </w:r>
      <w:r>
        <w:fldChar w:fldCharType="end"/>
      </w:r>
      <w:r>
        <w:rPr>
          <w:rFonts w:ascii="Times New Roman" w:hAnsi="Times New Roman" w:cs="Times New Roman"/>
          <w:color w:val="auto"/>
          <w:szCs w:val="24"/>
        </w:rPr>
        <w:fldChar w:fldCharType="end"/>
      </w:r>
    </w:p>
    <w:p>
      <w:pPr>
        <w:pStyle w:val="43"/>
        <w:tabs>
          <w:tab w:val="right" w:leader="dot" w:pos="8734"/>
        </w:tabs>
      </w:pPr>
      <w:r>
        <w:rPr>
          <w:rFonts w:ascii="Times New Roman" w:hAnsi="Times New Roman" w:cs="Times New Roman"/>
          <w:color w:val="auto"/>
          <w:szCs w:val="24"/>
        </w:rPr>
        <w:fldChar w:fldCharType="begin"/>
      </w:r>
      <w:r>
        <w:rPr>
          <w:rFonts w:ascii="Times New Roman" w:hAnsi="Times New Roman" w:cs="Times New Roman"/>
          <w:szCs w:val="24"/>
        </w:rPr>
        <w:instrText xml:space="preserve"> HYPERLINK \l _Toc24174 </w:instrText>
      </w:r>
      <w:r>
        <w:rPr>
          <w:rFonts w:ascii="Times New Roman" w:hAnsi="Times New Roman" w:cs="Times New Roman"/>
          <w:szCs w:val="24"/>
        </w:rPr>
        <w:fldChar w:fldCharType="separate"/>
      </w:r>
      <w:r>
        <w:rPr>
          <w:rFonts w:hint="eastAsia" w:ascii="Times New Roman" w:hAnsi="Times New Roman"/>
        </w:rPr>
        <w:t>10</w:t>
      </w:r>
      <w:r>
        <w:rPr>
          <w:rFonts w:ascii="Times New Roman" w:hAnsi="Times New Roman"/>
        </w:rPr>
        <w:t>.8结论</w:t>
      </w:r>
      <w:r>
        <w:tab/>
      </w:r>
      <w:r>
        <w:fldChar w:fldCharType="begin"/>
      </w:r>
      <w:r>
        <w:instrText xml:space="preserve"> PAGEREF _Toc24174 </w:instrText>
      </w:r>
      <w:r>
        <w:fldChar w:fldCharType="separate"/>
      </w:r>
      <w:r>
        <w:t>148</w:t>
      </w:r>
      <w:r>
        <w:fldChar w:fldCharType="end"/>
      </w:r>
      <w:r>
        <w:rPr>
          <w:rFonts w:ascii="Times New Roman" w:hAnsi="Times New Roman" w:cs="Times New Roman"/>
          <w:color w:val="auto"/>
          <w:szCs w:val="24"/>
        </w:rPr>
        <w:fldChar w:fldCharType="end"/>
      </w:r>
    </w:p>
    <w:p>
      <w:pPr>
        <w:pStyle w:val="43"/>
        <w:tabs>
          <w:tab w:val="right" w:leader="dot" w:pos="8734"/>
        </w:tabs>
      </w:pPr>
      <w:r>
        <w:rPr>
          <w:rFonts w:ascii="Times New Roman" w:hAnsi="Times New Roman" w:cs="Times New Roman"/>
          <w:color w:val="auto"/>
          <w:szCs w:val="24"/>
        </w:rPr>
        <w:fldChar w:fldCharType="begin"/>
      </w:r>
      <w:r>
        <w:rPr>
          <w:rFonts w:ascii="Times New Roman" w:hAnsi="Times New Roman" w:cs="Times New Roman"/>
          <w:szCs w:val="24"/>
        </w:rPr>
        <w:instrText xml:space="preserve"> HYPERLINK \l _Toc23596 </w:instrText>
      </w:r>
      <w:r>
        <w:rPr>
          <w:rFonts w:ascii="Times New Roman" w:hAnsi="Times New Roman" w:cs="Times New Roman"/>
          <w:szCs w:val="24"/>
        </w:rPr>
        <w:fldChar w:fldCharType="separate"/>
      </w:r>
      <w:r>
        <w:rPr>
          <w:rFonts w:hint="eastAsia" w:ascii="Times New Roman" w:hAnsi="Times New Roman"/>
        </w:rPr>
        <w:t>10</w:t>
      </w:r>
      <w:r>
        <w:rPr>
          <w:rFonts w:ascii="Times New Roman" w:hAnsi="Times New Roman"/>
        </w:rPr>
        <w:t>.9建议</w:t>
      </w:r>
      <w:r>
        <w:tab/>
      </w:r>
      <w:r>
        <w:fldChar w:fldCharType="begin"/>
      </w:r>
      <w:r>
        <w:instrText xml:space="preserve"> PAGEREF _Toc23596 </w:instrText>
      </w:r>
      <w:r>
        <w:fldChar w:fldCharType="separate"/>
      </w:r>
      <w:r>
        <w:t>148</w:t>
      </w:r>
      <w:r>
        <w:fldChar w:fldCharType="end"/>
      </w:r>
      <w:r>
        <w:rPr>
          <w:rFonts w:ascii="Times New Roman" w:hAnsi="Times New Roman" w:cs="Times New Roman"/>
          <w:color w:val="auto"/>
          <w:szCs w:val="24"/>
        </w:rPr>
        <w:fldChar w:fldCharType="end"/>
      </w:r>
    </w:p>
    <w:p>
      <w:pPr>
        <w:pStyle w:val="50"/>
        <w:spacing w:before="0" w:after="0"/>
        <w:jc w:val="both"/>
        <w:rPr>
          <w:rFonts w:ascii="Times New Roman" w:hAnsi="Times New Roman" w:cs="Times New Roman"/>
          <w:color w:val="auto"/>
          <w:sz w:val="24"/>
          <w:szCs w:val="24"/>
        </w:rPr>
      </w:pPr>
      <w:r>
        <w:rPr>
          <w:rFonts w:ascii="Times New Roman" w:hAnsi="Times New Roman" w:cs="Times New Roman"/>
          <w:color w:val="auto"/>
          <w:szCs w:val="24"/>
        </w:rPr>
        <w:fldChar w:fldCharType="end"/>
      </w:r>
    </w:p>
    <w:p>
      <w:pPr>
        <w:pStyle w:val="3"/>
        <w:spacing w:before="120" w:after="0" w:line="360" w:lineRule="auto"/>
        <w:jc w:val="center"/>
        <w:rPr>
          <w:color w:val="auto"/>
          <w:sz w:val="24"/>
          <w:szCs w:val="24"/>
        </w:rPr>
      </w:pPr>
    </w:p>
    <w:p>
      <w:pPr>
        <w:rPr>
          <w:color w:val="auto"/>
          <w:sz w:val="36"/>
          <w:szCs w:val="36"/>
        </w:rPr>
      </w:pPr>
    </w:p>
    <w:p>
      <w:pPr>
        <w:pStyle w:val="2"/>
        <w:rPr>
          <w:color w:val="auto"/>
          <w:sz w:val="36"/>
          <w:szCs w:val="36"/>
        </w:rPr>
      </w:pPr>
    </w:p>
    <w:p>
      <w:pPr>
        <w:rPr>
          <w:color w:val="auto"/>
          <w:sz w:val="36"/>
          <w:szCs w:val="36"/>
        </w:rPr>
      </w:pPr>
    </w:p>
    <w:p>
      <w:pPr>
        <w:pStyle w:val="2"/>
        <w:rPr>
          <w:color w:val="auto"/>
          <w:sz w:val="36"/>
          <w:szCs w:val="36"/>
        </w:rPr>
      </w:pPr>
    </w:p>
    <w:p>
      <w:pPr>
        <w:rPr>
          <w:color w:val="auto"/>
          <w:sz w:val="36"/>
          <w:szCs w:val="36"/>
        </w:rPr>
      </w:pPr>
    </w:p>
    <w:p>
      <w:pPr>
        <w:pStyle w:val="2"/>
        <w:rPr>
          <w:color w:val="auto"/>
          <w:sz w:val="36"/>
          <w:szCs w:val="36"/>
        </w:rPr>
      </w:pPr>
    </w:p>
    <w:p>
      <w:pPr>
        <w:rPr>
          <w:color w:val="auto"/>
          <w:sz w:val="36"/>
          <w:szCs w:val="36"/>
        </w:rPr>
      </w:pPr>
    </w:p>
    <w:p>
      <w:pPr>
        <w:pStyle w:val="2"/>
        <w:rPr>
          <w:color w:val="auto"/>
          <w:sz w:val="36"/>
          <w:szCs w:val="36"/>
        </w:rPr>
      </w:pPr>
    </w:p>
    <w:p>
      <w:pPr>
        <w:rPr>
          <w:color w:val="auto"/>
          <w:sz w:val="36"/>
          <w:szCs w:val="36"/>
        </w:rPr>
      </w:pPr>
    </w:p>
    <w:p>
      <w:pPr>
        <w:pStyle w:val="2"/>
        <w:rPr>
          <w:color w:val="auto"/>
          <w:sz w:val="36"/>
          <w:szCs w:val="36"/>
        </w:rPr>
      </w:pPr>
    </w:p>
    <w:p>
      <w:pPr>
        <w:rPr>
          <w:color w:val="auto"/>
          <w:sz w:val="36"/>
          <w:szCs w:val="36"/>
        </w:rPr>
      </w:pPr>
    </w:p>
    <w:p>
      <w:pPr>
        <w:pStyle w:val="2"/>
        <w:rPr>
          <w:color w:val="auto"/>
          <w:sz w:val="36"/>
          <w:szCs w:val="36"/>
        </w:rPr>
      </w:pPr>
    </w:p>
    <w:p>
      <w:pPr>
        <w:rPr>
          <w:color w:val="auto"/>
        </w:rPr>
      </w:pPr>
    </w:p>
    <w:p>
      <w:pPr>
        <w:rPr>
          <w:color w:val="auto"/>
        </w:rPr>
      </w:pPr>
    </w:p>
    <w:p>
      <w:pPr>
        <w:pStyle w:val="3"/>
        <w:spacing w:before="120" w:after="0" w:line="360" w:lineRule="auto"/>
        <w:jc w:val="center"/>
        <w:rPr>
          <w:color w:val="auto"/>
          <w:sz w:val="36"/>
          <w:szCs w:val="36"/>
        </w:rPr>
      </w:pPr>
      <w:bookmarkStart w:id="16" w:name="_Toc17949"/>
      <w:bookmarkStart w:id="17" w:name="_Toc2618"/>
      <w:r>
        <w:rPr>
          <w:color w:val="auto"/>
          <w:sz w:val="36"/>
          <w:szCs w:val="36"/>
        </w:rPr>
        <w:t>第一章 概述</w:t>
      </w:r>
      <w:bookmarkEnd w:id="16"/>
      <w:bookmarkEnd w:id="17"/>
    </w:p>
    <w:bookmarkEnd w:id="0"/>
    <w:bookmarkEnd w:id="1"/>
    <w:bookmarkEnd w:id="2"/>
    <w:bookmarkEnd w:id="3"/>
    <w:bookmarkEnd w:id="4"/>
    <w:bookmarkEnd w:id="5"/>
    <w:bookmarkEnd w:id="6"/>
    <w:p>
      <w:pPr>
        <w:pStyle w:val="4"/>
        <w:spacing w:line="520" w:lineRule="exact"/>
        <w:rPr>
          <w:rFonts w:ascii="Times New Roman" w:hAnsi="Times New Roman"/>
          <w:b/>
          <w:color w:val="auto"/>
        </w:rPr>
      </w:pPr>
      <w:bookmarkStart w:id="18" w:name="_Toc11339"/>
      <w:bookmarkStart w:id="19" w:name="_Toc19013"/>
      <w:r>
        <w:rPr>
          <w:rFonts w:ascii="Times New Roman" w:hAnsi="Times New Roman"/>
          <w:b/>
          <w:color w:val="auto"/>
        </w:rPr>
        <w:t>1.1项目由来</w:t>
      </w:r>
      <w:bookmarkEnd w:id="18"/>
      <w:bookmarkEnd w:id="19"/>
    </w:p>
    <w:p>
      <w:pPr>
        <w:pStyle w:val="112"/>
        <w:keepNext w:val="0"/>
        <w:keepLines w:val="0"/>
        <w:pageBreakBefore w:val="0"/>
        <w:widowControl w:val="0"/>
        <w:kinsoku/>
        <w:wordWrap/>
        <w:overflowPunct/>
        <w:topLinePunct w:val="0"/>
        <w:autoSpaceDE/>
        <w:autoSpaceDN/>
        <w:bidi w:val="0"/>
        <w:adjustRightInd w:val="0"/>
        <w:snapToGrid w:val="0"/>
        <w:spacing w:line="520" w:lineRule="exact"/>
        <w:ind w:left="0" w:leftChars="0" w:right="0" w:rightChars="0" w:firstLine="472" w:firstLineChars="200"/>
        <w:jc w:val="both"/>
        <w:textAlignment w:val="auto"/>
        <w:outlineLvl w:val="9"/>
        <w:rPr>
          <w:rFonts w:hint="default" w:ascii="Times New Roman" w:hAnsi="Times New Roman" w:cs="Times New Roman"/>
          <w:color w:val="auto"/>
          <w:kern w:val="2"/>
          <w:sz w:val="24"/>
          <w:szCs w:val="20"/>
          <w:lang w:val="en-US" w:eastAsia="zh-CN" w:bidi="ar-SA"/>
        </w:rPr>
      </w:pPr>
      <w:r>
        <w:rPr>
          <w:rFonts w:hint="eastAsia" w:ascii="Times New Roman" w:hAnsi="Times New Roman" w:eastAsia="宋体" w:cs="Times New Roman"/>
          <w:color w:val="auto"/>
          <w:sz w:val="24"/>
          <w:lang w:eastAsia="zh-CN"/>
        </w:rPr>
        <w:t>宁国市天马复合材料有限公司成立于</w:t>
      </w:r>
      <w:r>
        <w:rPr>
          <w:rFonts w:hint="eastAsia" w:ascii="Times New Roman" w:hAnsi="Times New Roman" w:eastAsia="宋体" w:cs="Times New Roman"/>
          <w:color w:val="auto"/>
          <w:sz w:val="24"/>
          <w:lang w:val="en-US" w:eastAsia="zh-CN"/>
        </w:rPr>
        <w:t>2018年1月，租用宁国市河沥园区佳乐卫生用品公司闲置厂房2581.6平方米，</w:t>
      </w:r>
      <w:r>
        <w:rPr>
          <w:rFonts w:hint="eastAsia" w:ascii="Times New Roman" w:hAnsi="Times New Roman" w:cs="Times New Roman"/>
          <w:color w:val="auto"/>
          <w:sz w:val="24"/>
          <w:lang w:val="en-US" w:eastAsia="zh-CN"/>
        </w:rPr>
        <w:t>该项目总投资</w:t>
      </w:r>
      <w:r>
        <w:rPr>
          <w:rFonts w:hint="eastAsia" w:ascii="Times New Roman" w:hAnsi="Times New Roman" w:eastAsia="宋体" w:cs="Times New Roman"/>
          <w:color w:val="auto"/>
          <w:sz w:val="24"/>
          <w:lang w:val="en-US" w:eastAsia="zh-CN"/>
        </w:rPr>
        <w:t>1200万元</w:t>
      </w:r>
      <w:r>
        <w:rPr>
          <w:rFonts w:hint="eastAsia" w:cs="Times New Roman"/>
          <w:color w:val="auto"/>
          <w:sz w:val="24"/>
          <w:lang w:val="en-US" w:eastAsia="zh-CN"/>
        </w:rPr>
        <w:t>，</w:t>
      </w:r>
      <w:r>
        <w:rPr>
          <w:rFonts w:hint="eastAsia" w:ascii="Times New Roman" w:hAnsi="Times New Roman" w:eastAsia="宋体" w:cs="Times New Roman"/>
          <w:color w:val="auto"/>
          <w:sz w:val="24"/>
          <w:lang w:val="en-US" w:eastAsia="zh-CN"/>
        </w:rPr>
        <w:t>购置辊涂机、搅拌机、烘干线、废气处理设施等设备若干台/套，建设</w:t>
      </w:r>
      <w:r>
        <w:rPr>
          <w:rFonts w:hint="eastAsia" w:ascii="Times New Roman" w:hAnsi="Times New Roman" w:eastAsia="宋体" w:cs="Times New Roman"/>
          <w:color w:val="auto"/>
          <w:sz w:val="24"/>
          <w:lang w:eastAsia="zh-CN"/>
        </w:rPr>
        <w:t>年产60万平方米金属橡胶发泡板及涂层板项目。</w:t>
      </w:r>
      <w:r>
        <w:rPr>
          <w:rFonts w:hint="eastAsia" w:ascii="Times New Roman" w:hAnsi="Times New Roman" w:eastAsia="宋体" w:cs="Times New Roman"/>
          <w:color w:val="auto"/>
          <w:sz w:val="24"/>
          <w:lang w:val="en-US" w:eastAsia="zh-CN"/>
        </w:rPr>
        <w:t>项目建成后，形成</w:t>
      </w:r>
      <w:r>
        <w:rPr>
          <w:rFonts w:hint="eastAsia" w:ascii="Times New Roman" w:hAnsi="Times New Roman" w:eastAsia="宋体" w:cs="Times New Roman"/>
          <w:color w:val="auto"/>
          <w:sz w:val="24"/>
          <w:lang w:eastAsia="zh-CN"/>
        </w:rPr>
        <w:t>年产60万平方米金属橡胶发泡板及涂层板的能力</w:t>
      </w:r>
      <w:r>
        <w:rPr>
          <w:color w:val="auto"/>
          <w:sz w:val="24"/>
        </w:rPr>
        <w:t>。</w:t>
      </w:r>
      <w:r>
        <w:rPr>
          <w:rFonts w:hint="eastAsia" w:ascii="Times New Roman" w:hAnsi="Times New Roman" w:eastAsia="宋体" w:cs="Times New Roman"/>
          <w:color w:val="auto"/>
          <w:sz w:val="24"/>
          <w:lang w:eastAsia="zh-CN"/>
        </w:rPr>
        <w:t>该项目</w:t>
      </w:r>
      <w:r>
        <w:rPr>
          <w:rFonts w:hint="default" w:ascii="Times New Roman" w:hAnsi="Times New Roman" w:cs="Times New Roman"/>
          <w:color w:val="auto"/>
          <w:kern w:val="2"/>
          <w:sz w:val="24"/>
          <w:szCs w:val="20"/>
          <w:lang w:val="en-US" w:eastAsia="zh-CN" w:bidi="ar-SA"/>
        </w:rPr>
        <w:t>经宁国经济技</w:t>
      </w:r>
      <w:r>
        <w:rPr>
          <w:rFonts w:hint="eastAsia" w:ascii="Times New Roman" w:hAnsi="Times New Roman" w:cs="Times New Roman"/>
          <w:color w:val="auto"/>
          <w:kern w:val="2"/>
          <w:sz w:val="24"/>
          <w:szCs w:val="20"/>
          <w:lang w:val="en-US" w:eastAsia="zh-CN" w:bidi="ar-SA"/>
        </w:rPr>
        <w:t>术开发区管委会备案，备案文号：宁开发项[2018]7号。该项目于2018年4月9日经原宁国市环保局审批，批文为：宁环审批</w:t>
      </w:r>
      <w:r>
        <w:rPr>
          <w:rFonts w:hint="eastAsia" w:ascii="宋体" w:hAnsi="宋体" w:eastAsia="宋体" w:cs="宋体"/>
          <w:color w:val="auto"/>
          <w:kern w:val="2"/>
          <w:sz w:val="24"/>
          <w:szCs w:val="20"/>
          <w:lang w:val="en-US" w:eastAsia="zh-CN" w:bidi="ar-SA"/>
        </w:rPr>
        <w:t>[2018]24号。</w:t>
      </w:r>
    </w:p>
    <w:p>
      <w:pPr>
        <w:widowControl/>
        <w:spacing w:line="520" w:lineRule="exact"/>
        <w:ind w:firstLine="480" w:firstLineChars="200"/>
        <w:rPr>
          <w:rFonts w:hint="eastAsia"/>
          <w:color w:val="auto"/>
          <w:kern w:val="0"/>
          <w:sz w:val="24"/>
          <w:lang w:eastAsia="zh-CN"/>
        </w:rPr>
      </w:pPr>
      <w:r>
        <w:rPr>
          <w:color w:val="auto"/>
          <w:kern w:val="0"/>
          <w:sz w:val="24"/>
        </w:rPr>
        <w:t>为了公司的长远发展及市场产品需求的扩大，</w:t>
      </w:r>
      <w:r>
        <w:rPr>
          <w:rFonts w:hint="eastAsia"/>
          <w:color w:val="auto"/>
          <w:kern w:val="0"/>
          <w:sz w:val="24"/>
          <w:lang w:eastAsia="zh-CN"/>
        </w:rPr>
        <w:t>现有厂区无法满足公司生产需要，同时公司为了节约成本，决定将配胶原料中的混炼胶执行生产，不再外购。</w:t>
      </w:r>
    </w:p>
    <w:p>
      <w:pPr>
        <w:widowControl/>
        <w:spacing w:line="520" w:lineRule="exact"/>
        <w:ind w:firstLine="480" w:firstLineChars="200"/>
        <w:rPr>
          <w:color w:val="auto"/>
          <w:kern w:val="0"/>
          <w:sz w:val="24"/>
        </w:rPr>
      </w:pPr>
      <w:r>
        <w:rPr>
          <w:rFonts w:hint="eastAsia"/>
          <w:color w:val="auto"/>
          <w:kern w:val="0"/>
          <w:sz w:val="24"/>
          <w:lang w:eastAsia="zh-CN"/>
        </w:rPr>
        <w:t>为此，</w:t>
      </w:r>
      <w:r>
        <w:rPr>
          <w:color w:val="auto"/>
          <w:kern w:val="0"/>
          <w:sz w:val="24"/>
        </w:rPr>
        <w:t>公司</w:t>
      </w:r>
      <w:r>
        <w:rPr>
          <w:rFonts w:hint="eastAsia"/>
          <w:color w:val="auto"/>
          <w:kern w:val="0"/>
          <w:sz w:val="24"/>
          <w:lang w:eastAsia="zh-CN"/>
        </w:rPr>
        <w:t>经研究</w:t>
      </w:r>
      <w:r>
        <w:rPr>
          <w:color w:val="auto"/>
          <w:kern w:val="0"/>
          <w:sz w:val="24"/>
        </w:rPr>
        <w:t>决定投资建设</w:t>
      </w:r>
      <w:r>
        <w:rPr>
          <w:rFonts w:hint="eastAsia"/>
          <w:color w:val="auto"/>
          <w:kern w:val="0"/>
          <w:sz w:val="24"/>
          <w:lang w:eastAsia="zh-CN"/>
        </w:rPr>
        <w:t>汽车平面密封材料和汽车橡胶密封件生产项目</w:t>
      </w:r>
      <w:r>
        <w:rPr>
          <w:color w:val="auto"/>
          <w:kern w:val="0"/>
          <w:sz w:val="24"/>
        </w:rPr>
        <w:t>，该项目总投资</w:t>
      </w:r>
      <w:r>
        <w:rPr>
          <w:rFonts w:hint="eastAsia"/>
          <w:color w:val="auto"/>
          <w:kern w:val="0"/>
          <w:sz w:val="24"/>
          <w:lang w:val="en-US" w:eastAsia="zh-CN"/>
        </w:rPr>
        <w:t>11000</w:t>
      </w:r>
      <w:r>
        <w:rPr>
          <w:color w:val="auto"/>
          <w:kern w:val="0"/>
          <w:sz w:val="24"/>
        </w:rPr>
        <w:t>万元，</w:t>
      </w:r>
      <w:r>
        <w:rPr>
          <w:rFonts w:hint="eastAsia"/>
          <w:color w:val="auto"/>
          <w:kern w:val="0"/>
          <w:sz w:val="24"/>
          <w:lang w:eastAsia="zh-CN"/>
        </w:rPr>
        <w:t>共分</w:t>
      </w:r>
      <w:r>
        <w:rPr>
          <w:rFonts w:hint="eastAsia"/>
          <w:color w:val="auto"/>
          <w:kern w:val="0"/>
          <w:sz w:val="24"/>
          <w:lang w:val="en-US" w:eastAsia="zh-CN"/>
        </w:rPr>
        <w:t>2期建设。</w:t>
      </w:r>
      <w:r>
        <w:rPr>
          <w:color w:val="auto"/>
          <w:kern w:val="0"/>
          <w:sz w:val="24"/>
        </w:rPr>
        <w:t>建设内容为：</w:t>
      </w:r>
      <w:r>
        <w:rPr>
          <w:rFonts w:hint="eastAsia"/>
          <w:color w:val="auto"/>
          <w:kern w:val="0"/>
          <w:sz w:val="24"/>
          <w:lang w:eastAsia="zh-CN"/>
        </w:rPr>
        <w:t>项目一期总投资</w:t>
      </w:r>
      <w:r>
        <w:rPr>
          <w:rFonts w:hint="eastAsia"/>
          <w:color w:val="auto"/>
          <w:kern w:val="0"/>
          <w:sz w:val="24"/>
          <w:lang w:val="en-US" w:eastAsia="zh-CN"/>
        </w:rPr>
        <w:t>6000万元（固投4500万元），租赁宁国市德胜建筑机械有限公司厂房2640平方米，购置搅拌机、切条机、复合机等设备若干台（套），一期建成达产后，可形成年产100万平方米金属橡胶复合密封材料和年产100万套汽车橡胶密封件的生产能力。项目二期总投资5000万元(固投4000万元)，计划购置约20亩土地建设生产车间5000平米，添置生产设备若干台(套)。</w:t>
      </w:r>
      <w:r>
        <w:rPr>
          <w:color w:val="auto"/>
          <w:kern w:val="0"/>
          <w:sz w:val="24"/>
        </w:rPr>
        <w:t>该项目已经宁国经开区（港口产业园）管委会备案，项目代码</w:t>
      </w:r>
      <w:r>
        <w:rPr>
          <w:rFonts w:hint="eastAsia"/>
          <w:color w:val="auto"/>
          <w:kern w:val="0"/>
          <w:sz w:val="24"/>
          <w:lang w:eastAsia="zh-CN"/>
        </w:rPr>
        <w:t>2019-341862-29-03-016506</w:t>
      </w:r>
      <w:r>
        <w:rPr>
          <w:color w:val="auto"/>
          <w:kern w:val="0"/>
          <w:sz w:val="24"/>
        </w:rPr>
        <w:t>。</w:t>
      </w:r>
    </w:p>
    <w:p>
      <w:pPr>
        <w:widowControl/>
        <w:spacing w:line="520" w:lineRule="exact"/>
        <w:ind w:firstLine="482" w:firstLineChars="200"/>
        <w:rPr>
          <w:rFonts w:hint="eastAsia" w:eastAsia="宋体"/>
          <w:b/>
          <w:bCs/>
          <w:color w:val="auto"/>
          <w:kern w:val="0"/>
          <w:sz w:val="24"/>
          <w:lang w:val="en-US" w:eastAsia="zh-CN"/>
        </w:rPr>
      </w:pPr>
      <w:r>
        <w:rPr>
          <w:rFonts w:hint="eastAsia"/>
          <w:b/>
          <w:bCs/>
          <w:color w:val="auto"/>
          <w:kern w:val="0"/>
          <w:sz w:val="24"/>
          <w:lang w:val="en-US" w:eastAsia="zh-CN"/>
        </w:rPr>
        <w:t>本项目仅对一期建设内容进行评价，二期建设需另行环评。一期建设生产的主要产品为100万平方米金属橡胶复合密封材料，100万套汽车橡胶密封件不在本次环评评价范围内。</w:t>
      </w:r>
    </w:p>
    <w:p>
      <w:pPr>
        <w:widowControl/>
        <w:spacing w:line="520" w:lineRule="exact"/>
        <w:ind w:firstLine="480" w:firstLineChars="200"/>
        <w:rPr>
          <w:bCs/>
          <w:color w:val="auto"/>
          <w:sz w:val="24"/>
        </w:rPr>
      </w:pPr>
      <w:r>
        <w:rPr>
          <w:color w:val="auto"/>
          <w:kern w:val="0"/>
          <w:sz w:val="24"/>
        </w:rPr>
        <w:t>本项目属于《建设项目环境影响评价分类管理</w:t>
      </w:r>
      <w:r>
        <w:rPr>
          <w:bCs/>
          <w:color w:val="auto"/>
          <w:sz w:val="24"/>
        </w:rPr>
        <w:t>名录》（2018年修正）中 “十八、橡胶和塑料制品业”中“46轮胎制造、再生橡胶制造、橡胶加工、橡胶制品制造及翻新”的“有炼化及硫化工艺的”类别，应编制环境影响报告书。</w:t>
      </w:r>
      <w:r>
        <w:rPr>
          <w:rFonts w:hint="eastAsia"/>
          <w:bCs/>
          <w:color w:val="auto"/>
          <w:sz w:val="24"/>
          <w:lang w:eastAsia="zh-CN"/>
        </w:rPr>
        <w:t>综合各行业编制等级要求，本项目应编制环境影响评价报告书。</w:t>
      </w:r>
    </w:p>
    <w:p>
      <w:pPr>
        <w:spacing w:line="520" w:lineRule="exact"/>
        <w:ind w:firstLine="480" w:firstLineChars="200"/>
        <w:rPr>
          <w:color w:val="auto"/>
          <w:sz w:val="24"/>
        </w:rPr>
      </w:pPr>
      <w:r>
        <w:rPr>
          <w:color w:val="auto"/>
          <w:sz w:val="24"/>
        </w:rPr>
        <w:t>根据《中华人民共和国环境影响评价法》和《建设项目环境保护管理条例》等有关规定，</w:t>
      </w:r>
      <w:r>
        <w:rPr>
          <w:rFonts w:hint="eastAsia"/>
          <w:bCs/>
          <w:color w:val="auto"/>
          <w:kern w:val="0"/>
          <w:sz w:val="24"/>
          <w:lang w:eastAsia="zh-CN"/>
        </w:rPr>
        <w:t>宁国市天马复合材料有限公司</w:t>
      </w:r>
      <w:r>
        <w:rPr>
          <w:bCs/>
          <w:color w:val="auto"/>
          <w:sz w:val="24"/>
        </w:rPr>
        <w:t>于2020</w:t>
      </w:r>
      <w:r>
        <w:rPr>
          <w:rFonts w:hint="eastAsia"/>
          <w:bCs/>
          <w:color w:val="auto"/>
          <w:sz w:val="24"/>
          <w:lang w:eastAsia="zh-CN"/>
        </w:rPr>
        <w:t>年</w:t>
      </w:r>
      <w:r>
        <w:rPr>
          <w:rFonts w:hint="eastAsia"/>
          <w:bCs/>
          <w:color w:val="auto"/>
          <w:sz w:val="24"/>
          <w:lang w:val="en-US" w:eastAsia="zh-CN"/>
        </w:rPr>
        <w:t>8</w:t>
      </w:r>
      <w:r>
        <w:rPr>
          <w:rFonts w:hint="eastAsia"/>
          <w:bCs/>
          <w:color w:val="auto"/>
          <w:sz w:val="24"/>
          <w:lang w:eastAsia="zh-CN"/>
        </w:rPr>
        <w:t>月2日</w:t>
      </w:r>
      <w:r>
        <w:rPr>
          <w:bCs/>
          <w:color w:val="auto"/>
          <w:sz w:val="24"/>
        </w:rPr>
        <w:t>委托安徽资环环境工程有限公司承担</w:t>
      </w:r>
      <w:r>
        <w:rPr>
          <w:rFonts w:hint="eastAsia"/>
          <w:bCs/>
          <w:color w:val="auto"/>
          <w:sz w:val="24"/>
          <w:lang w:eastAsia="zh-CN"/>
        </w:rPr>
        <w:t>汽车平面密封材料和汽车橡胶密封件生产项目</w:t>
      </w:r>
      <w:r>
        <w:rPr>
          <w:color w:val="auto"/>
          <w:sz w:val="24"/>
        </w:rPr>
        <w:t>环境影响评价工作。</w:t>
      </w:r>
    </w:p>
    <w:p>
      <w:pPr>
        <w:spacing w:line="520" w:lineRule="exact"/>
        <w:ind w:firstLine="480" w:firstLineChars="200"/>
        <w:rPr>
          <w:color w:val="auto"/>
          <w:sz w:val="24"/>
        </w:rPr>
      </w:pPr>
      <w:r>
        <w:rPr>
          <w:color w:val="auto"/>
          <w:sz w:val="24"/>
        </w:rPr>
        <w:t>我单位在接受委托后，通过征求环保主管部门的意见，在收集与本项目相关技术资料、类比调研及现状监测和影响预测的基础上，按照国家环保政策及技术规范，编制了《</w:t>
      </w:r>
      <w:r>
        <w:rPr>
          <w:rFonts w:hint="eastAsia"/>
          <w:bCs/>
          <w:color w:val="auto"/>
          <w:kern w:val="0"/>
          <w:sz w:val="24"/>
          <w:lang w:eastAsia="zh-CN"/>
        </w:rPr>
        <w:t>宁国市天马复合材料有限公司汽车平面密封材料和汽车橡胶密封件生产项目</w:t>
      </w:r>
      <w:r>
        <w:rPr>
          <w:color w:val="auto"/>
          <w:sz w:val="24"/>
        </w:rPr>
        <w:t>环境影响报告书》，呈报主管部门审查。</w:t>
      </w:r>
    </w:p>
    <w:p>
      <w:pPr>
        <w:pStyle w:val="4"/>
        <w:spacing w:line="520" w:lineRule="exact"/>
        <w:rPr>
          <w:rFonts w:ascii="Times New Roman" w:hAnsi="Times New Roman"/>
          <w:b/>
          <w:color w:val="auto"/>
        </w:rPr>
      </w:pPr>
      <w:bookmarkStart w:id="20" w:name="_Toc13095"/>
      <w:bookmarkStart w:id="21" w:name="_Toc27704"/>
      <w:r>
        <w:rPr>
          <w:rFonts w:ascii="Times New Roman" w:hAnsi="Times New Roman"/>
          <w:b/>
          <w:color w:val="auto"/>
        </w:rPr>
        <w:t>1.2环境影响评价的工作过程</w:t>
      </w:r>
      <w:bookmarkEnd w:id="20"/>
      <w:bookmarkEnd w:id="21"/>
    </w:p>
    <w:p>
      <w:pPr>
        <w:spacing w:line="520" w:lineRule="exact"/>
        <w:ind w:firstLine="480" w:firstLineChars="200"/>
        <w:rPr>
          <w:color w:val="auto"/>
          <w:sz w:val="24"/>
        </w:rPr>
      </w:pPr>
      <w:r>
        <w:rPr>
          <w:color w:val="auto"/>
          <w:sz w:val="24"/>
        </w:rPr>
        <w:t>◆2020</w:t>
      </w:r>
      <w:r>
        <w:rPr>
          <w:rFonts w:hint="eastAsia"/>
          <w:color w:val="auto"/>
          <w:sz w:val="24"/>
          <w:lang w:eastAsia="zh-CN"/>
        </w:rPr>
        <w:t>年</w:t>
      </w:r>
      <w:r>
        <w:rPr>
          <w:rFonts w:hint="eastAsia"/>
          <w:color w:val="auto"/>
          <w:sz w:val="24"/>
          <w:lang w:val="en-US" w:eastAsia="zh-CN"/>
        </w:rPr>
        <w:t>8</w:t>
      </w:r>
      <w:r>
        <w:rPr>
          <w:rFonts w:hint="eastAsia"/>
          <w:color w:val="auto"/>
          <w:sz w:val="24"/>
          <w:lang w:eastAsia="zh-CN"/>
        </w:rPr>
        <w:t>月2日</w:t>
      </w:r>
      <w:r>
        <w:rPr>
          <w:color w:val="auto"/>
          <w:sz w:val="24"/>
        </w:rPr>
        <w:t>，受</w:t>
      </w:r>
      <w:r>
        <w:rPr>
          <w:rFonts w:hint="eastAsia"/>
          <w:color w:val="auto"/>
          <w:sz w:val="24"/>
          <w:lang w:eastAsia="zh-CN"/>
        </w:rPr>
        <w:t>宁国市天马复合材料有限公司</w:t>
      </w:r>
      <w:r>
        <w:rPr>
          <w:color w:val="auto"/>
          <w:sz w:val="24"/>
        </w:rPr>
        <w:t>委托，承担《</w:t>
      </w:r>
      <w:r>
        <w:rPr>
          <w:rFonts w:hint="eastAsia"/>
          <w:bCs/>
          <w:color w:val="auto"/>
          <w:kern w:val="0"/>
          <w:sz w:val="24"/>
          <w:lang w:eastAsia="zh-CN"/>
        </w:rPr>
        <w:t>汽车平面密封材料和汽车橡胶密封件生产项目</w:t>
      </w:r>
      <w:r>
        <w:rPr>
          <w:color w:val="auto"/>
          <w:sz w:val="24"/>
        </w:rPr>
        <w:t>环境影响评价报告书》的编制工作。</w:t>
      </w:r>
    </w:p>
    <w:p>
      <w:pPr>
        <w:spacing w:line="520" w:lineRule="exact"/>
        <w:ind w:firstLine="480" w:firstLineChars="200"/>
        <w:rPr>
          <w:color w:val="auto"/>
          <w:sz w:val="24"/>
        </w:rPr>
      </w:pPr>
      <w:r>
        <w:rPr>
          <w:color w:val="auto"/>
          <w:sz w:val="24"/>
        </w:rPr>
        <w:t>◆2020年</w:t>
      </w:r>
      <w:r>
        <w:rPr>
          <w:rFonts w:hint="eastAsia"/>
          <w:color w:val="auto"/>
          <w:sz w:val="24"/>
          <w:lang w:val="en-US" w:eastAsia="zh-CN"/>
        </w:rPr>
        <w:t>8</w:t>
      </w:r>
      <w:r>
        <w:rPr>
          <w:color w:val="auto"/>
          <w:sz w:val="24"/>
        </w:rPr>
        <w:t>月</w:t>
      </w:r>
      <w:r>
        <w:rPr>
          <w:rFonts w:hint="eastAsia"/>
          <w:color w:val="auto"/>
          <w:sz w:val="24"/>
          <w:lang w:val="en-US" w:eastAsia="zh-CN"/>
        </w:rPr>
        <w:t>8</w:t>
      </w:r>
      <w:r>
        <w:rPr>
          <w:color w:val="auto"/>
          <w:sz w:val="24"/>
        </w:rPr>
        <w:t>日，该项目环评第一次公示在</w:t>
      </w:r>
      <w:r>
        <w:rPr>
          <w:rFonts w:hint="eastAsia"/>
          <w:color w:val="auto"/>
          <w:sz w:val="24"/>
        </w:rPr>
        <w:t>宁国市人民政府网站</w:t>
      </w:r>
      <w:r>
        <w:rPr>
          <w:color w:val="auto"/>
          <w:sz w:val="24"/>
        </w:rPr>
        <w:t>上发布。</w:t>
      </w:r>
    </w:p>
    <w:p>
      <w:pPr>
        <w:spacing w:line="520" w:lineRule="exact"/>
        <w:ind w:firstLine="480" w:firstLineChars="200"/>
        <w:rPr>
          <w:color w:val="auto"/>
          <w:sz w:val="24"/>
        </w:rPr>
      </w:pPr>
      <w:r>
        <w:rPr>
          <w:snapToGrid w:val="0"/>
          <w:color w:val="auto"/>
          <w:kern w:val="0"/>
          <w:sz w:val="24"/>
        </w:rPr>
        <w:t>◆20</w:t>
      </w:r>
      <w:r>
        <w:rPr>
          <w:rFonts w:hint="eastAsia"/>
          <w:snapToGrid w:val="0"/>
          <w:color w:val="auto"/>
          <w:kern w:val="0"/>
          <w:sz w:val="24"/>
        </w:rPr>
        <w:t>20</w:t>
      </w:r>
      <w:r>
        <w:rPr>
          <w:snapToGrid w:val="0"/>
          <w:color w:val="auto"/>
          <w:kern w:val="0"/>
          <w:sz w:val="24"/>
        </w:rPr>
        <w:t>年</w:t>
      </w:r>
      <w:r>
        <w:rPr>
          <w:rFonts w:hint="eastAsia"/>
          <w:snapToGrid w:val="0"/>
          <w:color w:val="auto"/>
          <w:kern w:val="0"/>
          <w:sz w:val="24"/>
          <w:lang w:val="en-US" w:eastAsia="zh-CN"/>
        </w:rPr>
        <w:t>8</w:t>
      </w:r>
      <w:r>
        <w:rPr>
          <w:snapToGrid w:val="0"/>
          <w:color w:val="auto"/>
          <w:kern w:val="0"/>
          <w:sz w:val="24"/>
        </w:rPr>
        <w:t>月14-20日，委托宁国市浚成环境监测有限公司对项目区进行现状监测。</w:t>
      </w:r>
    </w:p>
    <w:p>
      <w:pPr>
        <w:spacing w:line="520" w:lineRule="exact"/>
        <w:ind w:firstLine="480" w:firstLineChars="200"/>
        <w:rPr>
          <w:color w:val="auto"/>
        </w:rPr>
      </w:pPr>
      <w:r>
        <w:rPr>
          <w:color w:val="auto"/>
          <w:sz w:val="24"/>
        </w:rPr>
        <w:t>◆20</w:t>
      </w:r>
      <w:r>
        <w:rPr>
          <w:rFonts w:hint="eastAsia"/>
          <w:color w:val="auto"/>
          <w:sz w:val="24"/>
        </w:rPr>
        <w:t>20</w:t>
      </w:r>
      <w:r>
        <w:rPr>
          <w:color w:val="auto"/>
          <w:sz w:val="24"/>
        </w:rPr>
        <w:t>年</w:t>
      </w:r>
      <w:r>
        <w:rPr>
          <w:rFonts w:hint="eastAsia"/>
          <w:color w:val="auto"/>
          <w:sz w:val="24"/>
          <w:lang w:val="en-US" w:eastAsia="zh-CN"/>
        </w:rPr>
        <w:t>9</w:t>
      </w:r>
      <w:r>
        <w:rPr>
          <w:color w:val="auto"/>
          <w:sz w:val="24"/>
        </w:rPr>
        <w:t>月</w:t>
      </w:r>
      <w:r>
        <w:rPr>
          <w:rFonts w:hint="eastAsia"/>
          <w:color w:val="auto"/>
          <w:sz w:val="24"/>
        </w:rPr>
        <w:t>1</w:t>
      </w:r>
      <w:r>
        <w:rPr>
          <w:rFonts w:hint="eastAsia"/>
          <w:color w:val="auto"/>
          <w:sz w:val="24"/>
          <w:lang w:val="en-US" w:eastAsia="zh-CN"/>
        </w:rPr>
        <w:t>5</w:t>
      </w:r>
      <w:r>
        <w:rPr>
          <w:color w:val="auto"/>
          <w:sz w:val="24"/>
        </w:rPr>
        <w:t>日，该项目环评第二次公示在</w:t>
      </w:r>
      <w:r>
        <w:rPr>
          <w:rFonts w:hint="eastAsia"/>
          <w:color w:val="auto"/>
          <w:sz w:val="24"/>
        </w:rPr>
        <w:t>宁国市人民政府网站</w:t>
      </w:r>
      <w:r>
        <w:rPr>
          <w:color w:val="auto"/>
          <w:sz w:val="24"/>
        </w:rPr>
        <w:t>上发布。</w:t>
      </w:r>
    </w:p>
    <w:p>
      <w:pPr>
        <w:spacing w:line="520" w:lineRule="exact"/>
        <w:ind w:firstLine="480" w:firstLineChars="200"/>
        <w:rPr>
          <w:color w:val="auto"/>
          <w:sz w:val="24"/>
        </w:rPr>
      </w:pPr>
      <w:r>
        <w:rPr>
          <w:color w:val="auto"/>
          <w:sz w:val="24"/>
        </w:rPr>
        <w:t>◆2020年</w:t>
      </w:r>
      <w:r>
        <w:rPr>
          <w:rFonts w:hint="eastAsia"/>
          <w:color w:val="auto"/>
          <w:sz w:val="24"/>
          <w:lang w:val="en-US" w:eastAsia="zh-CN"/>
        </w:rPr>
        <w:t>9</w:t>
      </w:r>
      <w:r>
        <w:rPr>
          <w:color w:val="auto"/>
          <w:sz w:val="24"/>
        </w:rPr>
        <w:t>月，根据项目单位提供的技术资料进行工程分析，确定评价思路、评价重点及各环境要素评价等级，项目课题组根据分工进行各专题编写、汇总，提出污染防治对策并论证其可行性，得出项目建设的环境可行性结论。</w:t>
      </w:r>
    </w:p>
    <w:p>
      <w:pPr>
        <w:pStyle w:val="4"/>
        <w:spacing w:line="520" w:lineRule="exact"/>
        <w:rPr>
          <w:rFonts w:ascii="Times New Roman" w:hAnsi="Times New Roman"/>
          <w:b/>
          <w:color w:val="auto"/>
        </w:rPr>
      </w:pPr>
      <w:bookmarkStart w:id="22" w:name="_Toc7691"/>
      <w:bookmarkStart w:id="23" w:name="_Toc6619"/>
      <w:r>
        <w:rPr>
          <w:rFonts w:ascii="Times New Roman" w:hAnsi="Times New Roman"/>
          <w:b/>
          <w:color w:val="auto"/>
        </w:rPr>
        <w:t>1.3关注的主要环境问题</w:t>
      </w:r>
      <w:bookmarkEnd w:id="22"/>
      <w:bookmarkEnd w:id="23"/>
    </w:p>
    <w:p>
      <w:pPr>
        <w:spacing w:line="520" w:lineRule="exact"/>
        <w:ind w:firstLine="480" w:firstLineChars="200"/>
        <w:rPr>
          <w:color w:val="auto"/>
          <w:sz w:val="24"/>
        </w:rPr>
      </w:pPr>
      <w:r>
        <w:rPr>
          <w:color w:val="auto"/>
          <w:sz w:val="24"/>
        </w:rPr>
        <w:t>本次环境影响评价过程中关注的主要问题如下：</w:t>
      </w:r>
    </w:p>
    <w:p>
      <w:pPr>
        <w:spacing w:line="520" w:lineRule="exact"/>
        <w:ind w:firstLine="480" w:firstLineChars="200"/>
        <w:rPr>
          <w:color w:val="auto"/>
          <w:sz w:val="24"/>
        </w:rPr>
      </w:pPr>
      <w:r>
        <w:rPr>
          <w:color w:val="auto"/>
          <w:sz w:val="24"/>
        </w:rPr>
        <w:t>◆项目运营过程中产生的废气能否达标排放；</w:t>
      </w:r>
    </w:p>
    <w:p>
      <w:pPr>
        <w:spacing w:line="520" w:lineRule="exact"/>
        <w:ind w:firstLine="480" w:firstLineChars="200"/>
        <w:rPr>
          <w:color w:val="auto"/>
          <w:sz w:val="24"/>
        </w:rPr>
      </w:pPr>
      <w:r>
        <w:rPr>
          <w:color w:val="auto"/>
          <w:sz w:val="24"/>
        </w:rPr>
        <w:t>◆项目各类污染物采取的污染防治措施是否可行。</w:t>
      </w:r>
    </w:p>
    <w:p>
      <w:pPr>
        <w:pStyle w:val="4"/>
        <w:spacing w:line="520" w:lineRule="exact"/>
        <w:rPr>
          <w:rFonts w:ascii="Times New Roman" w:hAnsi="Times New Roman"/>
          <w:b/>
          <w:color w:val="auto"/>
          <w:szCs w:val="28"/>
        </w:rPr>
      </w:pPr>
      <w:bookmarkStart w:id="24" w:name="_Toc6334"/>
      <w:bookmarkStart w:id="25" w:name="_Toc27803"/>
      <w:r>
        <w:rPr>
          <w:rFonts w:ascii="Times New Roman" w:hAnsi="Times New Roman"/>
          <w:b/>
          <w:color w:val="auto"/>
          <w:szCs w:val="28"/>
        </w:rPr>
        <w:t>1.4“三线一单”分析</w:t>
      </w:r>
      <w:bookmarkEnd w:id="24"/>
      <w:bookmarkEnd w:id="25"/>
    </w:p>
    <w:p>
      <w:pPr>
        <w:spacing w:line="520" w:lineRule="exact"/>
        <w:ind w:firstLine="480" w:firstLineChars="200"/>
        <w:rPr>
          <w:color w:val="auto"/>
          <w:sz w:val="24"/>
        </w:rPr>
      </w:pPr>
      <w:r>
        <w:rPr>
          <w:color w:val="auto"/>
          <w:sz w:val="24"/>
        </w:rPr>
        <w:t>中华人民共和国环境保护部环环评[2016]150 号文《关于以改善环境质量为核心加强环境影响评价管理的通知》要求：为适应以改善环境质量为核心的环境管理要求，切实加强环境影响评价（以下简称环评）管理，落实“生态保护红线、环境质量底线、资源利用上线和环境准入负面清单”（以下简称“三线一单”）约束，建立项目环评审批与规划环评、现有项目环境管理、区域环境质量联动机制（以下简称“三挂钩”机制），更好地发挥环评制度从源头防范环境污染和生态破坏的作用，加快推进改善环境质量，见下表。</w:t>
      </w:r>
    </w:p>
    <w:p>
      <w:pPr>
        <w:spacing w:line="520" w:lineRule="exact"/>
        <w:jc w:val="center"/>
        <w:rPr>
          <w:b/>
          <w:color w:val="auto"/>
          <w:sz w:val="24"/>
        </w:rPr>
      </w:pPr>
      <w:r>
        <w:rPr>
          <w:b/>
          <w:color w:val="auto"/>
          <w:sz w:val="24"/>
        </w:rPr>
        <w:t xml:space="preserve">表1-1   </w:t>
      </w:r>
      <w:r>
        <w:rPr>
          <w:b/>
          <w:bCs/>
          <w:color w:val="auto"/>
          <w:sz w:val="24"/>
        </w:rPr>
        <w:t>“</w:t>
      </w:r>
      <w:r>
        <w:rPr>
          <w:b/>
          <w:color w:val="auto"/>
          <w:sz w:val="24"/>
        </w:rPr>
        <w:t>三线一单</w:t>
      </w:r>
      <w:r>
        <w:rPr>
          <w:b/>
          <w:bCs/>
          <w:color w:val="auto"/>
          <w:sz w:val="24"/>
        </w:rPr>
        <w:t>”</w:t>
      </w:r>
      <w:r>
        <w:rPr>
          <w:b/>
          <w:color w:val="auto"/>
          <w:sz w:val="24"/>
        </w:rPr>
        <w:t>符合性分析</w:t>
      </w:r>
    </w:p>
    <w:tbl>
      <w:tblPr>
        <w:tblStyle w:val="5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572"/>
        <w:gridCol w:w="3969"/>
        <w:gridCol w:w="12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8" w:hRule="exact"/>
        </w:trPr>
        <w:tc>
          <w:tcPr>
            <w:tcW w:w="3572" w:type="dxa"/>
            <w:tcBorders>
              <w:top w:val="single" w:color="auto" w:sz="4" w:space="0"/>
              <w:left w:val="single" w:color="auto" w:sz="4" w:space="0"/>
            </w:tcBorders>
            <w:tcMar>
              <w:left w:w="28" w:type="dxa"/>
              <w:right w:w="28" w:type="dxa"/>
            </w:tcMar>
            <w:vAlign w:val="center"/>
          </w:tcPr>
          <w:p>
            <w:pPr>
              <w:spacing w:line="280" w:lineRule="exact"/>
              <w:jc w:val="center"/>
              <w:rPr>
                <w:color w:val="auto"/>
                <w:szCs w:val="21"/>
              </w:rPr>
            </w:pPr>
            <w:r>
              <w:rPr>
                <w:color w:val="auto"/>
                <w:szCs w:val="21"/>
              </w:rPr>
              <w:t>环评[2016]50号文要求</w:t>
            </w:r>
          </w:p>
        </w:tc>
        <w:tc>
          <w:tcPr>
            <w:tcW w:w="3969" w:type="dxa"/>
            <w:tcBorders>
              <w:top w:val="single" w:color="auto" w:sz="4" w:space="0"/>
            </w:tcBorders>
            <w:tcMar>
              <w:left w:w="28" w:type="dxa"/>
              <w:right w:w="28" w:type="dxa"/>
            </w:tcMar>
            <w:vAlign w:val="center"/>
          </w:tcPr>
          <w:p>
            <w:pPr>
              <w:spacing w:line="280" w:lineRule="exact"/>
              <w:jc w:val="center"/>
              <w:rPr>
                <w:color w:val="auto"/>
                <w:szCs w:val="21"/>
              </w:rPr>
            </w:pPr>
            <w:r>
              <w:rPr>
                <w:color w:val="auto"/>
                <w:szCs w:val="21"/>
              </w:rPr>
              <w:t>本项目情况</w:t>
            </w:r>
          </w:p>
        </w:tc>
        <w:tc>
          <w:tcPr>
            <w:tcW w:w="1261" w:type="dxa"/>
            <w:tcBorders>
              <w:top w:val="single" w:color="auto" w:sz="4" w:space="0"/>
              <w:right w:val="single" w:color="auto" w:sz="4" w:space="0"/>
            </w:tcBorders>
            <w:tcMar>
              <w:left w:w="28" w:type="dxa"/>
              <w:right w:w="28" w:type="dxa"/>
            </w:tcMar>
            <w:vAlign w:val="center"/>
          </w:tcPr>
          <w:p>
            <w:pPr>
              <w:spacing w:line="280" w:lineRule="exact"/>
              <w:jc w:val="center"/>
              <w:rPr>
                <w:color w:val="auto"/>
                <w:szCs w:val="21"/>
              </w:rPr>
            </w:pPr>
            <w:r>
              <w:rPr>
                <w:color w:val="auto"/>
                <w:szCs w:val="21"/>
              </w:rPr>
              <w:t>相符性分析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73" w:hRule="exact"/>
        </w:trPr>
        <w:tc>
          <w:tcPr>
            <w:tcW w:w="3572" w:type="dxa"/>
            <w:tcBorders>
              <w:left w:val="single" w:color="auto" w:sz="4" w:space="0"/>
            </w:tcBorders>
            <w:tcMar>
              <w:left w:w="28" w:type="dxa"/>
              <w:right w:w="28" w:type="dxa"/>
            </w:tcMar>
            <w:vAlign w:val="center"/>
          </w:tcPr>
          <w:p>
            <w:pPr>
              <w:spacing w:line="280" w:lineRule="exact"/>
              <w:jc w:val="center"/>
              <w:rPr>
                <w:color w:val="auto"/>
                <w:szCs w:val="21"/>
              </w:rPr>
            </w:pPr>
            <w:r>
              <w:rPr>
                <w:color w:val="auto"/>
                <w:szCs w:val="21"/>
              </w:rPr>
              <w:t>生态保护红线是生态空间范围内具有特殊重要生态功能必须实行强制性严格保护的区域</w:t>
            </w:r>
          </w:p>
        </w:tc>
        <w:tc>
          <w:tcPr>
            <w:tcW w:w="3969" w:type="dxa"/>
            <w:tcMar>
              <w:left w:w="28" w:type="dxa"/>
              <w:right w:w="28" w:type="dxa"/>
            </w:tcMar>
            <w:vAlign w:val="center"/>
          </w:tcPr>
          <w:p>
            <w:pPr>
              <w:spacing w:line="280" w:lineRule="exact"/>
              <w:jc w:val="center"/>
              <w:rPr>
                <w:color w:val="auto"/>
                <w:szCs w:val="21"/>
              </w:rPr>
            </w:pPr>
            <w:r>
              <w:rPr>
                <w:color w:val="auto"/>
                <w:szCs w:val="21"/>
              </w:rPr>
              <w:t>项目位于</w:t>
            </w:r>
            <w:r>
              <w:rPr>
                <w:rFonts w:hint="eastAsia"/>
                <w:color w:val="auto"/>
                <w:szCs w:val="21"/>
                <w:lang w:eastAsia="zh-CN"/>
              </w:rPr>
              <w:t>安徽省宁国经济技术开发区河沥园区振宁路（宁国市德胜建筑机械有限公司内）</w:t>
            </w:r>
            <w:r>
              <w:rPr>
                <w:color w:val="auto"/>
                <w:szCs w:val="21"/>
              </w:rPr>
              <w:t>，厂区所在地不属于自然生态红线区，不涉及生态环境保护红线范围内用地，符合生态保护红线要求</w:t>
            </w:r>
          </w:p>
        </w:tc>
        <w:tc>
          <w:tcPr>
            <w:tcW w:w="1261" w:type="dxa"/>
            <w:tcBorders>
              <w:right w:val="single" w:color="auto" w:sz="4" w:space="0"/>
            </w:tcBorders>
            <w:tcMar>
              <w:left w:w="28" w:type="dxa"/>
              <w:right w:w="28" w:type="dxa"/>
            </w:tcMar>
            <w:vAlign w:val="center"/>
          </w:tcPr>
          <w:p>
            <w:pPr>
              <w:spacing w:line="280" w:lineRule="exact"/>
              <w:jc w:val="center"/>
              <w:rPr>
                <w:color w:val="auto"/>
                <w:szCs w:val="21"/>
              </w:rPr>
            </w:pPr>
            <w:r>
              <w:rPr>
                <w:color w:val="auto"/>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5" w:hRule="exact"/>
        </w:trPr>
        <w:tc>
          <w:tcPr>
            <w:tcW w:w="3572" w:type="dxa"/>
            <w:tcBorders>
              <w:left w:val="single" w:color="auto" w:sz="4" w:space="0"/>
            </w:tcBorders>
            <w:tcMar>
              <w:left w:w="28" w:type="dxa"/>
              <w:right w:w="28" w:type="dxa"/>
            </w:tcMar>
            <w:vAlign w:val="center"/>
          </w:tcPr>
          <w:p>
            <w:pPr>
              <w:spacing w:line="280" w:lineRule="exact"/>
              <w:jc w:val="center"/>
              <w:rPr>
                <w:color w:val="auto"/>
                <w:szCs w:val="21"/>
              </w:rPr>
            </w:pPr>
            <w:r>
              <w:rPr>
                <w:color w:val="auto"/>
                <w:szCs w:val="21"/>
              </w:rPr>
              <w:t>环境质量底线是国家和地方设置的大气、水和土壤环境质量目标，也是改善环境质量的基准线</w:t>
            </w:r>
          </w:p>
        </w:tc>
        <w:tc>
          <w:tcPr>
            <w:tcW w:w="3969" w:type="dxa"/>
            <w:tcMar>
              <w:left w:w="28" w:type="dxa"/>
              <w:right w:w="28" w:type="dxa"/>
            </w:tcMar>
            <w:vAlign w:val="center"/>
          </w:tcPr>
          <w:p>
            <w:pPr>
              <w:autoSpaceDE w:val="0"/>
              <w:autoSpaceDN w:val="0"/>
              <w:adjustRightInd w:val="0"/>
              <w:jc w:val="center"/>
              <w:rPr>
                <w:color w:val="auto"/>
                <w:kern w:val="0"/>
                <w:szCs w:val="21"/>
              </w:rPr>
            </w:pPr>
            <w:r>
              <w:rPr>
                <w:color w:val="auto"/>
                <w:kern w:val="0"/>
                <w:szCs w:val="21"/>
              </w:rPr>
              <w:t>项目营运期排放的污染物能够满足相应标准要求，不会改变区域环境功能</w:t>
            </w:r>
          </w:p>
        </w:tc>
        <w:tc>
          <w:tcPr>
            <w:tcW w:w="1261" w:type="dxa"/>
            <w:tcBorders>
              <w:right w:val="single" w:color="auto" w:sz="4" w:space="0"/>
            </w:tcBorders>
            <w:tcMar>
              <w:left w:w="28" w:type="dxa"/>
              <w:right w:w="28" w:type="dxa"/>
            </w:tcMar>
            <w:vAlign w:val="center"/>
          </w:tcPr>
          <w:p>
            <w:pPr>
              <w:spacing w:line="280" w:lineRule="exact"/>
              <w:jc w:val="center"/>
              <w:rPr>
                <w:color w:val="auto"/>
                <w:szCs w:val="21"/>
              </w:rPr>
            </w:pPr>
            <w:r>
              <w:rPr>
                <w:color w:val="auto"/>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4" w:hRule="exact"/>
        </w:trPr>
        <w:tc>
          <w:tcPr>
            <w:tcW w:w="3572" w:type="dxa"/>
            <w:tcBorders>
              <w:left w:val="single" w:color="auto" w:sz="4" w:space="0"/>
            </w:tcBorders>
            <w:tcMar>
              <w:left w:w="28" w:type="dxa"/>
              <w:right w:w="28" w:type="dxa"/>
            </w:tcMar>
            <w:vAlign w:val="center"/>
          </w:tcPr>
          <w:p>
            <w:pPr>
              <w:spacing w:line="280" w:lineRule="exact"/>
              <w:jc w:val="center"/>
              <w:rPr>
                <w:color w:val="auto"/>
                <w:szCs w:val="21"/>
              </w:rPr>
            </w:pPr>
            <w:r>
              <w:rPr>
                <w:color w:val="auto"/>
                <w:szCs w:val="21"/>
              </w:rPr>
              <w:t>资源是环境的载体，资源利用上线是各地区能源、水、土地等资源消耗不得突破的“天花板”</w:t>
            </w:r>
          </w:p>
        </w:tc>
        <w:tc>
          <w:tcPr>
            <w:tcW w:w="3969" w:type="dxa"/>
            <w:tcMar>
              <w:left w:w="28" w:type="dxa"/>
              <w:right w:w="28" w:type="dxa"/>
            </w:tcMar>
            <w:vAlign w:val="center"/>
          </w:tcPr>
          <w:p>
            <w:pPr>
              <w:autoSpaceDE w:val="0"/>
              <w:autoSpaceDN w:val="0"/>
              <w:adjustRightInd w:val="0"/>
              <w:jc w:val="center"/>
              <w:rPr>
                <w:color w:val="auto"/>
                <w:kern w:val="0"/>
                <w:szCs w:val="21"/>
              </w:rPr>
            </w:pPr>
            <w:r>
              <w:rPr>
                <w:color w:val="auto"/>
                <w:kern w:val="0"/>
                <w:szCs w:val="21"/>
              </w:rPr>
              <w:t>项目运营过程中消耗一定量的电能、水，项目资源消耗量相对区域资源利用总量较小，符合资源利用上限要求</w:t>
            </w:r>
          </w:p>
        </w:tc>
        <w:tc>
          <w:tcPr>
            <w:tcW w:w="1261" w:type="dxa"/>
            <w:tcBorders>
              <w:right w:val="single" w:color="auto" w:sz="4" w:space="0"/>
            </w:tcBorders>
            <w:tcMar>
              <w:left w:w="28" w:type="dxa"/>
              <w:right w:w="28" w:type="dxa"/>
            </w:tcMar>
            <w:vAlign w:val="center"/>
          </w:tcPr>
          <w:p>
            <w:pPr>
              <w:spacing w:line="280" w:lineRule="exact"/>
              <w:jc w:val="center"/>
              <w:rPr>
                <w:color w:val="auto"/>
                <w:szCs w:val="21"/>
              </w:rPr>
            </w:pPr>
            <w:r>
              <w:rPr>
                <w:color w:val="auto"/>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64" w:hRule="exact"/>
        </w:trPr>
        <w:tc>
          <w:tcPr>
            <w:tcW w:w="3572" w:type="dxa"/>
            <w:tcBorders>
              <w:left w:val="single" w:color="auto" w:sz="4" w:space="0"/>
            </w:tcBorders>
            <w:tcMar>
              <w:left w:w="28" w:type="dxa"/>
              <w:right w:w="28" w:type="dxa"/>
            </w:tcMar>
            <w:vAlign w:val="center"/>
          </w:tcPr>
          <w:p>
            <w:pPr>
              <w:autoSpaceDE w:val="0"/>
              <w:autoSpaceDN w:val="0"/>
              <w:adjustRightInd w:val="0"/>
              <w:jc w:val="center"/>
              <w:rPr>
                <w:color w:val="auto"/>
                <w:kern w:val="0"/>
                <w:szCs w:val="21"/>
              </w:rPr>
            </w:pPr>
            <w:r>
              <w:rPr>
                <w:color w:val="auto"/>
                <w:kern w:val="0"/>
                <w:szCs w:val="21"/>
              </w:rPr>
              <w:t>环境准入负面清单是基于生态保护红线、环境质量底线和资源利用上限，以清单方式列出的禁止、限制等差别化环境准入条件和要求</w:t>
            </w:r>
          </w:p>
        </w:tc>
        <w:tc>
          <w:tcPr>
            <w:tcW w:w="3969" w:type="dxa"/>
            <w:tcMar>
              <w:left w:w="28" w:type="dxa"/>
              <w:right w:w="28" w:type="dxa"/>
            </w:tcMar>
            <w:vAlign w:val="center"/>
          </w:tcPr>
          <w:p>
            <w:pPr>
              <w:autoSpaceDE w:val="0"/>
              <w:autoSpaceDN w:val="0"/>
              <w:adjustRightInd w:val="0"/>
              <w:jc w:val="center"/>
              <w:rPr>
                <w:color w:val="auto"/>
                <w:kern w:val="0"/>
                <w:szCs w:val="21"/>
              </w:rPr>
            </w:pPr>
            <w:r>
              <w:rPr>
                <w:color w:val="auto"/>
                <w:kern w:val="0"/>
                <w:szCs w:val="21"/>
              </w:rPr>
              <w:t>项目不属于《宣城市工业经济发展指南 (2016-2020)》、《宁国市企业投资项目负面清单》（2015年本）负面清单，满足环境准入负面清单要求</w:t>
            </w:r>
          </w:p>
        </w:tc>
        <w:tc>
          <w:tcPr>
            <w:tcW w:w="1261" w:type="dxa"/>
            <w:tcBorders>
              <w:right w:val="single" w:color="auto" w:sz="4" w:space="0"/>
            </w:tcBorders>
            <w:tcMar>
              <w:left w:w="28" w:type="dxa"/>
              <w:right w:w="28" w:type="dxa"/>
            </w:tcMar>
            <w:vAlign w:val="center"/>
          </w:tcPr>
          <w:p>
            <w:pPr>
              <w:spacing w:line="280" w:lineRule="exact"/>
              <w:jc w:val="center"/>
              <w:rPr>
                <w:color w:val="auto"/>
                <w:szCs w:val="21"/>
              </w:rPr>
            </w:pPr>
            <w:r>
              <w:rPr>
                <w:color w:val="auto"/>
                <w:szCs w:val="21"/>
              </w:rPr>
              <w:t>符合</w:t>
            </w:r>
          </w:p>
        </w:tc>
      </w:tr>
    </w:tbl>
    <w:p>
      <w:pPr>
        <w:pStyle w:val="4"/>
        <w:spacing w:line="520" w:lineRule="exact"/>
        <w:rPr>
          <w:rFonts w:ascii="Times New Roman" w:hAnsi="Times New Roman"/>
          <w:b/>
          <w:color w:val="auto"/>
        </w:rPr>
      </w:pPr>
      <w:bookmarkStart w:id="26" w:name="_Toc12946"/>
      <w:bookmarkStart w:id="27" w:name="_Toc13748"/>
      <w:r>
        <w:rPr>
          <w:rFonts w:ascii="Times New Roman" w:hAnsi="Times New Roman"/>
          <w:b/>
          <w:color w:val="auto"/>
        </w:rPr>
        <w:t>1.5环境影响报告书主要结论</w:t>
      </w:r>
      <w:bookmarkEnd w:id="26"/>
      <w:bookmarkEnd w:id="27"/>
    </w:p>
    <w:p>
      <w:pPr>
        <w:spacing w:line="520" w:lineRule="exact"/>
        <w:ind w:firstLine="480" w:firstLineChars="200"/>
        <w:rPr>
          <w:color w:val="auto"/>
          <w:sz w:val="24"/>
        </w:rPr>
      </w:pPr>
      <w:r>
        <w:rPr>
          <w:color w:val="auto"/>
          <w:sz w:val="24"/>
        </w:rPr>
        <w:t>本项目符合国家产业政策，选址符合规划要求，生产工艺、技术成熟可靠，原辅材料来源稳定可靠，公用工程条件具备，运输条件较好。项目实施后在采用各项污染防治措施前提条件下，各项污染物可以做到达标排放；排放的各种污染物对周围空气环境、地表水环境及噪声环境影响能控制在国家相关的标准要求范围内。该建设项目在建设过程中，应严格执行环保设施与主体工程同时设计、同时施工、同时投产的“三同时”制度。从环境保护角度出发，该项目的建设是可行的。</w:t>
      </w:r>
    </w:p>
    <w:p>
      <w:pPr>
        <w:spacing w:line="520" w:lineRule="exact"/>
        <w:ind w:firstLine="480" w:firstLineChars="200"/>
        <w:rPr>
          <w:color w:val="auto"/>
          <w:sz w:val="24"/>
        </w:rPr>
      </w:pPr>
    </w:p>
    <w:p>
      <w:pPr>
        <w:pStyle w:val="2"/>
        <w:rPr>
          <w:color w:val="auto"/>
        </w:rPr>
      </w:pPr>
    </w:p>
    <w:p>
      <w:pPr>
        <w:spacing w:line="520" w:lineRule="exact"/>
        <w:ind w:firstLine="480" w:firstLineChars="200"/>
        <w:rPr>
          <w:color w:val="auto"/>
          <w:sz w:val="24"/>
        </w:rPr>
      </w:pPr>
    </w:p>
    <w:p>
      <w:pPr>
        <w:spacing w:line="520" w:lineRule="exact"/>
        <w:ind w:firstLine="480" w:firstLineChars="200"/>
        <w:rPr>
          <w:color w:val="auto"/>
          <w:sz w:val="24"/>
        </w:rPr>
      </w:pPr>
    </w:p>
    <w:p>
      <w:pPr>
        <w:spacing w:line="520" w:lineRule="exact"/>
        <w:rPr>
          <w:color w:val="auto"/>
          <w:sz w:val="24"/>
        </w:rPr>
      </w:pPr>
    </w:p>
    <w:p>
      <w:pPr>
        <w:pStyle w:val="3"/>
        <w:spacing w:before="120" w:after="0" w:line="360" w:lineRule="auto"/>
        <w:jc w:val="center"/>
        <w:rPr>
          <w:color w:val="auto"/>
          <w:sz w:val="36"/>
          <w:szCs w:val="36"/>
        </w:rPr>
      </w:pPr>
      <w:bookmarkStart w:id="28" w:name="_Toc335291729"/>
      <w:bookmarkStart w:id="29" w:name="_Toc333177916"/>
      <w:bookmarkStart w:id="30" w:name="_Toc367091850"/>
      <w:bookmarkStart w:id="31" w:name="_Toc366874091"/>
      <w:bookmarkStart w:id="32" w:name="_Toc333388569"/>
      <w:bookmarkStart w:id="33" w:name="_Toc333178527"/>
      <w:bookmarkStart w:id="34" w:name="_Toc21642"/>
      <w:bookmarkStart w:id="35" w:name="_Toc22529"/>
      <w:r>
        <w:rPr>
          <w:color w:val="auto"/>
          <w:sz w:val="36"/>
          <w:szCs w:val="36"/>
        </w:rPr>
        <w:t xml:space="preserve">第二章 总  </w:t>
      </w:r>
      <w:bookmarkEnd w:id="28"/>
      <w:bookmarkEnd w:id="29"/>
      <w:bookmarkEnd w:id="30"/>
      <w:bookmarkEnd w:id="31"/>
      <w:bookmarkEnd w:id="32"/>
      <w:bookmarkEnd w:id="33"/>
      <w:r>
        <w:rPr>
          <w:color w:val="auto"/>
          <w:sz w:val="36"/>
          <w:szCs w:val="36"/>
        </w:rPr>
        <w:t>则</w:t>
      </w:r>
      <w:bookmarkEnd w:id="34"/>
      <w:bookmarkEnd w:id="35"/>
    </w:p>
    <w:p>
      <w:pPr>
        <w:pStyle w:val="4"/>
        <w:spacing w:line="520" w:lineRule="exact"/>
        <w:rPr>
          <w:rFonts w:ascii="Times New Roman" w:hAnsi="Times New Roman"/>
          <w:b/>
          <w:color w:val="auto"/>
        </w:rPr>
      </w:pPr>
      <w:bookmarkStart w:id="36" w:name="_Toc333178528"/>
      <w:bookmarkStart w:id="37" w:name="_Toc333388570"/>
      <w:bookmarkStart w:id="38" w:name="_Toc335291730"/>
      <w:bookmarkStart w:id="39" w:name="_Toc367091851"/>
      <w:bookmarkStart w:id="40" w:name="_Toc287813359"/>
      <w:bookmarkStart w:id="41" w:name="_Toc7395"/>
      <w:bookmarkStart w:id="42" w:name="_Toc3857"/>
      <w:bookmarkStart w:id="43" w:name="_Toc366874092"/>
      <w:bookmarkStart w:id="44" w:name="_Toc333177917"/>
      <w:r>
        <w:rPr>
          <w:rFonts w:ascii="Times New Roman" w:hAnsi="Times New Roman"/>
          <w:b/>
          <w:color w:val="auto"/>
        </w:rPr>
        <w:t>2.1评价目的及指导思想</w:t>
      </w:r>
      <w:bookmarkEnd w:id="36"/>
      <w:bookmarkEnd w:id="37"/>
      <w:bookmarkEnd w:id="38"/>
      <w:bookmarkEnd w:id="39"/>
      <w:bookmarkEnd w:id="40"/>
      <w:bookmarkEnd w:id="41"/>
      <w:bookmarkEnd w:id="42"/>
      <w:bookmarkEnd w:id="43"/>
      <w:bookmarkEnd w:id="44"/>
    </w:p>
    <w:p>
      <w:pPr>
        <w:pStyle w:val="5"/>
        <w:spacing w:before="0" w:after="0" w:line="520" w:lineRule="exact"/>
        <w:rPr>
          <w:color w:val="auto"/>
          <w:sz w:val="24"/>
          <w:szCs w:val="24"/>
        </w:rPr>
      </w:pPr>
      <w:bookmarkStart w:id="45" w:name="_Toc333177918"/>
      <w:r>
        <w:rPr>
          <w:color w:val="auto"/>
          <w:sz w:val="24"/>
          <w:szCs w:val="24"/>
        </w:rPr>
        <w:t>2.1.1 评价目的</w:t>
      </w:r>
      <w:bookmarkEnd w:id="45"/>
    </w:p>
    <w:p>
      <w:pPr>
        <w:spacing w:line="520" w:lineRule="exact"/>
        <w:ind w:firstLine="500" w:firstLineChars="200"/>
        <w:rPr>
          <w:color w:val="auto"/>
          <w:spacing w:val="5"/>
          <w:sz w:val="24"/>
        </w:rPr>
      </w:pPr>
      <w:bookmarkStart w:id="46" w:name="_Toc333177919"/>
      <w:r>
        <w:rPr>
          <w:color w:val="auto"/>
          <w:spacing w:val="5"/>
          <w:sz w:val="24"/>
        </w:rPr>
        <w:t>本次评价从环境保护的角度出发，根据工程所在区域环境特点以及环境质量现状，结合工程污染物排放特征，依据客观、科学为原则，论证本工程各阶段实施可能带来的环境影响，并通过评价达到如下目的：</w:t>
      </w:r>
    </w:p>
    <w:p>
      <w:pPr>
        <w:spacing w:line="520" w:lineRule="exact"/>
        <w:ind w:firstLine="500" w:firstLineChars="200"/>
        <w:rPr>
          <w:color w:val="auto"/>
          <w:spacing w:val="5"/>
          <w:sz w:val="24"/>
        </w:rPr>
      </w:pPr>
      <w:r>
        <w:rPr>
          <w:color w:val="auto"/>
          <w:spacing w:val="5"/>
          <w:sz w:val="24"/>
        </w:rPr>
        <w:t>（1）通过对项目区域自然环境、社会环境和环境质量现状的调查和分析，掌握该区域的环境质量现状。</w:t>
      </w:r>
    </w:p>
    <w:p>
      <w:pPr>
        <w:spacing w:line="520" w:lineRule="exact"/>
        <w:ind w:firstLine="500" w:firstLineChars="200"/>
        <w:rPr>
          <w:color w:val="auto"/>
          <w:spacing w:val="5"/>
          <w:sz w:val="24"/>
        </w:rPr>
      </w:pPr>
      <w:r>
        <w:rPr>
          <w:color w:val="auto"/>
          <w:spacing w:val="5"/>
          <w:sz w:val="24"/>
        </w:rPr>
        <w:t>（2）通过对同类建设项目的类比调查，在工程分析的基础上，识别与确定本项目的环境影响评价因子，并核算污染物源强，提出防治措施，并对该项目可能造成的环境影响进行评价，提出污染物排放总量控制目标。</w:t>
      </w:r>
    </w:p>
    <w:p>
      <w:pPr>
        <w:spacing w:line="520" w:lineRule="exact"/>
        <w:ind w:firstLine="500" w:firstLineChars="200"/>
        <w:rPr>
          <w:color w:val="auto"/>
          <w:spacing w:val="5"/>
          <w:sz w:val="24"/>
        </w:rPr>
      </w:pPr>
      <w:r>
        <w:rPr>
          <w:color w:val="auto"/>
          <w:spacing w:val="5"/>
          <w:sz w:val="24"/>
        </w:rPr>
        <w:t>（3）对项目拟采取的环保措施的可行性和合理性进行论证，并提出切实可行的防止或减缓影响的措施。</w:t>
      </w:r>
    </w:p>
    <w:p>
      <w:pPr>
        <w:spacing w:line="520" w:lineRule="exact"/>
        <w:ind w:firstLine="500" w:firstLineChars="200"/>
        <w:rPr>
          <w:color w:val="auto"/>
          <w:spacing w:val="5"/>
          <w:sz w:val="24"/>
        </w:rPr>
      </w:pPr>
      <w:r>
        <w:rPr>
          <w:color w:val="auto"/>
          <w:spacing w:val="5"/>
          <w:sz w:val="24"/>
        </w:rPr>
        <w:t>（4）从环境保护角度出发，对项目选址合理性、相关规划符合性进行分析，对项目建设的可行性做出明确结论，为设计单位优化设计、管理部门审批决策和建设单位的环境管理提供科学依据。</w:t>
      </w:r>
    </w:p>
    <w:p>
      <w:pPr>
        <w:spacing w:line="520" w:lineRule="exact"/>
        <w:ind w:firstLine="500" w:firstLineChars="200"/>
        <w:rPr>
          <w:color w:val="auto"/>
          <w:spacing w:val="5"/>
          <w:sz w:val="24"/>
        </w:rPr>
      </w:pPr>
      <w:r>
        <w:rPr>
          <w:color w:val="auto"/>
          <w:spacing w:val="5"/>
          <w:sz w:val="24"/>
        </w:rPr>
        <w:t>（5）为项目决策、建设及环保管理提供依据。</w:t>
      </w:r>
    </w:p>
    <w:p>
      <w:pPr>
        <w:pStyle w:val="5"/>
        <w:spacing w:before="0" w:after="0" w:line="520" w:lineRule="exact"/>
        <w:rPr>
          <w:color w:val="auto"/>
          <w:sz w:val="24"/>
          <w:szCs w:val="24"/>
        </w:rPr>
      </w:pPr>
      <w:r>
        <w:rPr>
          <w:color w:val="auto"/>
          <w:sz w:val="24"/>
          <w:szCs w:val="24"/>
        </w:rPr>
        <w:t>2.1.2 指导思想</w:t>
      </w:r>
      <w:bookmarkEnd w:id="46"/>
    </w:p>
    <w:p>
      <w:pPr>
        <w:spacing w:line="520" w:lineRule="exact"/>
        <w:ind w:firstLine="480" w:firstLineChars="200"/>
        <w:rPr>
          <w:color w:val="auto"/>
          <w:sz w:val="24"/>
        </w:rPr>
      </w:pPr>
      <w:r>
        <w:rPr>
          <w:color w:val="auto"/>
          <w:sz w:val="24"/>
        </w:rPr>
        <w:t>本次评价的指导思想是在对项目进行详细工程分析的基础上，依据《环境影响评价技术导则》和国家、安徽省颁布的有关环境保护法规、法令、标准和规范，充分利用现有基础资料和借鉴有关项目评价成果，合理确定评价范围、监测项目，并根据工程特点，选择有代表性的监测点位、监测因子、预测模型。结论力求做到科学、客观、公正、明确与可信。</w:t>
      </w:r>
    </w:p>
    <w:p>
      <w:pPr>
        <w:pStyle w:val="4"/>
        <w:spacing w:line="520" w:lineRule="exact"/>
        <w:rPr>
          <w:rFonts w:ascii="Times New Roman" w:hAnsi="Times New Roman"/>
          <w:b/>
          <w:color w:val="auto"/>
        </w:rPr>
      </w:pPr>
      <w:bookmarkStart w:id="47" w:name="_Toc333178529"/>
      <w:bookmarkStart w:id="48" w:name="_Toc333388571"/>
      <w:bookmarkStart w:id="49" w:name="_Toc17628"/>
      <w:bookmarkStart w:id="50" w:name="_Toc367091852"/>
      <w:bookmarkStart w:id="51" w:name="_Toc335291731"/>
      <w:bookmarkStart w:id="52" w:name="_Toc366874093"/>
      <w:bookmarkStart w:id="53" w:name="_Toc18965"/>
      <w:bookmarkStart w:id="54" w:name="_Toc287813360"/>
      <w:bookmarkStart w:id="55" w:name="_Toc333177920"/>
      <w:r>
        <w:rPr>
          <w:rFonts w:ascii="Times New Roman" w:hAnsi="Times New Roman"/>
          <w:b/>
          <w:color w:val="auto"/>
        </w:rPr>
        <w:t>2.2编制依据</w:t>
      </w:r>
      <w:bookmarkEnd w:id="47"/>
      <w:bookmarkEnd w:id="48"/>
      <w:bookmarkEnd w:id="49"/>
      <w:bookmarkEnd w:id="50"/>
      <w:bookmarkEnd w:id="51"/>
      <w:bookmarkEnd w:id="52"/>
      <w:bookmarkEnd w:id="53"/>
      <w:bookmarkEnd w:id="54"/>
      <w:bookmarkEnd w:id="55"/>
    </w:p>
    <w:p>
      <w:pPr>
        <w:pStyle w:val="5"/>
        <w:spacing w:before="0" w:after="0" w:line="520" w:lineRule="exact"/>
        <w:rPr>
          <w:color w:val="auto"/>
          <w:sz w:val="24"/>
          <w:szCs w:val="24"/>
        </w:rPr>
      </w:pPr>
      <w:bookmarkStart w:id="56" w:name="_Toc333177921"/>
      <w:r>
        <w:rPr>
          <w:color w:val="auto"/>
          <w:sz w:val="24"/>
          <w:szCs w:val="24"/>
        </w:rPr>
        <w:t>2.2.1国家法律、法规、政策文件</w:t>
      </w:r>
      <w:bookmarkEnd w:id="56"/>
    </w:p>
    <w:p>
      <w:pPr>
        <w:autoSpaceDE w:val="0"/>
        <w:autoSpaceDN w:val="0"/>
        <w:adjustRightInd w:val="0"/>
        <w:spacing w:line="520" w:lineRule="exact"/>
        <w:ind w:firstLine="480" w:firstLineChars="200"/>
        <w:rPr>
          <w:color w:val="auto"/>
          <w:kern w:val="0"/>
          <w:sz w:val="24"/>
        </w:rPr>
      </w:pPr>
      <w:r>
        <w:rPr>
          <w:color w:val="auto"/>
          <w:kern w:val="0"/>
          <w:sz w:val="24"/>
        </w:rPr>
        <w:t>(1)《中华人民共和国环境保护法》，2014年4月24日修订，2015年1月1日起施行；</w:t>
      </w:r>
    </w:p>
    <w:p>
      <w:pPr>
        <w:autoSpaceDE w:val="0"/>
        <w:autoSpaceDN w:val="0"/>
        <w:adjustRightInd w:val="0"/>
        <w:spacing w:line="520" w:lineRule="exact"/>
        <w:ind w:firstLine="480" w:firstLineChars="200"/>
        <w:rPr>
          <w:color w:val="auto"/>
          <w:kern w:val="0"/>
          <w:sz w:val="24"/>
        </w:rPr>
      </w:pPr>
      <w:r>
        <w:rPr>
          <w:color w:val="auto"/>
          <w:kern w:val="0"/>
          <w:sz w:val="24"/>
        </w:rPr>
        <w:t>(2)《中华人民共和国环境影响评价法》(2018年12月29日修正版)；</w:t>
      </w:r>
    </w:p>
    <w:p>
      <w:pPr>
        <w:autoSpaceDE w:val="0"/>
        <w:autoSpaceDN w:val="0"/>
        <w:adjustRightInd w:val="0"/>
        <w:spacing w:line="520" w:lineRule="exact"/>
        <w:ind w:firstLine="480" w:firstLineChars="200"/>
        <w:rPr>
          <w:color w:val="auto"/>
          <w:kern w:val="0"/>
          <w:sz w:val="24"/>
        </w:rPr>
      </w:pPr>
      <w:r>
        <w:rPr>
          <w:color w:val="auto"/>
          <w:kern w:val="0"/>
          <w:sz w:val="24"/>
        </w:rPr>
        <w:t>(3)《中华人民共和国水污染防治法》，2017年6月27日修订，2018年1月1日起</w:t>
      </w:r>
      <w:r>
        <w:rPr>
          <w:color w:val="auto"/>
          <w:kern w:val="0"/>
          <w:sz w:val="24"/>
        </w:rPr>
        <w:fldChar w:fldCharType="begin"/>
      </w:r>
      <w:r>
        <w:rPr>
          <w:color w:val="auto"/>
          <w:kern w:val="0"/>
          <w:sz w:val="24"/>
        </w:rPr>
        <w:instrText xml:space="preserve"> HYPERLINK "http://baike.baidu.com/view/712686.htm" \t "_blank" </w:instrText>
      </w:r>
      <w:r>
        <w:rPr>
          <w:color w:val="auto"/>
          <w:kern w:val="0"/>
          <w:sz w:val="24"/>
        </w:rPr>
        <w:fldChar w:fldCharType="separate"/>
      </w:r>
      <w:r>
        <w:rPr>
          <w:rStyle w:val="61"/>
          <w:color w:val="auto"/>
          <w:kern w:val="0"/>
          <w:sz w:val="24"/>
          <w:u w:val="none"/>
        </w:rPr>
        <w:t>施行</w:t>
      </w:r>
      <w:r>
        <w:rPr>
          <w:color w:val="auto"/>
          <w:kern w:val="0"/>
          <w:sz w:val="24"/>
        </w:rPr>
        <w:fldChar w:fldCharType="end"/>
      </w:r>
      <w:r>
        <w:rPr>
          <w:color w:val="auto"/>
          <w:kern w:val="0"/>
          <w:sz w:val="24"/>
        </w:rPr>
        <w:t>；</w:t>
      </w:r>
    </w:p>
    <w:p>
      <w:pPr>
        <w:autoSpaceDE w:val="0"/>
        <w:autoSpaceDN w:val="0"/>
        <w:adjustRightInd w:val="0"/>
        <w:spacing w:line="520" w:lineRule="exact"/>
        <w:ind w:firstLine="480" w:firstLineChars="200"/>
        <w:rPr>
          <w:color w:val="auto"/>
          <w:kern w:val="0"/>
          <w:sz w:val="24"/>
        </w:rPr>
      </w:pPr>
      <w:r>
        <w:rPr>
          <w:color w:val="auto"/>
          <w:kern w:val="0"/>
          <w:sz w:val="24"/>
        </w:rPr>
        <w:t>(4)《中华人民共和国大气污染防治法》，</w:t>
      </w:r>
      <w:r>
        <w:rPr>
          <w:kern w:val="0"/>
          <w:sz w:val="24"/>
        </w:rPr>
        <w:t>201</w:t>
      </w:r>
      <w:r>
        <w:rPr>
          <w:rFonts w:hint="eastAsia"/>
          <w:kern w:val="0"/>
          <w:sz w:val="24"/>
          <w:lang w:val="en-US" w:eastAsia="zh-CN"/>
        </w:rPr>
        <w:t>8</w:t>
      </w:r>
      <w:r>
        <w:rPr>
          <w:kern w:val="0"/>
          <w:sz w:val="24"/>
        </w:rPr>
        <w:t>年</w:t>
      </w:r>
      <w:r>
        <w:rPr>
          <w:rFonts w:hint="eastAsia"/>
          <w:kern w:val="0"/>
          <w:sz w:val="24"/>
          <w:lang w:val="en-US" w:eastAsia="zh-CN"/>
        </w:rPr>
        <w:t>10</w:t>
      </w:r>
      <w:r>
        <w:rPr>
          <w:kern w:val="0"/>
          <w:sz w:val="24"/>
        </w:rPr>
        <w:t>月2</w:t>
      </w:r>
      <w:r>
        <w:rPr>
          <w:rFonts w:hint="eastAsia"/>
          <w:kern w:val="0"/>
          <w:sz w:val="24"/>
          <w:lang w:val="en-US" w:eastAsia="zh-CN"/>
        </w:rPr>
        <w:t>6</w:t>
      </w:r>
      <w:r>
        <w:rPr>
          <w:kern w:val="0"/>
          <w:sz w:val="24"/>
        </w:rPr>
        <w:t>日</w:t>
      </w:r>
      <w:r>
        <w:rPr>
          <w:color w:val="auto"/>
          <w:kern w:val="0"/>
          <w:sz w:val="24"/>
        </w:rPr>
        <w:t>；</w:t>
      </w:r>
    </w:p>
    <w:p>
      <w:pPr>
        <w:autoSpaceDE w:val="0"/>
        <w:autoSpaceDN w:val="0"/>
        <w:adjustRightInd w:val="0"/>
        <w:spacing w:line="520" w:lineRule="exact"/>
        <w:ind w:firstLine="480" w:firstLineChars="200"/>
        <w:rPr>
          <w:color w:val="auto"/>
          <w:kern w:val="0"/>
          <w:sz w:val="24"/>
        </w:rPr>
      </w:pPr>
      <w:r>
        <w:rPr>
          <w:color w:val="auto"/>
          <w:kern w:val="0"/>
          <w:sz w:val="24"/>
        </w:rPr>
        <w:t>(5)《中华人民共和国环境噪声污染防治法》(2018年12月29日修正版)；</w:t>
      </w:r>
    </w:p>
    <w:p>
      <w:pPr>
        <w:autoSpaceDE w:val="0"/>
        <w:autoSpaceDN w:val="0"/>
        <w:adjustRightInd w:val="0"/>
        <w:spacing w:line="520" w:lineRule="exact"/>
        <w:ind w:firstLine="480" w:firstLineChars="200"/>
        <w:rPr>
          <w:color w:val="auto"/>
          <w:kern w:val="0"/>
          <w:sz w:val="24"/>
        </w:rPr>
      </w:pPr>
      <w:r>
        <w:rPr>
          <w:color w:val="auto"/>
          <w:kern w:val="0"/>
          <w:sz w:val="24"/>
        </w:rPr>
        <w:t>(6)《中华人民共和国固体废物污染环境防治法》，</w:t>
      </w:r>
      <w:r>
        <w:rPr>
          <w:rFonts w:hint="eastAsia"/>
          <w:sz w:val="24"/>
        </w:rPr>
        <w:t>2019年6月5日修订</w:t>
      </w:r>
      <w:r>
        <w:rPr>
          <w:rFonts w:hint="eastAsia"/>
          <w:sz w:val="24"/>
          <w:lang w:eastAsia="zh-CN"/>
        </w:rPr>
        <w:t>，</w:t>
      </w:r>
      <w:r>
        <w:rPr>
          <w:color w:val="auto"/>
          <w:kern w:val="0"/>
          <w:sz w:val="24"/>
        </w:rPr>
        <w:t>20</w:t>
      </w:r>
      <w:r>
        <w:rPr>
          <w:rFonts w:hint="eastAsia"/>
          <w:color w:val="auto"/>
          <w:kern w:val="0"/>
          <w:sz w:val="24"/>
          <w:lang w:val="en-US" w:eastAsia="zh-CN"/>
        </w:rPr>
        <w:t>20</w:t>
      </w:r>
      <w:r>
        <w:rPr>
          <w:color w:val="auto"/>
          <w:kern w:val="0"/>
          <w:sz w:val="24"/>
        </w:rPr>
        <w:t>年</w:t>
      </w:r>
      <w:r>
        <w:rPr>
          <w:rFonts w:hint="eastAsia"/>
          <w:color w:val="auto"/>
          <w:kern w:val="0"/>
          <w:sz w:val="24"/>
          <w:lang w:val="en-US" w:eastAsia="zh-CN"/>
        </w:rPr>
        <w:t>4</w:t>
      </w:r>
      <w:r>
        <w:rPr>
          <w:color w:val="auto"/>
          <w:kern w:val="0"/>
          <w:sz w:val="24"/>
        </w:rPr>
        <w:t>月</w:t>
      </w:r>
      <w:r>
        <w:rPr>
          <w:rFonts w:hint="eastAsia"/>
          <w:color w:val="auto"/>
          <w:kern w:val="0"/>
          <w:sz w:val="24"/>
          <w:lang w:val="en-US" w:eastAsia="zh-CN"/>
        </w:rPr>
        <w:t>29</w:t>
      </w:r>
      <w:r>
        <w:rPr>
          <w:color w:val="auto"/>
          <w:kern w:val="0"/>
          <w:sz w:val="24"/>
        </w:rPr>
        <w:t>日修订；</w:t>
      </w:r>
    </w:p>
    <w:p>
      <w:pPr>
        <w:autoSpaceDE w:val="0"/>
        <w:autoSpaceDN w:val="0"/>
        <w:adjustRightInd w:val="0"/>
        <w:spacing w:line="520" w:lineRule="exact"/>
        <w:ind w:firstLine="480" w:firstLineChars="200"/>
        <w:rPr>
          <w:color w:val="auto"/>
          <w:kern w:val="0"/>
          <w:sz w:val="24"/>
        </w:rPr>
      </w:pPr>
      <w:r>
        <w:rPr>
          <w:color w:val="auto"/>
          <w:kern w:val="0"/>
          <w:sz w:val="24"/>
        </w:rPr>
        <w:t>(7)《国务院关于修改〈建设项目环境保护管理条例〉的决定》，2017年10月1日发布施行；</w:t>
      </w:r>
    </w:p>
    <w:p>
      <w:pPr>
        <w:autoSpaceDE w:val="0"/>
        <w:autoSpaceDN w:val="0"/>
        <w:adjustRightInd w:val="0"/>
        <w:spacing w:line="520" w:lineRule="exact"/>
        <w:ind w:firstLine="480" w:firstLineChars="200"/>
        <w:rPr>
          <w:color w:val="auto"/>
          <w:kern w:val="0"/>
          <w:sz w:val="24"/>
        </w:rPr>
      </w:pPr>
      <w:r>
        <w:rPr>
          <w:color w:val="auto"/>
          <w:kern w:val="0"/>
          <w:sz w:val="24"/>
        </w:rPr>
        <w:t>（8）《建设项目环境影响评价分类管理名录》2018年4月28日修改版；</w:t>
      </w:r>
    </w:p>
    <w:p>
      <w:pPr>
        <w:autoSpaceDE w:val="0"/>
        <w:autoSpaceDN w:val="0"/>
        <w:adjustRightInd w:val="0"/>
        <w:spacing w:line="520" w:lineRule="exact"/>
        <w:ind w:firstLine="480" w:firstLineChars="200"/>
        <w:rPr>
          <w:color w:val="auto"/>
          <w:kern w:val="0"/>
          <w:sz w:val="24"/>
        </w:rPr>
      </w:pPr>
      <w:r>
        <w:rPr>
          <w:color w:val="auto"/>
          <w:kern w:val="0"/>
          <w:sz w:val="24"/>
        </w:rPr>
        <w:t>（9）《国务院关于印发打赢蓝天保卫战三年行动计划的通知》（国发〔2018〕22 号）。</w:t>
      </w:r>
    </w:p>
    <w:p>
      <w:pPr>
        <w:autoSpaceDE w:val="0"/>
        <w:autoSpaceDN w:val="0"/>
        <w:adjustRightInd w:val="0"/>
        <w:spacing w:line="520" w:lineRule="exact"/>
        <w:ind w:firstLine="480" w:firstLineChars="200"/>
        <w:rPr>
          <w:color w:val="auto"/>
          <w:kern w:val="0"/>
          <w:sz w:val="24"/>
        </w:rPr>
      </w:pPr>
      <w:r>
        <w:rPr>
          <w:color w:val="auto"/>
          <w:kern w:val="0"/>
          <w:sz w:val="24"/>
        </w:rPr>
        <w:t xml:space="preserve"> (10)《环境保护公众参与办法》(生态环境部 部令 第4号)，2019年1月1日起施行；</w:t>
      </w:r>
    </w:p>
    <w:p>
      <w:pPr>
        <w:autoSpaceDE w:val="0"/>
        <w:autoSpaceDN w:val="0"/>
        <w:adjustRightInd w:val="0"/>
        <w:spacing w:line="520" w:lineRule="exact"/>
        <w:ind w:firstLine="480" w:firstLineChars="200"/>
        <w:rPr>
          <w:color w:val="auto"/>
          <w:kern w:val="0"/>
          <w:sz w:val="24"/>
        </w:rPr>
      </w:pPr>
      <w:r>
        <w:rPr>
          <w:color w:val="auto"/>
          <w:kern w:val="0"/>
          <w:sz w:val="24"/>
        </w:rPr>
        <w:t>（11）《产业结构调整指导目录(201</w:t>
      </w:r>
      <w:r>
        <w:rPr>
          <w:rFonts w:hint="eastAsia"/>
          <w:color w:val="auto"/>
          <w:kern w:val="0"/>
          <w:sz w:val="24"/>
          <w:lang w:val="en-US" w:eastAsia="zh-CN"/>
        </w:rPr>
        <w:t>9</w:t>
      </w:r>
      <w:r>
        <w:rPr>
          <w:color w:val="auto"/>
          <w:kern w:val="0"/>
          <w:sz w:val="24"/>
        </w:rPr>
        <w:t>年本)》；</w:t>
      </w:r>
    </w:p>
    <w:p>
      <w:pPr>
        <w:autoSpaceDE w:val="0"/>
        <w:autoSpaceDN w:val="0"/>
        <w:adjustRightInd w:val="0"/>
        <w:spacing w:line="520" w:lineRule="exact"/>
        <w:ind w:firstLine="480" w:firstLineChars="200"/>
        <w:rPr>
          <w:color w:val="auto"/>
          <w:kern w:val="0"/>
          <w:sz w:val="24"/>
        </w:rPr>
      </w:pPr>
      <w:r>
        <w:rPr>
          <w:bCs/>
          <w:color w:val="auto"/>
          <w:kern w:val="0"/>
          <w:sz w:val="24"/>
        </w:rPr>
        <w:t>（</w:t>
      </w:r>
      <w:r>
        <w:rPr>
          <w:color w:val="auto"/>
          <w:kern w:val="0"/>
          <w:sz w:val="24"/>
        </w:rPr>
        <w:t>12）《关于进一步加强环境影响评价管理防范环境风险的通知》（环发[2012]77号）；</w:t>
      </w:r>
    </w:p>
    <w:p>
      <w:pPr>
        <w:autoSpaceDE w:val="0"/>
        <w:autoSpaceDN w:val="0"/>
        <w:adjustRightInd w:val="0"/>
        <w:spacing w:line="520" w:lineRule="exact"/>
        <w:ind w:firstLine="480" w:firstLineChars="200"/>
        <w:rPr>
          <w:color w:val="auto"/>
          <w:kern w:val="0"/>
          <w:sz w:val="24"/>
        </w:rPr>
      </w:pPr>
      <w:r>
        <w:rPr>
          <w:color w:val="auto"/>
          <w:kern w:val="0"/>
          <w:sz w:val="24"/>
        </w:rPr>
        <w:t>（13）《关于切实加强风险防范严格环境影响评价管理的通知》（环发[2012]98号）；</w:t>
      </w:r>
    </w:p>
    <w:p>
      <w:pPr>
        <w:autoSpaceDE w:val="0"/>
        <w:autoSpaceDN w:val="0"/>
        <w:adjustRightInd w:val="0"/>
        <w:spacing w:line="520" w:lineRule="exact"/>
        <w:ind w:firstLine="480" w:firstLineChars="200"/>
        <w:rPr>
          <w:bCs/>
          <w:color w:val="auto"/>
          <w:kern w:val="0"/>
          <w:sz w:val="24"/>
        </w:rPr>
      </w:pPr>
      <w:r>
        <w:rPr>
          <w:bCs/>
          <w:color w:val="auto"/>
          <w:kern w:val="0"/>
          <w:sz w:val="24"/>
        </w:rPr>
        <w:t>（14）</w:t>
      </w:r>
      <w:r>
        <w:rPr>
          <w:color w:val="auto"/>
          <w:kern w:val="0"/>
          <w:sz w:val="24"/>
        </w:rPr>
        <w:t>关于印发《建设项目环境影响评价政府信息公开指南（试行）》的通知（</w:t>
      </w:r>
      <w:r>
        <w:rPr>
          <w:color w:val="auto"/>
          <w:kern w:val="0"/>
          <w:sz w:val="24"/>
        </w:rPr>
        <w:fldChar w:fldCharType="begin"/>
      </w:r>
      <w:r>
        <w:rPr>
          <w:color w:val="auto"/>
          <w:kern w:val="0"/>
          <w:sz w:val="24"/>
        </w:rPr>
        <w:instrText xml:space="preserve"> HYPERLINK "http://www.eiafans.com/" \t "_blank" </w:instrText>
      </w:r>
      <w:r>
        <w:rPr>
          <w:color w:val="auto"/>
          <w:kern w:val="0"/>
          <w:sz w:val="24"/>
        </w:rPr>
        <w:fldChar w:fldCharType="separate"/>
      </w:r>
      <w:r>
        <w:rPr>
          <w:rStyle w:val="61"/>
          <w:color w:val="auto"/>
          <w:kern w:val="0"/>
          <w:sz w:val="24"/>
          <w:u w:val="none"/>
        </w:rPr>
        <w:t>环办[2013]103号</w:t>
      </w:r>
      <w:r>
        <w:rPr>
          <w:color w:val="auto"/>
          <w:kern w:val="0"/>
          <w:sz w:val="24"/>
        </w:rPr>
        <w:fldChar w:fldCharType="end"/>
      </w:r>
      <w:r>
        <w:rPr>
          <w:color w:val="auto"/>
          <w:kern w:val="0"/>
          <w:sz w:val="24"/>
        </w:rPr>
        <w:t>）；</w:t>
      </w:r>
    </w:p>
    <w:p>
      <w:pPr>
        <w:autoSpaceDE w:val="0"/>
        <w:autoSpaceDN w:val="0"/>
        <w:adjustRightInd w:val="0"/>
        <w:spacing w:line="520" w:lineRule="exact"/>
        <w:ind w:firstLine="600" w:firstLineChars="250"/>
        <w:rPr>
          <w:color w:val="auto"/>
          <w:kern w:val="0"/>
          <w:sz w:val="24"/>
        </w:rPr>
      </w:pPr>
      <w:r>
        <w:rPr>
          <w:color w:val="auto"/>
          <w:kern w:val="0"/>
          <w:sz w:val="24"/>
        </w:rPr>
        <w:t>(15) 《“十三五”生态环境保护规划》（国发〔2016〕65号，2016.11.24）；</w:t>
      </w:r>
    </w:p>
    <w:p>
      <w:pPr>
        <w:autoSpaceDE w:val="0"/>
        <w:autoSpaceDN w:val="0"/>
        <w:adjustRightInd w:val="0"/>
        <w:spacing w:line="520" w:lineRule="exact"/>
        <w:ind w:firstLine="480" w:firstLineChars="200"/>
        <w:rPr>
          <w:color w:val="auto"/>
          <w:kern w:val="0"/>
          <w:sz w:val="24"/>
        </w:rPr>
      </w:pPr>
      <w:r>
        <w:rPr>
          <w:color w:val="auto"/>
          <w:kern w:val="0"/>
          <w:sz w:val="24"/>
        </w:rPr>
        <w:t>（16）《国务院关于印发打赢蓝天保卫战三年行动计划的通知》，中华人民共和国国务院国发[2018]22号，2018年9月10日；</w:t>
      </w:r>
    </w:p>
    <w:p>
      <w:pPr>
        <w:autoSpaceDE w:val="0"/>
        <w:autoSpaceDN w:val="0"/>
        <w:adjustRightInd w:val="0"/>
        <w:spacing w:line="520" w:lineRule="exact"/>
        <w:ind w:firstLine="480" w:firstLineChars="200"/>
        <w:rPr>
          <w:spacing w:val="-11"/>
          <w:sz w:val="24"/>
        </w:rPr>
      </w:pPr>
      <w:r>
        <w:rPr>
          <w:color w:val="auto"/>
          <w:kern w:val="0"/>
          <w:sz w:val="24"/>
        </w:rPr>
        <w:t>（17）《国务院关于印发水污染防治行动计划的通知》（国发〔2015〕17号），2015年4月2日；</w:t>
      </w:r>
    </w:p>
    <w:p>
      <w:pPr>
        <w:autoSpaceDE w:val="0"/>
        <w:autoSpaceDN w:val="0"/>
        <w:adjustRightInd w:val="0"/>
        <w:spacing w:line="520" w:lineRule="exact"/>
        <w:ind w:firstLine="480" w:firstLineChars="200"/>
        <w:rPr>
          <w:color w:val="auto"/>
          <w:kern w:val="0"/>
          <w:sz w:val="24"/>
        </w:rPr>
      </w:pPr>
      <w:r>
        <w:rPr>
          <w:rFonts w:hint="eastAsia"/>
          <w:color w:val="auto"/>
          <w:kern w:val="0"/>
          <w:sz w:val="24"/>
          <w:lang w:eastAsia="zh-CN"/>
        </w:rPr>
        <w:t>（</w:t>
      </w:r>
      <w:r>
        <w:rPr>
          <w:rFonts w:hint="eastAsia"/>
          <w:color w:val="auto"/>
          <w:kern w:val="0"/>
          <w:sz w:val="24"/>
          <w:lang w:val="en-US" w:eastAsia="zh-CN"/>
        </w:rPr>
        <w:t>18</w:t>
      </w:r>
      <w:r>
        <w:rPr>
          <w:rFonts w:hint="eastAsia"/>
          <w:color w:val="auto"/>
          <w:kern w:val="0"/>
          <w:sz w:val="24"/>
          <w:lang w:eastAsia="zh-CN"/>
        </w:rPr>
        <w:t>）</w:t>
      </w:r>
      <w:r>
        <w:rPr>
          <w:color w:val="auto"/>
          <w:kern w:val="0"/>
          <w:sz w:val="24"/>
        </w:rPr>
        <w:t>中华人民共和国生态环境部，“关于印发《重点行业挥发性有机物综合治理方案》的通知”，2019 年 6 月 26 日。</w:t>
      </w:r>
    </w:p>
    <w:p>
      <w:pPr>
        <w:autoSpaceDE w:val="0"/>
        <w:autoSpaceDN w:val="0"/>
        <w:adjustRightInd w:val="0"/>
        <w:spacing w:line="520" w:lineRule="exact"/>
        <w:ind w:firstLine="480" w:firstLineChars="200"/>
        <w:rPr>
          <w:rFonts w:hint="default"/>
          <w:color w:val="auto"/>
          <w:kern w:val="0"/>
          <w:sz w:val="24"/>
          <w:lang w:val="en-US" w:eastAsia="zh-CN"/>
        </w:rPr>
      </w:pPr>
      <w:r>
        <w:rPr>
          <w:rFonts w:hint="eastAsia"/>
          <w:color w:val="auto"/>
          <w:kern w:val="0"/>
          <w:sz w:val="24"/>
          <w:lang w:eastAsia="zh-CN"/>
        </w:rPr>
        <w:t>（</w:t>
      </w:r>
      <w:r>
        <w:rPr>
          <w:rFonts w:hint="eastAsia"/>
          <w:color w:val="auto"/>
          <w:kern w:val="0"/>
          <w:sz w:val="24"/>
          <w:lang w:val="en-US" w:eastAsia="zh-CN"/>
        </w:rPr>
        <w:t>19</w:t>
      </w:r>
      <w:r>
        <w:rPr>
          <w:rFonts w:hint="eastAsia"/>
          <w:color w:val="auto"/>
          <w:kern w:val="0"/>
          <w:sz w:val="24"/>
          <w:lang w:eastAsia="zh-CN"/>
        </w:rPr>
        <w:t>）</w:t>
      </w:r>
      <w:r>
        <w:rPr>
          <w:color w:val="auto"/>
          <w:kern w:val="0"/>
          <w:sz w:val="24"/>
        </w:rPr>
        <w:t>中华人民共和国生态环境部，</w:t>
      </w:r>
      <w:r>
        <w:rPr>
          <w:rFonts w:hint="eastAsia"/>
          <w:color w:val="auto"/>
          <w:kern w:val="0"/>
          <w:sz w:val="24"/>
          <w:lang w:eastAsia="zh-CN"/>
        </w:rPr>
        <w:t>关于印发《</w:t>
      </w:r>
      <w:r>
        <w:rPr>
          <w:rFonts w:hint="eastAsia"/>
          <w:color w:val="auto"/>
          <w:kern w:val="0"/>
          <w:sz w:val="24"/>
          <w:lang w:val="en-US" w:eastAsia="zh-CN"/>
        </w:rPr>
        <w:t>2020年挥发性有机物治理攻坚方案</w:t>
      </w:r>
      <w:r>
        <w:rPr>
          <w:rFonts w:hint="eastAsia"/>
          <w:color w:val="auto"/>
          <w:kern w:val="0"/>
          <w:sz w:val="24"/>
          <w:lang w:eastAsia="zh-CN"/>
        </w:rPr>
        <w:t>》的通知，</w:t>
      </w:r>
      <w:r>
        <w:rPr>
          <w:rFonts w:hint="eastAsia"/>
          <w:color w:val="auto"/>
          <w:kern w:val="0"/>
          <w:sz w:val="24"/>
          <w:lang w:val="en-US" w:eastAsia="zh-CN"/>
        </w:rPr>
        <w:t>2020年6月23日</w:t>
      </w:r>
    </w:p>
    <w:p>
      <w:pPr>
        <w:pStyle w:val="5"/>
        <w:spacing w:before="0" w:after="0" w:line="520" w:lineRule="exact"/>
        <w:rPr>
          <w:color w:val="auto"/>
          <w:sz w:val="24"/>
          <w:szCs w:val="24"/>
        </w:rPr>
      </w:pPr>
      <w:r>
        <w:rPr>
          <w:color w:val="auto"/>
          <w:sz w:val="24"/>
          <w:szCs w:val="24"/>
        </w:rPr>
        <w:t>2.2.2安徽省地方法规、政策文件</w:t>
      </w:r>
    </w:p>
    <w:p>
      <w:pPr>
        <w:autoSpaceDE w:val="0"/>
        <w:autoSpaceDN w:val="0"/>
        <w:adjustRightInd w:val="0"/>
        <w:spacing w:line="520" w:lineRule="exact"/>
        <w:ind w:firstLine="480" w:firstLineChars="200"/>
        <w:rPr>
          <w:color w:val="auto"/>
          <w:kern w:val="0"/>
          <w:sz w:val="24"/>
        </w:rPr>
      </w:pPr>
      <w:r>
        <w:rPr>
          <w:color w:val="auto"/>
          <w:kern w:val="0"/>
          <w:sz w:val="24"/>
        </w:rPr>
        <w:t>（1）《安徽省人民政府关于同意实施安徽省水环境功能区划的批复》(安徽省人民政府，皖政秘[2004]7号，2004年3月)；</w:t>
      </w:r>
    </w:p>
    <w:p>
      <w:pPr>
        <w:autoSpaceDE w:val="0"/>
        <w:autoSpaceDN w:val="0"/>
        <w:adjustRightInd w:val="0"/>
        <w:spacing w:line="520" w:lineRule="exact"/>
        <w:ind w:firstLine="480" w:firstLineChars="200"/>
        <w:rPr>
          <w:color w:val="auto"/>
          <w:kern w:val="0"/>
          <w:sz w:val="24"/>
        </w:rPr>
      </w:pPr>
      <w:r>
        <w:rPr>
          <w:color w:val="auto"/>
          <w:kern w:val="0"/>
          <w:sz w:val="24"/>
        </w:rPr>
        <w:t>（2）《安徽省人民代表大会常务委员会关于修改〈安徽省实施中华人民共和国固体废物污染环境防治法办法〉的决定》(安徽省第十届人民代表大会常务委员会第二十四次会议通过，2006年6月29日)；</w:t>
      </w:r>
    </w:p>
    <w:p>
      <w:pPr>
        <w:autoSpaceDE w:val="0"/>
        <w:autoSpaceDN w:val="0"/>
        <w:adjustRightInd w:val="0"/>
        <w:spacing w:line="520" w:lineRule="exact"/>
        <w:ind w:firstLine="480" w:firstLineChars="200"/>
        <w:rPr>
          <w:color w:val="auto"/>
          <w:kern w:val="0"/>
          <w:sz w:val="24"/>
        </w:rPr>
      </w:pPr>
      <w:r>
        <w:rPr>
          <w:color w:val="auto"/>
          <w:kern w:val="0"/>
          <w:sz w:val="24"/>
        </w:rPr>
        <w:t>（3）《安徽省环境保护条例》，安徽省第十二届人大常委会第四十一次会议，2018年1月施行；</w:t>
      </w:r>
    </w:p>
    <w:p>
      <w:pPr>
        <w:autoSpaceDE w:val="0"/>
        <w:autoSpaceDN w:val="0"/>
        <w:adjustRightInd w:val="0"/>
        <w:spacing w:line="520" w:lineRule="exact"/>
        <w:ind w:firstLine="480" w:firstLineChars="200"/>
        <w:rPr>
          <w:color w:val="auto"/>
          <w:kern w:val="0"/>
          <w:sz w:val="24"/>
        </w:rPr>
      </w:pPr>
      <w:r>
        <w:rPr>
          <w:color w:val="auto"/>
          <w:kern w:val="0"/>
          <w:sz w:val="24"/>
        </w:rPr>
        <w:t>（4）安徽省环境保护厅，环法[2010]193号，《关于印发安徽省建设项目社会稳定环境风险评估暂行办法的通知》，2010.12.31；</w:t>
      </w:r>
    </w:p>
    <w:p>
      <w:pPr>
        <w:autoSpaceDE w:val="0"/>
        <w:autoSpaceDN w:val="0"/>
        <w:adjustRightInd w:val="0"/>
        <w:spacing w:line="520" w:lineRule="exact"/>
        <w:ind w:firstLine="480" w:firstLineChars="200"/>
        <w:rPr>
          <w:color w:val="auto"/>
          <w:kern w:val="0"/>
          <w:sz w:val="24"/>
        </w:rPr>
      </w:pPr>
      <w:r>
        <w:rPr>
          <w:color w:val="auto"/>
          <w:kern w:val="0"/>
          <w:sz w:val="24"/>
        </w:rPr>
        <w:t>（5）《关于加强建设项目环境影响评价及环保竣工验收公众参与工作的通知》（皖环发〔2013〕91号），安徽省环保厅，2013年10月18日；</w:t>
      </w:r>
    </w:p>
    <w:p>
      <w:pPr>
        <w:autoSpaceDE w:val="0"/>
        <w:autoSpaceDN w:val="0"/>
        <w:adjustRightInd w:val="0"/>
        <w:spacing w:line="520" w:lineRule="exact"/>
        <w:ind w:firstLine="480" w:firstLineChars="200"/>
        <w:rPr>
          <w:color w:val="auto"/>
          <w:kern w:val="0"/>
          <w:sz w:val="24"/>
        </w:rPr>
      </w:pPr>
      <w:r>
        <w:rPr>
          <w:color w:val="auto"/>
          <w:kern w:val="0"/>
          <w:sz w:val="24"/>
        </w:rPr>
        <w:t>（6）《关于进一步加强环境影响评价管理工作的通知》（安徽省环境保护局，环评[2007]52号，2007.3.27）；</w:t>
      </w:r>
    </w:p>
    <w:p>
      <w:pPr>
        <w:autoSpaceDE w:val="0"/>
        <w:autoSpaceDN w:val="0"/>
        <w:adjustRightInd w:val="0"/>
        <w:spacing w:line="520" w:lineRule="exact"/>
        <w:ind w:firstLine="480" w:firstLineChars="200"/>
        <w:rPr>
          <w:color w:val="auto"/>
          <w:kern w:val="0"/>
          <w:sz w:val="24"/>
        </w:rPr>
      </w:pPr>
      <w:r>
        <w:rPr>
          <w:color w:val="auto"/>
          <w:kern w:val="0"/>
          <w:sz w:val="24"/>
        </w:rPr>
        <w:t>（7）《安徽省打赢蓝天保卫战三年计划实施方案》，安徽省人民政府，2018年9月27日。</w:t>
      </w:r>
    </w:p>
    <w:p>
      <w:pPr>
        <w:autoSpaceDE w:val="0"/>
        <w:autoSpaceDN w:val="0"/>
        <w:adjustRightInd w:val="0"/>
        <w:spacing w:line="520" w:lineRule="exact"/>
        <w:ind w:firstLine="480" w:firstLineChars="200"/>
        <w:rPr>
          <w:color w:val="auto"/>
          <w:kern w:val="0"/>
          <w:sz w:val="24"/>
        </w:rPr>
      </w:pPr>
      <w:r>
        <w:rPr>
          <w:color w:val="auto"/>
          <w:kern w:val="0"/>
          <w:sz w:val="24"/>
        </w:rPr>
        <w:t>（8）《安徽省大气污染防治条例》(2015 年 1 月 31 日安徽省第十二届人民代表大会 第四次会议通过)；</w:t>
      </w:r>
    </w:p>
    <w:p>
      <w:pPr>
        <w:autoSpaceDE w:val="0"/>
        <w:autoSpaceDN w:val="0"/>
        <w:adjustRightInd w:val="0"/>
        <w:spacing w:line="520" w:lineRule="exact"/>
        <w:ind w:firstLine="480" w:firstLineChars="200"/>
        <w:rPr>
          <w:color w:val="auto"/>
          <w:kern w:val="0"/>
          <w:sz w:val="24"/>
        </w:rPr>
      </w:pPr>
      <w:r>
        <w:rPr>
          <w:color w:val="auto"/>
          <w:kern w:val="0"/>
          <w:sz w:val="24"/>
        </w:rPr>
        <w:t>（9）安徽省人民政府，皖政〔2015〕131号，《关于印发安徽省水污染防治工作方案的通知》，2015年12月29日；</w:t>
      </w:r>
    </w:p>
    <w:p>
      <w:pPr>
        <w:autoSpaceDE w:val="0"/>
        <w:autoSpaceDN w:val="0"/>
        <w:adjustRightInd w:val="0"/>
        <w:spacing w:line="520" w:lineRule="exact"/>
        <w:ind w:firstLine="480" w:firstLineChars="200"/>
        <w:rPr>
          <w:color w:val="auto"/>
          <w:kern w:val="0"/>
          <w:sz w:val="24"/>
        </w:rPr>
      </w:pPr>
      <w:r>
        <w:rPr>
          <w:color w:val="auto"/>
          <w:kern w:val="0"/>
          <w:sz w:val="24"/>
        </w:rPr>
        <w:t>（10）《“十三五”挥发性有机物污染防治工作方案》（环大气[2017]121号，2017年9月13日）；</w:t>
      </w:r>
    </w:p>
    <w:p>
      <w:pPr>
        <w:autoSpaceDE w:val="0"/>
        <w:autoSpaceDN w:val="0"/>
        <w:adjustRightInd w:val="0"/>
        <w:spacing w:line="520" w:lineRule="exact"/>
        <w:ind w:firstLine="480" w:firstLineChars="200"/>
        <w:rPr>
          <w:color w:val="auto"/>
          <w:kern w:val="0"/>
          <w:sz w:val="24"/>
        </w:rPr>
      </w:pPr>
      <w:r>
        <w:rPr>
          <w:color w:val="auto"/>
          <w:kern w:val="0"/>
          <w:sz w:val="24"/>
        </w:rPr>
        <w:t>（11）《2019年安徽省大气污染防治重点工作任务》（皖大气办〔2019〕5号），安徽省大气办。</w:t>
      </w:r>
    </w:p>
    <w:p>
      <w:pPr>
        <w:autoSpaceDE w:val="0"/>
        <w:autoSpaceDN w:val="0"/>
        <w:adjustRightInd w:val="0"/>
        <w:spacing w:line="520" w:lineRule="exact"/>
        <w:ind w:firstLine="480" w:firstLineChars="200"/>
        <w:rPr>
          <w:rFonts w:hint="default"/>
          <w:color w:val="auto"/>
          <w:kern w:val="0"/>
          <w:sz w:val="24"/>
          <w:lang w:val="zh-CN"/>
        </w:rPr>
      </w:pPr>
      <w:r>
        <w:rPr>
          <w:rFonts w:hint="eastAsia"/>
          <w:color w:val="auto"/>
          <w:kern w:val="0"/>
          <w:sz w:val="24"/>
          <w:lang w:val="en-US" w:eastAsia="zh-CN"/>
        </w:rPr>
        <w:t>（12）</w:t>
      </w:r>
      <w:r>
        <w:rPr>
          <w:rFonts w:hint="default"/>
          <w:color w:val="auto"/>
          <w:kern w:val="0"/>
          <w:sz w:val="24"/>
          <w:lang w:val="zh-CN"/>
        </w:rPr>
        <w:t>安徽省委办公厅、省政府办公厅，皖办发[2017]45 号，《关于推进长江经济带生态优先绿色发展的实施意见》，2017 年 8 月 24；</w:t>
      </w:r>
    </w:p>
    <w:p>
      <w:pPr>
        <w:autoSpaceDE w:val="0"/>
        <w:autoSpaceDN w:val="0"/>
        <w:adjustRightInd w:val="0"/>
        <w:spacing w:line="520" w:lineRule="exact"/>
        <w:ind w:firstLine="480" w:firstLineChars="200"/>
        <w:rPr>
          <w:rFonts w:hint="default"/>
          <w:color w:val="auto"/>
          <w:kern w:val="0"/>
          <w:sz w:val="24"/>
          <w:lang w:val="zh-CN"/>
        </w:rPr>
      </w:pPr>
      <w:r>
        <w:rPr>
          <w:rFonts w:hint="eastAsia"/>
          <w:color w:val="auto"/>
          <w:kern w:val="0"/>
          <w:sz w:val="24"/>
          <w:lang w:val="zh-CN"/>
        </w:rPr>
        <w:t>（</w:t>
      </w:r>
      <w:r>
        <w:rPr>
          <w:rFonts w:hint="eastAsia"/>
          <w:color w:val="auto"/>
          <w:kern w:val="0"/>
          <w:sz w:val="24"/>
          <w:lang w:val="en-US" w:eastAsia="zh-CN"/>
        </w:rPr>
        <w:t>13</w:t>
      </w:r>
      <w:r>
        <w:rPr>
          <w:rFonts w:hint="eastAsia"/>
          <w:color w:val="auto"/>
          <w:kern w:val="0"/>
          <w:sz w:val="24"/>
          <w:lang w:val="zh-CN"/>
        </w:rPr>
        <w:t>）</w:t>
      </w:r>
      <w:r>
        <w:rPr>
          <w:rFonts w:hint="default"/>
          <w:color w:val="auto"/>
          <w:kern w:val="0"/>
          <w:sz w:val="24"/>
          <w:lang w:val="zh-CN"/>
        </w:rPr>
        <w:t>宣城市人民政府，《宣城市大气污染防治行动计划实施细则》，2016 年 3 月 7日；</w:t>
      </w:r>
    </w:p>
    <w:p>
      <w:pPr>
        <w:autoSpaceDE w:val="0"/>
        <w:autoSpaceDN w:val="0"/>
        <w:adjustRightInd w:val="0"/>
        <w:spacing w:line="520" w:lineRule="exact"/>
        <w:ind w:firstLine="480" w:firstLineChars="200"/>
        <w:rPr>
          <w:rFonts w:hint="default"/>
          <w:color w:val="auto"/>
          <w:kern w:val="0"/>
          <w:sz w:val="24"/>
          <w:lang w:val="zh-CN"/>
        </w:rPr>
      </w:pPr>
      <w:r>
        <w:rPr>
          <w:rFonts w:hint="eastAsia"/>
          <w:color w:val="auto"/>
          <w:kern w:val="0"/>
          <w:sz w:val="24"/>
          <w:lang w:val="zh-CN"/>
        </w:rPr>
        <w:t>（</w:t>
      </w:r>
      <w:r>
        <w:rPr>
          <w:rFonts w:hint="eastAsia"/>
          <w:color w:val="auto"/>
          <w:kern w:val="0"/>
          <w:sz w:val="24"/>
          <w:lang w:val="en-US" w:eastAsia="zh-CN"/>
        </w:rPr>
        <w:t>14</w:t>
      </w:r>
      <w:r>
        <w:rPr>
          <w:rFonts w:hint="eastAsia"/>
          <w:color w:val="auto"/>
          <w:kern w:val="0"/>
          <w:sz w:val="24"/>
          <w:lang w:val="zh-CN"/>
        </w:rPr>
        <w:t>）</w:t>
      </w:r>
      <w:r>
        <w:rPr>
          <w:rFonts w:hint="default"/>
          <w:color w:val="auto"/>
          <w:kern w:val="0"/>
          <w:sz w:val="24"/>
          <w:lang w:val="zh-CN"/>
        </w:rPr>
        <w:t xml:space="preserve">宣城市人民政府，《宣城市水污染防治工作方案》，2015 年 12 月 31 </w:t>
      </w:r>
      <w:r>
        <w:rPr>
          <w:rFonts w:hint="eastAsia"/>
          <w:color w:val="auto"/>
          <w:kern w:val="0"/>
          <w:sz w:val="24"/>
          <w:lang w:val="zh-CN"/>
        </w:rPr>
        <w:t>（</w:t>
      </w:r>
      <w:r>
        <w:rPr>
          <w:rFonts w:hint="eastAsia"/>
          <w:color w:val="auto"/>
          <w:kern w:val="0"/>
          <w:sz w:val="24"/>
          <w:lang w:val="en-US" w:eastAsia="zh-CN"/>
        </w:rPr>
        <w:t>13</w:t>
      </w:r>
      <w:r>
        <w:rPr>
          <w:rFonts w:hint="eastAsia"/>
          <w:color w:val="auto"/>
          <w:kern w:val="0"/>
          <w:sz w:val="24"/>
          <w:lang w:val="zh-CN"/>
        </w:rPr>
        <w:t>）</w:t>
      </w:r>
      <w:r>
        <w:rPr>
          <w:rFonts w:hint="default"/>
          <w:color w:val="auto"/>
          <w:kern w:val="0"/>
          <w:sz w:val="24"/>
          <w:lang w:val="zh-CN"/>
        </w:rPr>
        <w:t>日；</w:t>
      </w:r>
    </w:p>
    <w:p>
      <w:pPr>
        <w:autoSpaceDE w:val="0"/>
        <w:autoSpaceDN w:val="0"/>
        <w:adjustRightInd w:val="0"/>
        <w:spacing w:line="520" w:lineRule="exact"/>
        <w:ind w:firstLine="480" w:firstLineChars="200"/>
        <w:rPr>
          <w:rFonts w:hint="default"/>
          <w:color w:val="auto"/>
          <w:kern w:val="0"/>
          <w:sz w:val="24"/>
          <w:lang w:val="zh-CN"/>
        </w:rPr>
      </w:pPr>
      <w:r>
        <w:rPr>
          <w:rFonts w:hint="eastAsia"/>
          <w:color w:val="auto"/>
          <w:kern w:val="0"/>
          <w:sz w:val="24"/>
          <w:lang w:val="zh-CN"/>
        </w:rPr>
        <w:t>（</w:t>
      </w:r>
      <w:r>
        <w:rPr>
          <w:rFonts w:hint="eastAsia"/>
          <w:color w:val="auto"/>
          <w:kern w:val="0"/>
          <w:sz w:val="24"/>
          <w:lang w:val="en-US" w:eastAsia="zh-CN"/>
        </w:rPr>
        <w:t>15</w:t>
      </w:r>
      <w:r>
        <w:rPr>
          <w:rFonts w:hint="eastAsia"/>
          <w:color w:val="auto"/>
          <w:kern w:val="0"/>
          <w:sz w:val="24"/>
          <w:lang w:val="zh-CN"/>
        </w:rPr>
        <w:t>）</w:t>
      </w:r>
      <w:r>
        <w:rPr>
          <w:rFonts w:hint="default"/>
          <w:color w:val="auto"/>
          <w:kern w:val="0"/>
          <w:sz w:val="24"/>
          <w:lang w:val="zh-CN"/>
        </w:rPr>
        <w:t>宣城市人民政府，《宣城市土壤污染防治工作方案》，2018 年 3 月 7 日；</w:t>
      </w:r>
    </w:p>
    <w:p>
      <w:pPr>
        <w:autoSpaceDE w:val="0"/>
        <w:autoSpaceDN w:val="0"/>
        <w:adjustRightInd w:val="0"/>
        <w:spacing w:line="520" w:lineRule="exact"/>
        <w:ind w:firstLine="480" w:firstLineChars="200"/>
        <w:rPr>
          <w:rFonts w:hint="default"/>
          <w:color w:val="auto"/>
          <w:kern w:val="0"/>
          <w:sz w:val="24"/>
          <w:lang w:val="zh-CN"/>
        </w:rPr>
      </w:pPr>
      <w:r>
        <w:rPr>
          <w:rFonts w:hint="default"/>
          <w:color w:val="auto"/>
          <w:kern w:val="0"/>
          <w:sz w:val="24"/>
          <w:lang w:val="zh-CN"/>
        </w:rPr>
        <w:t>（1</w:t>
      </w:r>
      <w:r>
        <w:rPr>
          <w:rFonts w:hint="eastAsia"/>
          <w:color w:val="auto"/>
          <w:kern w:val="0"/>
          <w:sz w:val="24"/>
          <w:lang w:val="en-US" w:eastAsia="zh-CN"/>
        </w:rPr>
        <w:t>6</w:t>
      </w:r>
      <w:r>
        <w:rPr>
          <w:rFonts w:hint="default"/>
          <w:color w:val="auto"/>
          <w:kern w:val="0"/>
          <w:sz w:val="24"/>
          <w:lang w:val="zh-CN"/>
        </w:rPr>
        <w:t>）《宣城市水污染防治工作方案》，宣城市人民政府，2015年12月31日；</w:t>
      </w:r>
    </w:p>
    <w:p>
      <w:pPr>
        <w:autoSpaceDE w:val="0"/>
        <w:autoSpaceDN w:val="0"/>
        <w:adjustRightInd w:val="0"/>
        <w:spacing w:line="520" w:lineRule="exact"/>
        <w:ind w:firstLine="480" w:firstLineChars="200"/>
        <w:rPr>
          <w:color w:val="auto"/>
          <w:kern w:val="0"/>
          <w:sz w:val="24"/>
          <w:lang w:val="zh-CN"/>
        </w:rPr>
      </w:pPr>
      <w:r>
        <w:rPr>
          <w:rFonts w:hint="default"/>
          <w:color w:val="auto"/>
          <w:kern w:val="0"/>
          <w:sz w:val="24"/>
          <w:lang w:val="zh-CN"/>
        </w:rPr>
        <w:t>（1</w:t>
      </w:r>
      <w:r>
        <w:rPr>
          <w:rFonts w:hint="eastAsia"/>
          <w:color w:val="auto"/>
          <w:kern w:val="0"/>
          <w:sz w:val="24"/>
          <w:lang w:val="en-US" w:eastAsia="zh-CN"/>
        </w:rPr>
        <w:t>7</w:t>
      </w:r>
      <w:r>
        <w:rPr>
          <w:rFonts w:hint="default"/>
          <w:color w:val="auto"/>
          <w:kern w:val="0"/>
          <w:sz w:val="24"/>
          <w:lang w:val="zh-CN"/>
        </w:rPr>
        <w:t>）《关于全面打造水清岸绿产业优美丽长江（安徽）经济带的实施意见》（皖发[2018</w:t>
      </w:r>
      <w:r>
        <w:rPr>
          <w:color w:val="auto"/>
          <w:kern w:val="0"/>
          <w:sz w:val="24"/>
          <w:lang w:val="zh-CN"/>
        </w:rPr>
        <w:t>]21号），安徽省人民政府；</w:t>
      </w:r>
    </w:p>
    <w:p>
      <w:pPr>
        <w:autoSpaceDE w:val="0"/>
        <w:autoSpaceDN w:val="0"/>
        <w:adjustRightInd w:val="0"/>
        <w:spacing w:line="520" w:lineRule="exact"/>
        <w:ind w:firstLine="480" w:firstLineChars="200"/>
        <w:rPr>
          <w:rFonts w:hint="default"/>
          <w:color w:val="auto"/>
          <w:kern w:val="0"/>
          <w:sz w:val="24"/>
          <w:lang w:val="zh-CN"/>
        </w:rPr>
      </w:pPr>
      <w:r>
        <w:rPr>
          <w:rFonts w:hint="default"/>
          <w:color w:val="auto"/>
          <w:kern w:val="0"/>
          <w:sz w:val="24"/>
          <w:lang w:val="zh-CN"/>
        </w:rPr>
        <w:t>（1</w:t>
      </w:r>
      <w:r>
        <w:rPr>
          <w:rFonts w:hint="eastAsia"/>
          <w:color w:val="auto"/>
          <w:kern w:val="0"/>
          <w:sz w:val="24"/>
          <w:lang w:val="en-US" w:eastAsia="zh-CN"/>
        </w:rPr>
        <w:t>8</w:t>
      </w:r>
      <w:r>
        <w:rPr>
          <w:rFonts w:hint="default"/>
          <w:color w:val="auto"/>
          <w:kern w:val="0"/>
          <w:sz w:val="24"/>
          <w:lang w:val="zh-CN"/>
        </w:rPr>
        <w:t>）</w:t>
      </w:r>
      <w:r>
        <w:rPr>
          <w:rFonts w:hint="eastAsia"/>
          <w:color w:val="auto"/>
          <w:kern w:val="0"/>
          <w:sz w:val="24"/>
          <w:lang w:val="zh-CN"/>
        </w:rPr>
        <w:t>宣城市关于印发《宣城市</w:t>
      </w:r>
      <w:r>
        <w:rPr>
          <w:rFonts w:hint="eastAsia"/>
          <w:color w:val="auto"/>
          <w:kern w:val="0"/>
          <w:sz w:val="24"/>
          <w:lang w:val="en-US" w:eastAsia="zh-CN"/>
        </w:rPr>
        <w:t>2020年大气污染防治重点关注任务</w:t>
      </w:r>
      <w:r>
        <w:rPr>
          <w:rFonts w:hint="eastAsia"/>
          <w:color w:val="auto"/>
          <w:kern w:val="0"/>
          <w:sz w:val="24"/>
          <w:lang w:val="zh-CN"/>
        </w:rPr>
        <w:t>》的通知，宣大气办</w:t>
      </w:r>
      <w:r>
        <w:rPr>
          <w:color w:val="auto"/>
          <w:kern w:val="0"/>
          <w:sz w:val="24"/>
        </w:rPr>
        <w:t>〔</w:t>
      </w:r>
      <w:r>
        <w:rPr>
          <w:rFonts w:hint="eastAsia"/>
          <w:color w:val="auto"/>
          <w:kern w:val="0"/>
          <w:sz w:val="24"/>
          <w:lang w:val="en-US" w:eastAsia="zh-CN"/>
        </w:rPr>
        <w:t>2020</w:t>
      </w:r>
      <w:r>
        <w:rPr>
          <w:color w:val="auto"/>
          <w:kern w:val="0"/>
          <w:sz w:val="24"/>
        </w:rPr>
        <w:t>〕</w:t>
      </w:r>
      <w:r>
        <w:rPr>
          <w:rFonts w:hint="eastAsia"/>
          <w:color w:val="auto"/>
          <w:kern w:val="0"/>
          <w:sz w:val="24"/>
          <w:lang w:val="en-US" w:eastAsia="zh-CN"/>
        </w:rPr>
        <w:t>17号；</w:t>
      </w:r>
    </w:p>
    <w:p>
      <w:pPr>
        <w:autoSpaceDE w:val="0"/>
        <w:autoSpaceDN w:val="0"/>
        <w:adjustRightInd w:val="0"/>
        <w:spacing w:line="520" w:lineRule="exact"/>
        <w:ind w:firstLine="480" w:firstLineChars="200"/>
        <w:rPr>
          <w:rFonts w:hint="default"/>
          <w:color w:val="auto"/>
          <w:kern w:val="0"/>
          <w:sz w:val="24"/>
          <w:lang w:val="zh-CN"/>
        </w:rPr>
      </w:pPr>
      <w:r>
        <w:rPr>
          <w:rFonts w:hint="default"/>
          <w:color w:val="auto"/>
          <w:kern w:val="0"/>
          <w:sz w:val="24"/>
          <w:lang w:val="zh-CN"/>
        </w:rPr>
        <w:t>（1</w:t>
      </w:r>
      <w:r>
        <w:rPr>
          <w:rFonts w:hint="eastAsia"/>
          <w:color w:val="auto"/>
          <w:kern w:val="0"/>
          <w:sz w:val="24"/>
          <w:lang w:val="en-US" w:eastAsia="zh-CN"/>
        </w:rPr>
        <w:t>9</w:t>
      </w:r>
      <w:r>
        <w:rPr>
          <w:rFonts w:hint="default"/>
          <w:color w:val="auto"/>
          <w:kern w:val="0"/>
          <w:sz w:val="24"/>
          <w:lang w:val="zh-CN"/>
        </w:rPr>
        <w:t>）《宁国市大气污染防治行动计划实施细则》，宁国市人民政府；</w:t>
      </w:r>
    </w:p>
    <w:p>
      <w:pPr>
        <w:autoSpaceDE w:val="0"/>
        <w:autoSpaceDN w:val="0"/>
        <w:adjustRightInd w:val="0"/>
        <w:spacing w:line="520" w:lineRule="exact"/>
        <w:ind w:firstLine="480" w:firstLineChars="200"/>
        <w:rPr>
          <w:rFonts w:hint="default"/>
          <w:color w:val="auto"/>
          <w:kern w:val="0"/>
          <w:sz w:val="24"/>
          <w:lang w:val="zh-CN"/>
        </w:rPr>
      </w:pPr>
      <w:r>
        <w:rPr>
          <w:rFonts w:hint="default"/>
          <w:color w:val="auto"/>
          <w:kern w:val="0"/>
          <w:sz w:val="24"/>
          <w:lang w:val="zh-CN"/>
        </w:rPr>
        <w:t>（</w:t>
      </w:r>
      <w:r>
        <w:rPr>
          <w:rFonts w:hint="eastAsia"/>
          <w:color w:val="auto"/>
          <w:kern w:val="0"/>
          <w:sz w:val="24"/>
          <w:lang w:val="en-US" w:eastAsia="zh-CN"/>
        </w:rPr>
        <w:t>20</w:t>
      </w:r>
      <w:r>
        <w:rPr>
          <w:rFonts w:hint="default"/>
          <w:color w:val="auto"/>
          <w:kern w:val="0"/>
          <w:sz w:val="24"/>
          <w:lang w:val="zh-CN"/>
        </w:rPr>
        <w:t>）《宁国市水污染防治工作方案》，宁国市人民政府。</w:t>
      </w:r>
    </w:p>
    <w:p>
      <w:pPr>
        <w:autoSpaceDE w:val="0"/>
        <w:autoSpaceDN w:val="0"/>
        <w:adjustRightInd w:val="0"/>
        <w:spacing w:line="520" w:lineRule="exact"/>
        <w:ind w:firstLine="480" w:firstLineChars="200"/>
        <w:rPr>
          <w:rFonts w:hint="default"/>
          <w:color w:val="auto"/>
          <w:kern w:val="0"/>
          <w:sz w:val="24"/>
          <w:lang w:val="zh-CN"/>
        </w:rPr>
      </w:pPr>
      <w:r>
        <w:rPr>
          <w:rFonts w:hint="eastAsia"/>
          <w:color w:val="auto"/>
          <w:kern w:val="0"/>
          <w:sz w:val="24"/>
          <w:lang w:val="zh-CN"/>
        </w:rPr>
        <w:t>（</w:t>
      </w:r>
      <w:r>
        <w:rPr>
          <w:rFonts w:hint="eastAsia"/>
          <w:color w:val="auto"/>
          <w:kern w:val="0"/>
          <w:sz w:val="24"/>
          <w:lang w:val="en-US" w:eastAsia="zh-CN"/>
        </w:rPr>
        <w:t>21</w:t>
      </w:r>
      <w:r>
        <w:rPr>
          <w:rFonts w:hint="eastAsia"/>
          <w:color w:val="auto"/>
          <w:kern w:val="0"/>
          <w:sz w:val="24"/>
          <w:lang w:val="zh-CN"/>
        </w:rPr>
        <w:t>）</w:t>
      </w:r>
      <w:r>
        <w:rPr>
          <w:rFonts w:hint="default"/>
          <w:color w:val="auto"/>
          <w:kern w:val="0"/>
          <w:sz w:val="24"/>
          <w:lang w:val="zh-CN"/>
        </w:rPr>
        <w:t>宁国市人民政府 宁政办秘〔2017〕136 号，《宁国市人民政府办公室关于印发宁国市 2017 年蓝天行动实施方案的通知》，2017 年 6 月；</w:t>
      </w:r>
    </w:p>
    <w:p>
      <w:pPr>
        <w:autoSpaceDE w:val="0"/>
        <w:autoSpaceDN w:val="0"/>
        <w:adjustRightInd w:val="0"/>
        <w:spacing w:line="520" w:lineRule="exact"/>
        <w:ind w:firstLine="480" w:firstLineChars="200"/>
        <w:rPr>
          <w:rFonts w:hint="default"/>
          <w:color w:val="auto"/>
          <w:kern w:val="0"/>
          <w:sz w:val="24"/>
          <w:lang w:val="zh-CN"/>
        </w:rPr>
      </w:pPr>
      <w:r>
        <w:rPr>
          <w:rFonts w:hint="eastAsia"/>
          <w:color w:val="auto"/>
          <w:kern w:val="0"/>
          <w:sz w:val="24"/>
          <w:lang w:val="zh-CN"/>
        </w:rPr>
        <w:t>（</w:t>
      </w:r>
      <w:r>
        <w:rPr>
          <w:rFonts w:hint="eastAsia"/>
          <w:color w:val="auto"/>
          <w:kern w:val="0"/>
          <w:sz w:val="24"/>
          <w:lang w:val="en-US" w:eastAsia="zh-CN"/>
        </w:rPr>
        <w:t>22</w:t>
      </w:r>
      <w:r>
        <w:rPr>
          <w:rFonts w:hint="eastAsia"/>
          <w:color w:val="auto"/>
          <w:kern w:val="0"/>
          <w:sz w:val="24"/>
          <w:lang w:val="zh-CN"/>
        </w:rPr>
        <w:t>）</w:t>
      </w:r>
      <w:r>
        <w:rPr>
          <w:rFonts w:hint="default"/>
          <w:color w:val="auto"/>
          <w:kern w:val="0"/>
          <w:sz w:val="24"/>
          <w:lang w:val="zh-CN"/>
        </w:rPr>
        <w:t>宁国市人民政府，《宁国市水污染防治行动计划工作方案》，2015 年 9 月 25 日。</w:t>
      </w:r>
    </w:p>
    <w:p>
      <w:pPr>
        <w:autoSpaceDE w:val="0"/>
        <w:autoSpaceDN w:val="0"/>
        <w:adjustRightInd w:val="0"/>
        <w:spacing w:line="520" w:lineRule="exact"/>
        <w:ind w:firstLine="480" w:firstLineChars="200"/>
        <w:rPr>
          <w:rFonts w:hint="default"/>
          <w:color w:val="auto"/>
          <w:kern w:val="0"/>
          <w:sz w:val="24"/>
          <w:lang w:val="zh-CN"/>
        </w:rPr>
      </w:pPr>
      <w:r>
        <w:rPr>
          <w:rFonts w:hint="eastAsia"/>
          <w:color w:val="auto"/>
          <w:kern w:val="0"/>
          <w:sz w:val="24"/>
          <w:lang w:val="zh-CN"/>
        </w:rPr>
        <w:t>（</w:t>
      </w:r>
      <w:r>
        <w:rPr>
          <w:rFonts w:hint="eastAsia"/>
          <w:color w:val="auto"/>
          <w:kern w:val="0"/>
          <w:sz w:val="24"/>
          <w:lang w:val="en-US" w:eastAsia="zh-CN"/>
        </w:rPr>
        <w:t>23</w:t>
      </w:r>
      <w:r>
        <w:rPr>
          <w:rFonts w:hint="eastAsia"/>
          <w:color w:val="auto"/>
          <w:kern w:val="0"/>
          <w:sz w:val="24"/>
          <w:lang w:val="zh-CN"/>
        </w:rPr>
        <w:t>）</w:t>
      </w:r>
      <w:r>
        <w:rPr>
          <w:rFonts w:hint="default"/>
          <w:color w:val="auto"/>
          <w:kern w:val="0"/>
          <w:sz w:val="24"/>
          <w:lang w:val="zh-CN"/>
        </w:rPr>
        <w:t>宁国市人民政府 《宁国市企业投资项目负面清单（2015年本）》，2015年5月13日；</w:t>
      </w:r>
    </w:p>
    <w:p>
      <w:pPr>
        <w:pStyle w:val="2"/>
      </w:pPr>
    </w:p>
    <w:p>
      <w:pPr>
        <w:pStyle w:val="5"/>
        <w:spacing w:before="0" w:after="0" w:line="520" w:lineRule="exact"/>
        <w:rPr>
          <w:color w:val="auto"/>
          <w:sz w:val="24"/>
          <w:szCs w:val="24"/>
        </w:rPr>
      </w:pPr>
      <w:bookmarkStart w:id="57" w:name="_Toc333177922"/>
      <w:r>
        <w:rPr>
          <w:color w:val="auto"/>
          <w:sz w:val="24"/>
          <w:szCs w:val="24"/>
        </w:rPr>
        <w:t>2.2.3 技术依据</w:t>
      </w:r>
      <w:bookmarkEnd w:id="57"/>
    </w:p>
    <w:p>
      <w:pPr>
        <w:autoSpaceDE w:val="0"/>
        <w:autoSpaceDN w:val="0"/>
        <w:adjustRightInd w:val="0"/>
        <w:spacing w:line="520" w:lineRule="exact"/>
        <w:ind w:firstLine="240" w:firstLineChars="100"/>
        <w:rPr>
          <w:color w:val="auto"/>
          <w:kern w:val="0"/>
          <w:sz w:val="24"/>
          <w:lang w:val="zh-CN"/>
        </w:rPr>
      </w:pPr>
      <w:r>
        <w:rPr>
          <w:color w:val="auto"/>
          <w:sz w:val="24"/>
        </w:rPr>
        <w:t>（1）</w:t>
      </w:r>
      <w:r>
        <w:rPr>
          <w:color w:val="auto"/>
          <w:kern w:val="0"/>
          <w:sz w:val="24"/>
          <w:lang w:val="zh-CN"/>
        </w:rPr>
        <w:t>《环境影响评价技术导则</w:t>
      </w:r>
      <w:r>
        <w:rPr>
          <w:color w:val="auto"/>
          <w:sz w:val="24"/>
        </w:rPr>
        <w:t>·总纲</w:t>
      </w:r>
      <w:r>
        <w:rPr>
          <w:color w:val="auto"/>
          <w:kern w:val="0"/>
          <w:sz w:val="24"/>
          <w:lang w:val="zh-CN"/>
        </w:rPr>
        <w:t>》（HJ</w:t>
      </w:r>
      <w:r>
        <w:rPr>
          <w:color w:val="auto"/>
          <w:kern w:val="0"/>
          <w:sz w:val="24"/>
        </w:rPr>
        <w:t xml:space="preserve"> </w:t>
      </w:r>
      <w:r>
        <w:rPr>
          <w:color w:val="auto"/>
          <w:kern w:val="0"/>
          <w:sz w:val="24"/>
          <w:lang w:val="zh-CN"/>
        </w:rPr>
        <w:t>2.1-2016）；</w:t>
      </w:r>
    </w:p>
    <w:p>
      <w:pPr>
        <w:autoSpaceDE w:val="0"/>
        <w:autoSpaceDN w:val="0"/>
        <w:adjustRightInd w:val="0"/>
        <w:spacing w:line="520" w:lineRule="exact"/>
        <w:ind w:firstLine="240" w:firstLineChars="100"/>
        <w:rPr>
          <w:color w:val="auto"/>
          <w:kern w:val="0"/>
          <w:sz w:val="24"/>
          <w:lang w:val="zh-CN"/>
        </w:rPr>
      </w:pPr>
      <w:r>
        <w:rPr>
          <w:color w:val="auto"/>
          <w:sz w:val="24"/>
        </w:rPr>
        <w:t>（2）</w:t>
      </w:r>
      <w:r>
        <w:rPr>
          <w:color w:val="auto"/>
          <w:kern w:val="0"/>
          <w:sz w:val="24"/>
          <w:lang w:val="zh-CN"/>
        </w:rPr>
        <w:t>《环境影响评价技术导则</w:t>
      </w:r>
      <w:r>
        <w:rPr>
          <w:color w:val="auto"/>
          <w:sz w:val="24"/>
        </w:rPr>
        <w:t>·大气环境</w:t>
      </w:r>
      <w:r>
        <w:rPr>
          <w:color w:val="auto"/>
          <w:kern w:val="0"/>
          <w:sz w:val="24"/>
          <w:lang w:val="zh-CN"/>
        </w:rPr>
        <w:t>》（HJ</w:t>
      </w:r>
      <w:r>
        <w:rPr>
          <w:color w:val="auto"/>
          <w:kern w:val="0"/>
          <w:sz w:val="24"/>
        </w:rPr>
        <w:t xml:space="preserve"> </w:t>
      </w:r>
      <w:r>
        <w:rPr>
          <w:color w:val="auto"/>
          <w:kern w:val="0"/>
          <w:sz w:val="24"/>
          <w:lang w:val="zh-CN"/>
        </w:rPr>
        <w:t>2.2-2018）；</w:t>
      </w:r>
    </w:p>
    <w:p>
      <w:pPr>
        <w:autoSpaceDE w:val="0"/>
        <w:autoSpaceDN w:val="0"/>
        <w:adjustRightInd w:val="0"/>
        <w:spacing w:line="520" w:lineRule="exact"/>
        <w:ind w:firstLine="240" w:firstLineChars="100"/>
        <w:rPr>
          <w:color w:val="auto"/>
          <w:kern w:val="0"/>
          <w:sz w:val="24"/>
          <w:lang w:val="zh-CN"/>
        </w:rPr>
      </w:pPr>
      <w:r>
        <w:rPr>
          <w:color w:val="auto"/>
          <w:sz w:val="24"/>
        </w:rPr>
        <w:t>（3）</w:t>
      </w:r>
      <w:r>
        <w:rPr>
          <w:color w:val="auto"/>
          <w:kern w:val="0"/>
          <w:sz w:val="24"/>
          <w:lang w:val="zh-CN"/>
        </w:rPr>
        <w:t>《环境影响评价技术导则—地表水环境》(HJ 2.3-2018)；</w:t>
      </w:r>
    </w:p>
    <w:p>
      <w:pPr>
        <w:autoSpaceDE w:val="0"/>
        <w:autoSpaceDN w:val="0"/>
        <w:adjustRightInd w:val="0"/>
        <w:spacing w:line="520" w:lineRule="exact"/>
        <w:ind w:firstLine="240" w:firstLineChars="100"/>
        <w:rPr>
          <w:color w:val="auto"/>
          <w:kern w:val="0"/>
          <w:sz w:val="24"/>
          <w:lang w:val="zh-CN"/>
        </w:rPr>
      </w:pPr>
      <w:r>
        <w:rPr>
          <w:color w:val="auto"/>
          <w:sz w:val="24"/>
        </w:rPr>
        <w:t>（4）</w:t>
      </w:r>
      <w:r>
        <w:rPr>
          <w:color w:val="auto"/>
          <w:kern w:val="0"/>
          <w:sz w:val="24"/>
          <w:lang w:val="zh-CN"/>
        </w:rPr>
        <w:t>《环境影响评价技术导则</w:t>
      </w:r>
      <w:r>
        <w:rPr>
          <w:color w:val="auto"/>
          <w:sz w:val="24"/>
        </w:rPr>
        <w:t>·</w:t>
      </w:r>
      <w:r>
        <w:rPr>
          <w:color w:val="auto"/>
          <w:kern w:val="0"/>
          <w:sz w:val="24"/>
          <w:lang w:val="zh-CN"/>
        </w:rPr>
        <w:t>声环境》（HJ</w:t>
      </w:r>
      <w:r>
        <w:rPr>
          <w:color w:val="auto"/>
          <w:kern w:val="0"/>
          <w:sz w:val="24"/>
        </w:rPr>
        <w:t xml:space="preserve"> </w:t>
      </w:r>
      <w:r>
        <w:rPr>
          <w:color w:val="auto"/>
          <w:kern w:val="0"/>
          <w:sz w:val="24"/>
          <w:lang w:val="zh-CN"/>
        </w:rPr>
        <w:t>2.4-2009）；</w:t>
      </w:r>
    </w:p>
    <w:p>
      <w:pPr>
        <w:autoSpaceDE w:val="0"/>
        <w:autoSpaceDN w:val="0"/>
        <w:adjustRightInd w:val="0"/>
        <w:spacing w:line="520" w:lineRule="exact"/>
        <w:ind w:firstLine="240" w:firstLineChars="100"/>
        <w:rPr>
          <w:color w:val="auto"/>
          <w:kern w:val="0"/>
          <w:sz w:val="24"/>
          <w:lang w:val="zh-CN"/>
        </w:rPr>
      </w:pPr>
      <w:r>
        <w:rPr>
          <w:color w:val="auto"/>
          <w:sz w:val="24"/>
        </w:rPr>
        <w:t>（5）</w:t>
      </w:r>
      <w:r>
        <w:rPr>
          <w:color w:val="auto"/>
          <w:kern w:val="0"/>
          <w:sz w:val="24"/>
          <w:lang w:val="zh-CN"/>
        </w:rPr>
        <w:t>《环境影响评价技术导则</w:t>
      </w:r>
      <w:r>
        <w:rPr>
          <w:color w:val="auto"/>
          <w:sz w:val="24"/>
        </w:rPr>
        <w:t>·</w:t>
      </w:r>
      <w:r>
        <w:rPr>
          <w:color w:val="auto"/>
          <w:kern w:val="0"/>
          <w:sz w:val="24"/>
          <w:lang w:val="zh-CN"/>
        </w:rPr>
        <w:t>生态影响》（HJ</w:t>
      </w:r>
      <w:r>
        <w:rPr>
          <w:color w:val="auto"/>
          <w:kern w:val="0"/>
          <w:sz w:val="24"/>
        </w:rPr>
        <w:t xml:space="preserve"> </w:t>
      </w:r>
      <w:r>
        <w:rPr>
          <w:color w:val="auto"/>
          <w:kern w:val="0"/>
          <w:sz w:val="24"/>
          <w:lang w:val="zh-CN"/>
        </w:rPr>
        <w:t>19-2011）；</w:t>
      </w:r>
    </w:p>
    <w:p>
      <w:pPr>
        <w:autoSpaceDE w:val="0"/>
        <w:autoSpaceDN w:val="0"/>
        <w:adjustRightInd w:val="0"/>
        <w:spacing w:line="520" w:lineRule="exact"/>
        <w:ind w:firstLine="240" w:firstLineChars="100"/>
        <w:rPr>
          <w:color w:val="auto"/>
          <w:kern w:val="0"/>
          <w:sz w:val="24"/>
          <w:lang w:val="zh-CN"/>
        </w:rPr>
      </w:pPr>
      <w:r>
        <w:rPr>
          <w:color w:val="auto"/>
          <w:sz w:val="24"/>
        </w:rPr>
        <w:t>（6）《环境影响评价技术导则·地下水环境》（HJ 610-2016）</w:t>
      </w:r>
      <w:r>
        <w:rPr>
          <w:color w:val="auto"/>
          <w:kern w:val="0"/>
          <w:sz w:val="24"/>
          <w:lang w:val="zh-CN"/>
        </w:rPr>
        <w:t>；</w:t>
      </w:r>
    </w:p>
    <w:p>
      <w:pPr>
        <w:autoSpaceDE w:val="0"/>
        <w:autoSpaceDN w:val="0"/>
        <w:adjustRightInd w:val="0"/>
        <w:spacing w:line="520" w:lineRule="exact"/>
        <w:ind w:firstLine="240" w:firstLineChars="100"/>
        <w:rPr>
          <w:rFonts w:hint="eastAsia"/>
          <w:color w:val="auto"/>
          <w:sz w:val="24"/>
        </w:rPr>
      </w:pPr>
      <w:r>
        <w:rPr>
          <w:color w:val="auto"/>
          <w:sz w:val="24"/>
        </w:rPr>
        <w:t>（7）《建设项目环境风险评价技术导则》（HJ 169-2018）；</w:t>
      </w:r>
    </w:p>
    <w:p>
      <w:pPr>
        <w:autoSpaceDE w:val="0"/>
        <w:autoSpaceDN w:val="0"/>
        <w:adjustRightInd w:val="0"/>
        <w:spacing w:line="520" w:lineRule="exact"/>
        <w:ind w:firstLine="240" w:firstLineChars="100"/>
        <w:rPr>
          <w:color w:val="auto"/>
          <w:sz w:val="24"/>
        </w:rPr>
      </w:pPr>
      <w:r>
        <w:rPr>
          <w:color w:val="auto"/>
          <w:sz w:val="24"/>
        </w:rPr>
        <w:t>（8）《建设项目危险废物环境影响评价指南》，2017年10月1日起施行；</w:t>
      </w:r>
    </w:p>
    <w:p>
      <w:pPr>
        <w:autoSpaceDE w:val="0"/>
        <w:autoSpaceDN w:val="0"/>
        <w:adjustRightInd w:val="0"/>
        <w:spacing w:line="520" w:lineRule="exact"/>
        <w:ind w:firstLine="240" w:firstLineChars="100"/>
        <w:rPr>
          <w:color w:val="auto"/>
          <w:sz w:val="24"/>
        </w:rPr>
      </w:pPr>
      <w:r>
        <w:rPr>
          <w:rFonts w:hint="eastAsia"/>
          <w:color w:val="auto"/>
          <w:sz w:val="24"/>
        </w:rPr>
        <w:t xml:space="preserve">（9）《污染源源强核算技术指南 </w:t>
      </w:r>
      <w:r>
        <w:rPr>
          <w:color w:val="auto"/>
          <w:sz w:val="24"/>
        </w:rPr>
        <w:t xml:space="preserve"> </w:t>
      </w:r>
      <w:r>
        <w:rPr>
          <w:rFonts w:hint="eastAsia"/>
          <w:color w:val="auto"/>
          <w:sz w:val="24"/>
        </w:rPr>
        <w:t>准则》（H</w:t>
      </w:r>
      <w:r>
        <w:rPr>
          <w:color w:val="auto"/>
          <w:sz w:val="24"/>
        </w:rPr>
        <w:t>J884-2018</w:t>
      </w:r>
      <w:r>
        <w:rPr>
          <w:rFonts w:hint="eastAsia"/>
          <w:color w:val="auto"/>
          <w:sz w:val="24"/>
        </w:rPr>
        <w:t>）</w:t>
      </w:r>
      <w:r>
        <w:rPr>
          <w:color w:val="auto"/>
          <w:sz w:val="24"/>
        </w:rPr>
        <w:t>。</w:t>
      </w:r>
    </w:p>
    <w:p>
      <w:pPr>
        <w:autoSpaceDE w:val="0"/>
        <w:autoSpaceDN w:val="0"/>
        <w:adjustRightInd w:val="0"/>
        <w:spacing w:line="520" w:lineRule="exact"/>
        <w:ind w:firstLine="240" w:firstLineChars="100"/>
        <w:rPr>
          <w:color w:val="auto"/>
          <w:sz w:val="24"/>
        </w:rPr>
      </w:pPr>
      <w:r>
        <w:rPr>
          <w:color w:val="auto"/>
          <w:sz w:val="24"/>
        </w:rPr>
        <w:t>（</w:t>
      </w:r>
      <w:r>
        <w:rPr>
          <w:rFonts w:hint="eastAsia"/>
          <w:color w:val="auto"/>
          <w:sz w:val="24"/>
          <w:lang w:val="en-US" w:eastAsia="zh-CN"/>
        </w:rPr>
        <w:t>10</w:t>
      </w:r>
      <w:r>
        <w:rPr>
          <w:color w:val="auto"/>
          <w:sz w:val="24"/>
        </w:rPr>
        <w:t>）《国家危险废物名录》，环境保护部部务会议修订通过，2016年8月1日起施行；</w:t>
      </w:r>
    </w:p>
    <w:p>
      <w:pPr>
        <w:autoSpaceDE w:val="0"/>
        <w:autoSpaceDN w:val="0"/>
        <w:adjustRightInd w:val="0"/>
        <w:spacing w:line="520" w:lineRule="exact"/>
        <w:ind w:firstLine="240" w:firstLineChars="100"/>
        <w:rPr>
          <w:color w:val="auto"/>
          <w:sz w:val="24"/>
        </w:rPr>
      </w:pPr>
      <w:r>
        <w:rPr>
          <w:color w:val="auto"/>
          <w:sz w:val="24"/>
        </w:rPr>
        <w:t>（11）《橡胶工厂环境保护设计规范》（GB 50469-2016）；</w:t>
      </w:r>
    </w:p>
    <w:p>
      <w:pPr>
        <w:autoSpaceDE w:val="0"/>
        <w:autoSpaceDN w:val="0"/>
        <w:adjustRightInd w:val="0"/>
        <w:spacing w:line="520" w:lineRule="exact"/>
        <w:ind w:firstLine="240" w:firstLineChars="100"/>
        <w:rPr>
          <w:color w:val="auto"/>
          <w:sz w:val="24"/>
        </w:rPr>
      </w:pPr>
      <w:r>
        <w:rPr>
          <w:color w:val="auto"/>
          <w:sz w:val="24"/>
        </w:rPr>
        <w:t>（12）《排污单位自行监测技术指南 总则》（HJ 819-2017）；</w:t>
      </w:r>
    </w:p>
    <w:p>
      <w:pPr>
        <w:spacing w:line="360" w:lineRule="auto"/>
        <w:ind w:firstLine="250" w:firstLineChars="100"/>
        <w:rPr>
          <w:rFonts w:hint="eastAsia"/>
          <w:color w:val="auto"/>
          <w:spacing w:val="5"/>
          <w:sz w:val="24"/>
          <w:lang w:val="en-US" w:eastAsia="zh-CN"/>
        </w:rPr>
      </w:pPr>
      <w:r>
        <w:rPr>
          <w:rFonts w:hint="eastAsia"/>
          <w:color w:val="auto"/>
          <w:spacing w:val="5"/>
          <w:sz w:val="24"/>
          <w:lang w:val="en-US" w:eastAsia="zh-CN"/>
        </w:rPr>
        <w:t>（13）《吸附法工业有机废气治理工程技术规范》（HJ 2026-2013）；</w:t>
      </w:r>
    </w:p>
    <w:p>
      <w:pPr>
        <w:spacing w:line="360" w:lineRule="auto"/>
        <w:ind w:firstLine="250" w:firstLineChars="100"/>
        <w:rPr>
          <w:rFonts w:hint="default"/>
          <w:color w:val="auto"/>
          <w:spacing w:val="5"/>
          <w:sz w:val="24"/>
          <w:lang w:val="en-US" w:eastAsia="zh-CN"/>
        </w:rPr>
      </w:pPr>
      <w:r>
        <w:rPr>
          <w:rFonts w:hint="default"/>
          <w:color w:val="auto"/>
          <w:spacing w:val="5"/>
          <w:sz w:val="24"/>
          <w:lang w:val="en-US" w:eastAsia="zh-CN"/>
        </w:rPr>
        <w:t>（14）《橡胶加工炼胶车间防尘规程》（GB 21657-2008）。</w:t>
      </w:r>
    </w:p>
    <w:p>
      <w:pPr>
        <w:spacing w:line="360" w:lineRule="auto"/>
        <w:ind w:firstLine="250" w:firstLineChars="100"/>
        <w:rPr>
          <w:rFonts w:hint="default"/>
          <w:color w:val="auto"/>
          <w:spacing w:val="5"/>
          <w:sz w:val="24"/>
          <w:lang w:val="en-US" w:eastAsia="zh-CN"/>
        </w:rPr>
      </w:pPr>
      <w:r>
        <w:rPr>
          <w:rFonts w:hint="default"/>
          <w:color w:val="auto"/>
          <w:spacing w:val="5"/>
          <w:sz w:val="24"/>
          <w:lang w:val="en-US" w:eastAsia="zh-CN"/>
        </w:rPr>
        <w:t>（</w:t>
      </w:r>
      <w:r>
        <w:rPr>
          <w:rFonts w:hint="eastAsia"/>
          <w:color w:val="auto"/>
          <w:spacing w:val="5"/>
          <w:sz w:val="24"/>
          <w:lang w:val="en-US" w:eastAsia="zh-CN"/>
        </w:rPr>
        <w:t>15</w:t>
      </w:r>
      <w:r>
        <w:rPr>
          <w:rFonts w:hint="default"/>
          <w:color w:val="auto"/>
          <w:spacing w:val="5"/>
          <w:sz w:val="24"/>
          <w:lang w:val="en-US" w:eastAsia="zh-CN"/>
        </w:rPr>
        <w:t>）《大气污染治理工程技术导则》（HJ 2000-2010）；</w:t>
      </w:r>
    </w:p>
    <w:p>
      <w:pPr>
        <w:spacing w:line="360" w:lineRule="auto"/>
        <w:ind w:firstLine="250" w:firstLineChars="100"/>
        <w:rPr>
          <w:rFonts w:hint="default"/>
          <w:color w:val="auto"/>
          <w:spacing w:val="5"/>
          <w:sz w:val="24"/>
          <w:lang w:val="en-US" w:eastAsia="zh-CN"/>
        </w:rPr>
      </w:pPr>
      <w:r>
        <w:rPr>
          <w:rFonts w:hint="default"/>
          <w:color w:val="auto"/>
          <w:spacing w:val="5"/>
          <w:sz w:val="24"/>
          <w:lang w:val="en-US" w:eastAsia="zh-CN"/>
        </w:rPr>
        <w:t>（</w:t>
      </w:r>
      <w:r>
        <w:rPr>
          <w:rFonts w:hint="eastAsia"/>
          <w:color w:val="auto"/>
          <w:spacing w:val="5"/>
          <w:sz w:val="24"/>
          <w:lang w:val="en-US" w:eastAsia="zh-CN"/>
        </w:rPr>
        <w:t>16</w:t>
      </w:r>
      <w:r>
        <w:rPr>
          <w:rFonts w:hint="default"/>
          <w:color w:val="auto"/>
          <w:spacing w:val="5"/>
          <w:sz w:val="24"/>
          <w:lang w:val="en-US" w:eastAsia="zh-CN"/>
        </w:rPr>
        <w:t>）《2016年国家先进污染防治技术目录（VOCs防治领域）》。</w:t>
      </w:r>
    </w:p>
    <w:p>
      <w:pPr>
        <w:spacing w:line="360" w:lineRule="auto"/>
        <w:ind w:firstLine="250" w:firstLineChars="100"/>
        <w:rPr>
          <w:rFonts w:hint="default"/>
          <w:color w:val="auto"/>
          <w:spacing w:val="5"/>
          <w:sz w:val="24"/>
          <w:lang w:val="en-US" w:eastAsia="zh-CN"/>
        </w:rPr>
      </w:pPr>
      <w:r>
        <w:rPr>
          <w:rFonts w:hint="default"/>
          <w:color w:val="auto"/>
          <w:spacing w:val="5"/>
          <w:sz w:val="24"/>
          <w:lang w:val="en-US" w:eastAsia="zh-CN"/>
        </w:rPr>
        <w:t>（1</w:t>
      </w:r>
      <w:r>
        <w:rPr>
          <w:rFonts w:hint="eastAsia"/>
          <w:color w:val="auto"/>
          <w:spacing w:val="5"/>
          <w:sz w:val="24"/>
          <w:lang w:val="en-US" w:eastAsia="zh-CN"/>
        </w:rPr>
        <w:t>7</w:t>
      </w:r>
      <w:r>
        <w:rPr>
          <w:rFonts w:hint="default"/>
          <w:color w:val="auto"/>
          <w:spacing w:val="5"/>
          <w:sz w:val="24"/>
          <w:lang w:val="en-US" w:eastAsia="zh-CN"/>
        </w:rPr>
        <w:t>）《工业企业噪声控制设计规范》（GB/T50087-2013）；</w:t>
      </w:r>
    </w:p>
    <w:p>
      <w:pPr>
        <w:spacing w:line="360" w:lineRule="auto"/>
        <w:ind w:firstLine="250" w:firstLineChars="100"/>
        <w:rPr>
          <w:rFonts w:hint="eastAsia"/>
          <w:color w:val="auto"/>
          <w:spacing w:val="5"/>
          <w:sz w:val="24"/>
          <w:lang w:val="en-US" w:eastAsia="zh-CN"/>
        </w:rPr>
      </w:pPr>
      <w:r>
        <w:rPr>
          <w:rFonts w:hint="eastAsia"/>
          <w:color w:val="auto"/>
          <w:spacing w:val="5"/>
          <w:sz w:val="24"/>
          <w:lang w:val="en-US" w:eastAsia="zh-CN"/>
        </w:rPr>
        <w:t>（18）《工业防护涂料中有害物质限量》（GB30981-2020）</w:t>
      </w:r>
    </w:p>
    <w:p>
      <w:pPr>
        <w:autoSpaceDE w:val="0"/>
        <w:autoSpaceDN w:val="0"/>
        <w:adjustRightInd w:val="0"/>
        <w:spacing w:line="360" w:lineRule="auto"/>
        <w:ind w:firstLine="240" w:firstLineChars="100"/>
        <w:rPr>
          <w:sz w:val="24"/>
        </w:rPr>
      </w:pPr>
      <w:r>
        <w:rPr>
          <w:rFonts w:hint="eastAsia"/>
          <w:sz w:val="24"/>
          <w:lang w:val="en-US" w:eastAsia="zh-CN"/>
        </w:rPr>
        <w:t>（19）《</w:t>
      </w:r>
      <w:r>
        <w:rPr>
          <w:sz w:val="24"/>
          <w:lang w:val="en-US" w:eastAsia="zh-CN"/>
        </w:rPr>
        <w:t>排污许可证申请与核发技术规范</w:t>
      </w:r>
      <w:r>
        <w:rPr>
          <w:rFonts w:hint="eastAsia"/>
          <w:sz w:val="24"/>
          <w:lang w:val="en-US" w:eastAsia="zh-CN"/>
        </w:rPr>
        <w:t xml:space="preserve">  </w:t>
      </w:r>
      <w:r>
        <w:rPr>
          <w:sz w:val="24"/>
          <w:lang w:val="en-US" w:eastAsia="zh-CN"/>
        </w:rPr>
        <w:t>橡胶和塑料制品工业</w:t>
      </w:r>
      <w:r>
        <w:rPr>
          <w:rFonts w:hint="eastAsia"/>
          <w:sz w:val="24"/>
          <w:lang w:val="en-US" w:eastAsia="zh-CN"/>
        </w:rPr>
        <w:t>》（</w:t>
      </w:r>
      <w:r>
        <w:rPr>
          <w:rFonts w:hint="default"/>
          <w:sz w:val="24"/>
          <w:lang w:val="en-US" w:eastAsia="zh-CN"/>
        </w:rPr>
        <w:t>HJ1122—2020</w:t>
      </w:r>
      <w:r>
        <w:rPr>
          <w:rFonts w:hint="eastAsia"/>
          <w:sz w:val="24"/>
          <w:lang w:val="en-US" w:eastAsia="zh-CN"/>
        </w:rPr>
        <w:t>）</w:t>
      </w:r>
    </w:p>
    <w:p>
      <w:pPr>
        <w:pStyle w:val="2"/>
        <w:rPr>
          <w:rFonts w:hint="default"/>
          <w:lang w:val="en-US" w:eastAsia="zh-CN"/>
        </w:rPr>
      </w:pPr>
    </w:p>
    <w:p>
      <w:pPr>
        <w:pStyle w:val="5"/>
        <w:spacing w:before="0" w:after="0" w:line="520" w:lineRule="exact"/>
        <w:rPr>
          <w:color w:val="auto"/>
          <w:sz w:val="24"/>
          <w:szCs w:val="24"/>
        </w:rPr>
      </w:pPr>
      <w:bookmarkStart w:id="58" w:name="_Toc333177924"/>
      <w:r>
        <w:rPr>
          <w:color w:val="auto"/>
          <w:sz w:val="24"/>
          <w:szCs w:val="24"/>
        </w:rPr>
        <w:t>2.2.4 项目依据</w:t>
      </w:r>
      <w:bookmarkEnd w:id="58"/>
    </w:p>
    <w:p>
      <w:pPr>
        <w:spacing w:line="360" w:lineRule="auto"/>
        <w:ind w:firstLine="250" w:firstLineChars="100"/>
        <w:rPr>
          <w:color w:val="auto"/>
          <w:spacing w:val="5"/>
          <w:sz w:val="24"/>
        </w:rPr>
      </w:pPr>
      <w:r>
        <w:rPr>
          <w:color w:val="auto"/>
          <w:spacing w:val="5"/>
          <w:sz w:val="24"/>
        </w:rPr>
        <w:t>（1） 环境影响评价的委托书，</w:t>
      </w:r>
      <w:r>
        <w:rPr>
          <w:color w:val="auto"/>
          <w:sz w:val="24"/>
        </w:rPr>
        <w:t>2020</w:t>
      </w:r>
      <w:r>
        <w:rPr>
          <w:rFonts w:hint="eastAsia"/>
          <w:color w:val="auto"/>
          <w:sz w:val="24"/>
          <w:lang w:eastAsia="zh-CN"/>
        </w:rPr>
        <w:t>年</w:t>
      </w:r>
      <w:r>
        <w:rPr>
          <w:rFonts w:hint="eastAsia"/>
          <w:color w:val="auto"/>
          <w:sz w:val="24"/>
          <w:lang w:val="en-US" w:eastAsia="zh-CN"/>
        </w:rPr>
        <w:t>8</w:t>
      </w:r>
      <w:r>
        <w:rPr>
          <w:rFonts w:hint="eastAsia"/>
          <w:color w:val="auto"/>
          <w:sz w:val="24"/>
          <w:lang w:eastAsia="zh-CN"/>
        </w:rPr>
        <w:t>月2日</w:t>
      </w:r>
      <w:r>
        <w:rPr>
          <w:color w:val="auto"/>
          <w:spacing w:val="5"/>
          <w:sz w:val="24"/>
        </w:rPr>
        <w:t>；</w:t>
      </w:r>
    </w:p>
    <w:p>
      <w:pPr>
        <w:spacing w:line="360" w:lineRule="auto"/>
        <w:ind w:firstLine="250" w:firstLineChars="100"/>
        <w:rPr>
          <w:color w:val="auto"/>
          <w:spacing w:val="5"/>
          <w:sz w:val="24"/>
        </w:rPr>
      </w:pPr>
      <w:r>
        <w:rPr>
          <w:color w:val="auto"/>
          <w:spacing w:val="5"/>
          <w:sz w:val="24"/>
        </w:rPr>
        <w:t>（2）《</w:t>
      </w:r>
      <w:r>
        <w:rPr>
          <w:rFonts w:hint="eastAsia"/>
          <w:bCs/>
          <w:color w:val="auto"/>
          <w:spacing w:val="5"/>
          <w:sz w:val="24"/>
          <w:lang w:eastAsia="zh-CN"/>
        </w:rPr>
        <w:t>宁国市天马复合材料有限公司汽车平面密封材料和汽车橡胶密封件生产项目</w:t>
      </w:r>
      <w:r>
        <w:rPr>
          <w:bCs/>
          <w:color w:val="auto"/>
          <w:spacing w:val="5"/>
          <w:sz w:val="24"/>
        </w:rPr>
        <w:t>备案表</w:t>
      </w:r>
      <w:r>
        <w:rPr>
          <w:color w:val="auto"/>
          <w:spacing w:val="5"/>
          <w:sz w:val="24"/>
        </w:rPr>
        <w:t>》，2020年</w:t>
      </w:r>
      <w:r>
        <w:rPr>
          <w:rFonts w:hint="eastAsia"/>
          <w:color w:val="auto"/>
          <w:spacing w:val="5"/>
          <w:sz w:val="24"/>
          <w:lang w:val="en-US" w:eastAsia="zh-CN"/>
        </w:rPr>
        <w:t>4</w:t>
      </w:r>
      <w:r>
        <w:rPr>
          <w:color w:val="auto"/>
          <w:spacing w:val="5"/>
          <w:sz w:val="24"/>
        </w:rPr>
        <w:t>月3日；</w:t>
      </w:r>
    </w:p>
    <w:p>
      <w:pPr>
        <w:spacing w:line="360" w:lineRule="auto"/>
        <w:ind w:firstLine="250" w:firstLineChars="100"/>
        <w:rPr>
          <w:color w:val="auto"/>
          <w:spacing w:val="5"/>
          <w:sz w:val="24"/>
        </w:rPr>
      </w:pPr>
      <w:r>
        <w:rPr>
          <w:color w:val="auto"/>
          <w:spacing w:val="5"/>
          <w:sz w:val="24"/>
        </w:rPr>
        <w:t>（3）《</w:t>
      </w:r>
      <w:r>
        <w:rPr>
          <w:rFonts w:hint="eastAsia"/>
          <w:color w:val="auto"/>
          <w:spacing w:val="5"/>
          <w:sz w:val="24"/>
          <w:lang w:eastAsia="zh-CN"/>
        </w:rPr>
        <w:t>宁国市天马复合材料有限公司</w:t>
      </w:r>
      <w:r>
        <w:rPr>
          <w:rFonts w:hint="eastAsia"/>
          <w:bCs/>
          <w:color w:val="auto"/>
          <w:spacing w:val="5"/>
          <w:sz w:val="24"/>
          <w:lang w:eastAsia="zh-CN"/>
        </w:rPr>
        <w:t>汽车平面密封材料和汽车橡胶密封件生产项目</w:t>
      </w:r>
      <w:r>
        <w:rPr>
          <w:bCs/>
          <w:color w:val="auto"/>
          <w:spacing w:val="5"/>
          <w:sz w:val="24"/>
        </w:rPr>
        <w:t>环境质量现状监测结果</w:t>
      </w:r>
      <w:r>
        <w:rPr>
          <w:color w:val="auto"/>
          <w:spacing w:val="5"/>
          <w:sz w:val="24"/>
        </w:rPr>
        <w:t>》，宁国市浚成环境监测有限公司，2020年</w:t>
      </w:r>
      <w:r>
        <w:rPr>
          <w:rFonts w:hint="eastAsia"/>
          <w:color w:val="auto"/>
          <w:spacing w:val="5"/>
          <w:sz w:val="24"/>
          <w:lang w:val="en-US" w:eastAsia="zh-CN"/>
        </w:rPr>
        <w:t>8</w:t>
      </w:r>
      <w:r>
        <w:rPr>
          <w:color w:val="auto"/>
          <w:spacing w:val="5"/>
          <w:sz w:val="24"/>
        </w:rPr>
        <w:t>月14-20日。</w:t>
      </w:r>
    </w:p>
    <w:p>
      <w:pPr>
        <w:adjustRightInd w:val="0"/>
        <w:snapToGrid w:val="0"/>
        <w:spacing w:line="360" w:lineRule="auto"/>
        <w:ind w:firstLine="250" w:firstLineChars="100"/>
        <w:rPr>
          <w:color w:val="auto"/>
          <w:sz w:val="24"/>
          <w:szCs w:val="22"/>
        </w:rPr>
      </w:pPr>
      <w:r>
        <w:rPr>
          <w:color w:val="auto"/>
          <w:spacing w:val="5"/>
          <w:sz w:val="24"/>
        </w:rPr>
        <w:t>（</w:t>
      </w:r>
      <w:r>
        <w:rPr>
          <w:color w:val="auto"/>
          <w:sz w:val="24"/>
        </w:rPr>
        <w:t>4）</w:t>
      </w:r>
      <w:r>
        <w:rPr>
          <w:color w:val="auto"/>
          <w:sz w:val="24"/>
          <w:szCs w:val="22"/>
        </w:rPr>
        <w:t>建设单位提供的其它有关环评的资料；</w:t>
      </w:r>
    </w:p>
    <w:p>
      <w:pPr>
        <w:pStyle w:val="4"/>
        <w:spacing w:line="520" w:lineRule="exact"/>
        <w:rPr>
          <w:rFonts w:ascii="Times New Roman" w:hAnsi="Times New Roman"/>
          <w:b/>
          <w:color w:val="auto"/>
        </w:rPr>
      </w:pPr>
      <w:bookmarkStart w:id="59" w:name="_Toc333177925"/>
      <w:bookmarkStart w:id="60" w:name="_Toc366874094"/>
      <w:bookmarkStart w:id="61" w:name="_Toc335291732"/>
      <w:bookmarkStart w:id="62" w:name="_Toc26240"/>
      <w:bookmarkStart w:id="63" w:name="_Toc287813361"/>
      <w:bookmarkStart w:id="64" w:name="_Toc333178530"/>
      <w:bookmarkStart w:id="65" w:name="_Toc2610"/>
      <w:bookmarkStart w:id="66" w:name="_Toc367091853"/>
      <w:bookmarkStart w:id="67" w:name="_Toc333388572"/>
      <w:r>
        <w:rPr>
          <w:rFonts w:ascii="Times New Roman" w:hAnsi="Times New Roman"/>
          <w:b/>
          <w:color w:val="auto"/>
        </w:rPr>
        <w:t>2.3评价工作等级</w:t>
      </w:r>
      <w:bookmarkEnd w:id="59"/>
      <w:bookmarkEnd w:id="60"/>
      <w:bookmarkEnd w:id="61"/>
      <w:bookmarkEnd w:id="62"/>
      <w:bookmarkEnd w:id="63"/>
      <w:bookmarkEnd w:id="64"/>
      <w:bookmarkEnd w:id="65"/>
      <w:bookmarkEnd w:id="66"/>
      <w:bookmarkEnd w:id="67"/>
    </w:p>
    <w:p>
      <w:pPr>
        <w:pStyle w:val="5"/>
        <w:spacing w:before="0" w:after="0" w:line="520" w:lineRule="exact"/>
        <w:rPr>
          <w:color w:val="auto"/>
          <w:sz w:val="24"/>
          <w:szCs w:val="24"/>
        </w:rPr>
      </w:pPr>
      <w:bookmarkStart w:id="68" w:name="_Toc333177926"/>
      <w:r>
        <w:rPr>
          <w:color w:val="auto"/>
          <w:sz w:val="24"/>
          <w:szCs w:val="24"/>
        </w:rPr>
        <w:t>2.3.1评价等级</w:t>
      </w:r>
      <w:bookmarkEnd w:id="68"/>
    </w:p>
    <w:p>
      <w:pPr>
        <w:spacing w:line="360" w:lineRule="auto"/>
        <w:ind w:firstLine="480" w:firstLineChars="200"/>
        <w:rPr>
          <w:color w:val="auto"/>
          <w:sz w:val="24"/>
        </w:rPr>
      </w:pPr>
      <w:r>
        <w:rPr>
          <w:color w:val="auto"/>
          <w:sz w:val="24"/>
        </w:rPr>
        <w:t>（1）地表水环境评价等级</w:t>
      </w:r>
    </w:p>
    <w:p>
      <w:pPr>
        <w:spacing w:line="360" w:lineRule="auto"/>
        <w:ind w:firstLine="480" w:firstLineChars="200"/>
        <w:rPr>
          <w:color w:val="auto"/>
          <w:kern w:val="0"/>
          <w:sz w:val="24"/>
        </w:rPr>
      </w:pPr>
      <w:r>
        <w:rPr>
          <w:color w:val="auto"/>
          <w:kern w:val="0"/>
          <w:sz w:val="24"/>
        </w:rPr>
        <w:t>本项目用水主要为</w:t>
      </w:r>
      <w:r>
        <w:rPr>
          <w:color w:val="auto"/>
          <w:sz w:val="24"/>
        </w:rPr>
        <w:t>职工办公生活用水、</w:t>
      </w:r>
      <w:r>
        <w:rPr>
          <w:rFonts w:hint="eastAsia"/>
          <w:color w:val="auto"/>
          <w:sz w:val="24"/>
          <w:lang w:eastAsia="zh-CN"/>
        </w:rPr>
        <w:t>循环冷却水补水、脱脂线补水、晾干保温循环水补水</w:t>
      </w:r>
      <w:r>
        <w:rPr>
          <w:color w:val="auto"/>
          <w:kern w:val="0"/>
          <w:sz w:val="24"/>
        </w:rPr>
        <w:t>，本项目废水仅为职工生活污水</w:t>
      </w:r>
      <w:r>
        <w:rPr>
          <w:rFonts w:hint="eastAsia"/>
          <w:color w:val="auto"/>
          <w:kern w:val="0"/>
          <w:sz w:val="24"/>
          <w:lang w:eastAsia="zh-CN"/>
        </w:rPr>
        <w:t>，</w:t>
      </w:r>
      <w:r>
        <w:rPr>
          <w:rFonts w:hint="eastAsia"/>
          <w:color w:val="auto"/>
          <w:sz w:val="24"/>
          <w:lang w:eastAsia="zh-CN"/>
        </w:rPr>
        <w:t>脱脂线定期排水</w:t>
      </w:r>
      <w:r>
        <w:rPr>
          <w:color w:val="auto"/>
          <w:kern w:val="0"/>
          <w:sz w:val="24"/>
        </w:rPr>
        <w:t>，</w:t>
      </w:r>
      <w:r>
        <w:rPr>
          <w:rFonts w:hint="eastAsia"/>
          <w:color w:val="auto"/>
          <w:kern w:val="0"/>
          <w:sz w:val="24"/>
          <w:lang w:eastAsia="zh-CN"/>
        </w:rPr>
        <w:t>生活污水经化粪池预处理后排入市政污水管网</w:t>
      </w:r>
      <w:r>
        <w:rPr>
          <w:color w:val="auto"/>
          <w:kern w:val="0"/>
          <w:sz w:val="24"/>
        </w:rPr>
        <w:t>，</w:t>
      </w:r>
      <w:r>
        <w:rPr>
          <w:rFonts w:hint="eastAsia"/>
          <w:color w:val="auto"/>
          <w:kern w:val="0"/>
          <w:sz w:val="24"/>
          <w:lang w:eastAsia="zh-CN"/>
        </w:rPr>
        <w:t>进入宁国市污水处理厂</w:t>
      </w:r>
      <w:r>
        <w:rPr>
          <w:color w:val="auto"/>
          <w:kern w:val="0"/>
          <w:sz w:val="24"/>
        </w:rPr>
        <w:t>。</w:t>
      </w:r>
      <w:r>
        <w:rPr>
          <w:rFonts w:hint="eastAsia"/>
          <w:color w:val="auto"/>
          <w:sz w:val="24"/>
          <w:lang w:eastAsia="zh-CN"/>
        </w:rPr>
        <w:t>脱脂线定期排水作为危废处理。</w:t>
      </w:r>
      <w:r>
        <w:rPr>
          <w:color w:val="auto"/>
          <w:kern w:val="0"/>
          <w:sz w:val="24"/>
        </w:rPr>
        <w:t>根据《环境影响评价技术导则  地表水环境》（HJ 2.3-2018）规定，确定本次地表水环境评价等级为为三级B。</w:t>
      </w:r>
    </w:p>
    <w:p>
      <w:pPr>
        <w:spacing w:line="360" w:lineRule="auto"/>
        <w:ind w:firstLine="482"/>
        <w:rPr>
          <w:color w:val="auto"/>
          <w:sz w:val="24"/>
        </w:rPr>
      </w:pPr>
      <w:r>
        <w:rPr>
          <w:color w:val="auto"/>
          <w:sz w:val="24"/>
        </w:rPr>
        <w:t>（2）大气评价等级</w:t>
      </w:r>
    </w:p>
    <w:p>
      <w:pPr>
        <w:spacing w:line="360" w:lineRule="auto"/>
        <w:ind w:firstLine="480" w:firstLineChars="200"/>
        <w:rPr>
          <w:color w:val="auto"/>
          <w:kern w:val="0"/>
          <w:sz w:val="24"/>
        </w:rPr>
      </w:pPr>
      <w:r>
        <w:rPr>
          <w:color w:val="auto"/>
          <w:kern w:val="0"/>
          <w:sz w:val="24"/>
        </w:rPr>
        <w:t xml:space="preserve">根据《环境影响评价技术导则  </w:t>
      </w:r>
      <w:bookmarkStart w:id="69" w:name="OLE_LINK11"/>
      <w:bookmarkStart w:id="70" w:name="OLE_LINK10"/>
      <w:r>
        <w:rPr>
          <w:color w:val="auto"/>
          <w:kern w:val="0"/>
          <w:sz w:val="24"/>
        </w:rPr>
        <w:t>大气环境》（HJ2.2-2018）</w:t>
      </w:r>
      <w:bookmarkEnd w:id="69"/>
      <w:bookmarkEnd w:id="70"/>
      <w:r>
        <w:rPr>
          <w:color w:val="auto"/>
          <w:kern w:val="0"/>
          <w:sz w:val="24"/>
        </w:rPr>
        <w:t>要求，采用估算模型计算污染物的最大影响程度和最远影响距离，按各污染源分别确定其评价等级，取评价级别最高者作为项目的评价等级。</w:t>
      </w:r>
    </w:p>
    <w:p>
      <w:pPr>
        <w:spacing w:line="520" w:lineRule="exact"/>
        <w:jc w:val="center"/>
        <w:rPr>
          <w:b/>
          <w:color w:val="auto"/>
          <w:sz w:val="24"/>
        </w:rPr>
      </w:pPr>
      <w:r>
        <w:rPr>
          <w:b/>
          <w:color w:val="auto"/>
          <w:sz w:val="24"/>
        </w:rPr>
        <w:t>表2-1  评价工作等级判据</w:t>
      </w:r>
    </w:p>
    <w:tbl>
      <w:tblPr>
        <w:tblStyle w:val="5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659"/>
        <w:gridCol w:w="529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jc w:val="center"/>
        </w:trPr>
        <w:tc>
          <w:tcPr>
            <w:tcW w:w="3659" w:type="dxa"/>
            <w:vAlign w:val="center"/>
          </w:tcPr>
          <w:p>
            <w:pPr>
              <w:jc w:val="center"/>
              <w:rPr>
                <w:color w:val="auto"/>
                <w:szCs w:val="21"/>
              </w:rPr>
            </w:pPr>
            <w:r>
              <w:rPr>
                <w:color w:val="auto"/>
                <w:szCs w:val="21"/>
              </w:rPr>
              <w:t>评价工作等级</w:t>
            </w:r>
          </w:p>
        </w:tc>
        <w:tc>
          <w:tcPr>
            <w:tcW w:w="5291" w:type="dxa"/>
            <w:vAlign w:val="center"/>
          </w:tcPr>
          <w:p>
            <w:pPr>
              <w:jc w:val="center"/>
              <w:rPr>
                <w:color w:val="auto"/>
                <w:szCs w:val="21"/>
              </w:rPr>
            </w:pPr>
            <w:r>
              <w:rPr>
                <w:color w:val="auto"/>
                <w:szCs w:val="21"/>
              </w:rPr>
              <w:t>评价工作分级判据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jc w:val="center"/>
        </w:trPr>
        <w:tc>
          <w:tcPr>
            <w:tcW w:w="3659" w:type="dxa"/>
            <w:vAlign w:val="center"/>
          </w:tcPr>
          <w:p>
            <w:pPr>
              <w:jc w:val="center"/>
              <w:rPr>
                <w:color w:val="auto"/>
                <w:szCs w:val="21"/>
              </w:rPr>
            </w:pPr>
            <w:r>
              <w:rPr>
                <w:color w:val="auto"/>
                <w:szCs w:val="21"/>
              </w:rPr>
              <w:t>一级</w:t>
            </w:r>
          </w:p>
        </w:tc>
        <w:tc>
          <w:tcPr>
            <w:tcW w:w="5291" w:type="dxa"/>
            <w:vAlign w:val="center"/>
          </w:tcPr>
          <w:p>
            <w:pPr>
              <w:jc w:val="center"/>
              <w:rPr>
                <w:color w:val="auto"/>
                <w:szCs w:val="21"/>
              </w:rPr>
            </w:pPr>
            <w:r>
              <w:rPr>
                <w:color w:val="auto"/>
                <w:szCs w:val="21"/>
              </w:rPr>
              <w:t>Pmax≥10%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jc w:val="center"/>
        </w:trPr>
        <w:tc>
          <w:tcPr>
            <w:tcW w:w="3659" w:type="dxa"/>
            <w:vAlign w:val="center"/>
          </w:tcPr>
          <w:p>
            <w:pPr>
              <w:jc w:val="center"/>
              <w:rPr>
                <w:color w:val="auto"/>
                <w:szCs w:val="21"/>
              </w:rPr>
            </w:pPr>
            <w:r>
              <w:rPr>
                <w:color w:val="auto"/>
                <w:szCs w:val="21"/>
              </w:rPr>
              <w:t>二级</w:t>
            </w:r>
          </w:p>
        </w:tc>
        <w:tc>
          <w:tcPr>
            <w:tcW w:w="5291" w:type="dxa"/>
            <w:vAlign w:val="center"/>
          </w:tcPr>
          <w:p>
            <w:pPr>
              <w:jc w:val="center"/>
              <w:rPr>
                <w:color w:val="auto"/>
                <w:szCs w:val="21"/>
              </w:rPr>
            </w:pPr>
            <w:r>
              <w:rPr>
                <w:color w:val="auto"/>
                <w:szCs w:val="21"/>
              </w:rPr>
              <w:t xml:space="preserve">1%≤Pmax＜10%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jc w:val="center"/>
        </w:trPr>
        <w:tc>
          <w:tcPr>
            <w:tcW w:w="3659" w:type="dxa"/>
            <w:vAlign w:val="center"/>
          </w:tcPr>
          <w:p>
            <w:pPr>
              <w:jc w:val="center"/>
              <w:rPr>
                <w:color w:val="auto"/>
                <w:szCs w:val="21"/>
              </w:rPr>
            </w:pPr>
            <w:r>
              <w:rPr>
                <w:color w:val="auto"/>
                <w:szCs w:val="21"/>
              </w:rPr>
              <w:t>三级</w:t>
            </w:r>
          </w:p>
        </w:tc>
        <w:tc>
          <w:tcPr>
            <w:tcW w:w="5291" w:type="dxa"/>
            <w:vAlign w:val="center"/>
          </w:tcPr>
          <w:p>
            <w:pPr>
              <w:jc w:val="center"/>
              <w:rPr>
                <w:color w:val="auto"/>
                <w:szCs w:val="21"/>
              </w:rPr>
            </w:pPr>
            <w:r>
              <w:rPr>
                <w:color w:val="auto"/>
                <w:szCs w:val="21"/>
              </w:rPr>
              <w:t>Pmax＜1%</w:t>
            </w:r>
          </w:p>
        </w:tc>
      </w:tr>
    </w:tbl>
    <w:p>
      <w:pPr>
        <w:pStyle w:val="176"/>
        <w:spacing w:line="520" w:lineRule="exact"/>
        <w:ind w:firstLine="512"/>
        <w:rPr>
          <w:color w:val="auto"/>
          <w:sz w:val="24"/>
        </w:rPr>
      </w:pPr>
      <w:r>
        <w:rPr>
          <w:rFonts w:hint="default" w:ascii="Times New Roman" w:hAnsi="Times New Roman" w:cs="Times New Roman"/>
          <w:color w:val="auto"/>
          <w:lang w:val="en-US"/>
        </w:rPr>
        <w:t>预测分析</w:t>
      </w:r>
      <w:r>
        <w:rPr>
          <w:rFonts w:hint="default" w:ascii="Times New Roman" w:hAnsi="Times New Roman" w:cs="Times New Roman"/>
          <w:b w:val="0"/>
          <w:bCs w:val="0"/>
          <w:color w:val="auto"/>
          <w:lang w:val="en-US"/>
        </w:rPr>
        <w:t>可</w:t>
      </w:r>
      <w:r>
        <w:rPr>
          <w:rFonts w:hint="default" w:ascii="Times New Roman" w:hAnsi="Times New Roman" w:cs="Times New Roman"/>
          <w:b w:val="0"/>
          <w:bCs w:val="0"/>
          <w:color w:val="000000"/>
          <w:sz w:val="24"/>
          <w:szCs w:val="24"/>
          <w:lang w:val="en-US" w:eastAsia="zh-CN"/>
        </w:rPr>
        <w:t>知</w:t>
      </w:r>
      <w:r>
        <w:rPr>
          <w:rFonts w:hint="default" w:ascii="Times New Roman" w:hAnsi="Times New Roman" w:cs="Times New Roman"/>
          <w:b w:val="0"/>
          <w:bCs w:val="0"/>
          <w:color w:val="000000"/>
          <w:sz w:val="24"/>
          <w:szCs w:val="24"/>
          <w:lang w:eastAsia="zh-CN"/>
        </w:rPr>
        <w:t>，本项目Pmax最大值出现的是无组织源排放的</w:t>
      </w:r>
      <w:r>
        <w:rPr>
          <w:rFonts w:hint="eastAsia" w:ascii="Times New Roman" w:hAnsi="Times New Roman" w:cs="Times New Roman"/>
          <w:b w:val="0"/>
          <w:bCs w:val="0"/>
          <w:color w:val="000000"/>
          <w:sz w:val="24"/>
          <w:szCs w:val="24"/>
          <w:lang w:eastAsia="zh-CN"/>
        </w:rPr>
        <w:t>非甲烷总烃</w:t>
      </w:r>
      <w:r>
        <w:rPr>
          <w:rFonts w:hint="default" w:ascii="Times New Roman" w:hAnsi="Times New Roman" w:cs="Times New Roman"/>
          <w:b w:val="0"/>
          <w:bCs w:val="0"/>
          <w:color w:val="000000"/>
          <w:sz w:val="24"/>
          <w:szCs w:val="24"/>
          <w:lang w:eastAsia="zh-CN"/>
        </w:rPr>
        <w:t>，Pmax值</w:t>
      </w:r>
      <w:r>
        <w:rPr>
          <w:rFonts w:hint="default" w:ascii="Times New Roman" w:hAnsi="Times New Roman" w:eastAsia="宋体" w:cs="Times New Roman"/>
          <w:b w:val="0"/>
          <w:bCs w:val="0"/>
          <w:color w:val="auto"/>
          <w:sz w:val="24"/>
          <w:szCs w:val="24"/>
          <w:lang w:eastAsia="zh-CN"/>
        </w:rPr>
        <w:t>为</w:t>
      </w:r>
      <w:r>
        <w:rPr>
          <w:rFonts w:hint="eastAsia"/>
          <w:b w:val="0"/>
          <w:bCs w:val="0"/>
          <w:color w:val="auto"/>
          <w:lang w:val="en-US" w:eastAsia="zh-CN"/>
        </w:rPr>
        <w:t>1.19</w:t>
      </w:r>
      <w:r>
        <w:rPr>
          <w:rFonts w:hint="default" w:ascii="Times New Roman" w:hAnsi="Times New Roman" w:eastAsia="宋体" w:cs="Times New Roman"/>
          <w:b w:val="0"/>
          <w:bCs w:val="0"/>
          <w:color w:val="auto"/>
          <w:sz w:val="24"/>
          <w:szCs w:val="24"/>
          <w:lang w:val="en-US" w:eastAsia="zh-CN"/>
        </w:rPr>
        <w:t>%</w:t>
      </w:r>
      <w:r>
        <w:rPr>
          <w:rFonts w:hint="default" w:ascii="Times New Roman" w:hAnsi="Times New Roman" w:eastAsia="宋体" w:cs="Times New Roman"/>
          <w:b w:val="0"/>
          <w:bCs w:val="0"/>
          <w:color w:val="auto"/>
          <w:sz w:val="24"/>
          <w:szCs w:val="24"/>
          <w:lang w:eastAsia="zh-CN"/>
        </w:rPr>
        <w:t>，</w:t>
      </w:r>
      <w:r>
        <w:rPr>
          <w:rFonts w:hint="default" w:ascii="Times New Roman" w:hAnsi="Times New Roman" w:cs="Times New Roman"/>
          <w:b w:val="0"/>
          <w:bCs w:val="0"/>
          <w:color w:val="auto"/>
          <w:sz w:val="24"/>
          <w:szCs w:val="24"/>
          <w:lang w:eastAsia="zh-CN"/>
        </w:rPr>
        <w:t>本项目废气最大占标率</w:t>
      </w:r>
      <w:r>
        <w:rPr>
          <w:rFonts w:hint="default" w:ascii="Times New Roman" w:hAnsi="Times New Roman" w:cs="Times New Roman"/>
          <w:b w:val="0"/>
          <w:bCs w:val="0"/>
          <w:color w:val="auto"/>
          <w:sz w:val="24"/>
          <w:szCs w:val="24"/>
          <w:lang w:val="en-US" w:eastAsia="zh-CN"/>
        </w:rPr>
        <w:t>1%≤Pmax﹤10%</w:t>
      </w:r>
      <w:r>
        <w:rPr>
          <w:rFonts w:hint="default" w:ascii="Times New Roman" w:hAnsi="Times New Roman" w:cs="Times New Roman"/>
          <w:b w:val="0"/>
          <w:bCs w:val="0"/>
          <w:color w:val="auto"/>
          <w:sz w:val="24"/>
          <w:szCs w:val="24"/>
          <w:lang w:eastAsia="zh-CN"/>
        </w:rPr>
        <w:t>，因此，本项目评价等级为二级。</w:t>
      </w:r>
    </w:p>
    <w:p>
      <w:pPr>
        <w:spacing w:line="540" w:lineRule="exact"/>
        <w:ind w:firstLine="480" w:firstLineChars="200"/>
        <w:rPr>
          <w:color w:val="auto"/>
          <w:sz w:val="24"/>
        </w:rPr>
      </w:pPr>
      <w:r>
        <w:rPr>
          <w:color w:val="auto"/>
          <w:sz w:val="24"/>
        </w:rPr>
        <w:t>（3）噪声评价等级</w:t>
      </w:r>
    </w:p>
    <w:p>
      <w:pPr>
        <w:spacing w:line="540" w:lineRule="exact"/>
        <w:ind w:firstLine="480" w:firstLineChars="200"/>
        <w:rPr>
          <w:color w:val="auto"/>
          <w:sz w:val="24"/>
        </w:rPr>
      </w:pPr>
      <w:r>
        <w:rPr>
          <w:color w:val="auto"/>
          <w:sz w:val="24"/>
        </w:rPr>
        <w:t>本项目噪声主要为生产设备产生的噪声，项目选址位于《声环境质量标准》(GB3096-2008)中3类区域，项目建设前后区域噪声级增高量不大，且受影响人口数量变化不大。根据《环境影响评价技术导则 声环境》（HJ 2.4-2009）中相关规定，确定本次声环境评价工作等级为三级。</w:t>
      </w:r>
    </w:p>
    <w:p>
      <w:pPr>
        <w:spacing w:line="540" w:lineRule="exact"/>
        <w:ind w:firstLine="480" w:firstLineChars="200"/>
        <w:rPr>
          <w:color w:val="auto"/>
          <w:sz w:val="24"/>
        </w:rPr>
      </w:pPr>
      <w:r>
        <w:rPr>
          <w:color w:val="auto"/>
          <w:sz w:val="24"/>
        </w:rPr>
        <w:t>（4）环境风险评价等级</w:t>
      </w:r>
    </w:p>
    <w:p>
      <w:pPr>
        <w:topLinePunct/>
        <w:adjustRightInd w:val="0"/>
        <w:snapToGrid w:val="0"/>
        <w:spacing w:line="360" w:lineRule="auto"/>
        <w:ind w:firstLine="480" w:firstLineChars="200"/>
        <w:outlineLvl w:val="2"/>
        <w:rPr>
          <w:b/>
          <w:color w:val="auto"/>
          <w:sz w:val="24"/>
        </w:rPr>
      </w:pPr>
      <w:bookmarkStart w:id="71" w:name="_Toc109551698"/>
      <w:bookmarkStart w:id="72" w:name="_Toc182687967"/>
      <w:bookmarkStart w:id="73" w:name="_Toc106452719"/>
      <w:bookmarkStart w:id="74" w:name="_Toc197677177"/>
      <w:bookmarkStart w:id="75" w:name="_Toc109556883"/>
      <w:bookmarkStart w:id="76" w:name="_Toc109557560"/>
      <w:bookmarkStart w:id="77" w:name="_Toc147116150"/>
      <w:bookmarkStart w:id="78" w:name="_Toc109552697"/>
      <w:bookmarkStart w:id="79" w:name="_Toc109551895"/>
      <w:r>
        <w:rPr>
          <w:color w:val="auto"/>
          <w:kern w:val="0"/>
          <w:sz w:val="24"/>
        </w:rPr>
        <w:t>根据《建设项目环境风险评价技术导则》（HJ 169-2018）及其附录，环境风险评价工等级划分为一级、二级、三级，根据建设项目涉及的物质及工艺系统危险性和所在地的环境敏感性确定环境风险潜势，确定评价工作等级。并对照</w:t>
      </w:r>
      <w:r>
        <w:rPr>
          <w:kern w:val="0"/>
          <w:sz w:val="24"/>
        </w:rPr>
        <w:t>《建设项目环境风险评价技术导则》（HJ 169-2018）及其附录</w:t>
      </w:r>
      <w:r>
        <w:rPr>
          <w:color w:val="auto"/>
          <w:kern w:val="0"/>
          <w:sz w:val="24"/>
        </w:rPr>
        <w:t>，本项目</w:t>
      </w:r>
      <w:r>
        <w:rPr>
          <w:rFonts w:hint="eastAsia"/>
          <w:color w:val="auto"/>
          <w:kern w:val="0"/>
          <w:sz w:val="24"/>
        </w:rPr>
        <w:t>Q</w:t>
      </w:r>
      <w:r>
        <w:rPr>
          <w:color w:val="auto"/>
          <w:kern w:val="0"/>
          <w:sz w:val="24"/>
        </w:rPr>
        <w:t>＜1，根</w:t>
      </w:r>
      <w:r>
        <w:rPr>
          <w:color w:val="auto"/>
          <w:sz w:val="24"/>
        </w:rPr>
        <w:t>据《建设项目环境风险评价技术导则》(HJ169-2018)，本次风险评价等级为Ⅰ</w:t>
      </w:r>
      <w:r>
        <w:rPr>
          <w:rFonts w:hint="eastAsia"/>
          <w:color w:val="auto"/>
          <w:sz w:val="24"/>
        </w:rPr>
        <w:t>，简单分析</w:t>
      </w:r>
      <w:r>
        <w:rPr>
          <w:color w:val="auto"/>
          <w:sz w:val="24"/>
        </w:rPr>
        <w:t>，评价工作等级划分见下表：</w:t>
      </w:r>
      <w:bookmarkEnd w:id="71"/>
      <w:bookmarkEnd w:id="72"/>
      <w:bookmarkEnd w:id="73"/>
      <w:bookmarkEnd w:id="74"/>
      <w:bookmarkEnd w:id="75"/>
      <w:bookmarkEnd w:id="76"/>
      <w:bookmarkEnd w:id="77"/>
      <w:bookmarkEnd w:id="78"/>
      <w:bookmarkEnd w:id="79"/>
    </w:p>
    <w:p>
      <w:pPr>
        <w:spacing w:line="360" w:lineRule="auto"/>
        <w:jc w:val="center"/>
        <w:rPr>
          <w:b/>
          <w:color w:val="auto"/>
          <w:sz w:val="24"/>
        </w:rPr>
      </w:pPr>
    </w:p>
    <w:p>
      <w:pPr>
        <w:spacing w:line="360" w:lineRule="auto"/>
        <w:jc w:val="center"/>
        <w:rPr>
          <w:b/>
          <w:color w:val="auto"/>
          <w:sz w:val="24"/>
        </w:rPr>
      </w:pPr>
    </w:p>
    <w:p>
      <w:pPr>
        <w:spacing w:line="360" w:lineRule="auto"/>
        <w:jc w:val="center"/>
        <w:rPr>
          <w:b/>
          <w:color w:val="auto"/>
          <w:sz w:val="24"/>
        </w:rPr>
      </w:pPr>
      <w:r>
        <w:rPr>
          <w:b/>
          <w:color w:val="auto"/>
          <w:sz w:val="24"/>
        </w:rPr>
        <w:t>表2-2    环境风险评价工作等级划分</w:t>
      </w:r>
    </w:p>
    <w:tbl>
      <w:tblPr>
        <w:tblStyle w:val="5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1672"/>
        <w:gridCol w:w="1654"/>
        <w:gridCol w:w="1876"/>
        <w:gridCol w:w="2085"/>
        <w:gridCol w:w="166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672" w:type="dxa"/>
            <w:shd w:val="clear" w:color="auto" w:fill="auto"/>
            <w:vAlign w:val="center"/>
          </w:tcPr>
          <w:p>
            <w:pPr>
              <w:jc w:val="center"/>
              <w:rPr>
                <w:color w:val="auto"/>
                <w:szCs w:val="21"/>
              </w:rPr>
            </w:pPr>
            <w:r>
              <w:rPr>
                <w:color w:val="auto"/>
                <w:szCs w:val="21"/>
              </w:rPr>
              <w:t>环境风险潜势</w:t>
            </w:r>
          </w:p>
        </w:tc>
        <w:tc>
          <w:tcPr>
            <w:tcW w:w="1654" w:type="dxa"/>
            <w:shd w:val="clear" w:color="auto" w:fill="auto"/>
            <w:vAlign w:val="center"/>
          </w:tcPr>
          <w:p>
            <w:pPr>
              <w:jc w:val="center"/>
              <w:rPr>
                <w:color w:val="auto"/>
                <w:szCs w:val="21"/>
              </w:rPr>
            </w:pPr>
            <w:r>
              <w:rPr>
                <w:color w:val="auto"/>
                <w:szCs w:val="21"/>
              </w:rPr>
              <w:t>Ⅳ、Ⅳ+</w:t>
            </w:r>
          </w:p>
        </w:tc>
        <w:tc>
          <w:tcPr>
            <w:tcW w:w="1876" w:type="dxa"/>
            <w:shd w:val="clear" w:color="auto" w:fill="auto"/>
            <w:vAlign w:val="center"/>
          </w:tcPr>
          <w:p>
            <w:pPr>
              <w:jc w:val="center"/>
              <w:rPr>
                <w:color w:val="auto"/>
                <w:szCs w:val="21"/>
              </w:rPr>
            </w:pPr>
            <w:r>
              <w:rPr>
                <w:color w:val="auto"/>
                <w:szCs w:val="21"/>
              </w:rPr>
              <w:t>Ⅲ</w:t>
            </w:r>
          </w:p>
        </w:tc>
        <w:tc>
          <w:tcPr>
            <w:tcW w:w="2085" w:type="dxa"/>
            <w:shd w:val="clear" w:color="auto" w:fill="auto"/>
            <w:vAlign w:val="center"/>
          </w:tcPr>
          <w:p>
            <w:pPr>
              <w:jc w:val="center"/>
              <w:rPr>
                <w:color w:val="auto"/>
                <w:szCs w:val="21"/>
              </w:rPr>
            </w:pPr>
            <w:r>
              <w:rPr>
                <w:color w:val="auto"/>
                <w:szCs w:val="21"/>
              </w:rPr>
              <w:t>Ⅱ</w:t>
            </w:r>
          </w:p>
        </w:tc>
        <w:tc>
          <w:tcPr>
            <w:tcW w:w="1669" w:type="dxa"/>
            <w:shd w:val="clear" w:color="auto" w:fill="A4A4A4"/>
            <w:vAlign w:val="center"/>
          </w:tcPr>
          <w:p>
            <w:pPr>
              <w:jc w:val="center"/>
              <w:rPr>
                <w:color w:val="auto"/>
                <w:szCs w:val="21"/>
              </w:rPr>
            </w:pPr>
            <w:r>
              <w:rPr>
                <w:color w:val="auto"/>
                <w:szCs w:val="21"/>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672" w:type="dxa"/>
            <w:shd w:val="clear" w:color="auto" w:fill="auto"/>
            <w:vAlign w:val="center"/>
          </w:tcPr>
          <w:p>
            <w:pPr>
              <w:jc w:val="center"/>
              <w:rPr>
                <w:color w:val="auto"/>
                <w:szCs w:val="21"/>
              </w:rPr>
            </w:pPr>
            <w:r>
              <w:rPr>
                <w:color w:val="auto"/>
                <w:szCs w:val="21"/>
              </w:rPr>
              <w:t>评价工作等级</w:t>
            </w:r>
          </w:p>
        </w:tc>
        <w:tc>
          <w:tcPr>
            <w:tcW w:w="1654" w:type="dxa"/>
            <w:shd w:val="clear" w:color="auto" w:fill="auto"/>
            <w:vAlign w:val="center"/>
          </w:tcPr>
          <w:p>
            <w:pPr>
              <w:jc w:val="center"/>
              <w:rPr>
                <w:color w:val="auto"/>
                <w:szCs w:val="21"/>
              </w:rPr>
            </w:pPr>
            <w:r>
              <w:rPr>
                <w:color w:val="auto"/>
                <w:szCs w:val="21"/>
              </w:rPr>
              <w:t>一</w:t>
            </w:r>
          </w:p>
        </w:tc>
        <w:tc>
          <w:tcPr>
            <w:tcW w:w="1876" w:type="dxa"/>
            <w:tcBorders>
              <w:bottom w:val="single" w:color="auto" w:sz="4" w:space="0"/>
            </w:tcBorders>
            <w:shd w:val="clear" w:color="auto" w:fill="auto"/>
            <w:vAlign w:val="center"/>
          </w:tcPr>
          <w:p>
            <w:pPr>
              <w:jc w:val="center"/>
              <w:rPr>
                <w:color w:val="auto"/>
                <w:szCs w:val="21"/>
              </w:rPr>
            </w:pPr>
            <w:r>
              <w:rPr>
                <w:color w:val="auto"/>
                <w:szCs w:val="21"/>
              </w:rPr>
              <w:t>二</w:t>
            </w:r>
          </w:p>
        </w:tc>
        <w:tc>
          <w:tcPr>
            <w:tcW w:w="2085" w:type="dxa"/>
            <w:tcBorders>
              <w:bottom w:val="single" w:color="auto" w:sz="4" w:space="0"/>
            </w:tcBorders>
            <w:shd w:val="clear" w:color="auto" w:fill="auto"/>
            <w:vAlign w:val="center"/>
          </w:tcPr>
          <w:p>
            <w:pPr>
              <w:jc w:val="center"/>
              <w:rPr>
                <w:color w:val="auto"/>
                <w:szCs w:val="21"/>
              </w:rPr>
            </w:pPr>
            <w:r>
              <w:rPr>
                <w:color w:val="auto"/>
                <w:szCs w:val="21"/>
              </w:rPr>
              <w:t>三</w:t>
            </w:r>
          </w:p>
        </w:tc>
        <w:tc>
          <w:tcPr>
            <w:tcW w:w="1669" w:type="dxa"/>
            <w:shd w:val="clear" w:color="auto" w:fill="A4A4A4"/>
            <w:vAlign w:val="center"/>
          </w:tcPr>
          <w:p>
            <w:pPr>
              <w:jc w:val="center"/>
              <w:rPr>
                <w:color w:val="auto"/>
                <w:szCs w:val="21"/>
              </w:rPr>
            </w:pPr>
            <w:r>
              <w:rPr>
                <w:color w:val="auto"/>
                <w:szCs w:val="21"/>
              </w:rPr>
              <w:t>简单分析a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8956" w:type="dxa"/>
            <w:gridSpan w:val="5"/>
            <w:vAlign w:val="center"/>
          </w:tcPr>
          <w:p>
            <w:pPr>
              <w:jc w:val="center"/>
              <w:rPr>
                <w:color w:val="auto"/>
                <w:szCs w:val="21"/>
              </w:rPr>
            </w:pPr>
            <w:r>
              <w:rPr>
                <w:color w:val="auto"/>
                <w:szCs w:val="21"/>
              </w:rPr>
              <w:t>a 是相对于详细评价工作内容而言，在描述危险物质、环境影响途径、环境危害后果、风险防范措施等方面给出定性的说明。见附录A</w:t>
            </w:r>
          </w:p>
        </w:tc>
      </w:tr>
    </w:tbl>
    <w:p>
      <w:pPr>
        <w:spacing w:line="540" w:lineRule="exact"/>
        <w:ind w:firstLine="480" w:firstLineChars="200"/>
        <w:rPr>
          <w:color w:val="auto"/>
          <w:sz w:val="24"/>
        </w:rPr>
      </w:pPr>
      <w:r>
        <w:rPr>
          <w:color w:val="auto"/>
          <w:sz w:val="24"/>
        </w:rPr>
        <w:t>（5）地下水环境评价等级</w:t>
      </w:r>
    </w:p>
    <w:p>
      <w:pPr>
        <w:spacing w:line="520" w:lineRule="exact"/>
        <w:ind w:firstLine="480"/>
        <w:rPr>
          <w:color w:val="auto"/>
          <w:sz w:val="24"/>
        </w:rPr>
      </w:pPr>
      <w:r>
        <w:rPr>
          <w:color w:val="auto"/>
          <w:sz w:val="24"/>
        </w:rPr>
        <w:t>根据《环境影响评价技术导则 地下水环境》（HJ 610-2016）中划分依据，地下水环境影响评价工作等级根据不同类型建设项目对地下水环境影响类型、建设项目所处区域的地下水环境敏感程度划定评价工作等级。本项目生产工艺包含橡胶加工，为Ⅱ类建设项目，安徽省宣城市安徽宁国经济技术开发区地下水环境不敏感，根据《环境影响评价技术导则 地下水环境》（HJ 610-2016）可知本次地下水评价等级为三级。</w:t>
      </w:r>
    </w:p>
    <w:p>
      <w:pPr>
        <w:spacing w:line="540" w:lineRule="exact"/>
        <w:ind w:firstLine="480" w:firstLineChars="200"/>
        <w:rPr>
          <w:color w:val="auto"/>
          <w:sz w:val="24"/>
        </w:rPr>
      </w:pPr>
      <w:r>
        <w:rPr>
          <w:color w:val="auto"/>
          <w:sz w:val="24"/>
        </w:rPr>
        <w:t>（6）土壤环境评价等级</w:t>
      </w:r>
    </w:p>
    <w:p>
      <w:pPr>
        <w:spacing w:line="520" w:lineRule="exact"/>
        <w:ind w:firstLine="480"/>
        <w:rPr>
          <w:color w:val="auto"/>
          <w:sz w:val="24"/>
        </w:rPr>
      </w:pPr>
      <w:r>
        <w:rPr>
          <w:color w:val="auto"/>
          <w:sz w:val="24"/>
        </w:rPr>
        <w:t>根据《环境影响评价技术导则 土壤环境（试行）》（HJ964-2018），本项目属于橡胶制品制造，属于Ⅲ类，本项目占地面积</w:t>
      </w:r>
      <w:r>
        <w:rPr>
          <w:rFonts w:hint="eastAsia" w:ascii="Times New Roman" w:hAnsi="Times New Roman" w:cs="Times New Roman"/>
          <w:color w:val="auto"/>
          <w:kern w:val="1"/>
          <w:sz w:val="24"/>
          <w:szCs w:val="24"/>
          <w:lang w:val="en-US" w:eastAsia="zh-CN"/>
        </w:rPr>
        <w:t>2640</w:t>
      </w:r>
      <w:r>
        <w:rPr>
          <w:color w:val="auto"/>
          <w:sz w:val="24"/>
        </w:rPr>
        <w:t>平方米，≤5hm</w:t>
      </w:r>
      <w:r>
        <w:rPr>
          <w:color w:val="auto"/>
          <w:sz w:val="24"/>
          <w:vertAlign w:val="superscript"/>
        </w:rPr>
        <w:t>2</w:t>
      </w:r>
      <w:r>
        <w:rPr>
          <w:color w:val="auto"/>
          <w:sz w:val="24"/>
        </w:rPr>
        <w:t>，属于小型项目；本项目周边0.05km范围内无敏感点。故可不开展土壤环境影响评价工作。</w:t>
      </w:r>
    </w:p>
    <w:p>
      <w:pPr>
        <w:pStyle w:val="5"/>
        <w:spacing w:before="0" w:after="0" w:line="520" w:lineRule="exact"/>
        <w:rPr>
          <w:rFonts w:eastAsia="黑体"/>
          <w:color w:val="auto"/>
          <w:sz w:val="24"/>
        </w:rPr>
      </w:pPr>
      <w:bookmarkStart w:id="80" w:name="_Toc333177927"/>
      <w:r>
        <w:rPr>
          <w:color w:val="auto"/>
          <w:sz w:val="24"/>
          <w:szCs w:val="24"/>
        </w:rPr>
        <w:t>2.3.2评价范围</w:t>
      </w:r>
      <w:bookmarkEnd w:id="80"/>
    </w:p>
    <w:p>
      <w:pPr>
        <w:spacing w:line="360" w:lineRule="auto"/>
        <w:ind w:firstLine="480" w:firstLineChars="200"/>
        <w:rPr>
          <w:b/>
          <w:color w:val="auto"/>
          <w:sz w:val="24"/>
        </w:rPr>
      </w:pPr>
      <w:r>
        <w:rPr>
          <w:color w:val="auto"/>
          <w:sz w:val="24"/>
        </w:rPr>
        <w:t>根据当地建设项目污染物排放特点及当地气象条件、自然环境状况确定各环境要素评价范围见下表。</w:t>
      </w:r>
    </w:p>
    <w:p>
      <w:pPr>
        <w:spacing w:line="360" w:lineRule="auto"/>
        <w:jc w:val="center"/>
        <w:rPr>
          <w:color w:val="auto"/>
        </w:rPr>
      </w:pPr>
      <w:r>
        <w:rPr>
          <w:b/>
          <w:color w:val="auto"/>
          <w:sz w:val="24"/>
        </w:rPr>
        <w:t>表2-3  评价范围一览表</w:t>
      </w:r>
    </w:p>
    <w:tbl>
      <w:tblPr>
        <w:tblStyle w:val="53"/>
        <w:tblW w:w="4999"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421"/>
        <w:gridCol w:w="1189"/>
        <w:gridCol w:w="633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340" w:hRule="atLeast"/>
          <w:jc w:val="center"/>
        </w:trPr>
        <w:tc>
          <w:tcPr>
            <w:tcW w:w="1458" w:type="pct"/>
            <w:gridSpan w:val="2"/>
            <w:vAlign w:val="center"/>
          </w:tcPr>
          <w:p>
            <w:pPr>
              <w:jc w:val="center"/>
              <w:rPr>
                <w:color w:val="auto"/>
                <w:szCs w:val="21"/>
              </w:rPr>
            </w:pPr>
            <w:r>
              <w:rPr>
                <w:color w:val="auto"/>
                <w:szCs w:val="21"/>
              </w:rPr>
              <w:t>评价内容</w:t>
            </w:r>
          </w:p>
        </w:tc>
        <w:tc>
          <w:tcPr>
            <w:tcW w:w="3541" w:type="pct"/>
            <w:vAlign w:val="center"/>
          </w:tcPr>
          <w:p>
            <w:pPr>
              <w:jc w:val="center"/>
              <w:rPr>
                <w:color w:val="auto"/>
                <w:szCs w:val="21"/>
              </w:rPr>
            </w:pPr>
            <w:r>
              <w:rPr>
                <w:color w:val="auto"/>
                <w:szCs w:val="21"/>
              </w:rPr>
              <w:t>评价范围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340" w:hRule="atLeast"/>
          <w:jc w:val="center"/>
        </w:trPr>
        <w:tc>
          <w:tcPr>
            <w:tcW w:w="794" w:type="pct"/>
            <w:vMerge w:val="restart"/>
            <w:vAlign w:val="center"/>
          </w:tcPr>
          <w:p>
            <w:pPr>
              <w:jc w:val="center"/>
              <w:rPr>
                <w:color w:val="auto"/>
                <w:szCs w:val="21"/>
              </w:rPr>
            </w:pPr>
            <w:r>
              <w:rPr>
                <w:color w:val="auto"/>
                <w:szCs w:val="21"/>
              </w:rPr>
              <w:t>大气环境</w:t>
            </w:r>
          </w:p>
        </w:tc>
        <w:tc>
          <w:tcPr>
            <w:tcW w:w="664" w:type="pct"/>
            <w:vAlign w:val="center"/>
          </w:tcPr>
          <w:p>
            <w:pPr>
              <w:jc w:val="center"/>
              <w:rPr>
                <w:color w:val="auto"/>
                <w:szCs w:val="21"/>
              </w:rPr>
            </w:pPr>
            <w:r>
              <w:rPr>
                <w:color w:val="auto"/>
                <w:szCs w:val="21"/>
              </w:rPr>
              <w:t>现状监测</w:t>
            </w:r>
          </w:p>
        </w:tc>
        <w:tc>
          <w:tcPr>
            <w:tcW w:w="3541" w:type="pct"/>
            <w:vMerge w:val="restart"/>
            <w:vAlign w:val="center"/>
          </w:tcPr>
          <w:p>
            <w:pPr>
              <w:jc w:val="center"/>
              <w:rPr>
                <w:color w:val="auto"/>
                <w:szCs w:val="21"/>
              </w:rPr>
            </w:pPr>
            <w:r>
              <w:rPr>
                <w:color w:val="auto"/>
                <w:szCs w:val="21"/>
              </w:rPr>
              <w:t>本项目为</w:t>
            </w:r>
            <w:r>
              <w:rPr>
                <w:rFonts w:hint="eastAsia"/>
                <w:color w:val="auto"/>
                <w:szCs w:val="21"/>
                <w:lang w:eastAsia="zh-CN"/>
              </w:rPr>
              <w:t>二</w:t>
            </w:r>
            <w:r>
              <w:rPr>
                <w:color w:val="auto"/>
                <w:szCs w:val="21"/>
              </w:rPr>
              <w:t>级评价，根据《环境影响评价技术导则—大气环境》（HJ2.2-2018）。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340" w:hRule="atLeast"/>
          <w:jc w:val="center"/>
        </w:trPr>
        <w:tc>
          <w:tcPr>
            <w:tcW w:w="794" w:type="pct"/>
            <w:vMerge w:val="continue"/>
            <w:vAlign w:val="center"/>
          </w:tcPr>
          <w:p>
            <w:pPr>
              <w:jc w:val="center"/>
              <w:rPr>
                <w:color w:val="auto"/>
                <w:szCs w:val="21"/>
              </w:rPr>
            </w:pPr>
          </w:p>
        </w:tc>
        <w:tc>
          <w:tcPr>
            <w:tcW w:w="664" w:type="pct"/>
            <w:vAlign w:val="center"/>
          </w:tcPr>
          <w:p>
            <w:pPr>
              <w:jc w:val="center"/>
              <w:rPr>
                <w:color w:val="auto"/>
                <w:szCs w:val="21"/>
              </w:rPr>
            </w:pPr>
            <w:r>
              <w:rPr>
                <w:color w:val="auto"/>
                <w:szCs w:val="21"/>
              </w:rPr>
              <w:t>影响预测</w:t>
            </w:r>
          </w:p>
        </w:tc>
        <w:tc>
          <w:tcPr>
            <w:tcW w:w="3541" w:type="pct"/>
            <w:vMerge w:val="continue"/>
            <w:vAlign w:val="center"/>
          </w:tcPr>
          <w:p>
            <w:pPr>
              <w:jc w:val="center"/>
              <w:rPr>
                <w:color w:val="auto"/>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340" w:hRule="atLeast"/>
          <w:jc w:val="center"/>
        </w:trPr>
        <w:tc>
          <w:tcPr>
            <w:tcW w:w="794" w:type="pct"/>
            <w:vMerge w:val="restart"/>
            <w:vAlign w:val="center"/>
          </w:tcPr>
          <w:p>
            <w:pPr>
              <w:jc w:val="center"/>
              <w:rPr>
                <w:color w:val="auto"/>
                <w:szCs w:val="21"/>
              </w:rPr>
            </w:pPr>
            <w:r>
              <w:rPr>
                <w:color w:val="auto"/>
                <w:szCs w:val="21"/>
              </w:rPr>
              <w:t>地表水环境</w:t>
            </w:r>
          </w:p>
        </w:tc>
        <w:tc>
          <w:tcPr>
            <w:tcW w:w="664" w:type="pct"/>
            <w:vAlign w:val="center"/>
          </w:tcPr>
          <w:p>
            <w:pPr>
              <w:jc w:val="center"/>
              <w:rPr>
                <w:color w:val="auto"/>
                <w:szCs w:val="21"/>
              </w:rPr>
            </w:pPr>
            <w:r>
              <w:rPr>
                <w:color w:val="auto"/>
                <w:szCs w:val="21"/>
              </w:rPr>
              <w:t>现状监测</w:t>
            </w:r>
          </w:p>
        </w:tc>
        <w:tc>
          <w:tcPr>
            <w:tcW w:w="3541" w:type="pct"/>
            <w:vAlign w:val="center"/>
          </w:tcPr>
          <w:p>
            <w:pPr>
              <w:jc w:val="center"/>
              <w:rPr>
                <w:color w:val="auto"/>
                <w:szCs w:val="21"/>
              </w:rPr>
            </w:pPr>
            <w:r>
              <w:rPr>
                <w:rFonts w:hint="eastAsia"/>
                <w:color w:val="auto"/>
                <w:szCs w:val="21"/>
                <w:lang w:eastAsia="zh-CN"/>
              </w:rPr>
              <w:t>东</w:t>
            </w:r>
            <w:r>
              <w:rPr>
                <w:color w:val="auto"/>
                <w:szCs w:val="21"/>
              </w:rPr>
              <w:t>津河段上游500m至下游</w:t>
            </w:r>
            <w:r>
              <w:rPr>
                <w:rFonts w:hint="eastAsia"/>
                <w:color w:val="auto"/>
                <w:szCs w:val="21"/>
              </w:rPr>
              <w:t>20</w:t>
            </w:r>
            <w:r>
              <w:rPr>
                <w:color w:val="auto"/>
                <w:szCs w:val="21"/>
              </w:rPr>
              <w:t>00m的范围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340" w:hRule="atLeast"/>
          <w:jc w:val="center"/>
        </w:trPr>
        <w:tc>
          <w:tcPr>
            <w:tcW w:w="794" w:type="pct"/>
            <w:vMerge w:val="continue"/>
            <w:vAlign w:val="center"/>
          </w:tcPr>
          <w:p>
            <w:pPr>
              <w:jc w:val="center"/>
              <w:rPr>
                <w:color w:val="auto"/>
                <w:szCs w:val="21"/>
              </w:rPr>
            </w:pPr>
          </w:p>
        </w:tc>
        <w:tc>
          <w:tcPr>
            <w:tcW w:w="664" w:type="pct"/>
            <w:vAlign w:val="center"/>
          </w:tcPr>
          <w:p>
            <w:pPr>
              <w:jc w:val="center"/>
              <w:rPr>
                <w:color w:val="auto"/>
                <w:szCs w:val="21"/>
              </w:rPr>
            </w:pPr>
            <w:r>
              <w:rPr>
                <w:color w:val="auto"/>
                <w:szCs w:val="21"/>
              </w:rPr>
              <w:t>影响评价</w:t>
            </w:r>
          </w:p>
        </w:tc>
        <w:tc>
          <w:tcPr>
            <w:tcW w:w="3541" w:type="pct"/>
            <w:vAlign w:val="center"/>
          </w:tcPr>
          <w:p>
            <w:pPr>
              <w:jc w:val="center"/>
              <w:rPr>
                <w:color w:val="auto"/>
                <w:szCs w:val="21"/>
              </w:rPr>
            </w:pPr>
            <w:r>
              <w:rPr>
                <w:color w:val="auto"/>
                <w:szCs w:val="21"/>
              </w:rPr>
              <w:t>不对附近地表水产生影响。</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340" w:hRule="atLeast"/>
          <w:jc w:val="center"/>
        </w:trPr>
        <w:tc>
          <w:tcPr>
            <w:tcW w:w="794" w:type="pct"/>
            <w:vAlign w:val="center"/>
          </w:tcPr>
          <w:p>
            <w:pPr>
              <w:jc w:val="center"/>
              <w:rPr>
                <w:color w:val="auto"/>
                <w:szCs w:val="21"/>
              </w:rPr>
            </w:pPr>
            <w:r>
              <w:rPr>
                <w:color w:val="auto"/>
                <w:szCs w:val="21"/>
              </w:rPr>
              <w:t>地下水环境</w:t>
            </w:r>
          </w:p>
        </w:tc>
        <w:tc>
          <w:tcPr>
            <w:tcW w:w="664" w:type="pct"/>
            <w:vAlign w:val="center"/>
          </w:tcPr>
          <w:p>
            <w:pPr>
              <w:jc w:val="center"/>
              <w:rPr>
                <w:color w:val="auto"/>
                <w:szCs w:val="21"/>
              </w:rPr>
            </w:pPr>
            <w:r>
              <w:rPr>
                <w:color w:val="auto"/>
                <w:szCs w:val="21"/>
              </w:rPr>
              <w:t>影响评价</w:t>
            </w:r>
          </w:p>
        </w:tc>
        <w:tc>
          <w:tcPr>
            <w:tcW w:w="3541" w:type="pct"/>
            <w:vAlign w:val="center"/>
          </w:tcPr>
          <w:p>
            <w:pPr>
              <w:jc w:val="center"/>
              <w:rPr>
                <w:color w:val="auto"/>
                <w:szCs w:val="21"/>
              </w:rPr>
            </w:pPr>
            <w:r>
              <w:rPr>
                <w:color w:val="auto"/>
                <w:szCs w:val="21"/>
              </w:rPr>
              <w:t>为可能受影响的区域，本项目为以厂区为中心，约6km</w:t>
            </w:r>
            <w:r>
              <w:rPr>
                <w:color w:val="auto"/>
                <w:szCs w:val="21"/>
                <w:vertAlign w:val="superscript"/>
              </w:rPr>
              <w:t>2</w:t>
            </w:r>
            <w:r>
              <w:rPr>
                <w:color w:val="auto"/>
                <w:szCs w:val="21"/>
              </w:rPr>
              <w:t>的范围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340" w:hRule="atLeast"/>
          <w:jc w:val="center"/>
        </w:trPr>
        <w:tc>
          <w:tcPr>
            <w:tcW w:w="794" w:type="pct"/>
            <w:vMerge w:val="restart"/>
            <w:vAlign w:val="center"/>
          </w:tcPr>
          <w:p>
            <w:pPr>
              <w:jc w:val="center"/>
              <w:rPr>
                <w:color w:val="auto"/>
                <w:szCs w:val="21"/>
              </w:rPr>
            </w:pPr>
            <w:r>
              <w:rPr>
                <w:color w:val="auto"/>
                <w:szCs w:val="21"/>
              </w:rPr>
              <w:t>噪声评价</w:t>
            </w:r>
          </w:p>
        </w:tc>
        <w:tc>
          <w:tcPr>
            <w:tcW w:w="664" w:type="pct"/>
            <w:vAlign w:val="center"/>
          </w:tcPr>
          <w:p>
            <w:pPr>
              <w:jc w:val="center"/>
              <w:rPr>
                <w:color w:val="auto"/>
                <w:szCs w:val="21"/>
              </w:rPr>
            </w:pPr>
            <w:r>
              <w:rPr>
                <w:color w:val="auto"/>
                <w:szCs w:val="21"/>
              </w:rPr>
              <w:t>现状监测</w:t>
            </w:r>
          </w:p>
        </w:tc>
        <w:tc>
          <w:tcPr>
            <w:tcW w:w="3541" w:type="pct"/>
            <w:vMerge w:val="restart"/>
            <w:vAlign w:val="center"/>
          </w:tcPr>
          <w:p>
            <w:pPr>
              <w:jc w:val="center"/>
              <w:rPr>
                <w:color w:val="auto"/>
                <w:szCs w:val="21"/>
              </w:rPr>
            </w:pPr>
            <w:r>
              <w:rPr>
                <w:color w:val="auto"/>
                <w:szCs w:val="21"/>
              </w:rPr>
              <w:t>厂界外1m范围及周边200m范围内敏感目标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340" w:hRule="atLeast"/>
          <w:jc w:val="center"/>
        </w:trPr>
        <w:tc>
          <w:tcPr>
            <w:tcW w:w="794" w:type="pct"/>
            <w:vMerge w:val="continue"/>
            <w:vAlign w:val="center"/>
          </w:tcPr>
          <w:p>
            <w:pPr>
              <w:jc w:val="center"/>
              <w:rPr>
                <w:color w:val="auto"/>
                <w:szCs w:val="21"/>
              </w:rPr>
            </w:pPr>
          </w:p>
        </w:tc>
        <w:tc>
          <w:tcPr>
            <w:tcW w:w="664" w:type="pct"/>
            <w:vAlign w:val="center"/>
          </w:tcPr>
          <w:p>
            <w:pPr>
              <w:jc w:val="center"/>
              <w:rPr>
                <w:color w:val="auto"/>
                <w:szCs w:val="21"/>
              </w:rPr>
            </w:pPr>
            <w:r>
              <w:rPr>
                <w:color w:val="auto"/>
                <w:szCs w:val="21"/>
              </w:rPr>
              <w:t>影响预测</w:t>
            </w:r>
          </w:p>
        </w:tc>
        <w:tc>
          <w:tcPr>
            <w:tcW w:w="3541" w:type="pct"/>
            <w:vMerge w:val="continue"/>
            <w:vAlign w:val="center"/>
          </w:tcPr>
          <w:p>
            <w:pPr>
              <w:jc w:val="center"/>
              <w:rPr>
                <w:color w:val="auto"/>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340" w:hRule="atLeast"/>
          <w:jc w:val="center"/>
        </w:trPr>
        <w:tc>
          <w:tcPr>
            <w:tcW w:w="794" w:type="pct"/>
            <w:vAlign w:val="center"/>
          </w:tcPr>
          <w:p>
            <w:pPr>
              <w:jc w:val="center"/>
              <w:rPr>
                <w:color w:val="auto"/>
                <w:szCs w:val="21"/>
              </w:rPr>
            </w:pPr>
            <w:r>
              <w:rPr>
                <w:color w:val="auto"/>
                <w:szCs w:val="21"/>
              </w:rPr>
              <w:t>风险评价</w:t>
            </w:r>
          </w:p>
        </w:tc>
        <w:tc>
          <w:tcPr>
            <w:tcW w:w="664" w:type="pct"/>
            <w:vAlign w:val="center"/>
          </w:tcPr>
          <w:p>
            <w:pPr>
              <w:jc w:val="center"/>
              <w:rPr>
                <w:color w:val="auto"/>
                <w:szCs w:val="21"/>
              </w:rPr>
            </w:pPr>
            <w:r>
              <w:rPr>
                <w:color w:val="auto"/>
                <w:szCs w:val="21"/>
              </w:rPr>
              <w:t>影响预测</w:t>
            </w:r>
          </w:p>
        </w:tc>
        <w:tc>
          <w:tcPr>
            <w:tcW w:w="3541" w:type="pct"/>
            <w:vAlign w:val="center"/>
          </w:tcPr>
          <w:p>
            <w:pPr>
              <w:jc w:val="center"/>
              <w:rPr>
                <w:color w:val="auto"/>
                <w:szCs w:val="21"/>
              </w:rPr>
            </w:pPr>
            <w:r>
              <w:rPr>
                <w:color w:val="auto"/>
                <w:szCs w:val="21"/>
              </w:rPr>
              <w:t>距建设项目边界不低于3km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340" w:hRule="atLeast"/>
          <w:jc w:val="center"/>
        </w:trPr>
        <w:tc>
          <w:tcPr>
            <w:tcW w:w="794" w:type="pct"/>
            <w:vMerge w:val="restart"/>
            <w:vAlign w:val="center"/>
          </w:tcPr>
          <w:p>
            <w:pPr>
              <w:jc w:val="center"/>
              <w:rPr>
                <w:color w:val="auto"/>
                <w:szCs w:val="21"/>
              </w:rPr>
            </w:pPr>
            <w:r>
              <w:rPr>
                <w:color w:val="auto"/>
                <w:sz w:val="24"/>
              </w:rPr>
              <w:t>土壤</w:t>
            </w:r>
            <w:r>
              <w:rPr>
                <w:color w:val="auto"/>
                <w:szCs w:val="21"/>
              </w:rPr>
              <w:t>评价</w:t>
            </w:r>
          </w:p>
        </w:tc>
        <w:tc>
          <w:tcPr>
            <w:tcW w:w="664" w:type="pct"/>
            <w:vAlign w:val="center"/>
          </w:tcPr>
          <w:p>
            <w:pPr>
              <w:jc w:val="center"/>
              <w:rPr>
                <w:color w:val="auto"/>
                <w:szCs w:val="21"/>
              </w:rPr>
            </w:pPr>
            <w:r>
              <w:rPr>
                <w:color w:val="auto"/>
                <w:szCs w:val="21"/>
              </w:rPr>
              <w:t>现状监测</w:t>
            </w:r>
          </w:p>
        </w:tc>
        <w:tc>
          <w:tcPr>
            <w:tcW w:w="3541" w:type="pct"/>
            <w:vMerge w:val="restart"/>
            <w:vAlign w:val="center"/>
          </w:tcPr>
          <w:p>
            <w:pPr>
              <w:jc w:val="center"/>
              <w:rPr>
                <w:color w:val="auto"/>
                <w:szCs w:val="21"/>
              </w:rPr>
            </w:pPr>
            <w:r>
              <w:rPr>
                <w:color w:val="auto"/>
                <w:szCs w:val="21"/>
              </w:rPr>
              <w:t>可不开展土壤评价</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340" w:hRule="atLeast"/>
          <w:jc w:val="center"/>
        </w:trPr>
        <w:tc>
          <w:tcPr>
            <w:tcW w:w="794" w:type="pct"/>
            <w:vMerge w:val="continue"/>
            <w:vAlign w:val="center"/>
          </w:tcPr>
          <w:p>
            <w:pPr>
              <w:jc w:val="center"/>
              <w:rPr>
                <w:color w:val="auto"/>
                <w:szCs w:val="21"/>
              </w:rPr>
            </w:pPr>
          </w:p>
        </w:tc>
        <w:tc>
          <w:tcPr>
            <w:tcW w:w="664" w:type="pct"/>
            <w:vAlign w:val="center"/>
          </w:tcPr>
          <w:p>
            <w:pPr>
              <w:jc w:val="center"/>
              <w:rPr>
                <w:color w:val="auto"/>
                <w:szCs w:val="21"/>
              </w:rPr>
            </w:pPr>
            <w:r>
              <w:rPr>
                <w:color w:val="auto"/>
                <w:szCs w:val="21"/>
              </w:rPr>
              <w:t>影响预测</w:t>
            </w:r>
          </w:p>
        </w:tc>
        <w:tc>
          <w:tcPr>
            <w:tcW w:w="3541" w:type="pct"/>
            <w:vMerge w:val="continue"/>
            <w:vAlign w:val="center"/>
          </w:tcPr>
          <w:p>
            <w:pPr>
              <w:jc w:val="center"/>
              <w:rPr>
                <w:color w:val="auto"/>
                <w:szCs w:val="21"/>
              </w:rPr>
            </w:pPr>
          </w:p>
        </w:tc>
      </w:tr>
    </w:tbl>
    <w:p>
      <w:pPr>
        <w:pStyle w:val="5"/>
        <w:spacing w:before="0" w:after="0" w:line="520" w:lineRule="exact"/>
        <w:rPr>
          <w:color w:val="auto"/>
          <w:sz w:val="24"/>
          <w:szCs w:val="24"/>
        </w:rPr>
      </w:pPr>
      <w:r>
        <w:rPr>
          <w:color w:val="auto"/>
          <w:sz w:val="24"/>
          <w:szCs w:val="24"/>
        </w:rPr>
        <w:t>2.3.3评价因子</w:t>
      </w:r>
    </w:p>
    <w:p>
      <w:pPr>
        <w:pStyle w:val="31"/>
        <w:adjustRightInd w:val="0"/>
        <w:snapToGrid w:val="0"/>
        <w:spacing w:line="520" w:lineRule="exact"/>
        <w:ind w:firstLine="480" w:firstLineChars="200"/>
        <w:rPr>
          <w:rFonts w:ascii="Times New Roman" w:hAnsi="Times New Roman"/>
          <w:b/>
          <w:color w:val="auto"/>
          <w:sz w:val="24"/>
          <w:szCs w:val="24"/>
        </w:rPr>
      </w:pPr>
      <w:r>
        <w:rPr>
          <w:rFonts w:ascii="Times New Roman" w:hAnsi="Times New Roman"/>
          <w:color w:val="auto"/>
          <w:sz w:val="24"/>
        </w:rPr>
        <w:t>根据项目工程特征及排污特点，确定评价因子详见下表。</w:t>
      </w:r>
    </w:p>
    <w:p>
      <w:pPr>
        <w:spacing w:line="520" w:lineRule="exact"/>
        <w:jc w:val="center"/>
        <w:rPr>
          <w:b/>
          <w:color w:val="auto"/>
          <w:sz w:val="24"/>
        </w:rPr>
      </w:pPr>
      <w:r>
        <w:rPr>
          <w:b/>
          <w:color w:val="auto"/>
          <w:sz w:val="24"/>
        </w:rPr>
        <w:t>表2-4  项目评价因子</w:t>
      </w:r>
    </w:p>
    <w:tbl>
      <w:tblPr>
        <w:tblStyle w:val="53"/>
        <w:tblW w:w="5004"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1195"/>
        <w:gridCol w:w="3451"/>
        <w:gridCol w:w="2373"/>
        <w:gridCol w:w="1732"/>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6" w:hRule="atLeast"/>
        </w:trPr>
        <w:tc>
          <w:tcPr>
            <w:tcW w:w="683" w:type="pct"/>
            <w:vAlign w:val="center"/>
          </w:tcPr>
          <w:p>
            <w:pPr>
              <w:pStyle w:val="107"/>
              <w:spacing w:before="62"/>
              <w:ind w:left="179" w:right="172"/>
              <w:jc w:val="center"/>
              <w:rPr>
                <w:color w:val="auto"/>
                <w:sz w:val="21"/>
              </w:rPr>
            </w:pPr>
            <w:r>
              <w:rPr>
                <w:color w:val="auto"/>
                <w:sz w:val="21"/>
              </w:rPr>
              <w:t>环境类别</w:t>
            </w:r>
          </w:p>
        </w:tc>
        <w:tc>
          <w:tcPr>
            <w:tcW w:w="1971" w:type="pct"/>
            <w:vAlign w:val="center"/>
          </w:tcPr>
          <w:p>
            <w:pPr>
              <w:pStyle w:val="107"/>
              <w:spacing w:before="62"/>
              <w:ind w:left="675" w:right="671"/>
              <w:jc w:val="center"/>
              <w:rPr>
                <w:color w:val="auto"/>
                <w:sz w:val="21"/>
              </w:rPr>
            </w:pPr>
            <w:r>
              <w:rPr>
                <w:color w:val="auto"/>
                <w:sz w:val="21"/>
              </w:rPr>
              <w:t>现状评价因子</w:t>
            </w:r>
          </w:p>
        </w:tc>
        <w:tc>
          <w:tcPr>
            <w:tcW w:w="1355" w:type="pct"/>
            <w:vAlign w:val="center"/>
          </w:tcPr>
          <w:p>
            <w:pPr>
              <w:pStyle w:val="107"/>
              <w:spacing w:before="62"/>
              <w:ind w:left="509" w:right="501"/>
              <w:jc w:val="center"/>
              <w:rPr>
                <w:color w:val="auto"/>
                <w:sz w:val="21"/>
              </w:rPr>
            </w:pPr>
            <w:r>
              <w:rPr>
                <w:color w:val="auto"/>
                <w:sz w:val="21"/>
              </w:rPr>
              <w:t>影响评价因子</w:t>
            </w:r>
          </w:p>
        </w:tc>
        <w:tc>
          <w:tcPr>
            <w:tcW w:w="989" w:type="pct"/>
            <w:vAlign w:val="center"/>
          </w:tcPr>
          <w:p>
            <w:pPr>
              <w:pStyle w:val="107"/>
              <w:spacing w:before="62"/>
              <w:ind w:left="85" w:right="81"/>
              <w:jc w:val="center"/>
              <w:rPr>
                <w:color w:val="auto"/>
                <w:sz w:val="21"/>
              </w:rPr>
            </w:pPr>
            <w:r>
              <w:rPr>
                <w:color w:val="auto"/>
                <w:sz w:val="21"/>
              </w:rPr>
              <w:t>总量控制因子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5" w:hRule="atLeast"/>
        </w:trPr>
        <w:tc>
          <w:tcPr>
            <w:tcW w:w="683" w:type="pct"/>
            <w:vAlign w:val="center"/>
          </w:tcPr>
          <w:p>
            <w:pPr>
              <w:pStyle w:val="107"/>
              <w:spacing w:before="135"/>
              <w:ind w:left="177" w:right="172"/>
              <w:jc w:val="center"/>
              <w:rPr>
                <w:color w:val="auto"/>
                <w:sz w:val="21"/>
              </w:rPr>
            </w:pPr>
            <w:r>
              <w:rPr>
                <w:color w:val="auto"/>
                <w:sz w:val="21"/>
              </w:rPr>
              <w:t>大气</w:t>
            </w:r>
          </w:p>
        </w:tc>
        <w:tc>
          <w:tcPr>
            <w:tcW w:w="1971" w:type="pct"/>
            <w:vAlign w:val="center"/>
          </w:tcPr>
          <w:p>
            <w:pPr>
              <w:spacing w:before="22" w:line="256" w:lineRule="exact"/>
              <w:ind w:left="329" w:leftChars="0" w:right="43" w:rightChars="0" w:hanging="216" w:firstLineChars="0"/>
              <w:jc w:val="center"/>
              <w:rPr>
                <w:rFonts w:ascii="Times New Roman" w:hAnsi="Times New Roman" w:eastAsia="宋体" w:cs="Times New Roman"/>
                <w:kern w:val="2"/>
                <w:sz w:val="21"/>
                <w:szCs w:val="24"/>
                <w:lang w:val="en-US" w:eastAsia="zh-CN" w:bidi="ar-SA"/>
              </w:rPr>
            </w:pPr>
            <w:r>
              <w:t>PM</w:t>
            </w:r>
            <w:r>
              <w:rPr>
                <w:vertAlign w:val="subscript"/>
              </w:rPr>
              <w:t>10</w:t>
            </w:r>
            <w:r>
              <w:rPr>
                <w:rFonts w:hint="eastAsia"/>
              </w:rPr>
              <w:t>、</w:t>
            </w:r>
            <w:r>
              <w:t>PM</w:t>
            </w:r>
            <w:r>
              <w:rPr>
                <w:rFonts w:hint="eastAsia"/>
                <w:vertAlign w:val="subscript"/>
              </w:rPr>
              <w:t>2.5</w:t>
            </w:r>
            <w:r>
              <w:rPr>
                <w:rFonts w:hint="eastAsia"/>
              </w:rPr>
              <w:t>、</w:t>
            </w:r>
            <w:r>
              <w:t>SO</w:t>
            </w:r>
            <w:r>
              <w:rPr>
                <w:vertAlign w:val="subscript"/>
              </w:rPr>
              <w:t>2</w:t>
            </w:r>
            <w:r>
              <w:rPr>
                <w:rFonts w:hint="eastAsia"/>
              </w:rPr>
              <w:t>、</w:t>
            </w:r>
            <w:r>
              <w:t>NO</w:t>
            </w:r>
            <w:r>
              <w:rPr>
                <w:vertAlign w:val="subscript"/>
              </w:rPr>
              <w:t>2</w:t>
            </w:r>
            <w:r>
              <w:rPr>
                <w:rFonts w:hint="eastAsia"/>
              </w:rPr>
              <w:t>、O</w:t>
            </w:r>
            <w:r>
              <w:rPr>
                <w:rFonts w:hint="eastAsia"/>
                <w:vertAlign w:val="subscript"/>
              </w:rPr>
              <w:t>3</w:t>
            </w:r>
            <w:r>
              <w:rPr>
                <w:rFonts w:hint="eastAsia"/>
              </w:rPr>
              <w:t>、CO、</w:t>
            </w:r>
            <w:r>
              <w:rPr>
                <w:position w:val="2"/>
              </w:rPr>
              <w:t>TSP、非甲烷总烃</w:t>
            </w:r>
            <w:r>
              <w:t>、H</w:t>
            </w:r>
            <w:r>
              <w:rPr>
                <w:vertAlign w:val="subscript"/>
              </w:rPr>
              <w:t>2</w:t>
            </w:r>
            <w:r>
              <w:t>S</w:t>
            </w:r>
          </w:p>
        </w:tc>
        <w:tc>
          <w:tcPr>
            <w:tcW w:w="1355" w:type="pct"/>
            <w:vAlign w:val="center"/>
          </w:tcPr>
          <w:p>
            <w:pPr>
              <w:spacing w:before="8" w:line="274" w:lineRule="exact"/>
              <w:ind w:left="108" w:leftChars="0" w:right="46" w:rightChars="0"/>
              <w:jc w:val="center"/>
              <w:rPr>
                <w:rFonts w:ascii="Times New Roman" w:hAnsi="Times New Roman" w:eastAsia="宋体" w:cs="Times New Roman"/>
                <w:kern w:val="2"/>
                <w:sz w:val="21"/>
                <w:szCs w:val="24"/>
                <w:lang w:val="en-US" w:eastAsia="zh-CN" w:bidi="ar-SA"/>
              </w:rPr>
            </w:pPr>
            <w:r>
              <w:rPr>
                <w:position w:val="2"/>
              </w:rPr>
              <w:t>TSP、非甲烷总烃</w:t>
            </w:r>
            <w:r>
              <w:t>、H</w:t>
            </w:r>
            <w:r>
              <w:rPr>
                <w:vertAlign w:val="subscript"/>
              </w:rPr>
              <w:t>2</w:t>
            </w:r>
            <w:r>
              <w:t>S</w:t>
            </w:r>
          </w:p>
        </w:tc>
        <w:tc>
          <w:tcPr>
            <w:tcW w:w="989" w:type="pct"/>
            <w:vAlign w:val="center"/>
          </w:tcPr>
          <w:p>
            <w:pPr>
              <w:pStyle w:val="107"/>
              <w:spacing w:before="14" w:line="275" w:lineRule="exact"/>
              <w:ind w:left="90" w:leftChars="0" w:right="81" w:rightChars="0"/>
              <w:jc w:val="center"/>
              <w:rPr>
                <w:rFonts w:ascii="Times New Roman" w:hAnsi="Times New Roman" w:eastAsia="宋体" w:cs="Times New Roman"/>
                <w:kern w:val="0"/>
                <w:sz w:val="21"/>
                <w:szCs w:val="24"/>
                <w:lang w:val="en-US" w:eastAsia="zh-CN" w:bidi="ar-SA"/>
              </w:rPr>
            </w:pPr>
            <w:r>
              <w:rPr>
                <w:rFonts w:hint="eastAsia"/>
                <w:position w:val="2"/>
                <w:sz w:val="21"/>
                <w:lang w:eastAsia="zh-CN"/>
              </w:rPr>
              <w:t>颗粒物</w:t>
            </w:r>
            <w:r>
              <w:rPr>
                <w:position w:val="2"/>
                <w:sz w:val="21"/>
              </w:rPr>
              <w:t>、</w:t>
            </w:r>
            <w:r>
              <w:rPr>
                <w:rFonts w:hint="eastAsia"/>
                <w:position w:val="2"/>
                <w:sz w:val="21"/>
              </w:rPr>
              <w:t>VOCs</w:t>
            </w:r>
            <w:r>
              <w:rPr>
                <w:position w:val="2"/>
                <w:sz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33" w:hRule="atLeast"/>
        </w:trPr>
        <w:tc>
          <w:tcPr>
            <w:tcW w:w="683" w:type="pct"/>
            <w:vAlign w:val="center"/>
          </w:tcPr>
          <w:p>
            <w:pPr>
              <w:pStyle w:val="107"/>
              <w:spacing w:before="123"/>
              <w:ind w:left="177" w:right="172"/>
              <w:jc w:val="center"/>
              <w:rPr>
                <w:color w:val="auto"/>
                <w:sz w:val="21"/>
              </w:rPr>
            </w:pPr>
            <w:r>
              <w:rPr>
                <w:color w:val="auto"/>
                <w:sz w:val="21"/>
              </w:rPr>
              <w:t>地表水</w:t>
            </w:r>
          </w:p>
        </w:tc>
        <w:tc>
          <w:tcPr>
            <w:tcW w:w="1971" w:type="pct"/>
            <w:vAlign w:val="center"/>
          </w:tcPr>
          <w:p>
            <w:pPr>
              <w:pStyle w:val="107"/>
              <w:spacing w:before="12" w:line="254" w:lineRule="exact"/>
              <w:ind w:left="958" w:right="133" w:hanging="814"/>
              <w:jc w:val="center"/>
              <w:rPr>
                <w:color w:val="auto"/>
                <w:sz w:val="21"/>
              </w:rPr>
            </w:pPr>
            <w:r>
              <w:rPr>
                <w:color w:val="auto"/>
                <w:position w:val="2"/>
                <w:sz w:val="21"/>
              </w:rPr>
              <w:t>pH、COD、BOD</w:t>
            </w:r>
            <w:r>
              <w:rPr>
                <w:color w:val="auto"/>
                <w:position w:val="2"/>
                <w:sz w:val="21"/>
                <w:vertAlign w:val="subscript"/>
              </w:rPr>
              <w:t>5</w:t>
            </w:r>
            <w:r>
              <w:rPr>
                <w:color w:val="auto"/>
                <w:position w:val="2"/>
                <w:sz w:val="21"/>
              </w:rPr>
              <w:t>、氨氮、总磷、动植物油、石油类</w:t>
            </w:r>
          </w:p>
        </w:tc>
        <w:tc>
          <w:tcPr>
            <w:tcW w:w="1355" w:type="pct"/>
            <w:vAlign w:val="center"/>
          </w:tcPr>
          <w:p>
            <w:pPr>
              <w:pStyle w:val="107"/>
              <w:spacing w:line="258" w:lineRule="exact"/>
              <w:ind w:left="108" w:right="-15"/>
              <w:jc w:val="center"/>
              <w:rPr>
                <w:color w:val="auto"/>
                <w:sz w:val="21"/>
              </w:rPr>
            </w:pPr>
            <w:r>
              <w:rPr>
                <w:color w:val="auto"/>
                <w:sz w:val="21"/>
              </w:rPr>
              <w:t>/</w:t>
            </w:r>
          </w:p>
        </w:tc>
        <w:tc>
          <w:tcPr>
            <w:tcW w:w="989" w:type="pct"/>
            <w:vAlign w:val="center"/>
          </w:tcPr>
          <w:p>
            <w:pPr>
              <w:pStyle w:val="107"/>
              <w:spacing w:before="123"/>
              <w:ind w:left="88" w:right="81"/>
              <w:jc w:val="center"/>
              <w:rPr>
                <w:color w:val="auto"/>
                <w:sz w:val="21"/>
              </w:rPr>
            </w:pPr>
            <w:r>
              <w:rPr>
                <w:color w:val="auto"/>
                <w:sz w:val="21"/>
              </w:rPr>
              <w:t>COD、氨氮</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683" w:type="pct"/>
            <w:vAlign w:val="center"/>
          </w:tcPr>
          <w:p>
            <w:pPr>
              <w:pStyle w:val="107"/>
              <w:spacing w:before="63"/>
              <w:ind w:left="177" w:right="172"/>
              <w:jc w:val="center"/>
              <w:rPr>
                <w:color w:val="auto"/>
                <w:sz w:val="21"/>
              </w:rPr>
            </w:pPr>
            <w:r>
              <w:rPr>
                <w:color w:val="auto"/>
                <w:sz w:val="21"/>
              </w:rPr>
              <w:t>声环境</w:t>
            </w:r>
          </w:p>
        </w:tc>
        <w:tc>
          <w:tcPr>
            <w:tcW w:w="1971" w:type="pct"/>
            <w:vAlign w:val="center"/>
          </w:tcPr>
          <w:p>
            <w:pPr>
              <w:pStyle w:val="107"/>
              <w:spacing w:before="63"/>
              <w:ind w:left="678" w:right="671"/>
              <w:jc w:val="center"/>
              <w:rPr>
                <w:color w:val="auto"/>
                <w:sz w:val="21"/>
              </w:rPr>
            </w:pPr>
            <w:r>
              <w:rPr>
                <w:color w:val="auto"/>
                <w:sz w:val="21"/>
              </w:rPr>
              <w:t>等效连续A声级</w:t>
            </w:r>
          </w:p>
        </w:tc>
        <w:tc>
          <w:tcPr>
            <w:tcW w:w="1355" w:type="pct"/>
            <w:vAlign w:val="center"/>
          </w:tcPr>
          <w:p>
            <w:pPr>
              <w:pStyle w:val="107"/>
              <w:spacing w:before="63"/>
              <w:ind w:left="509" w:right="504"/>
              <w:jc w:val="center"/>
              <w:rPr>
                <w:color w:val="auto"/>
                <w:sz w:val="21"/>
              </w:rPr>
            </w:pPr>
            <w:r>
              <w:rPr>
                <w:color w:val="auto"/>
                <w:sz w:val="21"/>
              </w:rPr>
              <w:t>等效连续A级</w:t>
            </w:r>
          </w:p>
        </w:tc>
        <w:tc>
          <w:tcPr>
            <w:tcW w:w="989" w:type="pct"/>
            <w:vAlign w:val="center"/>
          </w:tcPr>
          <w:p>
            <w:pPr>
              <w:pStyle w:val="107"/>
              <w:spacing w:before="76"/>
              <w:ind w:left="9"/>
              <w:jc w:val="center"/>
              <w:rPr>
                <w:color w:val="auto"/>
                <w:sz w:val="21"/>
              </w:rPr>
            </w:pPr>
            <w:r>
              <w:rPr>
                <w:color w:val="auto"/>
                <w:w w:val="99"/>
                <w:sz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2" w:hRule="atLeast"/>
        </w:trPr>
        <w:tc>
          <w:tcPr>
            <w:tcW w:w="683" w:type="pct"/>
            <w:vAlign w:val="center"/>
          </w:tcPr>
          <w:p>
            <w:pPr>
              <w:pStyle w:val="107"/>
              <w:spacing w:before="1" w:line="252" w:lineRule="exact"/>
              <w:ind w:left="177" w:right="172"/>
              <w:jc w:val="center"/>
              <w:rPr>
                <w:color w:val="auto"/>
                <w:sz w:val="21"/>
              </w:rPr>
            </w:pPr>
            <w:r>
              <w:rPr>
                <w:color w:val="auto"/>
                <w:sz w:val="21"/>
              </w:rPr>
              <w:t>固废</w:t>
            </w:r>
          </w:p>
        </w:tc>
        <w:tc>
          <w:tcPr>
            <w:tcW w:w="1971" w:type="pct"/>
            <w:vAlign w:val="center"/>
          </w:tcPr>
          <w:p>
            <w:pPr>
              <w:pStyle w:val="107"/>
              <w:spacing w:before="15" w:line="238" w:lineRule="exact"/>
              <w:ind w:left="9"/>
              <w:jc w:val="center"/>
              <w:rPr>
                <w:color w:val="auto"/>
                <w:sz w:val="21"/>
              </w:rPr>
            </w:pPr>
            <w:r>
              <w:rPr>
                <w:color w:val="auto"/>
                <w:w w:val="99"/>
                <w:sz w:val="21"/>
              </w:rPr>
              <w:t>/</w:t>
            </w:r>
          </w:p>
        </w:tc>
        <w:tc>
          <w:tcPr>
            <w:tcW w:w="1355" w:type="pct"/>
            <w:vAlign w:val="center"/>
          </w:tcPr>
          <w:p>
            <w:pPr>
              <w:pStyle w:val="107"/>
              <w:spacing w:before="1" w:line="252" w:lineRule="exact"/>
              <w:ind w:left="509" w:right="499"/>
              <w:jc w:val="center"/>
              <w:rPr>
                <w:color w:val="auto"/>
                <w:sz w:val="21"/>
              </w:rPr>
            </w:pPr>
            <w:r>
              <w:rPr>
                <w:color w:val="auto"/>
                <w:sz w:val="21"/>
              </w:rPr>
              <w:t>固体废弃物</w:t>
            </w:r>
          </w:p>
        </w:tc>
        <w:tc>
          <w:tcPr>
            <w:tcW w:w="989" w:type="pct"/>
            <w:vAlign w:val="center"/>
          </w:tcPr>
          <w:p>
            <w:pPr>
              <w:pStyle w:val="107"/>
              <w:spacing w:before="15" w:line="238" w:lineRule="exact"/>
              <w:ind w:left="9"/>
              <w:jc w:val="center"/>
              <w:rPr>
                <w:color w:val="auto"/>
                <w:sz w:val="21"/>
              </w:rPr>
            </w:pPr>
            <w:r>
              <w:rPr>
                <w:color w:val="auto"/>
                <w:w w:val="99"/>
                <w:sz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61" w:hRule="atLeast"/>
        </w:trPr>
        <w:tc>
          <w:tcPr>
            <w:tcW w:w="683" w:type="pct"/>
            <w:vAlign w:val="center"/>
          </w:tcPr>
          <w:p>
            <w:pPr>
              <w:pStyle w:val="107"/>
              <w:spacing w:before="22" w:line="256" w:lineRule="exact"/>
              <w:ind w:left="329" w:right="43" w:hanging="216"/>
              <w:jc w:val="center"/>
              <w:rPr>
                <w:color w:val="auto"/>
                <w:position w:val="2"/>
                <w:sz w:val="21"/>
              </w:rPr>
            </w:pPr>
            <w:r>
              <w:rPr>
                <w:color w:val="auto"/>
                <w:position w:val="2"/>
                <w:sz w:val="21"/>
              </w:rPr>
              <w:t>地下水</w:t>
            </w:r>
          </w:p>
        </w:tc>
        <w:tc>
          <w:tcPr>
            <w:tcW w:w="1971" w:type="pct"/>
            <w:vAlign w:val="center"/>
          </w:tcPr>
          <w:p>
            <w:pPr>
              <w:pStyle w:val="107"/>
              <w:spacing w:before="62"/>
              <w:ind w:left="85" w:right="81"/>
              <w:jc w:val="center"/>
              <w:rPr>
                <w:color w:val="auto"/>
                <w:sz w:val="21"/>
              </w:rPr>
            </w:pPr>
            <w:r>
              <w:rPr>
                <w:color w:val="auto"/>
                <w:sz w:val="21"/>
              </w:rPr>
              <w:t>pH（无量纲）、氨氮、硝酸盐、亚硝酸盐、挥发酚类、氰化物、硫酸盐、（六价)铬、总硬度、氟化物、溶解性总固体、高锰酸盐指数、氯化物、碳酸盐、重碳酸盐、砷、汞、铅、镉、铁、锰、钾、钠、钙、镁、氯离子、硫酸根离子</w:t>
            </w:r>
          </w:p>
        </w:tc>
        <w:tc>
          <w:tcPr>
            <w:tcW w:w="1355" w:type="pct"/>
            <w:vAlign w:val="center"/>
          </w:tcPr>
          <w:p>
            <w:pPr>
              <w:pStyle w:val="107"/>
              <w:spacing w:before="62"/>
              <w:ind w:left="85" w:right="81"/>
              <w:jc w:val="center"/>
              <w:rPr>
                <w:color w:val="auto"/>
                <w:sz w:val="21"/>
              </w:rPr>
            </w:pPr>
            <w:r>
              <w:rPr>
                <w:color w:val="auto"/>
                <w:sz w:val="21"/>
              </w:rPr>
              <w:t>/</w:t>
            </w:r>
          </w:p>
        </w:tc>
        <w:tc>
          <w:tcPr>
            <w:tcW w:w="989" w:type="pct"/>
            <w:vAlign w:val="center"/>
          </w:tcPr>
          <w:p>
            <w:pPr>
              <w:pStyle w:val="107"/>
              <w:ind w:left="9"/>
              <w:jc w:val="center"/>
              <w:rPr>
                <w:color w:val="auto"/>
                <w:sz w:val="21"/>
              </w:rPr>
            </w:pPr>
            <w:r>
              <w:rPr>
                <w:color w:val="auto"/>
                <w:w w:val="99"/>
                <w:sz w:val="21"/>
              </w:rPr>
              <w:t>/</w:t>
            </w:r>
          </w:p>
        </w:tc>
      </w:tr>
    </w:tbl>
    <w:p>
      <w:pPr>
        <w:pStyle w:val="2"/>
        <w:rPr>
          <w:color w:val="auto"/>
        </w:rPr>
      </w:pPr>
    </w:p>
    <w:p>
      <w:pPr>
        <w:pStyle w:val="4"/>
        <w:spacing w:line="520" w:lineRule="exact"/>
        <w:rPr>
          <w:rFonts w:ascii="Times New Roman" w:hAnsi="Times New Roman"/>
          <w:b/>
          <w:color w:val="auto"/>
        </w:rPr>
      </w:pPr>
      <w:bookmarkStart w:id="81" w:name="_Toc335291733"/>
      <w:bookmarkStart w:id="82" w:name="_Toc367091854"/>
      <w:bookmarkStart w:id="83" w:name="_Toc333178531"/>
      <w:bookmarkStart w:id="84" w:name="_Toc9103"/>
      <w:bookmarkStart w:id="85" w:name="_Toc333388573"/>
      <w:bookmarkStart w:id="86" w:name="_Toc333177928"/>
      <w:bookmarkStart w:id="87" w:name="_Toc287813362"/>
      <w:bookmarkStart w:id="88" w:name="_Toc31898"/>
      <w:bookmarkStart w:id="89" w:name="_Toc366874095"/>
      <w:r>
        <w:rPr>
          <w:rFonts w:ascii="Times New Roman" w:hAnsi="Times New Roman"/>
          <w:b/>
          <w:color w:val="auto"/>
        </w:rPr>
        <w:t>2.4评价执行标准</w:t>
      </w:r>
      <w:bookmarkEnd w:id="81"/>
      <w:bookmarkEnd w:id="82"/>
      <w:bookmarkEnd w:id="83"/>
      <w:bookmarkEnd w:id="84"/>
      <w:bookmarkEnd w:id="85"/>
      <w:bookmarkEnd w:id="86"/>
      <w:bookmarkEnd w:id="87"/>
      <w:bookmarkEnd w:id="88"/>
      <w:bookmarkEnd w:id="89"/>
    </w:p>
    <w:p>
      <w:pPr>
        <w:autoSpaceDE w:val="0"/>
        <w:autoSpaceDN w:val="0"/>
        <w:adjustRightInd w:val="0"/>
        <w:spacing w:line="520" w:lineRule="exact"/>
        <w:ind w:firstLine="567"/>
        <w:rPr>
          <w:color w:val="auto"/>
          <w:kern w:val="0"/>
          <w:sz w:val="24"/>
          <w:lang w:val="zh-CN"/>
        </w:rPr>
      </w:pPr>
      <w:r>
        <w:rPr>
          <w:color w:val="auto"/>
          <w:kern w:val="0"/>
          <w:sz w:val="24"/>
          <w:lang w:val="zh-CN"/>
        </w:rPr>
        <w:t>本次评价执行以下标准。</w:t>
      </w:r>
    </w:p>
    <w:p>
      <w:pPr>
        <w:pStyle w:val="5"/>
        <w:spacing w:before="0" w:after="0" w:line="520" w:lineRule="exact"/>
        <w:rPr>
          <w:color w:val="auto"/>
          <w:sz w:val="24"/>
          <w:szCs w:val="24"/>
        </w:rPr>
      </w:pPr>
      <w:bookmarkStart w:id="90" w:name="_Toc333177929"/>
      <w:r>
        <w:rPr>
          <w:color w:val="auto"/>
          <w:sz w:val="24"/>
          <w:szCs w:val="24"/>
        </w:rPr>
        <w:t>2.4.1环境质量标准</w:t>
      </w:r>
      <w:bookmarkEnd w:id="90"/>
    </w:p>
    <w:p>
      <w:pPr>
        <w:autoSpaceDE w:val="0"/>
        <w:autoSpaceDN w:val="0"/>
        <w:adjustRightInd w:val="0"/>
        <w:spacing w:line="520" w:lineRule="exact"/>
        <w:ind w:firstLine="480" w:firstLineChars="200"/>
        <w:rPr>
          <w:color w:val="auto"/>
          <w:kern w:val="0"/>
          <w:sz w:val="24"/>
          <w:lang w:val="zh-CN"/>
        </w:rPr>
      </w:pPr>
      <w:r>
        <w:rPr>
          <w:color w:val="auto"/>
          <w:kern w:val="0"/>
          <w:sz w:val="24"/>
          <w:lang w:val="zh-CN"/>
        </w:rPr>
        <w:t>（</w:t>
      </w:r>
      <w:r>
        <w:rPr>
          <w:color w:val="auto"/>
          <w:kern w:val="0"/>
          <w:sz w:val="24"/>
        </w:rPr>
        <w:t>1</w:t>
      </w:r>
      <w:r>
        <w:rPr>
          <w:color w:val="auto"/>
          <w:kern w:val="0"/>
          <w:sz w:val="24"/>
          <w:lang w:val="zh-CN"/>
        </w:rPr>
        <w:t>）环境空气质量标准</w:t>
      </w:r>
    </w:p>
    <w:p>
      <w:pPr>
        <w:spacing w:line="520" w:lineRule="exact"/>
        <w:ind w:firstLine="464" w:firstLineChars="200"/>
        <w:rPr>
          <w:b/>
          <w:color w:val="auto"/>
          <w:sz w:val="24"/>
        </w:rPr>
      </w:pPr>
      <w:r>
        <w:rPr>
          <w:color w:val="auto"/>
          <w:spacing w:val="-4"/>
          <w:sz w:val="24"/>
        </w:rPr>
        <w:t>根据环境空气质量功能区分类，该区域属二类区，环境空气质量执行《环境空气质量标准》（GB3095-2012）中</w:t>
      </w:r>
      <w:r>
        <w:rPr>
          <w:color w:val="auto"/>
          <w:sz w:val="24"/>
        </w:rPr>
        <w:t>二级</w:t>
      </w:r>
      <w:r>
        <w:rPr>
          <w:color w:val="auto"/>
          <w:spacing w:val="-4"/>
          <w:sz w:val="24"/>
        </w:rPr>
        <w:t>标准</w:t>
      </w:r>
      <w:r>
        <w:rPr>
          <w:iCs/>
          <w:color w:val="auto"/>
          <w:spacing w:val="-4"/>
          <w:sz w:val="24"/>
        </w:rPr>
        <w:t>，</w:t>
      </w:r>
      <w:r>
        <w:rPr>
          <w:color w:val="auto"/>
          <w:sz w:val="24"/>
        </w:rPr>
        <w:t>H</w:t>
      </w:r>
      <w:r>
        <w:rPr>
          <w:color w:val="auto"/>
          <w:sz w:val="24"/>
          <w:vertAlign w:val="subscript"/>
        </w:rPr>
        <w:t>2</w:t>
      </w:r>
      <w:r>
        <w:rPr>
          <w:color w:val="auto"/>
          <w:sz w:val="24"/>
        </w:rPr>
        <w:t>S参照执行《环境影响评价技术导则 大气环境》（HJ2.2-2018）附录D中表D.1的规定标准，</w:t>
      </w:r>
      <w:r>
        <w:rPr>
          <w:iCs/>
          <w:color w:val="auto"/>
          <w:spacing w:val="-4"/>
          <w:sz w:val="24"/>
        </w:rPr>
        <w:t>非甲烷总烃质量标准引用国家环境保护局科技标准司《大气污染物综合排放标准详解》中的规定值，</w:t>
      </w:r>
      <w:r>
        <w:rPr>
          <w:color w:val="auto"/>
          <w:spacing w:val="-4"/>
          <w:sz w:val="24"/>
        </w:rPr>
        <w:t>标准限值详见下表</w:t>
      </w:r>
      <w:r>
        <w:rPr>
          <w:color w:val="auto"/>
          <w:sz w:val="24"/>
        </w:rPr>
        <w:t>。</w:t>
      </w:r>
    </w:p>
    <w:p>
      <w:pPr>
        <w:spacing w:line="520" w:lineRule="exact"/>
        <w:jc w:val="center"/>
        <w:rPr>
          <w:b/>
          <w:color w:val="auto"/>
          <w:sz w:val="24"/>
        </w:rPr>
      </w:pPr>
      <w:r>
        <w:rPr>
          <w:b/>
          <w:color w:val="auto"/>
          <w:sz w:val="24"/>
        </w:rPr>
        <w:t>表2-5  环境空气质量标准</w:t>
      </w:r>
    </w:p>
    <w:tbl>
      <w:tblPr>
        <w:tblStyle w:val="53"/>
        <w:tblW w:w="0" w:type="auto"/>
        <w:jc w:val="center"/>
        <w:tblBorders>
          <w:top w:val="single" w:color="000000" w:sz="2" w:space="0"/>
          <w:left w:val="single" w:color="000000" w:sz="2" w:space="0"/>
          <w:bottom w:val="single" w:color="000000" w:sz="2" w:space="0"/>
          <w:right w:val="single" w:color="000000" w:sz="2" w:space="0"/>
          <w:insideH w:val="single" w:color="000000" w:sz="6" w:space="0"/>
          <w:insideV w:val="single" w:color="000000" w:sz="6" w:space="0"/>
        </w:tblBorders>
        <w:tblLayout w:type="fixed"/>
        <w:tblCellMar>
          <w:top w:w="0" w:type="dxa"/>
          <w:left w:w="108" w:type="dxa"/>
          <w:bottom w:w="0" w:type="dxa"/>
          <w:right w:w="108" w:type="dxa"/>
        </w:tblCellMar>
      </w:tblPr>
      <w:tblGrid>
        <w:gridCol w:w="1491"/>
        <w:gridCol w:w="1570"/>
        <w:gridCol w:w="1917"/>
        <w:gridCol w:w="1334"/>
        <w:gridCol w:w="2638"/>
      </w:tblGrid>
      <w:tr>
        <w:tblPrEx>
          <w:tblBorders>
            <w:top w:val="single" w:color="000000" w:sz="2" w:space="0"/>
            <w:left w:val="single" w:color="000000" w:sz="2" w:space="0"/>
            <w:bottom w:val="single" w:color="000000" w:sz="2" w:space="0"/>
            <w:right w:val="single" w:color="000000" w:sz="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1491" w:type="dxa"/>
            <w:vMerge w:val="restart"/>
            <w:vAlign w:val="center"/>
          </w:tcPr>
          <w:p>
            <w:pPr>
              <w:jc w:val="center"/>
              <w:rPr>
                <w:color w:val="auto"/>
                <w:szCs w:val="21"/>
              </w:rPr>
            </w:pPr>
            <w:r>
              <w:rPr>
                <w:color w:val="auto"/>
                <w:szCs w:val="21"/>
              </w:rPr>
              <w:t>污染物</w:t>
            </w:r>
          </w:p>
        </w:tc>
        <w:tc>
          <w:tcPr>
            <w:tcW w:w="4821" w:type="dxa"/>
            <w:gridSpan w:val="3"/>
            <w:vAlign w:val="center"/>
          </w:tcPr>
          <w:p>
            <w:pPr>
              <w:jc w:val="center"/>
              <w:rPr>
                <w:color w:val="auto"/>
                <w:szCs w:val="21"/>
              </w:rPr>
            </w:pPr>
            <w:r>
              <w:rPr>
                <w:color w:val="auto"/>
                <w:szCs w:val="21"/>
              </w:rPr>
              <w:t>各项污染物的浓度限值（</w:t>
            </w:r>
            <w:r>
              <w:rPr>
                <w:rFonts w:hint="default"/>
                <w:b w:val="0"/>
                <w:bCs w:val="0"/>
                <w:color w:val="auto"/>
                <w:sz w:val="24"/>
                <w:lang w:val="en-US" w:eastAsia="zh-CN"/>
              </w:rPr>
              <w:t>µ</w:t>
            </w:r>
            <w:r>
              <w:rPr>
                <w:b w:val="0"/>
                <w:bCs w:val="0"/>
                <w:szCs w:val="21"/>
              </w:rPr>
              <w:t>g/m</w:t>
            </w:r>
            <w:r>
              <w:rPr>
                <w:b w:val="0"/>
                <w:bCs w:val="0"/>
                <w:szCs w:val="21"/>
                <w:vertAlign w:val="superscript"/>
              </w:rPr>
              <w:t>3</w:t>
            </w:r>
            <w:r>
              <w:rPr>
                <w:color w:val="auto"/>
                <w:szCs w:val="21"/>
              </w:rPr>
              <w:t>）</w:t>
            </w:r>
          </w:p>
        </w:tc>
        <w:tc>
          <w:tcPr>
            <w:tcW w:w="2638" w:type="dxa"/>
            <w:vMerge w:val="restart"/>
            <w:vAlign w:val="center"/>
          </w:tcPr>
          <w:p>
            <w:pPr>
              <w:jc w:val="center"/>
              <w:rPr>
                <w:color w:val="auto"/>
                <w:szCs w:val="21"/>
              </w:rPr>
            </w:pPr>
            <w:r>
              <w:rPr>
                <w:color w:val="auto"/>
                <w:szCs w:val="21"/>
              </w:rPr>
              <w:t>依据</w:t>
            </w:r>
          </w:p>
        </w:tc>
      </w:tr>
      <w:tr>
        <w:tblPrEx>
          <w:tblBorders>
            <w:top w:val="single" w:color="000000" w:sz="2" w:space="0"/>
            <w:left w:val="single" w:color="000000" w:sz="2" w:space="0"/>
            <w:bottom w:val="single" w:color="000000" w:sz="2" w:space="0"/>
            <w:right w:val="single" w:color="000000" w:sz="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1491" w:type="dxa"/>
            <w:vMerge w:val="continue"/>
            <w:vAlign w:val="center"/>
          </w:tcPr>
          <w:p>
            <w:pPr>
              <w:jc w:val="center"/>
              <w:rPr>
                <w:color w:val="auto"/>
                <w:szCs w:val="21"/>
              </w:rPr>
            </w:pPr>
          </w:p>
        </w:tc>
        <w:tc>
          <w:tcPr>
            <w:tcW w:w="1570" w:type="dxa"/>
            <w:vAlign w:val="center"/>
          </w:tcPr>
          <w:p>
            <w:pPr>
              <w:jc w:val="center"/>
              <w:rPr>
                <w:color w:val="auto"/>
                <w:szCs w:val="21"/>
              </w:rPr>
            </w:pPr>
            <w:r>
              <w:rPr>
                <w:color w:val="auto"/>
                <w:szCs w:val="21"/>
              </w:rPr>
              <w:t>1小时平均</w:t>
            </w:r>
          </w:p>
        </w:tc>
        <w:tc>
          <w:tcPr>
            <w:tcW w:w="1917" w:type="dxa"/>
            <w:vAlign w:val="center"/>
          </w:tcPr>
          <w:p>
            <w:pPr>
              <w:jc w:val="center"/>
              <w:rPr>
                <w:color w:val="auto"/>
                <w:szCs w:val="21"/>
              </w:rPr>
            </w:pPr>
            <w:r>
              <w:rPr>
                <w:color w:val="auto"/>
                <w:szCs w:val="21"/>
              </w:rPr>
              <w:t>日平均</w:t>
            </w:r>
          </w:p>
        </w:tc>
        <w:tc>
          <w:tcPr>
            <w:tcW w:w="1334" w:type="dxa"/>
            <w:vAlign w:val="center"/>
          </w:tcPr>
          <w:p>
            <w:pPr>
              <w:jc w:val="center"/>
              <w:rPr>
                <w:color w:val="auto"/>
                <w:szCs w:val="21"/>
              </w:rPr>
            </w:pPr>
            <w:r>
              <w:rPr>
                <w:color w:val="auto"/>
                <w:szCs w:val="21"/>
              </w:rPr>
              <w:t>年平均</w:t>
            </w:r>
          </w:p>
        </w:tc>
        <w:tc>
          <w:tcPr>
            <w:tcW w:w="2638" w:type="dxa"/>
            <w:vMerge w:val="continue"/>
            <w:vAlign w:val="center"/>
          </w:tcPr>
          <w:p>
            <w:pPr>
              <w:jc w:val="center"/>
              <w:rPr>
                <w:color w:val="auto"/>
                <w:szCs w:val="21"/>
              </w:rPr>
            </w:pPr>
          </w:p>
        </w:tc>
      </w:tr>
      <w:tr>
        <w:tblPrEx>
          <w:tblBorders>
            <w:top w:val="single" w:color="000000" w:sz="2" w:space="0"/>
            <w:left w:val="single" w:color="000000" w:sz="2" w:space="0"/>
            <w:bottom w:val="single" w:color="000000" w:sz="2" w:space="0"/>
            <w:right w:val="single" w:color="000000" w:sz="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1491" w:type="dxa"/>
            <w:vAlign w:val="center"/>
          </w:tcPr>
          <w:p>
            <w:pPr>
              <w:jc w:val="center"/>
              <w:rPr>
                <w:color w:val="auto"/>
                <w:szCs w:val="21"/>
              </w:rPr>
            </w:pPr>
            <w:r>
              <w:rPr>
                <w:color w:val="auto"/>
                <w:szCs w:val="21"/>
              </w:rPr>
              <w:t>SO</w:t>
            </w:r>
            <w:r>
              <w:rPr>
                <w:color w:val="auto"/>
                <w:szCs w:val="21"/>
                <w:vertAlign w:val="subscript"/>
              </w:rPr>
              <w:t>2</w:t>
            </w:r>
          </w:p>
        </w:tc>
        <w:tc>
          <w:tcPr>
            <w:tcW w:w="1570" w:type="dxa"/>
            <w:vAlign w:val="center"/>
          </w:tcPr>
          <w:p>
            <w:pPr>
              <w:jc w:val="center"/>
              <w:rPr>
                <w:color w:val="auto"/>
                <w:szCs w:val="21"/>
              </w:rPr>
            </w:pPr>
            <w:r>
              <w:rPr>
                <w:color w:val="auto"/>
                <w:szCs w:val="21"/>
              </w:rPr>
              <w:t>500</w:t>
            </w:r>
          </w:p>
        </w:tc>
        <w:tc>
          <w:tcPr>
            <w:tcW w:w="1917" w:type="dxa"/>
            <w:vAlign w:val="center"/>
          </w:tcPr>
          <w:p>
            <w:pPr>
              <w:jc w:val="center"/>
              <w:rPr>
                <w:color w:val="auto"/>
                <w:szCs w:val="21"/>
              </w:rPr>
            </w:pPr>
            <w:r>
              <w:rPr>
                <w:color w:val="auto"/>
                <w:szCs w:val="21"/>
              </w:rPr>
              <w:t>150</w:t>
            </w:r>
          </w:p>
        </w:tc>
        <w:tc>
          <w:tcPr>
            <w:tcW w:w="1334" w:type="dxa"/>
            <w:vAlign w:val="center"/>
          </w:tcPr>
          <w:p>
            <w:pPr>
              <w:jc w:val="center"/>
              <w:rPr>
                <w:color w:val="auto"/>
                <w:szCs w:val="21"/>
              </w:rPr>
            </w:pPr>
            <w:r>
              <w:rPr>
                <w:color w:val="auto"/>
                <w:szCs w:val="21"/>
              </w:rPr>
              <w:t>60</w:t>
            </w:r>
          </w:p>
        </w:tc>
        <w:tc>
          <w:tcPr>
            <w:tcW w:w="2638" w:type="dxa"/>
            <w:vMerge w:val="restart"/>
            <w:vAlign w:val="center"/>
          </w:tcPr>
          <w:p>
            <w:pPr>
              <w:spacing w:line="240" w:lineRule="exact"/>
              <w:jc w:val="center"/>
              <w:rPr>
                <w:color w:val="auto"/>
                <w:szCs w:val="21"/>
              </w:rPr>
            </w:pPr>
            <w:r>
              <w:rPr>
                <w:color w:val="auto"/>
                <w:szCs w:val="21"/>
              </w:rPr>
              <w:t>《环境空气质量标准》（GB3095-2012）二级标准</w:t>
            </w:r>
          </w:p>
        </w:tc>
      </w:tr>
      <w:tr>
        <w:tblPrEx>
          <w:tblBorders>
            <w:top w:val="single" w:color="000000" w:sz="2" w:space="0"/>
            <w:left w:val="single" w:color="000000" w:sz="2" w:space="0"/>
            <w:bottom w:val="single" w:color="000000" w:sz="2" w:space="0"/>
            <w:right w:val="single" w:color="000000" w:sz="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1491" w:type="dxa"/>
            <w:vAlign w:val="center"/>
          </w:tcPr>
          <w:p>
            <w:pPr>
              <w:jc w:val="center"/>
              <w:rPr>
                <w:color w:val="auto"/>
                <w:szCs w:val="21"/>
              </w:rPr>
            </w:pPr>
            <w:r>
              <w:rPr>
                <w:color w:val="auto"/>
                <w:szCs w:val="21"/>
              </w:rPr>
              <w:t>NO</w:t>
            </w:r>
            <w:r>
              <w:rPr>
                <w:color w:val="auto"/>
                <w:szCs w:val="21"/>
                <w:vertAlign w:val="subscript"/>
              </w:rPr>
              <w:t>2</w:t>
            </w:r>
          </w:p>
        </w:tc>
        <w:tc>
          <w:tcPr>
            <w:tcW w:w="1570" w:type="dxa"/>
            <w:vAlign w:val="center"/>
          </w:tcPr>
          <w:p>
            <w:pPr>
              <w:jc w:val="center"/>
              <w:rPr>
                <w:color w:val="auto"/>
                <w:szCs w:val="21"/>
              </w:rPr>
            </w:pPr>
            <w:r>
              <w:rPr>
                <w:color w:val="auto"/>
                <w:szCs w:val="21"/>
              </w:rPr>
              <w:t>200</w:t>
            </w:r>
          </w:p>
        </w:tc>
        <w:tc>
          <w:tcPr>
            <w:tcW w:w="1917" w:type="dxa"/>
            <w:vAlign w:val="center"/>
          </w:tcPr>
          <w:p>
            <w:pPr>
              <w:jc w:val="center"/>
              <w:rPr>
                <w:color w:val="auto"/>
                <w:szCs w:val="21"/>
              </w:rPr>
            </w:pPr>
            <w:r>
              <w:rPr>
                <w:color w:val="auto"/>
                <w:szCs w:val="21"/>
              </w:rPr>
              <w:t>80</w:t>
            </w:r>
          </w:p>
        </w:tc>
        <w:tc>
          <w:tcPr>
            <w:tcW w:w="1334" w:type="dxa"/>
            <w:vAlign w:val="center"/>
          </w:tcPr>
          <w:p>
            <w:pPr>
              <w:jc w:val="center"/>
              <w:rPr>
                <w:color w:val="auto"/>
                <w:szCs w:val="21"/>
              </w:rPr>
            </w:pPr>
            <w:r>
              <w:rPr>
                <w:color w:val="auto"/>
                <w:szCs w:val="21"/>
              </w:rPr>
              <w:t>40</w:t>
            </w:r>
          </w:p>
        </w:tc>
        <w:tc>
          <w:tcPr>
            <w:tcW w:w="2638" w:type="dxa"/>
            <w:vMerge w:val="continue"/>
            <w:vAlign w:val="center"/>
          </w:tcPr>
          <w:p>
            <w:pPr>
              <w:jc w:val="center"/>
              <w:rPr>
                <w:color w:val="auto"/>
                <w:szCs w:val="21"/>
              </w:rPr>
            </w:pPr>
          </w:p>
        </w:tc>
      </w:tr>
      <w:tr>
        <w:tblPrEx>
          <w:tblBorders>
            <w:top w:val="single" w:color="000000" w:sz="2" w:space="0"/>
            <w:left w:val="single" w:color="000000" w:sz="2" w:space="0"/>
            <w:bottom w:val="single" w:color="000000" w:sz="2" w:space="0"/>
            <w:right w:val="single" w:color="000000" w:sz="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1491" w:type="dxa"/>
            <w:vAlign w:val="center"/>
          </w:tcPr>
          <w:p>
            <w:pPr>
              <w:jc w:val="center"/>
              <w:rPr>
                <w:color w:val="auto"/>
                <w:szCs w:val="21"/>
              </w:rPr>
            </w:pPr>
            <w:r>
              <w:rPr>
                <w:color w:val="auto"/>
                <w:szCs w:val="21"/>
              </w:rPr>
              <w:t>CO</w:t>
            </w:r>
          </w:p>
        </w:tc>
        <w:tc>
          <w:tcPr>
            <w:tcW w:w="1570" w:type="dxa"/>
            <w:vAlign w:val="center"/>
          </w:tcPr>
          <w:p>
            <w:pPr>
              <w:jc w:val="center"/>
              <w:rPr>
                <w:color w:val="auto"/>
                <w:szCs w:val="21"/>
              </w:rPr>
            </w:pPr>
            <w:r>
              <w:rPr>
                <w:color w:val="auto"/>
                <w:szCs w:val="21"/>
              </w:rPr>
              <w:t>10</w:t>
            </w:r>
          </w:p>
        </w:tc>
        <w:tc>
          <w:tcPr>
            <w:tcW w:w="1917" w:type="dxa"/>
            <w:vAlign w:val="center"/>
          </w:tcPr>
          <w:p>
            <w:pPr>
              <w:jc w:val="center"/>
              <w:rPr>
                <w:color w:val="auto"/>
                <w:szCs w:val="21"/>
              </w:rPr>
            </w:pPr>
            <w:r>
              <w:rPr>
                <w:color w:val="auto"/>
                <w:szCs w:val="21"/>
              </w:rPr>
              <w:t>4</w:t>
            </w:r>
          </w:p>
        </w:tc>
        <w:tc>
          <w:tcPr>
            <w:tcW w:w="1334" w:type="dxa"/>
            <w:vAlign w:val="center"/>
          </w:tcPr>
          <w:p>
            <w:pPr>
              <w:jc w:val="center"/>
              <w:rPr>
                <w:color w:val="auto"/>
                <w:szCs w:val="21"/>
              </w:rPr>
            </w:pPr>
            <w:r>
              <w:rPr>
                <w:color w:val="auto"/>
                <w:szCs w:val="21"/>
              </w:rPr>
              <w:t>/</w:t>
            </w:r>
          </w:p>
        </w:tc>
        <w:tc>
          <w:tcPr>
            <w:tcW w:w="2638" w:type="dxa"/>
            <w:vMerge w:val="continue"/>
            <w:vAlign w:val="center"/>
          </w:tcPr>
          <w:p>
            <w:pPr>
              <w:jc w:val="center"/>
              <w:rPr>
                <w:color w:val="auto"/>
                <w:szCs w:val="21"/>
              </w:rPr>
            </w:pPr>
          </w:p>
        </w:tc>
      </w:tr>
      <w:tr>
        <w:tblPrEx>
          <w:tblBorders>
            <w:top w:val="single" w:color="000000" w:sz="2" w:space="0"/>
            <w:left w:val="single" w:color="000000" w:sz="2" w:space="0"/>
            <w:bottom w:val="single" w:color="000000" w:sz="2" w:space="0"/>
            <w:right w:val="single" w:color="000000" w:sz="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1491" w:type="dxa"/>
            <w:vAlign w:val="center"/>
          </w:tcPr>
          <w:p>
            <w:pPr>
              <w:jc w:val="center"/>
              <w:rPr>
                <w:color w:val="auto"/>
                <w:szCs w:val="21"/>
              </w:rPr>
            </w:pPr>
            <w:r>
              <w:rPr>
                <w:color w:val="auto"/>
                <w:szCs w:val="21"/>
              </w:rPr>
              <w:t>O</w:t>
            </w:r>
            <w:r>
              <w:rPr>
                <w:color w:val="auto"/>
                <w:szCs w:val="21"/>
                <w:vertAlign w:val="subscript"/>
              </w:rPr>
              <w:t>3</w:t>
            </w:r>
          </w:p>
        </w:tc>
        <w:tc>
          <w:tcPr>
            <w:tcW w:w="1570" w:type="dxa"/>
            <w:vAlign w:val="center"/>
          </w:tcPr>
          <w:p>
            <w:pPr>
              <w:jc w:val="center"/>
              <w:rPr>
                <w:color w:val="auto"/>
                <w:szCs w:val="21"/>
              </w:rPr>
            </w:pPr>
            <w:r>
              <w:rPr>
                <w:color w:val="auto"/>
                <w:szCs w:val="21"/>
              </w:rPr>
              <w:t>200</w:t>
            </w:r>
          </w:p>
        </w:tc>
        <w:tc>
          <w:tcPr>
            <w:tcW w:w="1917" w:type="dxa"/>
            <w:vAlign w:val="center"/>
          </w:tcPr>
          <w:p>
            <w:pPr>
              <w:spacing w:line="240" w:lineRule="exact"/>
              <w:jc w:val="center"/>
              <w:rPr>
                <w:color w:val="auto"/>
                <w:szCs w:val="21"/>
              </w:rPr>
            </w:pPr>
            <w:r>
              <w:rPr>
                <w:color w:val="auto"/>
                <w:szCs w:val="21"/>
              </w:rPr>
              <w:t>160（日最大8小时平均）</w:t>
            </w:r>
          </w:p>
        </w:tc>
        <w:tc>
          <w:tcPr>
            <w:tcW w:w="1334" w:type="dxa"/>
            <w:vAlign w:val="center"/>
          </w:tcPr>
          <w:p>
            <w:pPr>
              <w:jc w:val="center"/>
              <w:rPr>
                <w:color w:val="auto"/>
                <w:szCs w:val="21"/>
              </w:rPr>
            </w:pPr>
            <w:r>
              <w:rPr>
                <w:color w:val="auto"/>
                <w:szCs w:val="21"/>
              </w:rPr>
              <w:t>/</w:t>
            </w:r>
          </w:p>
        </w:tc>
        <w:tc>
          <w:tcPr>
            <w:tcW w:w="2638" w:type="dxa"/>
            <w:vMerge w:val="continue"/>
            <w:vAlign w:val="center"/>
          </w:tcPr>
          <w:p>
            <w:pPr>
              <w:jc w:val="center"/>
              <w:rPr>
                <w:color w:val="auto"/>
                <w:szCs w:val="21"/>
              </w:rPr>
            </w:pPr>
          </w:p>
        </w:tc>
      </w:tr>
      <w:tr>
        <w:tblPrEx>
          <w:tblBorders>
            <w:top w:val="single" w:color="000000" w:sz="2" w:space="0"/>
            <w:left w:val="single" w:color="000000" w:sz="2" w:space="0"/>
            <w:bottom w:val="single" w:color="000000" w:sz="2" w:space="0"/>
            <w:right w:val="single" w:color="000000" w:sz="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1491" w:type="dxa"/>
            <w:vAlign w:val="center"/>
          </w:tcPr>
          <w:p>
            <w:pPr>
              <w:jc w:val="center"/>
              <w:rPr>
                <w:color w:val="auto"/>
                <w:szCs w:val="21"/>
              </w:rPr>
            </w:pPr>
            <w:r>
              <w:rPr>
                <w:color w:val="auto"/>
                <w:szCs w:val="21"/>
              </w:rPr>
              <w:t>PM</w:t>
            </w:r>
            <w:r>
              <w:rPr>
                <w:color w:val="auto"/>
                <w:szCs w:val="21"/>
                <w:vertAlign w:val="subscript"/>
              </w:rPr>
              <w:t>2.5</w:t>
            </w:r>
          </w:p>
        </w:tc>
        <w:tc>
          <w:tcPr>
            <w:tcW w:w="1570" w:type="dxa"/>
            <w:vAlign w:val="center"/>
          </w:tcPr>
          <w:p>
            <w:pPr>
              <w:jc w:val="center"/>
              <w:rPr>
                <w:color w:val="auto"/>
                <w:szCs w:val="21"/>
              </w:rPr>
            </w:pPr>
            <w:r>
              <w:rPr>
                <w:color w:val="auto"/>
                <w:szCs w:val="21"/>
              </w:rPr>
              <w:t>-</w:t>
            </w:r>
          </w:p>
        </w:tc>
        <w:tc>
          <w:tcPr>
            <w:tcW w:w="1917" w:type="dxa"/>
            <w:vAlign w:val="center"/>
          </w:tcPr>
          <w:p>
            <w:pPr>
              <w:jc w:val="center"/>
              <w:rPr>
                <w:color w:val="auto"/>
                <w:szCs w:val="21"/>
              </w:rPr>
            </w:pPr>
            <w:r>
              <w:rPr>
                <w:color w:val="auto"/>
                <w:szCs w:val="21"/>
              </w:rPr>
              <w:t>75</w:t>
            </w:r>
          </w:p>
        </w:tc>
        <w:tc>
          <w:tcPr>
            <w:tcW w:w="1334" w:type="dxa"/>
            <w:vAlign w:val="center"/>
          </w:tcPr>
          <w:p>
            <w:pPr>
              <w:jc w:val="center"/>
              <w:rPr>
                <w:color w:val="auto"/>
                <w:szCs w:val="21"/>
              </w:rPr>
            </w:pPr>
            <w:r>
              <w:rPr>
                <w:color w:val="auto"/>
                <w:szCs w:val="21"/>
              </w:rPr>
              <w:t>35</w:t>
            </w:r>
          </w:p>
        </w:tc>
        <w:tc>
          <w:tcPr>
            <w:tcW w:w="2638" w:type="dxa"/>
            <w:vMerge w:val="continue"/>
            <w:vAlign w:val="center"/>
          </w:tcPr>
          <w:p>
            <w:pPr>
              <w:jc w:val="center"/>
              <w:rPr>
                <w:color w:val="auto"/>
                <w:szCs w:val="21"/>
              </w:rPr>
            </w:pPr>
          </w:p>
        </w:tc>
      </w:tr>
      <w:tr>
        <w:tblPrEx>
          <w:tblBorders>
            <w:top w:val="single" w:color="000000" w:sz="2" w:space="0"/>
            <w:left w:val="single" w:color="000000" w:sz="2" w:space="0"/>
            <w:bottom w:val="single" w:color="000000" w:sz="2" w:space="0"/>
            <w:right w:val="single" w:color="000000" w:sz="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1491" w:type="dxa"/>
            <w:vAlign w:val="center"/>
          </w:tcPr>
          <w:p>
            <w:pPr>
              <w:jc w:val="center"/>
              <w:rPr>
                <w:color w:val="auto"/>
                <w:szCs w:val="21"/>
              </w:rPr>
            </w:pPr>
            <w:r>
              <w:rPr>
                <w:color w:val="auto"/>
                <w:szCs w:val="21"/>
              </w:rPr>
              <w:t>PM</w:t>
            </w:r>
            <w:r>
              <w:rPr>
                <w:color w:val="auto"/>
                <w:szCs w:val="21"/>
                <w:vertAlign w:val="subscript"/>
              </w:rPr>
              <w:t>10</w:t>
            </w:r>
          </w:p>
        </w:tc>
        <w:tc>
          <w:tcPr>
            <w:tcW w:w="1570" w:type="dxa"/>
            <w:vAlign w:val="center"/>
          </w:tcPr>
          <w:p>
            <w:pPr>
              <w:jc w:val="center"/>
              <w:rPr>
                <w:color w:val="auto"/>
                <w:szCs w:val="21"/>
              </w:rPr>
            </w:pPr>
            <w:r>
              <w:rPr>
                <w:color w:val="auto"/>
                <w:szCs w:val="21"/>
              </w:rPr>
              <w:t>-</w:t>
            </w:r>
          </w:p>
        </w:tc>
        <w:tc>
          <w:tcPr>
            <w:tcW w:w="1917" w:type="dxa"/>
            <w:vAlign w:val="center"/>
          </w:tcPr>
          <w:p>
            <w:pPr>
              <w:jc w:val="center"/>
              <w:rPr>
                <w:color w:val="auto"/>
                <w:szCs w:val="21"/>
              </w:rPr>
            </w:pPr>
            <w:r>
              <w:rPr>
                <w:color w:val="auto"/>
                <w:szCs w:val="21"/>
              </w:rPr>
              <w:t>150</w:t>
            </w:r>
          </w:p>
        </w:tc>
        <w:tc>
          <w:tcPr>
            <w:tcW w:w="1334" w:type="dxa"/>
            <w:vAlign w:val="center"/>
          </w:tcPr>
          <w:p>
            <w:pPr>
              <w:jc w:val="center"/>
              <w:rPr>
                <w:color w:val="auto"/>
                <w:szCs w:val="21"/>
              </w:rPr>
            </w:pPr>
            <w:r>
              <w:rPr>
                <w:color w:val="auto"/>
                <w:szCs w:val="21"/>
              </w:rPr>
              <w:t>70</w:t>
            </w:r>
          </w:p>
        </w:tc>
        <w:tc>
          <w:tcPr>
            <w:tcW w:w="2638" w:type="dxa"/>
            <w:vMerge w:val="continue"/>
            <w:vAlign w:val="center"/>
          </w:tcPr>
          <w:p>
            <w:pPr>
              <w:jc w:val="center"/>
              <w:rPr>
                <w:color w:val="auto"/>
                <w:szCs w:val="21"/>
              </w:rPr>
            </w:pPr>
          </w:p>
        </w:tc>
      </w:tr>
      <w:tr>
        <w:tblPrEx>
          <w:tblBorders>
            <w:top w:val="single" w:color="000000" w:sz="2" w:space="0"/>
            <w:left w:val="single" w:color="000000" w:sz="2" w:space="0"/>
            <w:bottom w:val="single" w:color="000000" w:sz="2" w:space="0"/>
            <w:right w:val="single" w:color="000000" w:sz="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1491" w:type="dxa"/>
            <w:vAlign w:val="center"/>
          </w:tcPr>
          <w:p>
            <w:pPr>
              <w:jc w:val="center"/>
              <w:rPr>
                <w:color w:val="auto"/>
                <w:szCs w:val="21"/>
              </w:rPr>
            </w:pPr>
            <w:r>
              <w:rPr>
                <w:color w:val="auto"/>
                <w:szCs w:val="21"/>
              </w:rPr>
              <w:t>TSP</w:t>
            </w:r>
          </w:p>
        </w:tc>
        <w:tc>
          <w:tcPr>
            <w:tcW w:w="1570" w:type="dxa"/>
            <w:vAlign w:val="center"/>
          </w:tcPr>
          <w:p>
            <w:pPr>
              <w:jc w:val="center"/>
              <w:rPr>
                <w:color w:val="auto"/>
                <w:szCs w:val="21"/>
              </w:rPr>
            </w:pPr>
          </w:p>
        </w:tc>
        <w:tc>
          <w:tcPr>
            <w:tcW w:w="1917" w:type="dxa"/>
            <w:vAlign w:val="center"/>
          </w:tcPr>
          <w:p>
            <w:pPr>
              <w:jc w:val="center"/>
              <w:rPr>
                <w:color w:val="auto"/>
                <w:szCs w:val="21"/>
              </w:rPr>
            </w:pPr>
            <w:r>
              <w:rPr>
                <w:color w:val="auto"/>
                <w:szCs w:val="21"/>
              </w:rPr>
              <w:t>300</w:t>
            </w:r>
          </w:p>
        </w:tc>
        <w:tc>
          <w:tcPr>
            <w:tcW w:w="1334" w:type="dxa"/>
            <w:vAlign w:val="center"/>
          </w:tcPr>
          <w:p>
            <w:pPr>
              <w:jc w:val="center"/>
              <w:rPr>
                <w:color w:val="auto"/>
                <w:szCs w:val="21"/>
              </w:rPr>
            </w:pPr>
            <w:r>
              <w:rPr>
                <w:color w:val="auto"/>
                <w:szCs w:val="21"/>
              </w:rPr>
              <w:t>150</w:t>
            </w:r>
          </w:p>
        </w:tc>
        <w:tc>
          <w:tcPr>
            <w:tcW w:w="2638" w:type="dxa"/>
            <w:vMerge w:val="continue"/>
            <w:vAlign w:val="center"/>
          </w:tcPr>
          <w:p>
            <w:pPr>
              <w:jc w:val="center"/>
              <w:rPr>
                <w:color w:val="auto"/>
                <w:szCs w:val="21"/>
              </w:rPr>
            </w:pPr>
          </w:p>
        </w:tc>
      </w:tr>
      <w:tr>
        <w:tblPrEx>
          <w:tblBorders>
            <w:top w:val="single" w:color="000000" w:sz="2" w:space="0"/>
            <w:left w:val="single" w:color="000000" w:sz="2" w:space="0"/>
            <w:bottom w:val="single" w:color="000000" w:sz="2" w:space="0"/>
            <w:right w:val="single" w:color="000000" w:sz="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1491" w:type="dxa"/>
            <w:vAlign w:val="center"/>
          </w:tcPr>
          <w:p>
            <w:pPr>
              <w:jc w:val="center"/>
              <w:rPr>
                <w:iCs/>
                <w:color w:val="auto"/>
                <w:spacing w:val="-4"/>
                <w:szCs w:val="21"/>
              </w:rPr>
            </w:pPr>
            <w:r>
              <w:rPr>
                <w:iCs/>
                <w:color w:val="auto"/>
                <w:spacing w:val="-4"/>
                <w:szCs w:val="21"/>
              </w:rPr>
              <w:t>H</w:t>
            </w:r>
            <w:r>
              <w:rPr>
                <w:iCs/>
                <w:color w:val="auto"/>
                <w:spacing w:val="-4"/>
                <w:szCs w:val="21"/>
                <w:vertAlign w:val="subscript"/>
              </w:rPr>
              <w:t>2</w:t>
            </w:r>
            <w:r>
              <w:rPr>
                <w:iCs/>
                <w:color w:val="auto"/>
                <w:spacing w:val="-4"/>
                <w:szCs w:val="21"/>
              </w:rPr>
              <w:t>S</w:t>
            </w:r>
          </w:p>
        </w:tc>
        <w:tc>
          <w:tcPr>
            <w:tcW w:w="4821" w:type="dxa"/>
            <w:gridSpan w:val="3"/>
            <w:vAlign w:val="center"/>
          </w:tcPr>
          <w:p>
            <w:pPr>
              <w:jc w:val="center"/>
              <w:rPr>
                <w:color w:val="auto"/>
                <w:szCs w:val="21"/>
              </w:rPr>
            </w:pPr>
            <w:r>
              <w:rPr>
                <w:color w:val="auto"/>
                <w:szCs w:val="21"/>
              </w:rPr>
              <w:t>10</w:t>
            </w:r>
          </w:p>
        </w:tc>
        <w:tc>
          <w:tcPr>
            <w:tcW w:w="2638" w:type="dxa"/>
            <w:vAlign w:val="center"/>
          </w:tcPr>
          <w:p>
            <w:pPr>
              <w:jc w:val="center"/>
              <w:rPr>
                <w:iCs/>
                <w:color w:val="auto"/>
                <w:szCs w:val="21"/>
              </w:rPr>
            </w:pPr>
            <w:r>
              <w:rPr>
                <w:iCs/>
                <w:color w:val="auto"/>
                <w:szCs w:val="21"/>
              </w:rPr>
              <w:t>《环境影响评价技术导则 大气环境》（HJ2.2-2018）附录D</w:t>
            </w:r>
          </w:p>
        </w:tc>
      </w:tr>
      <w:tr>
        <w:tblPrEx>
          <w:tblBorders>
            <w:top w:val="single" w:color="000000" w:sz="2" w:space="0"/>
            <w:left w:val="single" w:color="000000" w:sz="2" w:space="0"/>
            <w:bottom w:val="single" w:color="000000" w:sz="2" w:space="0"/>
            <w:right w:val="single" w:color="000000" w:sz="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1491" w:type="dxa"/>
            <w:vAlign w:val="center"/>
          </w:tcPr>
          <w:p>
            <w:pPr>
              <w:jc w:val="center"/>
              <w:rPr>
                <w:color w:val="auto"/>
                <w:szCs w:val="21"/>
              </w:rPr>
            </w:pPr>
            <w:r>
              <w:rPr>
                <w:iCs/>
                <w:color w:val="auto"/>
                <w:spacing w:val="-4"/>
                <w:szCs w:val="21"/>
              </w:rPr>
              <w:t>非甲烷总烃</w:t>
            </w:r>
          </w:p>
        </w:tc>
        <w:tc>
          <w:tcPr>
            <w:tcW w:w="4821" w:type="dxa"/>
            <w:gridSpan w:val="3"/>
            <w:vAlign w:val="center"/>
          </w:tcPr>
          <w:p>
            <w:pPr>
              <w:jc w:val="center"/>
              <w:rPr>
                <w:color w:val="auto"/>
                <w:szCs w:val="21"/>
              </w:rPr>
            </w:pPr>
            <w:r>
              <w:rPr>
                <w:color w:val="auto"/>
                <w:szCs w:val="21"/>
              </w:rPr>
              <w:t>2000</w:t>
            </w:r>
          </w:p>
        </w:tc>
        <w:tc>
          <w:tcPr>
            <w:tcW w:w="2638" w:type="dxa"/>
            <w:vAlign w:val="center"/>
          </w:tcPr>
          <w:p>
            <w:pPr>
              <w:jc w:val="center"/>
              <w:rPr>
                <w:color w:val="auto"/>
                <w:szCs w:val="21"/>
              </w:rPr>
            </w:pPr>
            <w:r>
              <w:rPr>
                <w:iCs/>
                <w:color w:val="auto"/>
                <w:szCs w:val="21"/>
              </w:rPr>
              <w:t>《大气污染物综合排放标准详解》</w:t>
            </w:r>
          </w:p>
        </w:tc>
      </w:tr>
    </w:tbl>
    <w:p>
      <w:pPr>
        <w:autoSpaceDE w:val="0"/>
        <w:autoSpaceDN w:val="0"/>
        <w:adjustRightInd w:val="0"/>
        <w:spacing w:line="520" w:lineRule="exact"/>
        <w:ind w:firstLine="480" w:firstLineChars="200"/>
        <w:rPr>
          <w:color w:val="auto"/>
          <w:kern w:val="0"/>
          <w:sz w:val="24"/>
          <w:lang w:val="zh-CN"/>
        </w:rPr>
      </w:pPr>
      <w:r>
        <w:rPr>
          <w:color w:val="auto"/>
          <w:kern w:val="0"/>
          <w:sz w:val="24"/>
          <w:lang w:val="zh-CN"/>
        </w:rPr>
        <w:t>（</w:t>
      </w:r>
      <w:r>
        <w:rPr>
          <w:color w:val="auto"/>
          <w:kern w:val="0"/>
          <w:sz w:val="24"/>
        </w:rPr>
        <w:t>2</w:t>
      </w:r>
      <w:r>
        <w:rPr>
          <w:color w:val="auto"/>
          <w:kern w:val="0"/>
          <w:sz w:val="24"/>
          <w:lang w:val="zh-CN"/>
        </w:rPr>
        <w:t>）地表水环境质量标准</w:t>
      </w:r>
    </w:p>
    <w:p>
      <w:pPr>
        <w:snapToGrid w:val="0"/>
        <w:spacing w:line="520" w:lineRule="exact"/>
        <w:ind w:firstLine="480" w:firstLineChars="200"/>
        <w:rPr>
          <w:color w:val="auto"/>
          <w:sz w:val="24"/>
        </w:rPr>
      </w:pPr>
      <w:r>
        <w:rPr>
          <w:color w:val="auto"/>
          <w:sz w:val="24"/>
        </w:rPr>
        <w:t>项目所在区域水体为</w:t>
      </w:r>
      <w:r>
        <w:rPr>
          <w:rFonts w:hint="eastAsia"/>
          <w:color w:val="auto"/>
          <w:sz w:val="24"/>
          <w:lang w:eastAsia="zh-CN"/>
        </w:rPr>
        <w:t>东</w:t>
      </w:r>
      <w:r>
        <w:rPr>
          <w:color w:val="auto"/>
          <w:sz w:val="24"/>
        </w:rPr>
        <w:t>津河，根据地面水功能区划的要求，水质执行《地表水环境质量标准》（GB3838-2002）Ⅲ类水质标准，标准限值详见下表。</w:t>
      </w:r>
    </w:p>
    <w:p>
      <w:pPr>
        <w:spacing w:line="520" w:lineRule="exact"/>
        <w:jc w:val="center"/>
        <w:rPr>
          <w:b/>
          <w:color w:val="auto"/>
          <w:sz w:val="24"/>
        </w:rPr>
      </w:pPr>
      <w:r>
        <w:rPr>
          <w:b/>
          <w:color w:val="auto"/>
          <w:sz w:val="24"/>
        </w:rPr>
        <w:t>表2-6 地表水环境质量标准  单位：mg/L（除pH外）</w:t>
      </w:r>
    </w:p>
    <w:tbl>
      <w:tblPr>
        <w:tblStyle w:val="5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15"/>
        <w:gridCol w:w="1047"/>
        <w:gridCol w:w="1114"/>
        <w:gridCol w:w="1194"/>
        <w:gridCol w:w="1193"/>
        <w:gridCol w:w="1054"/>
        <w:gridCol w:w="13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5" w:hRule="exact"/>
          <w:jc w:val="center"/>
        </w:trPr>
        <w:tc>
          <w:tcPr>
            <w:tcW w:w="2015" w:type="dxa"/>
            <w:vAlign w:val="center"/>
          </w:tcPr>
          <w:p>
            <w:pPr>
              <w:jc w:val="center"/>
              <w:rPr>
                <w:color w:val="auto"/>
                <w:szCs w:val="21"/>
              </w:rPr>
            </w:pPr>
            <w:r>
              <w:rPr>
                <w:color w:val="auto"/>
                <w:szCs w:val="21"/>
              </w:rPr>
              <w:t>项目</w:t>
            </w:r>
          </w:p>
        </w:tc>
        <w:tc>
          <w:tcPr>
            <w:tcW w:w="1047" w:type="dxa"/>
            <w:vAlign w:val="center"/>
          </w:tcPr>
          <w:p>
            <w:pPr>
              <w:jc w:val="center"/>
              <w:rPr>
                <w:color w:val="auto"/>
                <w:szCs w:val="21"/>
              </w:rPr>
            </w:pPr>
            <w:r>
              <w:rPr>
                <w:color w:val="auto"/>
                <w:szCs w:val="21"/>
              </w:rPr>
              <w:t>pH</w:t>
            </w:r>
          </w:p>
        </w:tc>
        <w:tc>
          <w:tcPr>
            <w:tcW w:w="1114" w:type="dxa"/>
            <w:vAlign w:val="center"/>
          </w:tcPr>
          <w:p>
            <w:pPr>
              <w:jc w:val="center"/>
              <w:rPr>
                <w:color w:val="auto"/>
                <w:szCs w:val="21"/>
              </w:rPr>
            </w:pPr>
            <w:r>
              <w:rPr>
                <w:color w:val="auto"/>
                <w:szCs w:val="21"/>
              </w:rPr>
              <w:t>CODcr</w:t>
            </w:r>
          </w:p>
        </w:tc>
        <w:tc>
          <w:tcPr>
            <w:tcW w:w="1194" w:type="dxa"/>
            <w:vAlign w:val="center"/>
          </w:tcPr>
          <w:p>
            <w:pPr>
              <w:jc w:val="center"/>
              <w:rPr>
                <w:color w:val="auto"/>
                <w:szCs w:val="21"/>
              </w:rPr>
            </w:pPr>
            <w:r>
              <w:rPr>
                <w:color w:val="auto"/>
                <w:szCs w:val="21"/>
              </w:rPr>
              <w:t>BOD</w:t>
            </w:r>
            <w:r>
              <w:rPr>
                <w:color w:val="auto"/>
                <w:szCs w:val="21"/>
                <w:vertAlign w:val="subscript"/>
              </w:rPr>
              <w:t>5</w:t>
            </w:r>
          </w:p>
        </w:tc>
        <w:tc>
          <w:tcPr>
            <w:tcW w:w="1193" w:type="dxa"/>
            <w:vAlign w:val="center"/>
          </w:tcPr>
          <w:p>
            <w:pPr>
              <w:jc w:val="center"/>
              <w:rPr>
                <w:color w:val="auto"/>
                <w:szCs w:val="21"/>
              </w:rPr>
            </w:pPr>
            <w:r>
              <w:rPr>
                <w:color w:val="auto"/>
                <w:szCs w:val="21"/>
              </w:rPr>
              <w:t>氨氮</w:t>
            </w:r>
          </w:p>
        </w:tc>
        <w:tc>
          <w:tcPr>
            <w:tcW w:w="1054" w:type="dxa"/>
            <w:vAlign w:val="center"/>
          </w:tcPr>
          <w:p>
            <w:pPr>
              <w:jc w:val="center"/>
              <w:rPr>
                <w:color w:val="auto"/>
                <w:szCs w:val="21"/>
              </w:rPr>
            </w:pPr>
            <w:r>
              <w:rPr>
                <w:color w:val="auto"/>
                <w:szCs w:val="21"/>
              </w:rPr>
              <w:t>TP</w:t>
            </w:r>
          </w:p>
        </w:tc>
        <w:tc>
          <w:tcPr>
            <w:tcW w:w="1333" w:type="dxa"/>
            <w:vAlign w:val="center"/>
          </w:tcPr>
          <w:p>
            <w:pPr>
              <w:jc w:val="center"/>
              <w:rPr>
                <w:color w:val="auto"/>
                <w:szCs w:val="21"/>
              </w:rPr>
            </w:pPr>
            <w:r>
              <w:rPr>
                <w:color w:val="auto"/>
                <w:szCs w:val="21"/>
              </w:rPr>
              <w:t>石油类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5" w:hRule="exact"/>
          <w:jc w:val="center"/>
        </w:trPr>
        <w:tc>
          <w:tcPr>
            <w:tcW w:w="2015" w:type="dxa"/>
            <w:vAlign w:val="center"/>
          </w:tcPr>
          <w:p>
            <w:pPr>
              <w:jc w:val="center"/>
              <w:rPr>
                <w:color w:val="auto"/>
                <w:szCs w:val="21"/>
              </w:rPr>
            </w:pPr>
            <w:r>
              <w:rPr>
                <w:color w:val="auto"/>
              </w:rPr>
              <w:t>GB3838-2002 Ⅲ类标准</w:t>
            </w:r>
          </w:p>
        </w:tc>
        <w:tc>
          <w:tcPr>
            <w:tcW w:w="1047" w:type="dxa"/>
            <w:vAlign w:val="center"/>
          </w:tcPr>
          <w:p>
            <w:pPr>
              <w:jc w:val="center"/>
              <w:rPr>
                <w:color w:val="auto"/>
                <w:szCs w:val="21"/>
              </w:rPr>
            </w:pPr>
            <w:r>
              <w:rPr>
                <w:color w:val="auto"/>
                <w:szCs w:val="21"/>
              </w:rPr>
              <w:t>6~9</w:t>
            </w:r>
          </w:p>
        </w:tc>
        <w:tc>
          <w:tcPr>
            <w:tcW w:w="1114" w:type="dxa"/>
            <w:vAlign w:val="center"/>
          </w:tcPr>
          <w:p>
            <w:pPr>
              <w:jc w:val="center"/>
              <w:rPr>
                <w:color w:val="auto"/>
                <w:szCs w:val="21"/>
              </w:rPr>
            </w:pPr>
            <w:r>
              <w:rPr>
                <w:color w:val="auto"/>
                <w:szCs w:val="21"/>
              </w:rPr>
              <w:t>≤20</w:t>
            </w:r>
          </w:p>
        </w:tc>
        <w:tc>
          <w:tcPr>
            <w:tcW w:w="1194" w:type="dxa"/>
            <w:vAlign w:val="center"/>
          </w:tcPr>
          <w:p>
            <w:pPr>
              <w:jc w:val="center"/>
              <w:rPr>
                <w:color w:val="auto"/>
                <w:szCs w:val="21"/>
              </w:rPr>
            </w:pPr>
            <w:r>
              <w:rPr>
                <w:color w:val="auto"/>
                <w:szCs w:val="21"/>
              </w:rPr>
              <w:t>≤4.0</w:t>
            </w:r>
          </w:p>
        </w:tc>
        <w:tc>
          <w:tcPr>
            <w:tcW w:w="1193" w:type="dxa"/>
            <w:vAlign w:val="center"/>
          </w:tcPr>
          <w:p>
            <w:pPr>
              <w:jc w:val="center"/>
              <w:rPr>
                <w:color w:val="auto"/>
                <w:szCs w:val="21"/>
              </w:rPr>
            </w:pPr>
            <w:r>
              <w:rPr>
                <w:color w:val="auto"/>
                <w:szCs w:val="21"/>
              </w:rPr>
              <w:t>≤1.0</w:t>
            </w:r>
          </w:p>
        </w:tc>
        <w:tc>
          <w:tcPr>
            <w:tcW w:w="1054" w:type="dxa"/>
            <w:vAlign w:val="center"/>
          </w:tcPr>
          <w:p>
            <w:pPr>
              <w:jc w:val="center"/>
              <w:rPr>
                <w:color w:val="auto"/>
                <w:szCs w:val="21"/>
              </w:rPr>
            </w:pPr>
            <w:r>
              <w:rPr>
                <w:color w:val="auto"/>
                <w:szCs w:val="21"/>
              </w:rPr>
              <w:t>≤0.2</w:t>
            </w:r>
          </w:p>
        </w:tc>
        <w:tc>
          <w:tcPr>
            <w:tcW w:w="1333" w:type="dxa"/>
            <w:vAlign w:val="center"/>
          </w:tcPr>
          <w:p>
            <w:pPr>
              <w:jc w:val="center"/>
              <w:rPr>
                <w:color w:val="auto"/>
                <w:szCs w:val="21"/>
              </w:rPr>
            </w:pPr>
            <w:r>
              <w:rPr>
                <w:color w:val="auto"/>
                <w:szCs w:val="21"/>
              </w:rPr>
              <w:t>≤0.05</w:t>
            </w:r>
          </w:p>
        </w:tc>
      </w:tr>
    </w:tbl>
    <w:p>
      <w:pPr>
        <w:autoSpaceDE w:val="0"/>
        <w:autoSpaceDN w:val="0"/>
        <w:adjustRightInd w:val="0"/>
        <w:spacing w:line="520" w:lineRule="exact"/>
        <w:ind w:firstLine="567"/>
        <w:rPr>
          <w:color w:val="auto"/>
          <w:kern w:val="0"/>
          <w:sz w:val="24"/>
        </w:rPr>
      </w:pPr>
      <w:r>
        <w:rPr>
          <w:color w:val="auto"/>
          <w:kern w:val="0"/>
          <w:sz w:val="24"/>
        </w:rPr>
        <w:t>（3）声环境质量标准</w:t>
      </w:r>
    </w:p>
    <w:p>
      <w:pPr>
        <w:autoSpaceDE w:val="0"/>
        <w:autoSpaceDN w:val="0"/>
        <w:adjustRightInd w:val="0"/>
        <w:spacing w:line="520" w:lineRule="exact"/>
        <w:ind w:firstLine="480" w:firstLineChars="200"/>
        <w:rPr>
          <w:color w:val="auto"/>
          <w:sz w:val="24"/>
        </w:rPr>
      </w:pPr>
      <w:r>
        <w:rPr>
          <w:color w:val="auto"/>
          <w:kern w:val="0"/>
          <w:sz w:val="24"/>
        </w:rPr>
        <w:t>项目区域声环境执行《声环境质量标准》（GB3096-2008）中3类标准，</w:t>
      </w:r>
      <w:r>
        <w:rPr>
          <w:color w:val="auto"/>
          <w:sz w:val="24"/>
        </w:rPr>
        <w:t>具体值详见下表。</w:t>
      </w:r>
    </w:p>
    <w:p>
      <w:pPr>
        <w:spacing w:line="520" w:lineRule="exact"/>
        <w:jc w:val="center"/>
        <w:rPr>
          <w:b/>
          <w:color w:val="auto"/>
          <w:sz w:val="24"/>
        </w:rPr>
      </w:pPr>
      <w:r>
        <w:rPr>
          <w:b/>
          <w:color w:val="auto"/>
          <w:sz w:val="24"/>
        </w:rPr>
        <w:t>表2-7  声环境质量标准  单位：dB(A)</w:t>
      </w:r>
    </w:p>
    <w:tbl>
      <w:tblPr>
        <w:tblStyle w:val="5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721"/>
        <w:gridCol w:w="2881"/>
        <w:gridCol w:w="234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36" w:hRule="atLeast"/>
          <w:jc w:val="center"/>
        </w:trPr>
        <w:tc>
          <w:tcPr>
            <w:tcW w:w="3721" w:type="dxa"/>
            <w:vAlign w:val="center"/>
          </w:tcPr>
          <w:p>
            <w:pPr>
              <w:jc w:val="center"/>
              <w:rPr>
                <w:color w:val="auto"/>
                <w:szCs w:val="21"/>
              </w:rPr>
            </w:pPr>
            <w:r>
              <w:rPr>
                <w:color w:val="auto"/>
                <w:szCs w:val="21"/>
              </w:rPr>
              <w:t>标准类别</w:t>
            </w:r>
          </w:p>
        </w:tc>
        <w:tc>
          <w:tcPr>
            <w:tcW w:w="2881" w:type="dxa"/>
            <w:vAlign w:val="center"/>
          </w:tcPr>
          <w:p>
            <w:pPr>
              <w:jc w:val="center"/>
              <w:rPr>
                <w:color w:val="auto"/>
                <w:szCs w:val="21"/>
              </w:rPr>
            </w:pPr>
            <w:r>
              <w:rPr>
                <w:color w:val="auto"/>
                <w:szCs w:val="21"/>
              </w:rPr>
              <w:t>昼间</w:t>
            </w:r>
          </w:p>
        </w:tc>
        <w:tc>
          <w:tcPr>
            <w:tcW w:w="2348" w:type="dxa"/>
            <w:vAlign w:val="center"/>
          </w:tcPr>
          <w:p>
            <w:pPr>
              <w:jc w:val="center"/>
              <w:rPr>
                <w:color w:val="auto"/>
                <w:szCs w:val="21"/>
              </w:rPr>
            </w:pPr>
            <w:r>
              <w:rPr>
                <w:color w:val="auto"/>
                <w:szCs w:val="21"/>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36" w:hRule="atLeast"/>
          <w:jc w:val="center"/>
        </w:trPr>
        <w:tc>
          <w:tcPr>
            <w:tcW w:w="3721" w:type="dxa"/>
            <w:vAlign w:val="center"/>
          </w:tcPr>
          <w:p>
            <w:pPr>
              <w:jc w:val="center"/>
              <w:rPr>
                <w:color w:val="auto"/>
                <w:szCs w:val="21"/>
              </w:rPr>
            </w:pPr>
            <w:r>
              <w:rPr>
                <w:color w:val="auto"/>
                <w:szCs w:val="21"/>
              </w:rPr>
              <w:t>GB3096-2008中3类标准</w:t>
            </w:r>
          </w:p>
        </w:tc>
        <w:tc>
          <w:tcPr>
            <w:tcW w:w="2881" w:type="dxa"/>
            <w:vAlign w:val="center"/>
          </w:tcPr>
          <w:p>
            <w:pPr>
              <w:jc w:val="center"/>
              <w:rPr>
                <w:color w:val="auto"/>
                <w:szCs w:val="21"/>
              </w:rPr>
            </w:pPr>
            <w:r>
              <w:rPr>
                <w:color w:val="auto"/>
                <w:szCs w:val="21"/>
              </w:rPr>
              <w:t>65</w:t>
            </w:r>
          </w:p>
        </w:tc>
        <w:tc>
          <w:tcPr>
            <w:tcW w:w="2348" w:type="dxa"/>
            <w:vAlign w:val="center"/>
          </w:tcPr>
          <w:p>
            <w:pPr>
              <w:jc w:val="center"/>
              <w:rPr>
                <w:color w:val="auto"/>
                <w:szCs w:val="21"/>
              </w:rPr>
            </w:pPr>
            <w:r>
              <w:rPr>
                <w:color w:val="auto"/>
                <w:szCs w:val="21"/>
              </w:rPr>
              <w:t>55</w:t>
            </w:r>
          </w:p>
        </w:tc>
      </w:tr>
    </w:tbl>
    <w:p>
      <w:pPr>
        <w:autoSpaceDE w:val="0"/>
        <w:autoSpaceDN w:val="0"/>
        <w:adjustRightInd w:val="0"/>
        <w:spacing w:line="520" w:lineRule="exact"/>
        <w:ind w:firstLine="480" w:firstLineChars="200"/>
        <w:rPr>
          <w:color w:val="auto"/>
          <w:sz w:val="24"/>
        </w:rPr>
      </w:pPr>
      <w:r>
        <w:rPr>
          <w:color w:val="auto"/>
          <w:sz w:val="24"/>
        </w:rPr>
        <w:t>（4）地下水质量标准</w:t>
      </w:r>
    </w:p>
    <w:p>
      <w:pPr>
        <w:autoSpaceDE w:val="0"/>
        <w:autoSpaceDN w:val="0"/>
        <w:adjustRightInd w:val="0"/>
        <w:spacing w:line="520" w:lineRule="exact"/>
        <w:ind w:firstLine="480" w:firstLineChars="200"/>
        <w:rPr>
          <w:b/>
          <w:color w:val="auto"/>
          <w:sz w:val="24"/>
        </w:rPr>
      </w:pPr>
      <w:r>
        <w:rPr>
          <w:color w:val="auto"/>
          <w:sz w:val="24"/>
        </w:rPr>
        <w:t>本项目区域地下水执行《地下水质量标准》（GB/T14848-2017）中Ⅲ类标准，具体标准值详见下表。</w:t>
      </w:r>
    </w:p>
    <w:p>
      <w:pPr>
        <w:spacing w:line="520" w:lineRule="exact"/>
        <w:jc w:val="center"/>
        <w:rPr>
          <w:b/>
          <w:color w:val="auto"/>
          <w:sz w:val="24"/>
        </w:rPr>
      </w:pPr>
      <w:r>
        <w:rPr>
          <w:b/>
          <w:color w:val="auto"/>
          <w:sz w:val="24"/>
        </w:rPr>
        <w:t>表2-8  地下水质量标准(mg/L)</w:t>
      </w:r>
    </w:p>
    <w:tbl>
      <w:tblPr>
        <w:tblStyle w:val="5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95"/>
        <w:gridCol w:w="1212"/>
        <w:gridCol w:w="1244"/>
        <w:gridCol w:w="935"/>
        <w:gridCol w:w="1342"/>
        <w:gridCol w:w="1090"/>
        <w:gridCol w:w="1041"/>
        <w:gridCol w:w="99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095" w:type="dxa"/>
            <w:vAlign w:val="center"/>
          </w:tcPr>
          <w:p>
            <w:pPr>
              <w:adjustRightInd w:val="0"/>
              <w:snapToGrid w:val="0"/>
              <w:jc w:val="center"/>
              <w:rPr>
                <w:snapToGrid w:val="0"/>
                <w:color w:val="auto"/>
                <w:szCs w:val="21"/>
              </w:rPr>
            </w:pPr>
            <w:r>
              <w:rPr>
                <w:snapToGrid w:val="0"/>
                <w:color w:val="auto"/>
                <w:szCs w:val="21"/>
              </w:rPr>
              <w:t>项目</w:t>
            </w:r>
          </w:p>
        </w:tc>
        <w:tc>
          <w:tcPr>
            <w:tcW w:w="1212" w:type="dxa"/>
            <w:vAlign w:val="center"/>
          </w:tcPr>
          <w:p>
            <w:pPr>
              <w:adjustRightInd w:val="0"/>
              <w:snapToGrid w:val="0"/>
              <w:jc w:val="center"/>
              <w:rPr>
                <w:snapToGrid w:val="0"/>
                <w:color w:val="auto"/>
                <w:szCs w:val="21"/>
              </w:rPr>
            </w:pPr>
            <w:r>
              <w:rPr>
                <w:snapToGrid w:val="0"/>
                <w:color w:val="auto"/>
                <w:szCs w:val="21"/>
              </w:rPr>
              <w:t>pH</w:t>
            </w:r>
          </w:p>
        </w:tc>
        <w:tc>
          <w:tcPr>
            <w:tcW w:w="1244" w:type="dxa"/>
            <w:vAlign w:val="center"/>
          </w:tcPr>
          <w:p>
            <w:pPr>
              <w:adjustRightInd w:val="0"/>
              <w:snapToGrid w:val="0"/>
              <w:jc w:val="center"/>
              <w:rPr>
                <w:snapToGrid w:val="0"/>
                <w:color w:val="auto"/>
                <w:szCs w:val="21"/>
              </w:rPr>
            </w:pPr>
            <w:r>
              <w:rPr>
                <w:snapToGrid w:val="0"/>
                <w:color w:val="auto"/>
                <w:szCs w:val="21"/>
              </w:rPr>
              <w:t>氨氮</w:t>
            </w:r>
          </w:p>
        </w:tc>
        <w:tc>
          <w:tcPr>
            <w:tcW w:w="935" w:type="dxa"/>
            <w:vAlign w:val="center"/>
          </w:tcPr>
          <w:p>
            <w:pPr>
              <w:adjustRightInd w:val="0"/>
              <w:snapToGrid w:val="0"/>
              <w:jc w:val="center"/>
              <w:rPr>
                <w:snapToGrid w:val="0"/>
                <w:color w:val="auto"/>
                <w:szCs w:val="21"/>
              </w:rPr>
            </w:pPr>
            <w:r>
              <w:rPr>
                <w:snapToGrid w:val="0"/>
                <w:color w:val="auto"/>
                <w:szCs w:val="21"/>
              </w:rPr>
              <w:t>氯化物</w:t>
            </w:r>
          </w:p>
        </w:tc>
        <w:tc>
          <w:tcPr>
            <w:tcW w:w="1342" w:type="dxa"/>
            <w:vAlign w:val="center"/>
          </w:tcPr>
          <w:p>
            <w:pPr>
              <w:adjustRightInd w:val="0"/>
              <w:snapToGrid w:val="0"/>
              <w:jc w:val="center"/>
              <w:rPr>
                <w:snapToGrid w:val="0"/>
                <w:color w:val="auto"/>
                <w:szCs w:val="21"/>
              </w:rPr>
            </w:pPr>
            <w:r>
              <w:rPr>
                <w:snapToGrid w:val="0"/>
                <w:color w:val="auto"/>
                <w:szCs w:val="21"/>
              </w:rPr>
              <w:t>氟化物</w:t>
            </w:r>
          </w:p>
        </w:tc>
        <w:tc>
          <w:tcPr>
            <w:tcW w:w="1090" w:type="dxa"/>
            <w:vAlign w:val="center"/>
          </w:tcPr>
          <w:p>
            <w:pPr>
              <w:adjustRightInd w:val="0"/>
              <w:snapToGrid w:val="0"/>
              <w:jc w:val="center"/>
              <w:rPr>
                <w:snapToGrid w:val="0"/>
                <w:color w:val="auto"/>
                <w:szCs w:val="21"/>
              </w:rPr>
            </w:pPr>
            <w:r>
              <w:rPr>
                <w:snapToGrid w:val="0"/>
                <w:color w:val="auto"/>
                <w:szCs w:val="21"/>
              </w:rPr>
              <w:t>硫酸盐</w:t>
            </w:r>
          </w:p>
        </w:tc>
        <w:tc>
          <w:tcPr>
            <w:tcW w:w="1041" w:type="dxa"/>
            <w:vAlign w:val="center"/>
          </w:tcPr>
          <w:p>
            <w:pPr>
              <w:adjustRightInd w:val="0"/>
              <w:snapToGrid w:val="0"/>
              <w:jc w:val="center"/>
              <w:rPr>
                <w:snapToGrid w:val="0"/>
                <w:color w:val="auto"/>
                <w:szCs w:val="21"/>
              </w:rPr>
            </w:pPr>
            <w:r>
              <w:rPr>
                <w:snapToGrid w:val="0"/>
                <w:color w:val="auto"/>
                <w:szCs w:val="21"/>
              </w:rPr>
              <w:t>硝酸盐（以N计）</w:t>
            </w:r>
          </w:p>
        </w:tc>
        <w:tc>
          <w:tcPr>
            <w:tcW w:w="991" w:type="dxa"/>
            <w:vAlign w:val="center"/>
          </w:tcPr>
          <w:p>
            <w:pPr>
              <w:adjustRightInd w:val="0"/>
              <w:snapToGrid w:val="0"/>
              <w:jc w:val="center"/>
              <w:rPr>
                <w:snapToGrid w:val="0"/>
                <w:color w:val="auto"/>
                <w:szCs w:val="21"/>
              </w:rPr>
            </w:pPr>
            <w:r>
              <w:rPr>
                <w:color w:val="auto"/>
              </w:rPr>
              <w:t>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095" w:type="dxa"/>
            <w:vAlign w:val="center"/>
          </w:tcPr>
          <w:p>
            <w:pPr>
              <w:adjustRightInd w:val="0"/>
              <w:snapToGrid w:val="0"/>
              <w:jc w:val="center"/>
              <w:rPr>
                <w:snapToGrid w:val="0"/>
                <w:color w:val="auto"/>
                <w:szCs w:val="21"/>
              </w:rPr>
            </w:pPr>
            <w:r>
              <w:rPr>
                <w:snapToGrid w:val="0"/>
                <w:color w:val="auto"/>
                <w:szCs w:val="21"/>
              </w:rPr>
              <w:t>标准值</w:t>
            </w:r>
          </w:p>
        </w:tc>
        <w:tc>
          <w:tcPr>
            <w:tcW w:w="1212" w:type="dxa"/>
            <w:vAlign w:val="center"/>
          </w:tcPr>
          <w:p>
            <w:pPr>
              <w:adjustRightInd w:val="0"/>
              <w:snapToGrid w:val="0"/>
              <w:jc w:val="center"/>
              <w:rPr>
                <w:snapToGrid w:val="0"/>
                <w:color w:val="auto"/>
                <w:szCs w:val="21"/>
              </w:rPr>
            </w:pPr>
            <w:r>
              <w:rPr>
                <w:snapToGrid w:val="0"/>
                <w:color w:val="auto"/>
                <w:szCs w:val="21"/>
              </w:rPr>
              <w:t>6.5~8.5</w:t>
            </w:r>
          </w:p>
        </w:tc>
        <w:tc>
          <w:tcPr>
            <w:tcW w:w="1244" w:type="dxa"/>
            <w:vAlign w:val="center"/>
          </w:tcPr>
          <w:p>
            <w:pPr>
              <w:adjustRightInd w:val="0"/>
              <w:snapToGrid w:val="0"/>
              <w:jc w:val="center"/>
              <w:rPr>
                <w:snapToGrid w:val="0"/>
                <w:color w:val="auto"/>
                <w:szCs w:val="21"/>
              </w:rPr>
            </w:pPr>
            <w:r>
              <w:rPr>
                <w:color w:val="auto"/>
                <w:szCs w:val="21"/>
              </w:rPr>
              <w:t>≤0.50</w:t>
            </w:r>
          </w:p>
        </w:tc>
        <w:tc>
          <w:tcPr>
            <w:tcW w:w="935" w:type="dxa"/>
            <w:vAlign w:val="center"/>
          </w:tcPr>
          <w:p>
            <w:pPr>
              <w:adjustRightInd w:val="0"/>
              <w:snapToGrid w:val="0"/>
              <w:jc w:val="center"/>
              <w:rPr>
                <w:snapToGrid w:val="0"/>
                <w:color w:val="auto"/>
                <w:szCs w:val="21"/>
              </w:rPr>
            </w:pPr>
            <w:r>
              <w:rPr>
                <w:color w:val="auto"/>
                <w:szCs w:val="21"/>
              </w:rPr>
              <w:t>≤250</w:t>
            </w:r>
          </w:p>
        </w:tc>
        <w:tc>
          <w:tcPr>
            <w:tcW w:w="1342" w:type="dxa"/>
            <w:vAlign w:val="center"/>
          </w:tcPr>
          <w:p>
            <w:pPr>
              <w:adjustRightInd w:val="0"/>
              <w:snapToGrid w:val="0"/>
              <w:jc w:val="center"/>
              <w:rPr>
                <w:snapToGrid w:val="0"/>
                <w:color w:val="auto"/>
                <w:szCs w:val="21"/>
              </w:rPr>
            </w:pPr>
            <w:r>
              <w:rPr>
                <w:color w:val="auto"/>
                <w:szCs w:val="21"/>
              </w:rPr>
              <w:t>≤1.0</w:t>
            </w:r>
          </w:p>
        </w:tc>
        <w:tc>
          <w:tcPr>
            <w:tcW w:w="1090" w:type="dxa"/>
            <w:vAlign w:val="center"/>
          </w:tcPr>
          <w:p>
            <w:pPr>
              <w:adjustRightInd w:val="0"/>
              <w:snapToGrid w:val="0"/>
              <w:jc w:val="center"/>
              <w:rPr>
                <w:snapToGrid w:val="0"/>
                <w:color w:val="auto"/>
                <w:szCs w:val="21"/>
              </w:rPr>
            </w:pPr>
            <w:r>
              <w:rPr>
                <w:color w:val="auto"/>
                <w:szCs w:val="21"/>
              </w:rPr>
              <w:t>≤250</w:t>
            </w:r>
          </w:p>
        </w:tc>
        <w:tc>
          <w:tcPr>
            <w:tcW w:w="1041" w:type="dxa"/>
            <w:vAlign w:val="center"/>
          </w:tcPr>
          <w:p>
            <w:pPr>
              <w:adjustRightInd w:val="0"/>
              <w:snapToGrid w:val="0"/>
              <w:jc w:val="center"/>
              <w:rPr>
                <w:snapToGrid w:val="0"/>
                <w:color w:val="auto"/>
                <w:szCs w:val="21"/>
              </w:rPr>
            </w:pPr>
            <w:r>
              <w:rPr>
                <w:color w:val="auto"/>
                <w:szCs w:val="21"/>
              </w:rPr>
              <w:t>≤20</w:t>
            </w:r>
          </w:p>
        </w:tc>
        <w:tc>
          <w:tcPr>
            <w:tcW w:w="991" w:type="dxa"/>
            <w:vAlign w:val="center"/>
          </w:tcPr>
          <w:p>
            <w:pPr>
              <w:adjustRightInd w:val="0"/>
              <w:snapToGrid w:val="0"/>
              <w:jc w:val="center"/>
              <w:rPr>
                <w:snapToGrid w:val="0"/>
                <w:color w:val="auto"/>
                <w:szCs w:val="21"/>
              </w:rPr>
            </w:pPr>
            <w:r>
              <w:rPr>
                <w:color w:val="auto"/>
                <w:szCs w:val="21"/>
              </w:rPr>
              <w:t>≤0.001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095" w:type="dxa"/>
            <w:vAlign w:val="center"/>
          </w:tcPr>
          <w:p>
            <w:pPr>
              <w:adjustRightInd w:val="0"/>
              <w:snapToGrid w:val="0"/>
              <w:jc w:val="center"/>
              <w:rPr>
                <w:snapToGrid w:val="0"/>
                <w:color w:val="auto"/>
                <w:szCs w:val="21"/>
              </w:rPr>
            </w:pPr>
            <w:r>
              <w:rPr>
                <w:snapToGrid w:val="0"/>
                <w:color w:val="auto"/>
                <w:szCs w:val="21"/>
              </w:rPr>
              <w:t>项目</w:t>
            </w:r>
          </w:p>
        </w:tc>
        <w:tc>
          <w:tcPr>
            <w:tcW w:w="1212" w:type="dxa"/>
            <w:vAlign w:val="center"/>
          </w:tcPr>
          <w:p>
            <w:pPr>
              <w:adjustRightInd w:val="0"/>
              <w:snapToGrid w:val="0"/>
              <w:jc w:val="center"/>
              <w:rPr>
                <w:snapToGrid w:val="0"/>
                <w:color w:val="auto"/>
                <w:szCs w:val="21"/>
              </w:rPr>
            </w:pPr>
            <w:r>
              <w:rPr>
                <w:snapToGrid w:val="0"/>
                <w:color w:val="auto"/>
                <w:szCs w:val="21"/>
              </w:rPr>
              <w:t>亚硝酸盐</w:t>
            </w:r>
          </w:p>
        </w:tc>
        <w:tc>
          <w:tcPr>
            <w:tcW w:w="1244" w:type="dxa"/>
            <w:vAlign w:val="center"/>
          </w:tcPr>
          <w:p>
            <w:pPr>
              <w:adjustRightInd w:val="0"/>
              <w:snapToGrid w:val="0"/>
              <w:jc w:val="center"/>
              <w:rPr>
                <w:snapToGrid w:val="0"/>
                <w:color w:val="auto"/>
                <w:szCs w:val="21"/>
              </w:rPr>
            </w:pPr>
            <w:r>
              <w:rPr>
                <w:color w:val="auto"/>
              </w:rPr>
              <w:t>溶解性总固 体</w:t>
            </w:r>
          </w:p>
        </w:tc>
        <w:tc>
          <w:tcPr>
            <w:tcW w:w="935" w:type="dxa"/>
            <w:vAlign w:val="center"/>
          </w:tcPr>
          <w:p>
            <w:pPr>
              <w:adjustRightInd w:val="0"/>
              <w:snapToGrid w:val="0"/>
              <w:jc w:val="center"/>
              <w:rPr>
                <w:snapToGrid w:val="0"/>
                <w:color w:val="auto"/>
                <w:szCs w:val="21"/>
              </w:rPr>
            </w:pPr>
            <w:r>
              <w:rPr>
                <w:color w:val="auto"/>
              </w:rPr>
              <w:t>总硬度</w:t>
            </w:r>
          </w:p>
        </w:tc>
        <w:tc>
          <w:tcPr>
            <w:tcW w:w="1342" w:type="dxa"/>
            <w:vAlign w:val="center"/>
          </w:tcPr>
          <w:p>
            <w:pPr>
              <w:adjustRightInd w:val="0"/>
              <w:snapToGrid w:val="0"/>
              <w:jc w:val="center"/>
              <w:rPr>
                <w:snapToGrid w:val="0"/>
                <w:color w:val="auto"/>
                <w:szCs w:val="21"/>
              </w:rPr>
            </w:pPr>
            <w:r>
              <w:rPr>
                <w:snapToGrid w:val="0"/>
                <w:color w:val="auto"/>
                <w:szCs w:val="21"/>
              </w:rPr>
              <w:t>挥发酚</w:t>
            </w:r>
          </w:p>
        </w:tc>
        <w:tc>
          <w:tcPr>
            <w:tcW w:w="1090" w:type="dxa"/>
            <w:vAlign w:val="center"/>
          </w:tcPr>
          <w:p>
            <w:pPr>
              <w:adjustRightInd w:val="0"/>
              <w:snapToGrid w:val="0"/>
              <w:jc w:val="center"/>
              <w:rPr>
                <w:snapToGrid w:val="0"/>
                <w:color w:val="auto"/>
                <w:szCs w:val="21"/>
              </w:rPr>
            </w:pPr>
            <w:r>
              <w:rPr>
                <w:snapToGrid w:val="0"/>
                <w:color w:val="auto"/>
                <w:szCs w:val="21"/>
              </w:rPr>
              <w:t>氰化物</w:t>
            </w:r>
          </w:p>
        </w:tc>
        <w:tc>
          <w:tcPr>
            <w:tcW w:w="1041" w:type="dxa"/>
            <w:vAlign w:val="center"/>
          </w:tcPr>
          <w:p>
            <w:pPr>
              <w:adjustRightInd w:val="0"/>
              <w:snapToGrid w:val="0"/>
              <w:jc w:val="center"/>
              <w:rPr>
                <w:snapToGrid w:val="0"/>
                <w:color w:val="auto"/>
                <w:szCs w:val="21"/>
              </w:rPr>
            </w:pPr>
            <w:r>
              <w:rPr>
                <w:snapToGrid w:val="0"/>
                <w:color w:val="auto"/>
                <w:szCs w:val="21"/>
              </w:rPr>
              <w:t>铅</w:t>
            </w:r>
          </w:p>
        </w:tc>
        <w:tc>
          <w:tcPr>
            <w:tcW w:w="991" w:type="dxa"/>
            <w:vAlign w:val="center"/>
          </w:tcPr>
          <w:p>
            <w:pPr>
              <w:adjustRightInd w:val="0"/>
              <w:snapToGrid w:val="0"/>
              <w:jc w:val="center"/>
              <w:rPr>
                <w:snapToGrid w:val="0"/>
                <w:color w:val="auto"/>
                <w:szCs w:val="21"/>
              </w:rPr>
            </w:pPr>
            <w:r>
              <w:rPr>
                <w:color w:val="auto"/>
              </w:rPr>
              <w:t>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095" w:type="dxa"/>
            <w:vAlign w:val="center"/>
          </w:tcPr>
          <w:p>
            <w:pPr>
              <w:adjustRightInd w:val="0"/>
              <w:snapToGrid w:val="0"/>
              <w:jc w:val="center"/>
              <w:rPr>
                <w:snapToGrid w:val="0"/>
                <w:color w:val="auto"/>
                <w:szCs w:val="21"/>
              </w:rPr>
            </w:pPr>
            <w:r>
              <w:rPr>
                <w:snapToGrid w:val="0"/>
                <w:color w:val="auto"/>
                <w:szCs w:val="21"/>
              </w:rPr>
              <w:t>标准值</w:t>
            </w:r>
          </w:p>
        </w:tc>
        <w:tc>
          <w:tcPr>
            <w:tcW w:w="1212" w:type="dxa"/>
            <w:vAlign w:val="center"/>
          </w:tcPr>
          <w:p>
            <w:pPr>
              <w:adjustRightInd w:val="0"/>
              <w:snapToGrid w:val="0"/>
              <w:jc w:val="center"/>
              <w:rPr>
                <w:snapToGrid w:val="0"/>
                <w:color w:val="auto"/>
                <w:szCs w:val="21"/>
              </w:rPr>
            </w:pPr>
            <w:r>
              <w:rPr>
                <w:color w:val="auto"/>
                <w:szCs w:val="21"/>
              </w:rPr>
              <w:t>≤1.00</w:t>
            </w:r>
          </w:p>
        </w:tc>
        <w:tc>
          <w:tcPr>
            <w:tcW w:w="1244" w:type="dxa"/>
            <w:vAlign w:val="center"/>
          </w:tcPr>
          <w:p>
            <w:pPr>
              <w:adjustRightInd w:val="0"/>
              <w:snapToGrid w:val="0"/>
              <w:jc w:val="center"/>
              <w:rPr>
                <w:snapToGrid w:val="0"/>
                <w:color w:val="auto"/>
                <w:szCs w:val="21"/>
              </w:rPr>
            </w:pPr>
            <w:r>
              <w:rPr>
                <w:color w:val="auto"/>
                <w:szCs w:val="21"/>
              </w:rPr>
              <w:t>≤1000</w:t>
            </w:r>
          </w:p>
        </w:tc>
        <w:tc>
          <w:tcPr>
            <w:tcW w:w="935" w:type="dxa"/>
            <w:vAlign w:val="center"/>
          </w:tcPr>
          <w:p>
            <w:pPr>
              <w:adjustRightInd w:val="0"/>
              <w:snapToGrid w:val="0"/>
              <w:jc w:val="center"/>
              <w:rPr>
                <w:snapToGrid w:val="0"/>
                <w:color w:val="auto"/>
                <w:szCs w:val="21"/>
              </w:rPr>
            </w:pPr>
            <w:r>
              <w:rPr>
                <w:color w:val="auto"/>
                <w:szCs w:val="21"/>
              </w:rPr>
              <w:t>≤450</w:t>
            </w:r>
          </w:p>
        </w:tc>
        <w:tc>
          <w:tcPr>
            <w:tcW w:w="1342" w:type="dxa"/>
            <w:vAlign w:val="center"/>
          </w:tcPr>
          <w:p>
            <w:pPr>
              <w:adjustRightInd w:val="0"/>
              <w:snapToGrid w:val="0"/>
              <w:jc w:val="center"/>
              <w:rPr>
                <w:snapToGrid w:val="0"/>
                <w:color w:val="auto"/>
                <w:szCs w:val="21"/>
              </w:rPr>
            </w:pPr>
            <w:r>
              <w:rPr>
                <w:color w:val="auto"/>
                <w:szCs w:val="21"/>
              </w:rPr>
              <w:t>≤0.002</w:t>
            </w:r>
          </w:p>
        </w:tc>
        <w:tc>
          <w:tcPr>
            <w:tcW w:w="1090" w:type="dxa"/>
            <w:vAlign w:val="center"/>
          </w:tcPr>
          <w:p>
            <w:pPr>
              <w:adjustRightInd w:val="0"/>
              <w:snapToGrid w:val="0"/>
              <w:jc w:val="center"/>
              <w:rPr>
                <w:snapToGrid w:val="0"/>
                <w:color w:val="auto"/>
                <w:szCs w:val="21"/>
              </w:rPr>
            </w:pPr>
            <w:r>
              <w:rPr>
                <w:color w:val="auto"/>
                <w:szCs w:val="21"/>
              </w:rPr>
              <w:t>≤0.05</w:t>
            </w:r>
          </w:p>
        </w:tc>
        <w:tc>
          <w:tcPr>
            <w:tcW w:w="1041" w:type="dxa"/>
            <w:vAlign w:val="center"/>
          </w:tcPr>
          <w:p>
            <w:pPr>
              <w:adjustRightInd w:val="0"/>
              <w:snapToGrid w:val="0"/>
              <w:jc w:val="center"/>
              <w:rPr>
                <w:snapToGrid w:val="0"/>
                <w:color w:val="auto"/>
                <w:szCs w:val="21"/>
              </w:rPr>
            </w:pPr>
            <w:r>
              <w:rPr>
                <w:color w:val="auto"/>
                <w:szCs w:val="21"/>
              </w:rPr>
              <w:t>≤0.01</w:t>
            </w:r>
          </w:p>
        </w:tc>
        <w:tc>
          <w:tcPr>
            <w:tcW w:w="991" w:type="dxa"/>
            <w:vAlign w:val="center"/>
          </w:tcPr>
          <w:p>
            <w:pPr>
              <w:adjustRightInd w:val="0"/>
              <w:snapToGrid w:val="0"/>
              <w:jc w:val="center"/>
              <w:rPr>
                <w:snapToGrid w:val="0"/>
                <w:color w:val="auto"/>
                <w:szCs w:val="21"/>
              </w:rPr>
            </w:pPr>
            <w:r>
              <w:rPr>
                <w:color w:val="auto"/>
                <w:szCs w:val="21"/>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095" w:type="dxa"/>
            <w:vAlign w:val="center"/>
          </w:tcPr>
          <w:p>
            <w:pPr>
              <w:adjustRightInd w:val="0"/>
              <w:snapToGrid w:val="0"/>
              <w:jc w:val="center"/>
              <w:rPr>
                <w:snapToGrid w:val="0"/>
                <w:color w:val="auto"/>
                <w:szCs w:val="21"/>
              </w:rPr>
            </w:pPr>
            <w:r>
              <w:rPr>
                <w:snapToGrid w:val="0"/>
                <w:color w:val="auto"/>
                <w:szCs w:val="21"/>
              </w:rPr>
              <w:t>项目</w:t>
            </w:r>
          </w:p>
        </w:tc>
        <w:tc>
          <w:tcPr>
            <w:tcW w:w="1212" w:type="dxa"/>
            <w:vAlign w:val="center"/>
          </w:tcPr>
          <w:p>
            <w:pPr>
              <w:adjustRightInd w:val="0"/>
              <w:snapToGrid w:val="0"/>
              <w:jc w:val="center"/>
              <w:rPr>
                <w:snapToGrid w:val="0"/>
                <w:color w:val="auto"/>
                <w:szCs w:val="21"/>
              </w:rPr>
            </w:pPr>
            <w:r>
              <w:rPr>
                <w:snapToGrid w:val="0"/>
                <w:color w:val="auto"/>
                <w:szCs w:val="21"/>
              </w:rPr>
              <w:t>镉</w:t>
            </w:r>
          </w:p>
        </w:tc>
        <w:tc>
          <w:tcPr>
            <w:tcW w:w="1244" w:type="dxa"/>
            <w:vAlign w:val="center"/>
          </w:tcPr>
          <w:p>
            <w:pPr>
              <w:adjustRightInd w:val="0"/>
              <w:snapToGrid w:val="0"/>
              <w:jc w:val="center"/>
              <w:rPr>
                <w:snapToGrid w:val="0"/>
                <w:color w:val="auto"/>
                <w:szCs w:val="21"/>
              </w:rPr>
            </w:pPr>
            <w:r>
              <w:rPr>
                <w:color w:val="auto"/>
              </w:rPr>
              <w:t>锌</w:t>
            </w:r>
          </w:p>
        </w:tc>
        <w:tc>
          <w:tcPr>
            <w:tcW w:w="935" w:type="dxa"/>
            <w:vAlign w:val="center"/>
          </w:tcPr>
          <w:p>
            <w:pPr>
              <w:adjustRightInd w:val="0"/>
              <w:snapToGrid w:val="0"/>
              <w:jc w:val="center"/>
              <w:rPr>
                <w:snapToGrid w:val="0"/>
                <w:color w:val="auto"/>
                <w:szCs w:val="21"/>
              </w:rPr>
            </w:pPr>
            <w:r>
              <w:rPr>
                <w:color w:val="auto"/>
              </w:rPr>
              <w:t>镍</w:t>
            </w:r>
          </w:p>
        </w:tc>
        <w:tc>
          <w:tcPr>
            <w:tcW w:w="1342" w:type="dxa"/>
            <w:vAlign w:val="center"/>
          </w:tcPr>
          <w:p>
            <w:pPr>
              <w:adjustRightInd w:val="0"/>
              <w:snapToGrid w:val="0"/>
              <w:jc w:val="center"/>
              <w:rPr>
                <w:snapToGrid w:val="0"/>
                <w:color w:val="auto"/>
                <w:szCs w:val="21"/>
              </w:rPr>
            </w:pPr>
            <w:r>
              <w:rPr>
                <w:color w:val="auto"/>
              </w:rPr>
              <w:t>六价铬</w:t>
            </w:r>
          </w:p>
        </w:tc>
        <w:tc>
          <w:tcPr>
            <w:tcW w:w="1090" w:type="dxa"/>
            <w:vAlign w:val="center"/>
          </w:tcPr>
          <w:p>
            <w:pPr>
              <w:adjustRightInd w:val="0"/>
              <w:snapToGrid w:val="0"/>
              <w:jc w:val="center"/>
              <w:rPr>
                <w:snapToGrid w:val="0"/>
                <w:color w:val="auto"/>
                <w:szCs w:val="21"/>
              </w:rPr>
            </w:pPr>
            <w:r>
              <w:rPr>
                <w:snapToGrid w:val="0"/>
                <w:color w:val="auto"/>
                <w:szCs w:val="21"/>
              </w:rPr>
              <w:t>铁</w:t>
            </w:r>
          </w:p>
        </w:tc>
        <w:tc>
          <w:tcPr>
            <w:tcW w:w="1041" w:type="dxa"/>
            <w:vAlign w:val="center"/>
          </w:tcPr>
          <w:p>
            <w:pPr>
              <w:adjustRightInd w:val="0"/>
              <w:snapToGrid w:val="0"/>
              <w:jc w:val="center"/>
              <w:rPr>
                <w:snapToGrid w:val="0"/>
                <w:color w:val="auto"/>
                <w:szCs w:val="21"/>
              </w:rPr>
            </w:pPr>
            <w:r>
              <w:rPr>
                <w:snapToGrid w:val="0"/>
                <w:color w:val="auto"/>
                <w:szCs w:val="21"/>
              </w:rPr>
              <w:t>锰</w:t>
            </w:r>
          </w:p>
        </w:tc>
        <w:tc>
          <w:tcPr>
            <w:tcW w:w="991" w:type="dxa"/>
            <w:vAlign w:val="center"/>
          </w:tcPr>
          <w:p>
            <w:pPr>
              <w:adjustRightInd w:val="0"/>
              <w:snapToGrid w:val="0"/>
              <w:jc w:val="center"/>
              <w:rPr>
                <w:snapToGrid w:val="0"/>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095" w:type="dxa"/>
            <w:vAlign w:val="center"/>
          </w:tcPr>
          <w:p>
            <w:pPr>
              <w:adjustRightInd w:val="0"/>
              <w:snapToGrid w:val="0"/>
              <w:jc w:val="center"/>
              <w:rPr>
                <w:snapToGrid w:val="0"/>
                <w:color w:val="auto"/>
                <w:szCs w:val="21"/>
              </w:rPr>
            </w:pPr>
            <w:r>
              <w:rPr>
                <w:snapToGrid w:val="0"/>
                <w:color w:val="auto"/>
                <w:szCs w:val="21"/>
              </w:rPr>
              <w:t>标准值</w:t>
            </w:r>
          </w:p>
        </w:tc>
        <w:tc>
          <w:tcPr>
            <w:tcW w:w="1212" w:type="dxa"/>
            <w:vAlign w:val="center"/>
          </w:tcPr>
          <w:p>
            <w:pPr>
              <w:adjustRightInd w:val="0"/>
              <w:snapToGrid w:val="0"/>
              <w:jc w:val="center"/>
              <w:rPr>
                <w:snapToGrid w:val="0"/>
                <w:color w:val="auto"/>
                <w:szCs w:val="21"/>
              </w:rPr>
            </w:pPr>
            <w:r>
              <w:rPr>
                <w:color w:val="auto"/>
                <w:szCs w:val="21"/>
              </w:rPr>
              <w:t>≤0.05</w:t>
            </w:r>
          </w:p>
        </w:tc>
        <w:tc>
          <w:tcPr>
            <w:tcW w:w="1244" w:type="dxa"/>
            <w:vAlign w:val="center"/>
          </w:tcPr>
          <w:p>
            <w:pPr>
              <w:adjustRightInd w:val="0"/>
              <w:snapToGrid w:val="0"/>
              <w:jc w:val="center"/>
              <w:rPr>
                <w:snapToGrid w:val="0"/>
                <w:color w:val="auto"/>
                <w:szCs w:val="21"/>
              </w:rPr>
            </w:pPr>
            <w:r>
              <w:rPr>
                <w:color w:val="auto"/>
                <w:szCs w:val="21"/>
              </w:rPr>
              <w:t>≤1.0</w:t>
            </w:r>
          </w:p>
        </w:tc>
        <w:tc>
          <w:tcPr>
            <w:tcW w:w="935" w:type="dxa"/>
            <w:vAlign w:val="center"/>
          </w:tcPr>
          <w:p>
            <w:pPr>
              <w:adjustRightInd w:val="0"/>
              <w:snapToGrid w:val="0"/>
              <w:jc w:val="center"/>
              <w:rPr>
                <w:snapToGrid w:val="0"/>
                <w:color w:val="auto"/>
                <w:szCs w:val="21"/>
              </w:rPr>
            </w:pPr>
            <w:r>
              <w:rPr>
                <w:color w:val="auto"/>
                <w:szCs w:val="21"/>
              </w:rPr>
              <w:t>≤0.02</w:t>
            </w:r>
          </w:p>
        </w:tc>
        <w:tc>
          <w:tcPr>
            <w:tcW w:w="1342" w:type="dxa"/>
            <w:vAlign w:val="center"/>
          </w:tcPr>
          <w:p>
            <w:pPr>
              <w:adjustRightInd w:val="0"/>
              <w:snapToGrid w:val="0"/>
              <w:jc w:val="center"/>
              <w:rPr>
                <w:snapToGrid w:val="0"/>
                <w:color w:val="auto"/>
                <w:szCs w:val="21"/>
              </w:rPr>
            </w:pPr>
            <w:r>
              <w:rPr>
                <w:color w:val="auto"/>
                <w:szCs w:val="21"/>
              </w:rPr>
              <w:t>≤0.05</w:t>
            </w:r>
          </w:p>
        </w:tc>
        <w:tc>
          <w:tcPr>
            <w:tcW w:w="1090" w:type="dxa"/>
            <w:vAlign w:val="center"/>
          </w:tcPr>
          <w:p>
            <w:pPr>
              <w:adjustRightInd w:val="0"/>
              <w:snapToGrid w:val="0"/>
              <w:jc w:val="center"/>
              <w:rPr>
                <w:snapToGrid w:val="0"/>
                <w:color w:val="auto"/>
                <w:szCs w:val="21"/>
              </w:rPr>
            </w:pPr>
            <w:r>
              <w:rPr>
                <w:color w:val="auto"/>
                <w:szCs w:val="21"/>
              </w:rPr>
              <w:t>≤0.3</w:t>
            </w:r>
          </w:p>
        </w:tc>
        <w:tc>
          <w:tcPr>
            <w:tcW w:w="1041" w:type="dxa"/>
            <w:vAlign w:val="center"/>
          </w:tcPr>
          <w:p>
            <w:pPr>
              <w:adjustRightInd w:val="0"/>
              <w:snapToGrid w:val="0"/>
              <w:jc w:val="center"/>
              <w:rPr>
                <w:snapToGrid w:val="0"/>
                <w:color w:val="auto"/>
                <w:szCs w:val="21"/>
              </w:rPr>
            </w:pPr>
            <w:r>
              <w:rPr>
                <w:color w:val="auto"/>
                <w:szCs w:val="21"/>
              </w:rPr>
              <w:t>≤0.10</w:t>
            </w:r>
          </w:p>
        </w:tc>
        <w:tc>
          <w:tcPr>
            <w:tcW w:w="991" w:type="dxa"/>
            <w:vAlign w:val="center"/>
          </w:tcPr>
          <w:p>
            <w:pPr>
              <w:adjustRightInd w:val="0"/>
              <w:snapToGrid w:val="0"/>
              <w:jc w:val="center"/>
              <w:rPr>
                <w:snapToGrid w:val="0"/>
                <w:color w:val="auto"/>
                <w:szCs w:val="21"/>
              </w:rPr>
            </w:pPr>
          </w:p>
        </w:tc>
      </w:tr>
    </w:tbl>
    <w:p>
      <w:pPr>
        <w:pStyle w:val="5"/>
        <w:spacing w:before="0" w:after="0" w:line="520" w:lineRule="exact"/>
        <w:rPr>
          <w:color w:val="auto"/>
          <w:sz w:val="24"/>
          <w:szCs w:val="24"/>
        </w:rPr>
      </w:pPr>
      <w:bookmarkStart w:id="91" w:name="_Toc333177930"/>
      <w:r>
        <w:rPr>
          <w:color w:val="auto"/>
          <w:sz w:val="24"/>
          <w:szCs w:val="24"/>
        </w:rPr>
        <w:t>2.4.2污染物排放标准</w:t>
      </w:r>
      <w:bookmarkEnd w:id="91"/>
    </w:p>
    <w:p>
      <w:pPr>
        <w:autoSpaceDE w:val="0"/>
        <w:autoSpaceDN w:val="0"/>
        <w:adjustRightInd w:val="0"/>
        <w:spacing w:line="520" w:lineRule="exact"/>
        <w:ind w:firstLine="480" w:firstLineChars="200"/>
        <w:rPr>
          <w:color w:val="auto"/>
          <w:kern w:val="0"/>
          <w:sz w:val="24"/>
        </w:rPr>
      </w:pPr>
      <w:r>
        <w:rPr>
          <w:color w:val="auto"/>
          <w:kern w:val="0"/>
          <w:sz w:val="24"/>
        </w:rPr>
        <w:t>（1）废气排放标准</w:t>
      </w:r>
    </w:p>
    <w:p>
      <w:pPr>
        <w:adjustRightInd w:val="0"/>
        <w:snapToGrid w:val="0"/>
        <w:spacing w:line="500" w:lineRule="exact"/>
        <w:ind w:firstLine="480"/>
        <w:rPr>
          <w:color w:val="auto"/>
          <w:sz w:val="24"/>
        </w:rPr>
      </w:pPr>
      <w:r>
        <w:rPr>
          <w:rFonts w:hint="eastAsia"/>
          <w:color w:val="auto"/>
          <w:sz w:val="24"/>
          <w:lang w:eastAsia="zh-CN"/>
        </w:rPr>
        <w:t>配料、</w:t>
      </w:r>
      <w:r>
        <w:rPr>
          <w:rFonts w:hint="eastAsia"/>
          <w:color w:val="auto"/>
          <w:sz w:val="24"/>
        </w:rPr>
        <w:t>开炼、</w:t>
      </w:r>
      <w:r>
        <w:rPr>
          <w:rFonts w:hint="eastAsia"/>
          <w:color w:val="auto"/>
          <w:sz w:val="24"/>
          <w:lang w:eastAsia="zh-CN"/>
        </w:rPr>
        <w:t>密炼</w:t>
      </w:r>
      <w:r>
        <w:rPr>
          <w:color w:val="auto"/>
          <w:sz w:val="24"/>
        </w:rPr>
        <w:t>橡胶加工</w:t>
      </w:r>
      <w:r>
        <w:rPr>
          <w:rFonts w:hint="eastAsia"/>
          <w:color w:val="auto"/>
          <w:sz w:val="24"/>
          <w:lang w:eastAsia="zh-CN"/>
        </w:rPr>
        <w:t>产生的颗粒物、</w:t>
      </w:r>
      <w:r>
        <w:rPr>
          <w:color w:val="auto"/>
          <w:sz w:val="24"/>
        </w:rPr>
        <w:t>非甲烷总烃排放执行《橡胶制品工业污染物排放标准》（GB27632-2011）表5和表6新建企业大气污染物排放限值；配胶、涂胶、晾干</w:t>
      </w:r>
      <w:r>
        <w:rPr>
          <w:rFonts w:hint="eastAsia"/>
          <w:color w:val="auto"/>
          <w:sz w:val="24"/>
          <w:lang w:eastAsia="zh-CN"/>
        </w:rPr>
        <w:t>工序产生的</w:t>
      </w:r>
      <w:r>
        <w:rPr>
          <w:rFonts w:hint="eastAsia"/>
          <w:color w:val="auto"/>
          <w:sz w:val="24"/>
        </w:rPr>
        <w:t>VOCs</w:t>
      </w:r>
      <w:r>
        <w:rPr>
          <w:color w:val="auto"/>
          <w:sz w:val="24"/>
        </w:rPr>
        <w:t>排放执行天津市《工业企业挥发性有机物排放控制标准》(DB12/524-2014)表2中的标准；硫化氢排放执行《恶臭污染物排放标准》（GB14554-93）新扩改建二级标准及厂界标准值。</w:t>
      </w:r>
    </w:p>
    <w:p>
      <w:pPr>
        <w:spacing w:line="480" w:lineRule="exact"/>
        <w:ind w:firstLine="480" w:firstLineChars="200"/>
        <w:rPr>
          <w:b/>
          <w:color w:val="auto"/>
          <w:sz w:val="24"/>
          <w:szCs w:val="22"/>
        </w:rPr>
      </w:pPr>
      <w:r>
        <w:rPr>
          <w:color w:val="auto"/>
          <w:sz w:val="24"/>
          <w:lang w:val="zh-TW"/>
        </w:rPr>
        <w:t>本项目大气污染物排放标准</w:t>
      </w:r>
      <w:r>
        <w:rPr>
          <w:color w:val="auto"/>
          <w:sz w:val="24"/>
        </w:rPr>
        <w:t xml:space="preserve">值详见下表。 </w:t>
      </w:r>
    </w:p>
    <w:p>
      <w:pPr>
        <w:jc w:val="center"/>
        <w:rPr>
          <w:color w:val="auto"/>
        </w:rPr>
      </w:pPr>
      <w:r>
        <w:rPr>
          <w:b/>
          <w:color w:val="auto"/>
          <w:sz w:val="24"/>
          <w:szCs w:val="22"/>
        </w:rPr>
        <w:t>表2-</w:t>
      </w:r>
      <w:r>
        <w:rPr>
          <w:rFonts w:hint="eastAsia"/>
          <w:b/>
          <w:color w:val="auto"/>
          <w:sz w:val="24"/>
          <w:szCs w:val="22"/>
          <w:lang w:val="en-US" w:eastAsia="zh-CN"/>
        </w:rPr>
        <w:t>9</w:t>
      </w:r>
      <w:r>
        <w:rPr>
          <w:b/>
          <w:color w:val="auto"/>
          <w:sz w:val="24"/>
          <w:szCs w:val="22"/>
        </w:rPr>
        <w:t xml:space="preserve">   项目主要大气污染物排放执行标准</w:t>
      </w:r>
    </w:p>
    <w:tbl>
      <w:tblPr>
        <w:tblStyle w:val="5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88"/>
        <w:gridCol w:w="1035"/>
        <w:gridCol w:w="887"/>
        <w:gridCol w:w="838"/>
        <w:gridCol w:w="1033"/>
        <w:gridCol w:w="1017"/>
        <w:gridCol w:w="1469"/>
        <w:gridCol w:w="17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888" w:type="dxa"/>
            <w:vAlign w:val="center"/>
          </w:tcPr>
          <w:p>
            <w:pPr>
              <w:snapToGrid w:val="0"/>
              <w:jc w:val="center"/>
              <w:rPr>
                <w:color w:val="auto"/>
                <w:szCs w:val="21"/>
              </w:rPr>
            </w:pPr>
            <w:r>
              <w:rPr>
                <w:color w:val="auto"/>
                <w:szCs w:val="21"/>
              </w:rPr>
              <w:t>污染物名称</w:t>
            </w:r>
          </w:p>
        </w:tc>
        <w:tc>
          <w:tcPr>
            <w:tcW w:w="1035" w:type="dxa"/>
            <w:vAlign w:val="center"/>
          </w:tcPr>
          <w:p>
            <w:pPr>
              <w:snapToGrid w:val="0"/>
              <w:jc w:val="center"/>
              <w:rPr>
                <w:color w:val="auto"/>
                <w:szCs w:val="21"/>
              </w:rPr>
            </w:pPr>
            <w:r>
              <w:rPr>
                <w:color w:val="auto"/>
                <w:szCs w:val="21"/>
              </w:rPr>
              <w:t>排放浓度</w:t>
            </w:r>
          </w:p>
          <w:p>
            <w:pPr>
              <w:snapToGrid w:val="0"/>
              <w:jc w:val="center"/>
              <w:rPr>
                <w:color w:val="auto"/>
                <w:szCs w:val="21"/>
              </w:rPr>
            </w:pPr>
            <w:r>
              <w:rPr>
                <w:color w:val="auto"/>
                <w:szCs w:val="21"/>
              </w:rPr>
              <w:t>（mg/Nm</w:t>
            </w:r>
            <w:r>
              <w:rPr>
                <w:color w:val="auto"/>
                <w:szCs w:val="21"/>
                <w:vertAlign w:val="superscript"/>
              </w:rPr>
              <w:t>3</w:t>
            </w:r>
            <w:r>
              <w:rPr>
                <w:color w:val="auto"/>
                <w:szCs w:val="21"/>
              </w:rPr>
              <w:t>）</w:t>
            </w:r>
          </w:p>
        </w:tc>
        <w:tc>
          <w:tcPr>
            <w:tcW w:w="887" w:type="dxa"/>
            <w:vAlign w:val="center"/>
          </w:tcPr>
          <w:p>
            <w:pPr>
              <w:snapToGrid w:val="0"/>
              <w:jc w:val="center"/>
              <w:rPr>
                <w:color w:val="auto"/>
                <w:szCs w:val="21"/>
              </w:rPr>
            </w:pPr>
            <w:r>
              <w:rPr>
                <w:color w:val="auto"/>
                <w:szCs w:val="21"/>
              </w:rPr>
              <w:t>排放高度（m）</w:t>
            </w:r>
          </w:p>
        </w:tc>
        <w:tc>
          <w:tcPr>
            <w:tcW w:w="838" w:type="dxa"/>
            <w:vAlign w:val="center"/>
          </w:tcPr>
          <w:p>
            <w:pPr>
              <w:snapToGrid w:val="0"/>
              <w:jc w:val="center"/>
              <w:rPr>
                <w:color w:val="auto"/>
                <w:szCs w:val="21"/>
              </w:rPr>
            </w:pPr>
            <w:r>
              <w:rPr>
                <w:color w:val="auto"/>
                <w:szCs w:val="21"/>
              </w:rPr>
              <w:t>排放速率（kg/h）</w:t>
            </w:r>
          </w:p>
        </w:tc>
        <w:tc>
          <w:tcPr>
            <w:tcW w:w="1033" w:type="dxa"/>
            <w:vAlign w:val="center"/>
          </w:tcPr>
          <w:p>
            <w:pPr>
              <w:snapToGrid w:val="0"/>
              <w:jc w:val="center"/>
              <w:rPr>
                <w:color w:val="auto"/>
                <w:szCs w:val="21"/>
              </w:rPr>
            </w:pPr>
            <w:r>
              <w:rPr>
                <w:color w:val="auto"/>
                <w:szCs w:val="21"/>
              </w:rPr>
              <w:t>基准排气量</w:t>
            </w:r>
          </w:p>
          <w:p>
            <w:pPr>
              <w:snapToGrid w:val="0"/>
              <w:jc w:val="center"/>
              <w:rPr>
                <w:color w:val="auto"/>
                <w:szCs w:val="21"/>
              </w:rPr>
            </w:pPr>
            <w:r>
              <w:rPr>
                <w:color w:val="auto"/>
                <w:szCs w:val="21"/>
              </w:rPr>
              <w:t>（m</w:t>
            </w:r>
            <w:r>
              <w:rPr>
                <w:color w:val="auto"/>
                <w:szCs w:val="21"/>
                <w:vertAlign w:val="superscript"/>
              </w:rPr>
              <w:t>3</w:t>
            </w:r>
            <w:r>
              <w:rPr>
                <w:color w:val="auto"/>
                <w:szCs w:val="21"/>
              </w:rPr>
              <w:t>/t）</w:t>
            </w:r>
          </w:p>
        </w:tc>
        <w:tc>
          <w:tcPr>
            <w:tcW w:w="1017" w:type="dxa"/>
            <w:vAlign w:val="center"/>
          </w:tcPr>
          <w:p>
            <w:pPr>
              <w:snapToGrid w:val="0"/>
              <w:jc w:val="center"/>
              <w:rPr>
                <w:color w:val="auto"/>
                <w:szCs w:val="21"/>
              </w:rPr>
            </w:pPr>
            <w:r>
              <w:rPr>
                <w:color w:val="auto"/>
                <w:szCs w:val="21"/>
              </w:rPr>
              <w:t>厂界无组织排放限值(mg/m</w:t>
            </w:r>
            <w:r>
              <w:rPr>
                <w:color w:val="auto"/>
                <w:szCs w:val="21"/>
                <w:vertAlign w:val="superscript"/>
              </w:rPr>
              <w:t>3</w:t>
            </w:r>
            <w:r>
              <w:rPr>
                <w:color w:val="auto"/>
                <w:szCs w:val="21"/>
              </w:rPr>
              <w:t>)</w:t>
            </w:r>
          </w:p>
        </w:tc>
        <w:tc>
          <w:tcPr>
            <w:tcW w:w="1469" w:type="dxa"/>
            <w:vAlign w:val="center"/>
          </w:tcPr>
          <w:p>
            <w:pPr>
              <w:snapToGrid w:val="0"/>
              <w:jc w:val="center"/>
              <w:rPr>
                <w:color w:val="auto"/>
                <w:szCs w:val="21"/>
              </w:rPr>
            </w:pPr>
            <w:r>
              <w:rPr>
                <w:color w:val="auto"/>
                <w:szCs w:val="21"/>
              </w:rPr>
              <w:t>生产工艺或设施</w:t>
            </w:r>
          </w:p>
        </w:tc>
        <w:tc>
          <w:tcPr>
            <w:tcW w:w="1783" w:type="dxa"/>
            <w:vAlign w:val="center"/>
          </w:tcPr>
          <w:p>
            <w:pPr>
              <w:snapToGrid w:val="0"/>
              <w:jc w:val="center"/>
              <w:rPr>
                <w:color w:val="auto"/>
                <w:szCs w:val="21"/>
              </w:rPr>
            </w:pPr>
            <w:r>
              <w:rPr>
                <w:color w:val="auto"/>
                <w:szCs w:val="21"/>
              </w:rPr>
              <w:t>采用标准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888" w:type="dxa"/>
            <w:vMerge w:val="restart"/>
            <w:vAlign w:val="center"/>
          </w:tcPr>
          <w:p>
            <w:pPr>
              <w:snapToGrid w:val="0"/>
              <w:jc w:val="center"/>
              <w:rPr>
                <w:color w:val="auto"/>
                <w:szCs w:val="21"/>
              </w:rPr>
            </w:pPr>
            <w:r>
              <w:rPr>
                <w:color w:val="auto"/>
                <w:szCs w:val="21"/>
              </w:rPr>
              <w:t>颗粒物</w:t>
            </w:r>
          </w:p>
        </w:tc>
        <w:tc>
          <w:tcPr>
            <w:tcW w:w="1035" w:type="dxa"/>
            <w:vAlign w:val="center"/>
          </w:tcPr>
          <w:p>
            <w:pPr>
              <w:snapToGrid w:val="0"/>
              <w:jc w:val="center"/>
              <w:rPr>
                <w:color w:val="auto"/>
                <w:szCs w:val="21"/>
              </w:rPr>
            </w:pPr>
            <w:r>
              <w:rPr>
                <w:color w:val="auto"/>
                <w:szCs w:val="21"/>
              </w:rPr>
              <w:t>12</w:t>
            </w:r>
          </w:p>
        </w:tc>
        <w:tc>
          <w:tcPr>
            <w:tcW w:w="887" w:type="dxa"/>
            <w:vAlign w:val="center"/>
          </w:tcPr>
          <w:p>
            <w:pPr>
              <w:snapToGrid w:val="0"/>
              <w:jc w:val="center"/>
              <w:rPr>
                <w:color w:val="auto"/>
                <w:szCs w:val="21"/>
              </w:rPr>
            </w:pPr>
            <w:r>
              <w:rPr>
                <w:color w:val="auto"/>
                <w:szCs w:val="21"/>
              </w:rPr>
              <w:t>15</w:t>
            </w:r>
          </w:p>
        </w:tc>
        <w:tc>
          <w:tcPr>
            <w:tcW w:w="838" w:type="dxa"/>
            <w:vAlign w:val="center"/>
          </w:tcPr>
          <w:p>
            <w:pPr>
              <w:snapToGrid w:val="0"/>
              <w:jc w:val="center"/>
              <w:rPr>
                <w:color w:val="auto"/>
                <w:szCs w:val="21"/>
              </w:rPr>
            </w:pPr>
            <w:r>
              <w:rPr>
                <w:color w:val="auto"/>
                <w:szCs w:val="21"/>
              </w:rPr>
              <w:t>--</w:t>
            </w:r>
          </w:p>
        </w:tc>
        <w:tc>
          <w:tcPr>
            <w:tcW w:w="1033" w:type="dxa"/>
            <w:vAlign w:val="center"/>
          </w:tcPr>
          <w:p>
            <w:pPr>
              <w:snapToGrid w:val="0"/>
              <w:jc w:val="center"/>
              <w:rPr>
                <w:color w:val="auto"/>
                <w:szCs w:val="21"/>
              </w:rPr>
            </w:pPr>
            <w:r>
              <w:rPr>
                <w:color w:val="auto"/>
                <w:szCs w:val="21"/>
              </w:rPr>
              <w:t>2000</w:t>
            </w:r>
          </w:p>
        </w:tc>
        <w:tc>
          <w:tcPr>
            <w:tcW w:w="1017" w:type="dxa"/>
            <w:vAlign w:val="center"/>
          </w:tcPr>
          <w:p>
            <w:pPr>
              <w:snapToGrid w:val="0"/>
              <w:jc w:val="center"/>
              <w:rPr>
                <w:color w:val="auto"/>
                <w:szCs w:val="21"/>
              </w:rPr>
            </w:pPr>
            <w:r>
              <w:rPr>
                <w:color w:val="auto"/>
                <w:szCs w:val="21"/>
              </w:rPr>
              <w:t>1</w:t>
            </w:r>
          </w:p>
        </w:tc>
        <w:tc>
          <w:tcPr>
            <w:tcW w:w="1469" w:type="dxa"/>
            <w:vAlign w:val="center"/>
          </w:tcPr>
          <w:p>
            <w:pPr>
              <w:snapToGrid w:val="0"/>
              <w:jc w:val="center"/>
              <w:rPr>
                <w:color w:val="auto"/>
                <w:szCs w:val="21"/>
              </w:rPr>
            </w:pPr>
            <w:r>
              <w:rPr>
                <w:color w:val="auto"/>
                <w:szCs w:val="21"/>
              </w:rPr>
              <w:t>轮胎企业及其他制品企业混炼装置</w:t>
            </w:r>
          </w:p>
        </w:tc>
        <w:tc>
          <w:tcPr>
            <w:tcW w:w="1783" w:type="dxa"/>
            <w:vMerge w:val="restart"/>
            <w:vAlign w:val="center"/>
          </w:tcPr>
          <w:p>
            <w:pPr>
              <w:snapToGrid w:val="0"/>
              <w:jc w:val="center"/>
              <w:rPr>
                <w:color w:val="auto"/>
                <w:szCs w:val="21"/>
              </w:rPr>
            </w:pPr>
            <w:r>
              <w:rPr>
                <w:color w:val="auto"/>
                <w:szCs w:val="21"/>
              </w:rPr>
              <w:t>《橡胶制品工业污染物排放标准》(GB27632-2011)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888" w:type="dxa"/>
            <w:vMerge w:val="continue"/>
            <w:vAlign w:val="center"/>
          </w:tcPr>
          <w:p>
            <w:pPr>
              <w:snapToGrid w:val="0"/>
              <w:jc w:val="center"/>
              <w:rPr>
                <w:color w:val="auto"/>
              </w:rPr>
            </w:pPr>
          </w:p>
        </w:tc>
        <w:tc>
          <w:tcPr>
            <w:tcW w:w="1035" w:type="dxa"/>
            <w:vAlign w:val="center"/>
          </w:tcPr>
          <w:p>
            <w:pPr>
              <w:snapToGrid w:val="0"/>
              <w:jc w:val="center"/>
              <w:rPr>
                <w:color w:val="auto"/>
                <w:szCs w:val="21"/>
              </w:rPr>
            </w:pPr>
            <w:r>
              <w:rPr>
                <w:color w:val="auto"/>
                <w:szCs w:val="21"/>
              </w:rPr>
              <w:t>12</w:t>
            </w:r>
          </w:p>
        </w:tc>
        <w:tc>
          <w:tcPr>
            <w:tcW w:w="887" w:type="dxa"/>
            <w:vAlign w:val="center"/>
          </w:tcPr>
          <w:p>
            <w:pPr>
              <w:snapToGrid w:val="0"/>
              <w:jc w:val="center"/>
              <w:rPr>
                <w:color w:val="auto"/>
                <w:szCs w:val="21"/>
              </w:rPr>
            </w:pPr>
            <w:r>
              <w:rPr>
                <w:color w:val="auto"/>
                <w:szCs w:val="21"/>
              </w:rPr>
              <w:t>15</w:t>
            </w:r>
          </w:p>
        </w:tc>
        <w:tc>
          <w:tcPr>
            <w:tcW w:w="838" w:type="dxa"/>
            <w:vAlign w:val="center"/>
          </w:tcPr>
          <w:p>
            <w:pPr>
              <w:snapToGrid w:val="0"/>
              <w:jc w:val="center"/>
              <w:rPr>
                <w:color w:val="auto"/>
                <w:szCs w:val="21"/>
              </w:rPr>
            </w:pPr>
            <w:r>
              <w:rPr>
                <w:color w:val="auto"/>
                <w:szCs w:val="21"/>
              </w:rPr>
              <w:t>--</w:t>
            </w:r>
          </w:p>
        </w:tc>
        <w:tc>
          <w:tcPr>
            <w:tcW w:w="1033" w:type="dxa"/>
            <w:vAlign w:val="center"/>
          </w:tcPr>
          <w:p>
            <w:pPr>
              <w:snapToGrid w:val="0"/>
              <w:jc w:val="center"/>
              <w:rPr>
                <w:color w:val="auto"/>
                <w:szCs w:val="21"/>
              </w:rPr>
            </w:pPr>
            <w:r>
              <w:rPr>
                <w:color w:val="auto"/>
                <w:szCs w:val="21"/>
              </w:rPr>
              <w:t>--</w:t>
            </w:r>
          </w:p>
        </w:tc>
        <w:tc>
          <w:tcPr>
            <w:tcW w:w="1017" w:type="dxa"/>
            <w:vAlign w:val="center"/>
          </w:tcPr>
          <w:p>
            <w:pPr>
              <w:snapToGrid w:val="0"/>
              <w:jc w:val="center"/>
              <w:rPr>
                <w:color w:val="auto"/>
                <w:szCs w:val="21"/>
              </w:rPr>
            </w:pPr>
            <w:r>
              <w:rPr>
                <w:color w:val="auto"/>
                <w:szCs w:val="21"/>
              </w:rPr>
              <w:t>1</w:t>
            </w:r>
          </w:p>
        </w:tc>
        <w:tc>
          <w:tcPr>
            <w:tcW w:w="1469" w:type="dxa"/>
            <w:vAlign w:val="center"/>
          </w:tcPr>
          <w:p>
            <w:pPr>
              <w:snapToGrid w:val="0"/>
              <w:jc w:val="center"/>
              <w:rPr>
                <w:color w:val="auto"/>
                <w:szCs w:val="21"/>
              </w:rPr>
            </w:pPr>
            <w:r>
              <w:rPr>
                <w:color w:val="auto"/>
                <w:szCs w:val="21"/>
              </w:rPr>
              <w:t>其他设施</w:t>
            </w:r>
          </w:p>
        </w:tc>
        <w:tc>
          <w:tcPr>
            <w:tcW w:w="1783" w:type="dxa"/>
            <w:vMerge w:val="continue"/>
            <w:vAlign w:val="center"/>
          </w:tcPr>
          <w:p>
            <w:pPr>
              <w:snapToGrid w:val="0"/>
              <w:jc w:val="center"/>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888" w:type="dxa"/>
            <w:vAlign w:val="center"/>
          </w:tcPr>
          <w:p>
            <w:pPr>
              <w:snapToGrid w:val="0"/>
              <w:jc w:val="center"/>
              <w:rPr>
                <w:color w:val="auto"/>
                <w:szCs w:val="21"/>
              </w:rPr>
            </w:pPr>
            <w:r>
              <w:rPr>
                <w:color w:val="auto"/>
                <w:szCs w:val="21"/>
              </w:rPr>
              <w:t>非甲烷总烃</w:t>
            </w:r>
          </w:p>
        </w:tc>
        <w:tc>
          <w:tcPr>
            <w:tcW w:w="1035" w:type="dxa"/>
            <w:vAlign w:val="center"/>
          </w:tcPr>
          <w:p>
            <w:pPr>
              <w:snapToGrid w:val="0"/>
              <w:jc w:val="center"/>
              <w:rPr>
                <w:color w:val="auto"/>
                <w:szCs w:val="21"/>
              </w:rPr>
            </w:pPr>
            <w:r>
              <w:rPr>
                <w:color w:val="auto"/>
                <w:szCs w:val="21"/>
              </w:rPr>
              <w:t>10</w:t>
            </w:r>
          </w:p>
        </w:tc>
        <w:tc>
          <w:tcPr>
            <w:tcW w:w="887" w:type="dxa"/>
            <w:vAlign w:val="center"/>
          </w:tcPr>
          <w:p>
            <w:pPr>
              <w:snapToGrid w:val="0"/>
              <w:jc w:val="center"/>
              <w:rPr>
                <w:color w:val="auto"/>
                <w:szCs w:val="21"/>
              </w:rPr>
            </w:pPr>
            <w:r>
              <w:rPr>
                <w:color w:val="auto"/>
                <w:szCs w:val="21"/>
              </w:rPr>
              <w:t>15</w:t>
            </w:r>
          </w:p>
        </w:tc>
        <w:tc>
          <w:tcPr>
            <w:tcW w:w="838" w:type="dxa"/>
            <w:vAlign w:val="center"/>
          </w:tcPr>
          <w:p>
            <w:pPr>
              <w:snapToGrid w:val="0"/>
              <w:jc w:val="center"/>
              <w:rPr>
                <w:color w:val="auto"/>
                <w:szCs w:val="21"/>
              </w:rPr>
            </w:pPr>
            <w:r>
              <w:rPr>
                <w:color w:val="auto"/>
                <w:szCs w:val="21"/>
              </w:rPr>
              <w:t>--</w:t>
            </w:r>
          </w:p>
        </w:tc>
        <w:tc>
          <w:tcPr>
            <w:tcW w:w="1033" w:type="dxa"/>
            <w:vAlign w:val="center"/>
          </w:tcPr>
          <w:p>
            <w:pPr>
              <w:snapToGrid w:val="0"/>
              <w:jc w:val="center"/>
              <w:rPr>
                <w:color w:val="auto"/>
                <w:szCs w:val="21"/>
              </w:rPr>
            </w:pPr>
            <w:r>
              <w:rPr>
                <w:color w:val="auto"/>
                <w:szCs w:val="21"/>
              </w:rPr>
              <w:t>2000</w:t>
            </w:r>
          </w:p>
        </w:tc>
        <w:tc>
          <w:tcPr>
            <w:tcW w:w="1017" w:type="dxa"/>
            <w:vAlign w:val="center"/>
          </w:tcPr>
          <w:p>
            <w:pPr>
              <w:snapToGrid w:val="0"/>
              <w:jc w:val="center"/>
              <w:rPr>
                <w:color w:val="auto"/>
                <w:szCs w:val="21"/>
              </w:rPr>
            </w:pPr>
            <w:r>
              <w:rPr>
                <w:color w:val="auto"/>
                <w:szCs w:val="21"/>
              </w:rPr>
              <w:t>4.0</w:t>
            </w:r>
          </w:p>
        </w:tc>
        <w:tc>
          <w:tcPr>
            <w:tcW w:w="1469" w:type="dxa"/>
            <w:vAlign w:val="center"/>
          </w:tcPr>
          <w:p>
            <w:pPr>
              <w:snapToGrid w:val="0"/>
              <w:jc w:val="center"/>
              <w:rPr>
                <w:color w:val="auto"/>
                <w:szCs w:val="21"/>
              </w:rPr>
            </w:pPr>
            <w:r>
              <w:rPr>
                <w:color w:val="auto"/>
                <w:szCs w:val="21"/>
              </w:rPr>
              <w:t>轮胎企业及其他制品企业混炼、硫化装置</w:t>
            </w:r>
          </w:p>
        </w:tc>
        <w:tc>
          <w:tcPr>
            <w:tcW w:w="1783" w:type="dxa"/>
            <w:vMerge w:val="continue"/>
            <w:vAlign w:val="center"/>
          </w:tcPr>
          <w:p>
            <w:pPr>
              <w:snapToGrid w:val="0"/>
              <w:jc w:val="center"/>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888" w:type="dxa"/>
            <w:vAlign w:val="center"/>
          </w:tcPr>
          <w:p>
            <w:pPr>
              <w:snapToGrid w:val="0"/>
              <w:jc w:val="center"/>
              <w:rPr>
                <w:color w:val="auto"/>
                <w:szCs w:val="21"/>
              </w:rPr>
            </w:pPr>
            <w:r>
              <w:rPr>
                <w:color w:val="auto"/>
                <w:szCs w:val="21"/>
              </w:rPr>
              <w:t>硫化氢</w:t>
            </w:r>
          </w:p>
        </w:tc>
        <w:tc>
          <w:tcPr>
            <w:tcW w:w="1035" w:type="dxa"/>
            <w:vAlign w:val="center"/>
          </w:tcPr>
          <w:p>
            <w:pPr>
              <w:snapToGrid w:val="0"/>
              <w:jc w:val="center"/>
              <w:rPr>
                <w:color w:val="auto"/>
                <w:szCs w:val="21"/>
              </w:rPr>
            </w:pPr>
            <w:r>
              <w:rPr>
                <w:color w:val="auto"/>
                <w:szCs w:val="21"/>
              </w:rPr>
              <w:t>--</w:t>
            </w:r>
          </w:p>
        </w:tc>
        <w:tc>
          <w:tcPr>
            <w:tcW w:w="887" w:type="dxa"/>
            <w:vAlign w:val="center"/>
          </w:tcPr>
          <w:p>
            <w:pPr>
              <w:snapToGrid w:val="0"/>
              <w:jc w:val="center"/>
              <w:rPr>
                <w:color w:val="auto"/>
                <w:szCs w:val="21"/>
              </w:rPr>
            </w:pPr>
            <w:r>
              <w:rPr>
                <w:color w:val="auto"/>
                <w:szCs w:val="21"/>
              </w:rPr>
              <w:t>15</w:t>
            </w:r>
          </w:p>
        </w:tc>
        <w:tc>
          <w:tcPr>
            <w:tcW w:w="838" w:type="dxa"/>
            <w:vAlign w:val="center"/>
          </w:tcPr>
          <w:p>
            <w:pPr>
              <w:snapToGrid w:val="0"/>
              <w:jc w:val="center"/>
              <w:rPr>
                <w:color w:val="auto"/>
                <w:szCs w:val="21"/>
              </w:rPr>
            </w:pPr>
            <w:r>
              <w:rPr>
                <w:color w:val="auto"/>
                <w:szCs w:val="21"/>
              </w:rPr>
              <w:t>0.33</w:t>
            </w:r>
          </w:p>
        </w:tc>
        <w:tc>
          <w:tcPr>
            <w:tcW w:w="1033" w:type="dxa"/>
            <w:vAlign w:val="center"/>
          </w:tcPr>
          <w:p>
            <w:pPr>
              <w:snapToGrid w:val="0"/>
              <w:jc w:val="center"/>
              <w:rPr>
                <w:color w:val="auto"/>
                <w:szCs w:val="21"/>
              </w:rPr>
            </w:pPr>
            <w:r>
              <w:rPr>
                <w:color w:val="auto"/>
                <w:szCs w:val="21"/>
              </w:rPr>
              <w:t>--</w:t>
            </w:r>
          </w:p>
        </w:tc>
        <w:tc>
          <w:tcPr>
            <w:tcW w:w="1017" w:type="dxa"/>
            <w:vAlign w:val="center"/>
          </w:tcPr>
          <w:p>
            <w:pPr>
              <w:snapToGrid w:val="0"/>
              <w:jc w:val="center"/>
              <w:rPr>
                <w:color w:val="auto"/>
                <w:szCs w:val="21"/>
              </w:rPr>
            </w:pPr>
            <w:r>
              <w:rPr>
                <w:color w:val="auto"/>
                <w:szCs w:val="21"/>
              </w:rPr>
              <w:t>0.06</w:t>
            </w:r>
          </w:p>
        </w:tc>
        <w:tc>
          <w:tcPr>
            <w:tcW w:w="1469" w:type="dxa"/>
            <w:vAlign w:val="center"/>
          </w:tcPr>
          <w:p>
            <w:pPr>
              <w:snapToGrid w:val="0"/>
              <w:jc w:val="center"/>
              <w:rPr>
                <w:color w:val="auto"/>
                <w:szCs w:val="21"/>
              </w:rPr>
            </w:pPr>
            <w:r>
              <w:rPr>
                <w:color w:val="auto"/>
                <w:szCs w:val="21"/>
              </w:rPr>
              <w:t>--</w:t>
            </w:r>
          </w:p>
        </w:tc>
        <w:tc>
          <w:tcPr>
            <w:tcW w:w="1783" w:type="dxa"/>
            <w:vAlign w:val="center"/>
          </w:tcPr>
          <w:p>
            <w:pPr>
              <w:snapToGrid w:val="0"/>
              <w:jc w:val="center"/>
              <w:rPr>
                <w:color w:val="auto"/>
                <w:szCs w:val="21"/>
              </w:rPr>
            </w:pPr>
            <w:r>
              <w:rPr>
                <w:color w:val="auto"/>
                <w:szCs w:val="21"/>
              </w:rPr>
              <w:t>《恶臭污染物排放标准》（GB14554-93）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888" w:type="dxa"/>
            <w:vMerge w:val="restart"/>
            <w:vAlign w:val="center"/>
          </w:tcPr>
          <w:p>
            <w:pPr>
              <w:pStyle w:val="408"/>
              <w:rPr>
                <w:rFonts w:ascii="Times New Roman" w:hAnsi="Times New Roman" w:eastAsia="宋体" w:cs="Times New Roman"/>
                <w:color w:val="auto"/>
                <w:kern w:val="2"/>
                <w:sz w:val="21"/>
                <w:szCs w:val="21"/>
                <w:lang w:val="zh-CN" w:eastAsia="zh-CN" w:bidi="ar-SA"/>
              </w:rPr>
            </w:pPr>
            <w:r>
              <w:rPr>
                <w:color w:val="auto"/>
                <w:szCs w:val="21"/>
                <w:lang w:val="en-US"/>
              </w:rPr>
              <w:t>VOCs</w:t>
            </w:r>
          </w:p>
        </w:tc>
        <w:tc>
          <w:tcPr>
            <w:tcW w:w="1035" w:type="dxa"/>
            <w:vAlign w:val="center"/>
          </w:tcPr>
          <w:p>
            <w:pPr>
              <w:pStyle w:val="408"/>
              <w:rPr>
                <w:rFonts w:hint="default" w:ascii="Times New Roman" w:hAnsi="Times New Roman" w:eastAsia="宋体" w:cs="Times New Roman"/>
                <w:color w:val="auto"/>
                <w:kern w:val="2"/>
                <w:sz w:val="21"/>
                <w:szCs w:val="21"/>
                <w:lang w:val="en-US" w:eastAsia="zh-CN" w:bidi="ar-SA"/>
              </w:rPr>
            </w:pPr>
            <w:r>
              <w:rPr>
                <w:rFonts w:hint="eastAsia"/>
                <w:bCs/>
                <w:color w:val="auto"/>
                <w:szCs w:val="21"/>
                <w:lang w:val="en-US" w:eastAsia="zh-CN"/>
              </w:rPr>
              <w:t>10</w:t>
            </w:r>
          </w:p>
        </w:tc>
        <w:tc>
          <w:tcPr>
            <w:tcW w:w="887" w:type="dxa"/>
            <w:vAlign w:val="center"/>
          </w:tcPr>
          <w:p>
            <w:pPr>
              <w:pStyle w:val="408"/>
              <w:rPr>
                <w:rFonts w:ascii="Times New Roman" w:hAnsi="Times New Roman" w:eastAsia="宋体" w:cs="Times New Roman"/>
                <w:color w:val="auto"/>
                <w:kern w:val="2"/>
                <w:sz w:val="21"/>
                <w:szCs w:val="21"/>
                <w:lang w:val="zh-CN" w:eastAsia="zh-CN" w:bidi="ar-SA"/>
              </w:rPr>
            </w:pPr>
            <w:r>
              <w:rPr>
                <w:color w:val="auto"/>
                <w:szCs w:val="21"/>
              </w:rPr>
              <w:t>15</w:t>
            </w:r>
          </w:p>
        </w:tc>
        <w:tc>
          <w:tcPr>
            <w:tcW w:w="838" w:type="dxa"/>
            <w:vAlign w:val="center"/>
          </w:tcPr>
          <w:p>
            <w:pPr>
              <w:pStyle w:val="408"/>
              <w:rPr>
                <w:rFonts w:hint="default" w:ascii="Times New Roman" w:hAnsi="Times New Roman" w:eastAsia="宋体" w:cs="Times New Roman"/>
                <w:color w:val="auto"/>
                <w:kern w:val="2"/>
                <w:sz w:val="21"/>
                <w:szCs w:val="21"/>
                <w:lang w:val="en-US" w:eastAsia="zh-CN" w:bidi="ar-SA"/>
              </w:rPr>
            </w:pPr>
            <w:r>
              <w:rPr>
                <w:rFonts w:hint="eastAsia" w:eastAsia="宋体" w:cs="Times New Roman"/>
                <w:color w:val="auto"/>
                <w:kern w:val="2"/>
                <w:sz w:val="21"/>
                <w:szCs w:val="21"/>
                <w:lang w:val="en-US" w:eastAsia="zh-CN" w:bidi="ar-SA"/>
              </w:rPr>
              <w:t>1</w:t>
            </w:r>
          </w:p>
        </w:tc>
        <w:tc>
          <w:tcPr>
            <w:tcW w:w="1033" w:type="dxa"/>
            <w:vAlign w:val="center"/>
          </w:tcPr>
          <w:p>
            <w:pPr>
              <w:pStyle w:val="408"/>
              <w:rPr>
                <w:rFonts w:ascii="Times New Roman" w:hAnsi="Times New Roman" w:eastAsia="宋体" w:cs="Times New Roman"/>
                <w:color w:val="auto"/>
                <w:kern w:val="2"/>
                <w:sz w:val="21"/>
                <w:szCs w:val="21"/>
                <w:lang w:val="zh-CN" w:eastAsia="zh-CN" w:bidi="ar-SA"/>
              </w:rPr>
            </w:pPr>
            <w:r>
              <w:rPr>
                <w:color w:val="auto"/>
                <w:szCs w:val="21"/>
              </w:rPr>
              <w:t>--</w:t>
            </w:r>
          </w:p>
        </w:tc>
        <w:tc>
          <w:tcPr>
            <w:tcW w:w="1017" w:type="dxa"/>
            <w:vAlign w:val="center"/>
          </w:tcPr>
          <w:p>
            <w:pPr>
              <w:pStyle w:val="408"/>
              <w:rPr>
                <w:rFonts w:ascii="Times New Roman" w:hAnsi="Times New Roman" w:eastAsia="宋体" w:cs="Times New Roman"/>
                <w:color w:val="auto"/>
                <w:kern w:val="2"/>
                <w:sz w:val="21"/>
                <w:szCs w:val="21"/>
                <w:lang w:val="en-US" w:eastAsia="zh-CN" w:bidi="ar-SA"/>
              </w:rPr>
            </w:pPr>
            <w:r>
              <w:rPr>
                <w:color w:val="auto"/>
                <w:szCs w:val="21"/>
              </w:rPr>
              <w:t>2.0</w:t>
            </w:r>
          </w:p>
        </w:tc>
        <w:tc>
          <w:tcPr>
            <w:tcW w:w="1469" w:type="dxa"/>
            <w:vAlign w:val="center"/>
          </w:tcPr>
          <w:p>
            <w:pPr>
              <w:snapToGrid w:val="0"/>
              <w:jc w:val="center"/>
              <w:rPr>
                <w:color w:val="auto"/>
                <w:szCs w:val="21"/>
              </w:rPr>
            </w:pPr>
            <w:r>
              <w:rPr>
                <w:rFonts w:hint="eastAsia"/>
                <w:color w:val="auto"/>
                <w:szCs w:val="21"/>
              </w:rPr>
              <w:t>轮胎企业及其他制品企业炼胶、硫化工艺</w:t>
            </w:r>
          </w:p>
        </w:tc>
        <w:tc>
          <w:tcPr>
            <w:tcW w:w="1783" w:type="dxa"/>
            <w:vMerge w:val="restart"/>
            <w:vAlign w:val="center"/>
          </w:tcPr>
          <w:p>
            <w:pPr>
              <w:snapToGrid w:val="0"/>
              <w:jc w:val="center"/>
              <w:rPr>
                <w:color w:val="auto"/>
                <w:szCs w:val="21"/>
              </w:rPr>
            </w:pPr>
            <w:r>
              <w:rPr>
                <w:color w:val="auto"/>
                <w:szCs w:val="21"/>
                <w:lang w:val="en-US"/>
              </w:rPr>
              <w:t>《工业企业挥发性有机物排放控制标准》（DB12/524-2014）中表2中标准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888" w:type="dxa"/>
            <w:vMerge w:val="continue"/>
            <w:vAlign w:val="center"/>
          </w:tcPr>
          <w:p>
            <w:pPr>
              <w:pStyle w:val="408"/>
              <w:rPr>
                <w:color w:val="auto"/>
                <w:szCs w:val="21"/>
                <w:lang w:val="en-US"/>
              </w:rPr>
            </w:pPr>
          </w:p>
        </w:tc>
        <w:tc>
          <w:tcPr>
            <w:tcW w:w="1035" w:type="dxa"/>
            <w:vAlign w:val="center"/>
          </w:tcPr>
          <w:p>
            <w:pPr>
              <w:pStyle w:val="408"/>
              <w:rPr>
                <w:rFonts w:hint="default"/>
                <w:bCs/>
                <w:color w:val="auto"/>
                <w:szCs w:val="21"/>
                <w:lang w:val="en-US" w:eastAsia="zh-CN"/>
              </w:rPr>
            </w:pPr>
            <w:r>
              <w:rPr>
                <w:rFonts w:hint="eastAsia"/>
                <w:bCs/>
                <w:color w:val="auto"/>
                <w:szCs w:val="21"/>
                <w:lang w:val="en-US" w:eastAsia="zh-CN"/>
              </w:rPr>
              <w:t>100</w:t>
            </w:r>
          </w:p>
        </w:tc>
        <w:tc>
          <w:tcPr>
            <w:tcW w:w="887" w:type="dxa"/>
            <w:vAlign w:val="center"/>
          </w:tcPr>
          <w:p>
            <w:pPr>
              <w:pStyle w:val="408"/>
              <w:rPr>
                <w:color w:val="auto"/>
                <w:szCs w:val="21"/>
              </w:rPr>
            </w:pPr>
            <w:r>
              <w:rPr>
                <w:color w:val="auto"/>
                <w:szCs w:val="21"/>
              </w:rPr>
              <w:t>15</w:t>
            </w:r>
          </w:p>
        </w:tc>
        <w:tc>
          <w:tcPr>
            <w:tcW w:w="838" w:type="dxa"/>
            <w:vAlign w:val="center"/>
          </w:tcPr>
          <w:p>
            <w:pPr>
              <w:pStyle w:val="408"/>
              <w:rPr>
                <w:rFonts w:hint="default" w:eastAsia="宋体" w:cs="Times New Roman"/>
                <w:color w:val="auto"/>
                <w:kern w:val="2"/>
                <w:sz w:val="21"/>
                <w:szCs w:val="21"/>
                <w:lang w:val="en-US" w:eastAsia="zh-CN" w:bidi="ar-SA"/>
              </w:rPr>
            </w:pPr>
            <w:r>
              <w:rPr>
                <w:rFonts w:hint="eastAsia" w:eastAsia="宋体" w:cs="Times New Roman"/>
                <w:color w:val="auto"/>
                <w:kern w:val="2"/>
                <w:sz w:val="21"/>
                <w:szCs w:val="21"/>
                <w:lang w:val="en-US" w:eastAsia="zh-CN" w:bidi="ar-SA"/>
              </w:rPr>
              <w:t>2.5</w:t>
            </w:r>
          </w:p>
        </w:tc>
        <w:tc>
          <w:tcPr>
            <w:tcW w:w="1033" w:type="dxa"/>
            <w:vAlign w:val="center"/>
          </w:tcPr>
          <w:p>
            <w:pPr>
              <w:pStyle w:val="408"/>
              <w:rPr>
                <w:color w:val="auto"/>
                <w:szCs w:val="21"/>
              </w:rPr>
            </w:pPr>
            <w:r>
              <w:rPr>
                <w:color w:val="auto"/>
                <w:szCs w:val="21"/>
              </w:rPr>
              <w:t>--</w:t>
            </w:r>
          </w:p>
        </w:tc>
        <w:tc>
          <w:tcPr>
            <w:tcW w:w="1017" w:type="dxa"/>
            <w:vAlign w:val="center"/>
          </w:tcPr>
          <w:p>
            <w:pPr>
              <w:pStyle w:val="408"/>
              <w:rPr>
                <w:color w:val="auto"/>
                <w:szCs w:val="21"/>
              </w:rPr>
            </w:pPr>
            <w:r>
              <w:rPr>
                <w:color w:val="auto"/>
                <w:szCs w:val="21"/>
              </w:rPr>
              <w:t>2.0</w:t>
            </w:r>
          </w:p>
        </w:tc>
        <w:tc>
          <w:tcPr>
            <w:tcW w:w="1469" w:type="dxa"/>
            <w:vAlign w:val="center"/>
          </w:tcPr>
          <w:p>
            <w:pPr>
              <w:snapToGrid w:val="0"/>
              <w:jc w:val="center"/>
              <w:rPr>
                <w:color w:val="auto"/>
                <w:szCs w:val="21"/>
              </w:rPr>
            </w:pPr>
            <w:r>
              <w:rPr>
                <w:rFonts w:hint="eastAsia"/>
                <w:color w:val="auto"/>
                <w:szCs w:val="21"/>
              </w:rPr>
              <w:t>轮胎企业及其他制品企业胶浆制备、浸浆、胶浆喷涂和涂胶工艺</w:t>
            </w:r>
          </w:p>
        </w:tc>
        <w:tc>
          <w:tcPr>
            <w:tcW w:w="1783" w:type="dxa"/>
            <w:vMerge w:val="continue"/>
            <w:vAlign w:val="center"/>
          </w:tcPr>
          <w:p>
            <w:pPr>
              <w:snapToGrid w:val="0"/>
              <w:jc w:val="center"/>
              <w:rPr>
                <w:color w:val="auto"/>
                <w:szCs w:val="21"/>
                <w:lang w:val="en-US"/>
              </w:rPr>
            </w:pPr>
          </w:p>
        </w:tc>
      </w:tr>
    </w:tbl>
    <w:p>
      <w:pPr>
        <w:pStyle w:val="107"/>
        <w:tabs>
          <w:tab w:val="left" w:pos="803"/>
        </w:tabs>
        <w:spacing w:before="1"/>
        <w:ind w:left="23"/>
        <w:jc w:val="center"/>
        <w:rPr>
          <w:b/>
          <w:color w:val="auto"/>
        </w:rPr>
      </w:pPr>
    </w:p>
    <w:p>
      <w:pPr>
        <w:autoSpaceDE w:val="0"/>
        <w:autoSpaceDN w:val="0"/>
        <w:adjustRightInd w:val="0"/>
        <w:spacing w:line="520" w:lineRule="exact"/>
        <w:ind w:firstLine="480" w:firstLineChars="200"/>
        <w:rPr>
          <w:color w:val="auto"/>
          <w:kern w:val="0"/>
          <w:sz w:val="24"/>
        </w:rPr>
      </w:pPr>
      <w:r>
        <w:rPr>
          <w:color w:val="auto"/>
          <w:kern w:val="0"/>
          <w:sz w:val="24"/>
        </w:rPr>
        <w:t>（2）废水排放标准</w:t>
      </w:r>
    </w:p>
    <w:p>
      <w:pPr>
        <w:spacing w:line="500" w:lineRule="exact"/>
        <w:ind w:firstLine="480" w:firstLineChars="200"/>
        <w:rPr>
          <w:b/>
          <w:color w:val="auto"/>
          <w:sz w:val="24"/>
          <w:szCs w:val="22"/>
        </w:rPr>
      </w:pPr>
      <w:r>
        <w:rPr>
          <w:color w:val="auto"/>
          <w:sz w:val="24"/>
        </w:rPr>
        <w:t>项目</w:t>
      </w:r>
      <w:r>
        <w:rPr>
          <w:rFonts w:hint="eastAsia"/>
          <w:color w:val="auto"/>
          <w:sz w:val="24"/>
          <w:lang w:eastAsia="zh-CN"/>
        </w:rPr>
        <w:t>生活污水经化粪池预处理后排入市政污水管网</w:t>
      </w:r>
      <w:r>
        <w:rPr>
          <w:color w:val="auto"/>
          <w:sz w:val="24"/>
        </w:rPr>
        <w:t>，</w:t>
      </w:r>
      <w:r>
        <w:rPr>
          <w:rFonts w:hint="eastAsia"/>
          <w:color w:val="auto"/>
          <w:sz w:val="24"/>
          <w:lang w:eastAsia="zh-CN"/>
        </w:rPr>
        <w:t>进入宁国市污水处理厂</w:t>
      </w:r>
      <w:r>
        <w:rPr>
          <w:color w:val="auto"/>
          <w:sz w:val="24"/>
        </w:rPr>
        <w:t>。废水排放执行《橡胶制品工业污染物排放标准》（GB27632-2011）表2中新建企业水污染物间接排放限值及</w:t>
      </w:r>
      <w:r>
        <w:rPr>
          <w:rFonts w:hint="eastAsia"/>
          <w:color w:val="auto"/>
          <w:sz w:val="24"/>
          <w:lang w:eastAsia="zh-CN"/>
        </w:rPr>
        <w:t>宁国市污水处理厂</w:t>
      </w:r>
      <w:r>
        <w:rPr>
          <w:color w:val="auto"/>
          <w:sz w:val="24"/>
        </w:rPr>
        <w:t>接管</w:t>
      </w:r>
      <w:r>
        <w:rPr>
          <w:rFonts w:hint="eastAsia"/>
          <w:color w:val="auto"/>
          <w:sz w:val="24"/>
        </w:rPr>
        <w:t>标准</w:t>
      </w:r>
      <w:r>
        <w:rPr>
          <w:color w:val="auto"/>
          <w:sz w:val="24"/>
        </w:rPr>
        <w:t>。</w:t>
      </w:r>
      <w:r>
        <w:rPr>
          <w:rFonts w:hint="eastAsia"/>
          <w:color w:val="auto"/>
          <w:sz w:val="24"/>
          <w:lang w:eastAsia="zh-CN"/>
        </w:rPr>
        <w:t>宁国市污水处理厂</w:t>
      </w:r>
      <w:r>
        <w:rPr>
          <w:rFonts w:hint="eastAsia" w:ascii="Times New Roman" w:hAnsi="Times New Roman" w:cs="Times New Roman"/>
          <w:color w:val="auto"/>
          <w:sz w:val="24"/>
          <w:lang w:eastAsia="zh-CN"/>
        </w:rPr>
        <w:t>执行</w:t>
      </w:r>
      <w:r>
        <w:rPr>
          <w:color w:val="auto"/>
          <w:sz w:val="24"/>
        </w:rPr>
        <w:t>《城镇污水处理厂污染物排放标准》(GB18918—2002)一级</w:t>
      </w:r>
      <w:r>
        <w:rPr>
          <w:rFonts w:hint="eastAsia"/>
          <w:color w:val="auto"/>
          <w:sz w:val="24"/>
          <w:lang w:val="en-US" w:eastAsia="zh-CN"/>
        </w:rPr>
        <w:t>A</w:t>
      </w:r>
      <w:r>
        <w:rPr>
          <w:color w:val="auto"/>
          <w:sz w:val="24"/>
        </w:rPr>
        <w:t>标准</w:t>
      </w:r>
      <w:r>
        <w:rPr>
          <w:rFonts w:hint="eastAsia"/>
          <w:color w:val="auto"/>
          <w:sz w:val="24"/>
          <w:lang w:eastAsia="zh-CN"/>
        </w:rPr>
        <w:t>。</w:t>
      </w:r>
      <w:r>
        <w:rPr>
          <w:color w:val="auto"/>
          <w:sz w:val="24"/>
        </w:rPr>
        <w:t>具体见下表：</w:t>
      </w:r>
    </w:p>
    <w:p>
      <w:pPr>
        <w:jc w:val="center"/>
        <w:rPr>
          <w:b/>
          <w:color w:val="auto"/>
          <w:sz w:val="24"/>
          <w:szCs w:val="22"/>
        </w:rPr>
      </w:pPr>
      <w:r>
        <w:rPr>
          <w:b/>
          <w:color w:val="auto"/>
          <w:sz w:val="24"/>
          <w:szCs w:val="22"/>
        </w:rPr>
        <w:t>表2-1</w:t>
      </w:r>
      <w:r>
        <w:rPr>
          <w:rFonts w:hint="eastAsia"/>
          <w:b/>
          <w:color w:val="auto"/>
          <w:sz w:val="24"/>
          <w:szCs w:val="22"/>
          <w:lang w:val="en-US" w:eastAsia="zh-CN"/>
        </w:rPr>
        <w:t>0</w:t>
      </w:r>
      <w:r>
        <w:rPr>
          <w:b/>
          <w:color w:val="auto"/>
          <w:sz w:val="24"/>
          <w:szCs w:val="22"/>
        </w:rPr>
        <w:t xml:space="preserve">  废水排放标准</w:t>
      </w:r>
    </w:p>
    <w:tbl>
      <w:tblPr>
        <w:tblStyle w:val="5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61"/>
        <w:gridCol w:w="969"/>
        <w:gridCol w:w="970"/>
        <w:gridCol w:w="970"/>
        <w:gridCol w:w="970"/>
        <w:gridCol w:w="969"/>
        <w:gridCol w:w="804"/>
        <w:gridCol w:w="113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85" w:hRule="atLeast"/>
          <w:jc w:val="center"/>
        </w:trPr>
        <w:tc>
          <w:tcPr>
            <w:tcW w:w="2161" w:type="dxa"/>
            <w:vAlign w:val="center"/>
          </w:tcPr>
          <w:p>
            <w:pPr>
              <w:spacing w:line="360" w:lineRule="exact"/>
              <w:ind w:firstLine="840" w:firstLineChars="400"/>
              <w:rPr>
                <w:color w:val="auto"/>
                <w:szCs w:val="21"/>
              </w:rPr>
            </w:pPr>
            <w:r>
              <w:rPr>
                <w:color w:val="auto"/>
                <w:szCs w:val="21"/>
                <w:lang w:val="zh-CN"/>
              </w:rPr>
              <mc:AlternateContent>
                <mc:Choice Requires="wpg">
                  <w:drawing>
                    <wp:anchor distT="0" distB="0" distL="114300" distR="114300" simplePos="0" relativeHeight="251679744" behindDoc="0" locked="0" layoutInCell="1" allowOverlap="1">
                      <wp:simplePos x="0" y="0"/>
                      <wp:positionH relativeFrom="column">
                        <wp:posOffset>-53340</wp:posOffset>
                      </wp:positionH>
                      <wp:positionV relativeFrom="paragraph">
                        <wp:posOffset>8255</wp:posOffset>
                      </wp:positionV>
                      <wp:extent cx="1371600" cy="690245"/>
                      <wp:effectExtent l="1905" t="4445" r="13335" b="6350"/>
                      <wp:wrapNone/>
                      <wp:docPr id="14" name="Group 2"/>
                      <wp:cNvGraphicFramePr/>
                      <a:graphic xmlns:a="http://schemas.openxmlformats.org/drawingml/2006/main">
                        <a:graphicData uri="http://schemas.microsoft.com/office/word/2010/wordprocessingGroup">
                          <wpg:wgp>
                            <wpg:cNvGrpSpPr/>
                            <wpg:grpSpPr>
                              <a:xfrm>
                                <a:off x="0" y="0"/>
                                <a:ext cx="1371600" cy="690245"/>
                                <a:chOff x="0" y="0"/>
                                <a:chExt cx="4207" cy="466"/>
                              </a:xfrm>
                            </wpg:grpSpPr>
                            <wps:wsp>
                              <wps:cNvPr id="7" name="__TH_L4048"/>
                              <wps:cNvCnPr/>
                              <wps:spPr>
                                <a:xfrm>
                                  <a:off x="0" y="0"/>
                                  <a:ext cx="4207" cy="455"/>
                                </a:xfrm>
                                <a:prstGeom prst="line">
                                  <a:avLst/>
                                </a:prstGeom>
                                <a:ln w="6350" cap="flat" cmpd="sng">
                                  <a:solidFill>
                                    <a:srgbClr val="000000"/>
                                  </a:solidFill>
                                  <a:prstDash val="solid"/>
                                  <a:headEnd type="none" w="med" len="med"/>
                                  <a:tailEnd type="none" w="med" len="med"/>
                                </a:ln>
                              </wps:spPr>
                              <wps:bodyPr/>
                            </wps:wsp>
                            <wps:wsp>
                              <wps:cNvPr id="8" name="__TH_B114049"/>
                              <wps:cNvSpPr txBox="1"/>
                              <wps:spPr>
                                <a:xfrm>
                                  <a:off x="2506" y="26"/>
                                  <a:ext cx="252" cy="262"/>
                                </a:xfrm>
                                <a:prstGeom prst="rect">
                                  <a:avLst/>
                                </a:prstGeom>
                                <a:noFill/>
                                <a:ln>
                                  <a:noFill/>
                                </a:ln>
                              </wps:spPr>
                              <wps:txbx>
                                <w:txbxContent>
                                  <w:p>
                                    <w:pPr>
                                      <w:snapToGrid w:val="0"/>
                                    </w:pPr>
                                  </w:p>
                                </w:txbxContent>
                              </wps:txbx>
                              <wps:bodyPr vert="horz" wrap="square" lIns="0" tIns="0" rIns="0" bIns="0" anchor="t" upright="1"/>
                            </wps:wsp>
                            <wps:wsp>
                              <wps:cNvPr id="9" name="__TH_B124050"/>
                              <wps:cNvSpPr txBox="1"/>
                              <wps:spPr>
                                <a:xfrm>
                                  <a:off x="3472" y="130"/>
                                  <a:ext cx="252" cy="263"/>
                                </a:xfrm>
                                <a:prstGeom prst="rect">
                                  <a:avLst/>
                                </a:prstGeom>
                                <a:noFill/>
                                <a:ln>
                                  <a:noFill/>
                                </a:ln>
                              </wps:spPr>
                              <wps:txbx>
                                <w:txbxContent>
                                  <w:p>
                                    <w:pPr>
                                      <w:snapToGrid w:val="0"/>
                                    </w:pPr>
                                  </w:p>
                                </w:txbxContent>
                              </wps:txbx>
                              <wps:bodyPr vert="horz" wrap="square" lIns="0" tIns="0" rIns="0" bIns="0" anchor="t" upright="1"/>
                            </wps:wsp>
                            <wps:wsp>
                              <wps:cNvPr id="10" name="__TH_B214051"/>
                              <wps:cNvSpPr txBox="1"/>
                              <wps:spPr>
                                <a:xfrm>
                                  <a:off x="144" y="114"/>
                                  <a:ext cx="252" cy="262"/>
                                </a:xfrm>
                                <a:prstGeom prst="rect">
                                  <a:avLst/>
                                </a:prstGeom>
                                <a:noFill/>
                                <a:ln>
                                  <a:noFill/>
                                </a:ln>
                              </wps:spPr>
                              <wps:txbx>
                                <w:txbxContent>
                                  <w:p>
                                    <w:pPr>
                                      <w:snapToGrid w:val="0"/>
                                    </w:pPr>
                                    <w:r>
                                      <w:rPr>
                                        <w:rFonts w:hint="eastAsia"/>
                                      </w:rPr>
                                      <w:t>标</w:t>
                                    </w:r>
                                  </w:p>
                                </w:txbxContent>
                              </wps:txbx>
                              <wps:bodyPr vert="horz" wrap="square" lIns="0" tIns="0" rIns="0" bIns="0" anchor="t" upright="1"/>
                            </wps:wsp>
                            <wps:wsp>
                              <wps:cNvPr id="11" name="__TH_B224052"/>
                              <wps:cNvSpPr txBox="1"/>
                              <wps:spPr>
                                <a:xfrm>
                                  <a:off x="421" y="144"/>
                                  <a:ext cx="252" cy="262"/>
                                </a:xfrm>
                                <a:prstGeom prst="rect">
                                  <a:avLst/>
                                </a:prstGeom>
                                <a:noFill/>
                                <a:ln>
                                  <a:noFill/>
                                </a:ln>
                              </wps:spPr>
                              <wps:txbx>
                                <w:txbxContent>
                                  <w:p>
                                    <w:pPr>
                                      <w:snapToGrid w:val="0"/>
                                    </w:pPr>
                                    <w:r>
                                      <w:rPr>
                                        <w:rFonts w:hint="eastAsia"/>
                                      </w:rPr>
                                      <w:t>准</w:t>
                                    </w:r>
                                  </w:p>
                                </w:txbxContent>
                              </wps:txbx>
                              <wps:bodyPr vert="horz" wrap="square" lIns="0" tIns="0" rIns="0" bIns="0" anchor="t" upright="1"/>
                            </wps:wsp>
                            <wps:wsp>
                              <wps:cNvPr id="12" name="__TH_B234053"/>
                              <wps:cNvSpPr txBox="1"/>
                              <wps:spPr>
                                <a:xfrm>
                                  <a:off x="698" y="174"/>
                                  <a:ext cx="252" cy="262"/>
                                </a:xfrm>
                                <a:prstGeom prst="rect">
                                  <a:avLst/>
                                </a:prstGeom>
                                <a:noFill/>
                                <a:ln>
                                  <a:noFill/>
                                </a:ln>
                              </wps:spPr>
                              <wps:txbx>
                                <w:txbxContent>
                                  <w:p>
                                    <w:pPr>
                                      <w:snapToGrid w:val="0"/>
                                    </w:pPr>
                                    <w:r>
                                      <w:rPr>
                                        <w:rFonts w:hint="eastAsia"/>
                                      </w:rPr>
                                      <w:t>来</w:t>
                                    </w:r>
                                  </w:p>
                                </w:txbxContent>
                              </wps:txbx>
                              <wps:bodyPr vert="horz" wrap="square" lIns="0" tIns="0" rIns="0" bIns="0" anchor="t" upright="1"/>
                            </wps:wsp>
                            <wps:wsp>
                              <wps:cNvPr id="13" name="__TH_B244054"/>
                              <wps:cNvSpPr txBox="1"/>
                              <wps:spPr>
                                <a:xfrm>
                                  <a:off x="975" y="204"/>
                                  <a:ext cx="252" cy="262"/>
                                </a:xfrm>
                                <a:prstGeom prst="rect">
                                  <a:avLst/>
                                </a:prstGeom>
                                <a:noFill/>
                                <a:ln>
                                  <a:noFill/>
                                </a:ln>
                              </wps:spPr>
                              <wps:txbx>
                                <w:txbxContent>
                                  <w:p>
                                    <w:pPr>
                                      <w:snapToGrid w:val="0"/>
                                    </w:pPr>
                                    <w:r>
                                      <w:rPr>
                                        <w:rFonts w:hint="eastAsia"/>
                                      </w:rPr>
                                      <w:t>源</w:t>
                                    </w:r>
                                  </w:p>
                                </w:txbxContent>
                              </wps:txbx>
                              <wps:bodyPr vert="horz" wrap="square" lIns="0" tIns="0" rIns="0" bIns="0" anchor="t" upright="1"/>
                            </wps:wsp>
                          </wpg:wgp>
                        </a:graphicData>
                      </a:graphic>
                    </wp:anchor>
                  </w:drawing>
                </mc:Choice>
                <mc:Fallback>
                  <w:pict>
                    <v:group id="Group 2" o:spid="_x0000_s1026" o:spt="203" style="position:absolute;left:0pt;margin-left:-4.2pt;margin-top:0.65pt;height:54.35pt;width:108pt;z-index:251679744;mso-width-relative:page;mso-height-relative:page;" coordsize="4207,466" o:gfxdata="UEsDBAoAAAAAAIdO4kAAAAAAAAAAAAAAAAAEAAAAZHJzL1BLAwQUAAAACACHTuJAu3lQJNgAAAAI&#10;AQAADwAAAGRycy9kb3ducmV2LnhtbE2PwU7DMBBE70j8g7VI3FrbLZQqxKlQBZwqJFokxM2Nt0nU&#10;eB3FbtL+PcuJHmdnNPsmX519KwbsYxPIgJ4qEEhlcA1VBr52b5MliJgsOdsGQgMXjLAqbm9ym7kw&#10;0icO21QJLqGYWQN1Sl0mZSxr9DZOQ4fE3iH03iaWfSVdb0cu962cKbWQ3jbEH2rb4brG8rg9eQPv&#10;ox1f5vp12BwP68vP7vHje6PRmPs7rZ5BJDyn/zD84TM6FMy0DydyUbQGJssHTvJ9DoLtmXpagNiz&#10;1kqBLHJ5PaD4BVBLAwQUAAAACACHTuJAvPK4BDwDAAD6DgAADgAAAGRycy9lMm9Eb2MueG1s7ZfJ&#10;btswEIbvBfoOhO61FstyLMQOkLUFgjZA0nNAS9QCSCRL0pbTp+8MJTmO4xRxiuRS+yBTFLf5v5kh&#10;eXyyqiuyZEqXgk8df+A5hPFEpCXPp87Pu8svRw7RhvKUVoKzqfPAtHMy+/zpuJExC0QhqpQpAoNw&#10;HTdy6hTGyNh1dVKwmuqBkIzDx0yomhp4VbmbKtrA6HXlBp4XuY1QqVQiYVpD7Xn70ZnZ8bOMJeZH&#10;lmlmSDV1YG3GPpV9zvHpzo5pnCsqizLplkHfsIqalhwmXQ91Tg0lC1U+G6ouEyW0yMwgEbUrsqxM&#10;mLUBrPG9LWuulFhIa0seN7lcywTSbun05mGT78sbRcoU2IUO4bQGRnZaEqA2jcxjaHKl5K28UV1F&#10;3r6huatM1fgPhpCVVfVhrSpbGZJApT8c+5EH4ifwLZp4QThqZU8KYPOsW1JcdB3DwBu3vcIowi5u&#10;P6GL61ovo5HgO/pRHv1v8twWVDKrukbbO3lgJa069/d3X++vQy88agWyjc54p46ONQj1Wmk2LBxZ&#10;UdYW0lgqba6YqAkWpk5VclwUjenyWptWjL4JVlecNCDvcIRCU4ikrKIGirUEtprntq8WVZlellWF&#10;PbTK52eVIkuKsWF/nchPmuEk51QXbTv7qcVXMJpe8JSYBwlOwyG8HVxCzVKHVAyyAZZgoTQ2tKxe&#10;0xKsrzhgRqCtjFiai/TBqmvrATS65QcQh8y1QfzU94H5ZIM5RgQxq1OBPt7Xv0A/GHmRQ8D/A+vI&#10;NO6DIxgFrYsHkQ24lx1AQS77mwNwgWCt3igijdcVu2U1q/kKWj8qjGkcHK0Q6jeAhJQIfvNrQRVg&#10;rb5xCCrMn31B9YV5X6A8ga5TB5xuIVWZFzCWleWDsU22sAWhBzHRWQrxvA+2YTgGPIDNH3ZbxQ5u&#10;Qxz8wO3129ruBOuDe23GWwDxNlrH1Z7g/BB2M+QGu5oNiR3cDvGmB3udG17g5m9xw4DrDg92b9wn&#10;4MIARkNuwO/ArT8Wv8uBxofM9iTehsDN5jLcEvaMt2gCuyVyGx+4vfNB1B9ucQuBm1X9Ddwm45Hl&#10;Fnj/Mzd7nYALlt3Gu8sg3uA23+2x9PHKOvsD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rQUAAFtDb250ZW50X1R5cGVzXS54bWxQSwECFAAKAAAA&#10;AACHTuJAAAAAAAAAAAAAAAAABgAAAAAAAAAAABAAAACPBAAAX3JlbHMvUEsBAhQAFAAAAAgAh07i&#10;QIoUZjzRAAAAlAEAAAsAAAAAAAAAAQAgAAAAswQAAF9yZWxzLy5yZWxzUEsBAhQACgAAAAAAh07i&#10;QAAAAAAAAAAAAAAAAAQAAAAAAAAAAAAQAAAAAAAAAGRycy9QSwECFAAUAAAACACHTuJAu3lQJNgA&#10;AAAIAQAADwAAAAAAAAABACAAAAAiAAAAZHJzL2Rvd25yZXYueG1sUEsBAhQAFAAAAAgAh07iQLzy&#10;uAQ8AwAA+g4AAA4AAAAAAAAAAQAgAAAAJwEAAGRycy9lMm9Eb2MueG1sUEsFBgAAAAAGAAYAWQEA&#10;ANUGAAAAAA==&#10;">
                      <o:lock v:ext="edit" aspectratio="f"/>
                      <v:line id="__TH_L4048" o:spid="_x0000_s1026" o:spt="20" style="position:absolute;left:0;top:0;height:455;width:4207;" filled="f" stroked="t" coordsize="21600,21600" o:gfxdata="UEsDBAoAAAAAAIdO4kAAAAAAAAAAAAAAAAAEAAAAZHJzL1BLAwQUAAAACACHTuJAO6I1krsAAADa&#10;AAAADwAAAGRycy9kb3ducmV2LnhtbEWPQUvEMBSE78L+h/AWvLlJharUze5B6LIXD67i+dE822Lz&#10;UpK3zeqvN4LgcZiZb5jt/uIntVBMY2AL1caAIu6CG7m38Pba3jyASoLscApMFr4owX63utpi40Lm&#10;F1pO0qsC4dSghUFkbrRO3UAe0ybMxMX7CNGjFBl77SLmAveTvjXmTnscuSwMONPTQN3n6ewtcCXv&#10;U86Sl/hdH+qqbo/mubX2el2ZR1BCF/kP/7WPzsI9/F4pN0Dvfg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O6I1krsAAADa&#10;AAAADwAAAAAAAAABACAAAAAiAAAAZHJzL2Rvd25yZXYueG1sUEsBAhQAFAAAAAgAh07iQDMvBZ47&#10;AAAAOQAAABAAAAAAAAAAAQAgAAAACgEAAGRycy9zaGFwZXhtbC54bWxQSwUGAAAAAAYABgBbAQAA&#10;tAMAAAAA&#10;">
                        <v:fill on="f" focussize="0,0"/>
                        <v:stroke weight="0.5pt" color="#000000" joinstyle="round"/>
                        <v:imagedata o:title=""/>
                        <o:lock v:ext="edit" aspectratio="f"/>
                      </v:line>
                      <v:shape id="__TH_B114049" o:spid="_x0000_s1026" o:spt="202" type="#_x0000_t202" style="position:absolute;left:2506;top:26;height:262;width:252;" filled="f" stroked="f" coordsize="21600,21600" o:gfxdata="UEsDBAoAAAAAAIdO4kAAAAAAAAAAAAAAAAAEAAAAZHJzL1BLAwQUAAAACACHTuJA8E1q4rkAAADa&#10;AAAADwAAAGRycy9kb3ducmV2LnhtbEVPy4rCMBTdC/MP4Q6400QXoh2jiIwwIIi1Llzeaa5tsLnp&#10;NBkff28WgsvDec+Xd9eIK3XBetYwGioQxKU3lisNx2IzmIIIEdlg45k0PCjAcvHRm2Nm/I1zuh5i&#10;JVIIhww11DG2mZShrMlhGPqWOHFn3zmMCXaVNB3eUrhr5FipiXRoOTXU2NK6pvJy+HcaVifOv+3f&#10;7nefn3NbFDPF28lF6/7nSH2BiHSPb/HL/WM0pK3pSroBcvEE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PBNauK5AAAA2gAA&#10;AA8AAAAAAAAAAQAgAAAAIgAAAGRycy9kb3ducmV2LnhtbFBLAQIUABQAAAAIAIdO4kAzLwWeOwAA&#10;ADkAAAAQAAAAAAAAAAEAIAAAAAgBAABkcnMvc2hhcGV4bWwueG1sUEsFBgAAAAAGAAYAWwEAALID&#10;AAAAAA==&#10;">
                        <v:fill on="f" focussize="0,0"/>
                        <v:stroke on="f"/>
                        <v:imagedata o:title=""/>
                        <o:lock v:ext="edit" aspectratio="f"/>
                        <v:textbox inset="0mm,0mm,0mm,0mm">
                          <w:txbxContent>
                            <w:p>
                              <w:pPr>
                                <w:snapToGrid w:val="0"/>
                              </w:pPr>
                            </w:p>
                          </w:txbxContent>
                        </v:textbox>
                      </v:shape>
                      <v:shape id="__TH_B124050" o:spid="_x0000_s1026" o:spt="202" type="#_x0000_t202" style="position:absolute;left:3472;top:130;height:263;width:252;" filled="f" stroked="f" coordsize="21600,21600" o:gfxdata="UEsDBAoAAAAAAIdO4kAAAAAAAAAAAAAAAAAEAAAAZHJzL1BLAwQUAAAACACHTuJAnwHPeb0AAADa&#10;AAAADwAAAGRycy9kb3ducmV2LnhtbEWPT2sCMRTE70K/Q3iF3jTRg9TV7CJSoVCQruvB43Pz3A1u&#10;Xrab1D/fvikUehxm5jfMqri7TlxpCNazhulEgSCuvbHcaDhU2/EriBCRDXaeScODAhT502iFmfE3&#10;Lum6j41IEA4Zamhj7DMpQ92SwzDxPXHyzn5wGJMcGmkGvCW46+RMqbl0aDkttNjTpqX6sv92GtZH&#10;Lt/s1+70WZ5LW1ULxR/zi9Yvz1O1BBHpHv/Df+13o2EBv1fSDZD5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fAc95vQAA&#10;ANo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napToGrid w:val="0"/>
                              </w:pPr>
                            </w:p>
                          </w:txbxContent>
                        </v:textbox>
                      </v:shape>
                      <v:shape id="__TH_B214051" o:spid="_x0000_s1026" o:spt="202" type="#_x0000_t202" style="position:absolute;left:144;top:114;height:262;width:252;" filled="f" stroked="f" coordsize="21600,21600" o:gfxdata="UEsDBAoAAAAAAIdO4kAAAAAAAAAAAAAAAAAEAAAAZHJzL1BLAwQUAAAACACHTuJACgrxuL4AAADb&#10;AAAADwAAAGRycy9kb3ducmV2LnhtbEWPQWsCMRCF74X+hzCF3mqiB9GtUUQqFAql63rwON2Mu8HN&#10;ZLtJ1f77zkHwNsN78943i9U1dOpMQ/KRLYxHBhRxHZ3nxsK+2r7MQKWM7LCLTBb+KMFq+fiwwMLF&#10;C5d03uVGSQinAi20OfeF1qluKWAaxZ5YtGMcAmZZh0a7AS8SHjo9MWaqA3qWhhZ72rRUn3a/wcL6&#10;wOWb//n8/iqPpa+queGP6cna56exeQWV6Zrv5tv1uxN8oZdfZAC9/A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grxuL4A&#10;AADb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napToGrid w:val="0"/>
                              </w:pPr>
                              <w:r>
                                <w:rPr>
                                  <w:rFonts w:hint="eastAsia"/>
                                </w:rPr>
                                <w:t>标</w:t>
                              </w:r>
                            </w:p>
                          </w:txbxContent>
                        </v:textbox>
                      </v:shape>
                      <v:shape id="__TH_B224052" o:spid="_x0000_s1026" o:spt="202" type="#_x0000_t202" style="position:absolute;left:421;top:144;height:262;width:252;" filled="f" stroked="f" coordsize="21600,21600" o:gfxdata="UEsDBAoAAAAAAIdO4kAAAAAAAAAAAAAAAAAEAAAAZHJzL1BLAwQUAAAACACHTuJAZUZUI7sAAADb&#10;AAAADwAAAGRycy9kb3ducmV2LnhtbEVPS2sCMRC+F/wPYQRvNdkexK5GEbFQEMR1PXgcN+NucDPZ&#10;buKj/74pFHqbj+858+XTteJOfbCeNWRjBYK48sZyreFYfrxOQYSIbLD1TBq+KcByMXiZY278gwu6&#10;H2ItUgiHHDU0MXa5lKFqyGEY+444cRffO4wJ9rU0PT5SuGvlm1IT6dByamiwo3VD1fVwcxpWJy42&#10;9mt33heXwpblu+Lt5Kr1aJipGYhIz/gv/nN/mjQ/g99f0gFy8Q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ZUZUI7sAAADb&#10;AAAADwAAAAAAAAABACAAAAAiAAAAZHJzL2Rvd25yZXYueG1sUEsBAhQAFAAAAAgAh07iQDMvBZ47&#10;AAAAOQAAABAAAAAAAAAAAQAgAAAACgEAAGRycy9zaGFwZXhtbC54bWxQSwUGAAAAAAYABgBbAQAA&#10;tAMAAAAA&#10;">
                        <v:fill on="f" focussize="0,0"/>
                        <v:stroke on="f"/>
                        <v:imagedata o:title=""/>
                        <o:lock v:ext="edit" aspectratio="f"/>
                        <v:textbox inset="0mm,0mm,0mm,0mm">
                          <w:txbxContent>
                            <w:p>
                              <w:pPr>
                                <w:snapToGrid w:val="0"/>
                              </w:pPr>
                              <w:r>
                                <w:rPr>
                                  <w:rFonts w:hint="eastAsia"/>
                                </w:rPr>
                                <w:t>准</w:t>
                              </w:r>
                            </w:p>
                          </w:txbxContent>
                        </v:textbox>
                      </v:shape>
                      <v:shape id="__TH_B234053" o:spid="_x0000_s1026" o:spt="202" type="#_x0000_t202" style="position:absolute;left:698;top:174;height:262;width:252;" filled="f" stroked="f" coordsize="21600,21600" o:gfxdata="UEsDBAoAAAAAAIdO4kAAAAAAAAAAAAAAAAAEAAAAZHJzL1BLAwQUAAAACACHTuJAlZTKVLwAAADb&#10;AAAADwAAAGRycy9kb3ducmV2LnhtbEVPS2sCMRC+C/0PYQq9aaIHaVezi0gLhULpuh48jptxN7iZ&#10;bDepj39vBKG3+fiesywurhMnGoL1rGE6USCIa28sNxq21cf4FUSIyAY7z6ThSgGK/Gm0xMz4M5d0&#10;2sRGpBAOGWpoY+wzKUPdksMw8T1x4g5+cBgTHBppBjyncNfJmVJz6dByamixp3VL9XHz5zSsdly+&#10;29/v/U95KG1VvSn+mh+1fnmeqgWISJf4L364P02aP4P7L+kAmd8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WUylS8AAAA&#10;2w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snapToGrid w:val="0"/>
                              </w:pPr>
                              <w:r>
                                <w:rPr>
                                  <w:rFonts w:hint="eastAsia"/>
                                </w:rPr>
                                <w:t>来</w:t>
                              </w:r>
                            </w:p>
                          </w:txbxContent>
                        </v:textbox>
                      </v:shape>
                      <v:shape id="__TH_B244054" o:spid="_x0000_s1026" o:spt="202" type="#_x0000_t202" style="position:absolute;left:975;top:204;height:262;width:252;" filled="f" stroked="f" coordsize="21600,21600" o:gfxdata="UEsDBAoAAAAAAIdO4kAAAAAAAAAAAAAAAAAEAAAAZHJzL1BLAwQUAAAACACHTuJA+thvz7wAAADb&#10;AAAADwAAAGRycy9kb3ducmV2LnhtbEVP32vCMBB+F/Y/hBv4pokTRDtjGcPBYCCr3cMeb83ZhjaX&#10;2mTq/nszEHy7j+/nrfOL68SJhmA9a5hNFQjiyhvLtYav8m2yBBEissHOM2n4owD55mG0xsz4Mxd0&#10;2sdapBAOGWpoYuwzKUPVkMMw9T1x4g5+cBgTHGppBjyncNfJJ6UW0qHl1NBgT68NVe3+12l4+eZi&#10;a4+7n8/iUNiyXCn+WLRajx9n6hlEpEu8i2/ud5Pmz+H/l3SA3Fw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rYb8+8AAAA&#10;2w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snapToGrid w:val="0"/>
                              </w:pPr>
                              <w:r>
                                <w:rPr>
                                  <w:rFonts w:hint="eastAsia"/>
                                </w:rPr>
                                <w:t>源</w:t>
                              </w:r>
                            </w:p>
                          </w:txbxContent>
                        </v:textbox>
                      </v:shape>
                    </v:group>
                  </w:pict>
                </mc:Fallback>
              </mc:AlternateContent>
            </w:r>
            <w:r>
              <w:rPr>
                <w:color w:val="auto"/>
                <w:szCs w:val="21"/>
                <w:lang w:val="zh-CN"/>
              </w:rPr>
              <w:t>项目</w:t>
            </w:r>
          </w:p>
        </w:tc>
        <w:tc>
          <w:tcPr>
            <w:tcW w:w="969" w:type="dxa"/>
            <w:vAlign w:val="center"/>
          </w:tcPr>
          <w:p>
            <w:pPr>
              <w:spacing w:line="360" w:lineRule="exact"/>
              <w:jc w:val="center"/>
              <w:rPr>
                <w:color w:val="auto"/>
                <w:szCs w:val="21"/>
              </w:rPr>
            </w:pPr>
            <w:r>
              <w:rPr>
                <w:color w:val="auto"/>
                <w:szCs w:val="21"/>
              </w:rPr>
              <w:t>pH</w:t>
            </w:r>
          </w:p>
        </w:tc>
        <w:tc>
          <w:tcPr>
            <w:tcW w:w="970" w:type="dxa"/>
            <w:vAlign w:val="center"/>
          </w:tcPr>
          <w:p>
            <w:pPr>
              <w:spacing w:line="360" w:lineRule="exact"/>
              <w:jc w:val="center"/>
              <w:rPr>
                <w:color w:val="auto"/>
                <w:szCs w:val="21"/>
              </w:rPr>
            </w:pPr>
            <w:r>
              <w:rPr>
                <w:color w:val="auto"/>
                <w:szCs w:val="21"/>
              </w:rPr>
              <w:t>COD</w:t>
            </w:r>
          </w:p>
        </w:tc>
        <w:tc>
          <w:tcPr>
            <w:tcW w:w="970" w:type="dxa"/>
            <w:vAlign w:val="center"/>
          </w:tcPr>
          <w:p>
            <w:pPr>
              <w:spacing w:line="360" w:lineRule="exact"/>
              <w:jc w:val="center"/>
              <w:rPr>
                <w:color w:val="auto"/>
                <w:szCs w:val="21"/>
              </w:rPr>
            </w:pPr>
            <w:r>
              <w:rPr>
                <w:color w:val="auto"/>
                <w:szCs w:val="21"/>
              </w:rPr>
              <w:t>BOD</w:t>
            </w:r>
            <w:r>
              <w:rPr>
                <w:color w:val="auto"/>
                <w:szCs w:val="21"/>
                <w:vertAlign w:val="subscript"/>
              </w:rPr>
              <w:t>5</w:t>
            </w:r>
          </w:p>
        </w:tc>
        <w:tc>
          <w:tcPr>
            <w:tcW w:w="970" w:type="dxa"/>
            <w:vAlign w:val="center"/>
          </w:tcPr>
          <w:p>
            <w:pPr>
              <w:spacing w:line="360" w:lineRule="exact"/>
              <w:jc w:val="center"/>
              <w:rPr>
                <w:color w:val="auto"/>
                <w:szCs w:val="21"/>
              </w:rPr>
            </w:pPr>
            <w:r>
              <w:rPr>
                <w:color w:val="auto"/>
                <w:szCs w:val="21"/>
              </w:rPr>
              <w:t>SS</w:t>
            </w:r>
          </w:p>
        </w:tc>
        <w:tc>
          <w:tcPr>
            <w:tcW w:w="969" w:type="dxa"/>
            <w:vAlign w:val="center"/>
          </w:tcPr>
          <w:p>
            <w:pPr>
              <w:spacing w:line="360" w:lineRule="exact"/>
              <w:jc w:val="center"/>
              <w:rPr>
                <w:color w:val="auto"/>
                <w:szCs w:val="21"/>
              </w:rPr>
            </w:pPr>
            <w:r>
              <w:rPr>
                <w:color w:val="auto"/>
                <w:szCs w:val="21"/>
              </w:rPr>
              <w:t>NH</w:t>
            </w:r>
            <w:r>
              <w:rPr>
                <w:color w:val="auto"/>
                <w:szCs w:val="21"/>
                <w:vertAlign w:val="subscript"/>
              </w:rPr>
              <w:t>3</w:t>
            </w:r>
            <w:r>
              <w:rPr>
                <w:color w:val="auto"/>
                <w:szCs w:val="21"/>
              </w:rPr>
              <w:t>-N</w:t>
            </w:r>
          </w:p>
        </w:tc>
        <w:tc>
          <w:tcPr>
            <w:tcW w:w="804" w:type="dxa"/>
            <w:vAlign w:val="center"/>
          </w:tcPr>
          <w:p>
            <w:pPr>
              <w:spacing w:line="360" w:lineRule="exact"/>
              <w:jc w:val="center"/>
              <w:rPr>
                <w:color w:val="auto"/>
                <w:szCs w:val="21"/>
              </w:rPr>
            </w:pPr>
            <w:r>
              <w:rPr>
                <w:color w:val="auto"/>
                <w:szCs w:val="21"/>
              </w:rPr>
              <w:t>石油类</w:t>
            </w:r>
          </w:p>
        </w:tc>
        <w:tc>
          <w:tcPr>
            <w:tcW w:w="1137" w:type="dxa"/>
            <w:vAlign w:val="center"/>
          </w:tcPr>
          <w:p>
            <w:pPr>
              <w:spacing w:line="360" w:lineRule="exact"/>
              <w:jc w:val="center"/>
              <w:rPr>
                <w:color w:val="auto"/>
                <w:szCs w:val="21"/>
              </w:rPr>
            </w:pPr>
            <w:r>
              <w:rPr>
                <w:color w:val="auto"/>
                <w:szCs w:val="21"/>
              </w:rPr>
              <w:t>基准废水量（m</w:t>
            </w:r>
            <w:r>
              <w:rPr>
                <w:color w:val="auto"/>
                <w:szCs w:val="21"/>
                <w:vertAlign w:val="superscript"/>
              </w:rPr>
              <w:t>3</w:t>
            </w:r>
            <w:r>
              <w:rPr>
                <w:color w:val="auto"/>
                <w:szCs w:val="21"/>
              </w:rPr>
              <w:t>/t胶）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2161" w:type="dxa"/>
            <w:vAlign w:val="center"/>
          </w:tcPr>
          <w:p>
            <w:pPr>
              <w:jc w:val="center"/>
              <w:rPr>
                <w:color w:val="auto"/>
                <w:szCs w:val="21"/>
              </w:rPr>
            </w:pPr>
            <w:r>
              <w:rPr>
                <w:color w:val="auto"/>
                <w:szCs w:val="21"/>
              </w:rPr>
              <w:t>《橡胶制品工业污染物排放标准》表2中新建企业水污染物间接排放限值</w:t>
            </w:r>
          </w:p>
        </w:tc>
        <w:tc>
          <w:tcPr>
            <w:tcW w:w="969" w:type="dxa"/>
            <w:vAlign w:val="center"/>
          </w:tcPr>
          <w:p>
            <w:pPr>
              <w:widowControl/>
              <w:jc w:val="center"/>
              <w:textAlignment w:val="center"/>
              <w:rPr>
                <w:color w:val="auto"/>
                <w:szCs w:val="21"/>
              </w:rPr>
            </w:pPr>
            <w:r>
              <w:rPr>
                <w:color w:val="auto"/>
                <w:szCs w:val="21"/>
              </w:rPr>
              <w:t>6~9</w:t>
            </w:r>
          </w:p>
        </w:tc>
        <w:tc>
          <w:tcPr>
            <w:tcW w:w="970" w:type="dxa"/>
            <w:vAlign w:val="center"/>
          </w:tcPr>
          <w:p>
            <w:pPr>
              <w:widowControl/>
              <w:jc w:val="center"/>
              <w:textAlignment w:val="center"/>
              <w:rPr>
                <w:color w:val="auto"/>
                <w:szCs w:val="21"/>
              </w:rPr>
            </w:pPr>
            <w:r>
              <w:rPr>
                <w:color w:val="auto"/>
                <w:szCs w:val="21"/>
              </w:rPr>
              <w:t>300</w:t>
            </w:r>
          </w:p>
        </w:tc>
        <w:tc>
          <w:tcPr>
            <w:tcW w:w="970" w:type="dxa"/>
            <w:vAlign w:val="center"/>
          </w:tcPr>
          <w:p>
            <w:pPr>
              <w:widowControl/>
              <w:jc w:val="center"/>
              <w:textAlignment w:val="center"/>
              <w:rPr>
                <w:color w:val="auto"/>
                <w:szCs w:val="21"/>
              </w:rPr>
            </w:pPr>
            <w:r>
              <w:rPr>
                <w:color w:val="auto"/>
                <w:szCs w:val="21"/>
              </w:rPr>
              <w:t>80</w:t>
            </w:r>
          </w:p>
        </w:tc>
        <w:tc>
          <w:tcPr>
            <w:tcW w:w="970" w:type="dxa"/>
            <w:vAlign w:val="center"/>
          </w:tcPr>
          <w:p>
            <w:pPr>
              <w:widowControl/>
              <w:jc w:val="center"/>
              <w:textAlignment w:val="center"/>
              <w:rPr>
                <w:color w:val="auto"/>
                <w:szCs w:val="21"/>
              </w:rPr>
            </w:pPr>
            <w:r>
              <w:rPr>
                <w:color w:val="auto"/>
                <w:szCs w:val="21"/>
              </w:rPr>
              <w:t>150</w:t>
            </w:r>
          </w:p>
        </w:tc>
        <w:tc>
          <w:tcPr>
            <w:tcW w:w="969" w:type="dxa"/>
            <w:vAlign w:val="center"/>
          </w:tcPr>
          <w:p>
            <w:pPr>
              <w:widowControl/>
              <w:jc w:val="center"/>
              <w:textAlignment w:val="center"/>
              <w:rPr>
                <w:color w:val="auto"/>
                <w:szCs w:val="21"/>
              </w:rPr>
            </w:pPr>
            <w:r>
              <w:rPr>
                <w:color w:val="auto"/>
                <w:szCs w:val="21"/>
              </w:rPr>
              <w:t>30</w:t>
            </w:r>
          </w:p>
        </w:tc>
        <w:tc>
          <w:tcPr>
            <w:tcW w:w="804" w:type="dxa"/>
            <w:vAlign w:val="center"/>
          </w:tcPr>
          <w:p>
            <w:pPr>
              <w:widowControl/>
              <w:jc w:val="center"/>
              <w:textAlignment w:val="center"/>
              <w:rPr>
                <w:color w:val="auto"/>
                <w:szCs w:val="21"/>
              </w:rPr>
            </w:pPr>
            <w:r>
              <w:rPr>
                <w:color w:val="auto"/>
                <w:szCs w:val="21"/>
              </w:rPr>
              <w:t>10</w:t>
            </w:r>
          </w:p>
        </w:tc>
        <w:tc>
          <w:tcPr>
            <w:tcW w:w="1137" w:type="dxa"/>
            <w:vAlign w:val="center"/>
          </w:tcPr>
          <w:p>
            <w:pPr>
              <w:widowControl/>
              <w:jc w:val="center"/>
              <w:textAlignment w:val="center"/>
              <w:rPr>
                <w:color w:val="auto"/>
                <w:szCs w:val="21"/>
              </w:rPr>
            </w:pPr>
            <w:r>
              <w:rPr>
                <w:color w:val="auto"/>
                <w:szCs w:val="21"/>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2161" w:type="dxa"/>
            <w:vAlign w:val="center"/>
          </w:tcPr>
          <w:p>
            <w:pPr>
              <w:jc w:val="center"/>
              <w:rPr>
                <w:color w:val="auto"/>
                <w:szCs w:val="21"/>
              </w:rPr>
            </w:pPr>
            <w:r>
              <w:rPr>
                <w:rFonts w:hint="eastAsia"/>
                <w:color w:val="auto"/>
                <w:szCs w:val="21"/>
                <w:lang w:eastAsia="zh-CN"/>
              </w:rPr>
              <w:t>宁国市污水处理厂</w:t>
            </w:r>
            <w:r>
              <w:rPr>
                <w:color w:val="auto"/>
                <w:szCs w:val="21"/>
              </w:rPr>
              <w:t>接管</w:t>
            </w:r>
            <w:r>
              <w:rPr>
                <w:rFonts w:hint="eastAsia"/>
                <w:color w:val="auto"/>
                <w:szCs w:val="21"/>
              </w:rPr>
              <w:t>标准</w:t>
            </w:r>
          </w:p>
        </w:tc>
        <w:tc>
          <w:tcPr>
            <w:tcW w:w="969" w:type="dxa"/>
            <w:vAlign w:val="center"/>
          </w:tcPr>
          <w:p>
            <w:pPr>
              <w:jc w:val="center"/>
              <w:rPr>
                <w:color w:val="auto"/>
                <w:szCs w:val="21"/>
              </w:rPr>
            </w:pPr>
            <w:r>
              <w:rPr>
                <w:color w:val="auto"/>
                <w:szCs w:val="21"/>
              </w:rPr>
              <w:t>6~9</w:t>
            </w:r>
          </w:p>
        </w:tc>
        <w:tc>
          <w:tcPr>
            <w:tcW w:w="970" w:type="dxa"/>
            <w:vAlign w:val="center"/>
          </w:tcPr>
          <w:p>
            <w:pPr>
              <w:adjustRightInd w:val="0"/>
              <w:snapToGrid w:val="0"/>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320</w:t>
            </w:r>
          </w:p>
        </w:tc>
        <w:tc>
          <w:tcPr>
            <w:tcW w:w="970" w:type="dxa"/>
            <w:vAlign w:val="center"/>
          </w:tcPr>
          <w:p>
            <w:pPr>
              <w:adjustRightInd w:val="0"/>
              <w:snapToGrid w:val="0"/>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160</w:t>
            </w:r>
          </w:p>
        </w:tc>
        <w:tc>
          <w:tcPr>
            <w:tcW w:w="970" w:type="dxa"/>
            <w:vAlign w:val="center"/>
          </w:tcPr>
          <w:p>
            <w:pPr>
              <w:adjustRightInd w:val="0"/>
              <w:snapToGrid w:val="0"/>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200</w:t>
            </w:r>
          </w:p>
        </w:tc>
        <w:tc>
          <w:tcPr>
            <w:tcW w:w="969" w:type="dxa"/>
            <w:vAlign w:val="center"/>
          </w:tcPr>
          <w:p>
            <w:pPr>
              <w:adjustRightInd w:val="0"/>
              <w:snapToGrid w:val="0"/>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25</w:t>
            </w:r>
          </w:p>
        </w:tc>
        <w:tc>
          <w:tcPr>
            <w:tcW w:w="804" w:type="dxa"/>
            <w:vAlign w:val="center"/>
          </w:tcPr>
          <w:p>
            <w:pPr>
              <w:widowControl/>
              <w:jc w:val="center"/>
              <w:textAlignment w:val="center"/>
              <w:rPr>
                <w:color w:val="auto"/>
                <w:szCs w:val="21"/>
              </w:rPr>
            </w:pPr>
            <w:r>
              <w:rPr>
                <w:color w:val="auto"/>
                <w:szCs w:val="21"/>
              </w:rPr>
              <w:t>/</w:t>
            </w:r>
          </w:p>
        </w:tc>
        <w:tc>
          <w:tcPr>
            <w:tcW w:w="1137" w:type="dxa"/>
            <w:vAlign w:val="center"/>
          </w:tcPr>
          <w:p>
            <w:pPr>
              <w:widowControl/>
              <w:jc w:val="center"/>
              <w:textAlignment w:val="center"/>
              <w:rPr>
                <w:color w:val="auto"/>
                <w:szCs w:val="21"/>
              </w:rPr>
            </w:pPr>
            <w:r>
              <w:rPr>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2161" w:type="dxa"/>
            <w:vAlign w:val="center"/>
          </w:tcPr>
          <w:p>
            <w:pPr>
              <w:jc w:val="center"/>
              <w:rPr>
                <w:rFonts w:hint="eastAsia"/>
                <w:color w:val="auto"/>
                <w:szCs w:val="21"/>
                <w:lang w:eastAsia="zh-CN"/>
              </w:rPr>
            </w:pPr>
            <w:r>
              <w:rPr>
                <w:color w:val="auto"/>
                <w:szCs w:val="21"/>
              </w:rPr>
              <w:t>《城镇污水处理厂污染物排放标准》(GB18918—2002)一级</w:t>
            </w:r>
            <w:r>
              <w:rPr>
                <w:rFonts w:hint="eastAsia"/>
                <w:color w:val="auto"/>
                <w:szCs w:val="21"/>
                <w:lang w:val="en-US" w:eastAsia="zh-CN"/>
              </w:rPr>
              <w:t>A</w:t>
            </w:r>
            <w:r>
              <w:rPr>
                <w:color w:val="auto"/>
                <w:szCs w:val="21"/>
              </w:rPr>
              <w:t>标准</w:t>
            </w:r>
          </w:p>
        </w:tc>
        <w:tc>
          <w:tcPr>
            <w:tcW w:w="969" w:type="dxa"/>
            <w:vAlign w:val="center"/>
          </w:tcPr>
          <w:p>
            <w:pPr>
              <w:jc w:val="center"/>
              <w:rPr>
                <w:color w:val="auto"/>
                <w:szCs w:val="21"/>
              </w:rPr>
            </w:pPr>
            <w:r>
              <w:rPr>
                <w:color w:val="auto"/>
                <w:szCs w:val="21"/>
              </w:rPr>
              <w:t>6~9</w:t>
            </w:r>
          </w:p>
        </w:tc>
        <w:tc>
          <w:tcPr>
            <w:tcW w:w="970" w:type="dxa"/>
            <w:vAlign w:val="center"/>
          </w:tcPr>
          <w:p>
            <w:pPr>
              <w:widowControl/>
              <w:spacing w:line="240" w:lineRule="auto"/>
              <w:jc w:val="center"/>
              <w:textAlignment w:val="center"/>
              <w:rPr>
                <w:rFonts w:hint="default" w:ascii="Times New Roman" w:hAnsi="Times New Roman" w:eastAsia="Calibri" w:cs="Times New Roman"/>
                <w:color w:val="auto"/>
                <w:kern w:val="2"/>
                <w:sz w:val="21"/>
                <w:szCs w:val="21"/>
                <w:lang w:val="en-US" w:eastAsia="zh-CN" w:bidi="ar-SA"/>
              </w:rPr>
            </w:pPr>
            <w:r>
              <w:rPr>
                <w:rFonts w:hint="default" w:ascii="Times New Roman" w:hAnsi="Times New Roman" w:cs="Times New Roman"/>
                <w:color w:val="auto"/>
                <w:sz w:val="21"/>
                <w:szCs w:val="21"/>
                <w:lang w:val="en-US" w:eastAsia="zh-CN"/>
              </w:rPr>
              <w:t>50</w:t>
            </w:r>
          </w:p>
        </w:tc>
        <w:tc>
          <w:tcPr>
            <w:tcW w:w="970" w:type="dxa"/>
            <w:vAlign w:val="center"/>
          </w:tcPr>
          <w:p>
            <w:pPr>
              <w:widowControl/>
              <w:spacing w:line="240" w:lineRule="auto"/>
              <w:jc w:val="center"/>
              <w:textAlignment w:val="center"/>
              <w:rPr>
                <w:rFonts w:hint="default" w:ascii="Times New Roman" w:hAnsi="Times New Roman" w:eastAsia="Calibri" w:cs="Times New Roman"/>
                <w:color w:val="auto"/>
                <w:kern w:val="2"/>
                <w:sz w:val="21"/>
                <w:szCs w:val="21"/>
                <w:lang w:val="en-US" w:eastAsia="zh-CN" w:bidi="ar-SA"/>
              </w:rPr>
            </w:pPr>
            <w:r>
              <w:rPr>
                <w:rFonts w:hint="default" w:ascii="Times New Roman" w:hAnsi="Times New Roman" w:cs="Times New Roman"/>
                <w:color w:val="auto"/>
                <w:sz w:val="21"/>
                <w:szCs w:val="21"/>
                <w:lang w:val="en-US" w:eastAsia="zh-CN"/>
              </w:rPr>
              <w:t>10</w:t>
            </w:r>
          </w:p>
        </w:tc>
        <w:tc>
          <w:tcPr>
            <w:tcW w:w="970" w:type="dxa"/>
            <w:vAlign w:val="center"/>
          </w:tcPr>
          <w:p>
            <w:pPr>
              <w:widowControl/>
              <w:spacing w:line="240" w:lineRule="auto"/>
              <w:jc w:val="center"/>
              <w:textAlignment w:val="center"/>
              <w:rPr>
                <w:rFonts w:hint="default" w:ascii="Times New Roman" w:hAnsi="Times New Roman" w:eastAsia="Calibri" w:cs="Times New Roman"/>
                <w:color w:val="auto"/>
                <w:kern w:val="2"/>
                <w:sz w:val="21"/>
                <w:szCs w:val="21"/>
                <w:lang w:val="en-US" w:eastAsia="zh-CN" w:bidi="ar-SA"/>
              </w:rPr>
            </w:pPr>
            <w:r>
              <w:rPr>
                <w:rFonts w:hint="default" w:ascii="Times New Roman" w:hAnsi="Times New Roman" w:cs="Times New Roman"/>
                <w:color w:val="auto"/>
                <w:sz w:val="21"/>
                <w:szCs w:val="21"/>
                <w:lang w:val="en-US" w:eastAsia="zh-CN"/>
              </w:rPr>
              <w:t>10</w:t>
            </w:r>
          </w:p>
        </w:tc>
        <w:tc>
          <w:tcPr>
            <w:tcW w:w="969" w:type="dxa"/>
            <w:vAlign w:val="center"/>
          </w:tcPr>
          <w:p>
            <w:pPr>
              <w:widowControl/>
              <w:spacing w:line="240" w:lineRule="auto"/>
              <w:jc w:val="center"/>
              <w:textAlignment w:val="center"/>
              <w:rPr>
                <w:rFonts w:hint="default" w:ascii="Times New Roman" w:hAnsi="Times New Roman" w:eastAsia="Calibri" w:cs="Times New Roman"/>
                <w:color w:val="auto"/>
                <w:kern w:val="2"/>
                <w:sz w:val="21"/>
                <w:szCs w:val="21"/>
                <w:lang w:val="en-US" w:eastAsia="zh-CN" w:bidi="ar-SA"/>
              </w:rPr>
            </w:pPr>
            <w:r>
              <w:rPr>
                <w:rFonts w:hint="default" w:ascii="Times New Roman" w:hAnsi="Times New Roman" w:cs="Times New Roman"/>
                <w:color w:val="auto"/>
                <w:sz w:val="21"/>
                <w:szCs w:val="21"/>
                <w:lang w:val="en-US" w:eastAsia="zh-CN"/>
              </w:rPr>
              <w:t>5</w:t>
            </w:r>
          </w:p>
        </w:tc>
        <w:tc>
          <w:tcPr>
            <w:tcW w:w="804" w:type="dxa"/>
            <w:vAlign w:val="center"/>
          </w:tcPr>
          <w:p>
            <w:pPr>
              <w:widowControl/>
              <w:jc w:val="center"/>
              <w:textAlignment w:val="center"/>
              <w:rPr>
                <w:color w:val="auto"/>
                <w:szCs w:val="21"/>
              </w:rPr>
            </w:pPr>
            <w:r>
              <w:rPr>
                <w:rFonts w:hint="eastAsia" w:ascii="Times New Roman" w:hAnsi="Times New Roman" w:cs="Times New Roman"/>
                <w:b w:val="0"/>
                <w:bCs w:val="0"/>
                <w:color w:val="auto"/>
                <w:sz w:val="21"/>
                <w:szCs w:val="21"/>
                <w:lang w:val="en-US" w:eastAsia="zh-CN"/>
              </w:rPr>
              <w:t>1</w:t>
            </w:r>
          </w:p>
        </w:tc>
        <w:tc>
          <w:tcPr>
            <w:tcW w:w="1137" w:type="dxa"/>
            <w:vAlign w:val="center"/>
          </w:tcPr>
          <w:p>
            <w:pPr>
              <w:widowControl/>
              <w:jc w:val="center"/>
              <w:textAlignment w:val="center"/>
              <w:rPr>
                <w:color w:val="auto"/>
                <w:szCs w:val="21"/>
              </w:rPr>
            </w:pPr>
            <w:r>
              <w:rPr>
                <w:color w:val="auto"/>
                <w:szCs w:val="21"/>
              </w:rPr>
              <w:t>/</w:t>
            </w:r>
          </w:p>
        </w:tc>
      </w:tr>
    </w:tbl>
    <w:p>
      <w:pPr>
        <w:autoSpaceDE w:val="0"/>
        <w:autoSpaceDN w:val="0"/>
        <w:adjustRightInd w:val="0"/>
        <w:spacing w:line="520" w:lineRule="exact"/>
        <w:ind w:firstLine="480" w:firstLineChars="200"/>
        <w:rPr>
          <w:color w:val="auto"/>
          <w:kern w:val="0"/>
          <w:sz w:val="24"/>
        </w:rPr>
      </w:pPr>
      <w:r>
        <w:rPr>
          <w:color w:val="auto"/>
          <w:kern w:val="0"/>
          <w:sz w:val="24"/>
        </w:rPr>
        <w:t>（3）噪声排放标准</w:t>
      </w:r>
    </w:p>
    <w:p>
      <w:pPr>
        <w:spacing w:line="520" w:lineRule="exact"/>
        <w:ind w:firstLine="480" w:firstLineChars="200"/>
        <w:rPr>
          <w:b/>
          <w:color w:val="auto"/>
          <w:sz w:val="24"/>
          <w:szCs w:val="22"/>
        </w:rPr>
      </w:pPr>
      <w:r>
        <w:rPr>
          <w:color w:val="auto"/>
          <w:kern w:val="0"/>
          <w:sz w:val="24"/>
        </w:rPr>
        <w:t>运营期厂界噪声执行《工业企业厂界环境噪声排放标准》（GB12348-2008）中3</w:t>
      </w:r>
      <w:r>
        <w:rPr>
          <w:color w:val="auto"/>
          <w:kern w:val="0"/>
          <w:sz w:val="24"/>
        </w:rPr>
        <w:fldChar w:fldCharType="begin"/>
      </w:r>
      <w:r>
        <w:rPr>
          <w:color w:val="auto"/>
          <w:kern w:val="0"/>
          <w:sz w:val="24"/>
        </w:rPr>
        <w:instrText xml:space="preserve"> = 3 \* ROMAN </w:instrText>
      </w:r>
      <w:r>
        <w:rPr>
          <w:color w:val="auto"/>
          <w:kern w:val="0"/>
          <w:sz w:val="24"/>
        </w:rPr>
        <w:fldChar w:fldCharType="end"/>
      </w:r>
      <w:r>
        <w:rPr>
          <w:color w:val="auto"/>
          <w:kern w:val="0"/>
          <w:sz w:val="24"/>
        </w:rPr>
        <w:t>类标准，标准</w:t>
      </w:r>
      <w:r>
        <w:rPr>
          <w:color w:val="auto"/>
          <w:sz w:val="24"/>
        </w:rPr>
        <w:t>限</w:t>
      </w:r>
      <w:r>
        <w:rPr>
          <w:color w:val="auto"/>
          <w:kern w:val="0"/>
          <w:sz w:val="24"/>
        </w:rPr>
        <w:t>值如下</w:t>
      </w:r>
      <w:r>
        <w:rPr>
          <w:color w:val="auto"/>
          <w:sz w:val="24"/>
        </w:rPr>
        <w:t>。</w:t>
      </w:r>
    </w:p>
    <w:p>
      <w:pPr>
        <w:jc w:val="center"/>
        <w:rPr>
          <w:b/>
          <w:color w:val="auto"/>
          <w:sz w:val="24"/>
          <w:szCs w:val="22"/>
        </w:rPr>
      </w:pPr>
      <w:r>
        <w:rPr>
          <w:b/>
          <w:color w:val="auto"/>
          <w:sz w:val="24"/>
          <w:szCs w:val="22"/>
        </w:rPr>
        <w:t>表2-1</w:t>
      </w:r>
      <w:r>
        <w:rPr>
          <w:rFonts w:hint="eastAsia"/>
          <w:b/>
          <w:color w:val="auto"/>
          <w:sz w:val="24"/>
          <w:szCs w:val="22"/>
          <w:lang w:val="en-US" w:eastAsia="zh-CN"/>
        </w:rPr>
        <w:t>1</w:t>
      </w:r>
      <w:r>
        <w:rPr>
          <w:b/>
          <w:color w:val="auto"/>
          <w:sz w:val="24"/>
          <w:szCs w:val="22"/>
        </w:rPr>
        <w:t xml:space="preserve">  噪声排放标准</w:t>
      </w:r>
    </w:p>
    <w:tbl>
      <w:tblPr>
        <w:tblStyle w:val="53"/>
        <w:tblW w:w="0" w:type="auto"/>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2491"/>
        <w:gridCol w:w="1291"/>
        <w:gridCol w:w="1181"/>
        <w:gridCol w:w="3987"/>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504" w:hRule="atLeast"/>
          <w:jc w:val="center"/>
        </w:trPr>
        <w:tc>
          <w:tcPr>
            <w:tcW w:w="2491" w:type="dxa"/>
            <w:vAlign w:val="center"/>
          </w:tcPr>
          <w:p>
            <w:pPr>
              <w:jc w:val="center"/>
              <w:rPr>
                <w:color w:val="auto"/>
                <w:szCs w:val="21"/>
              </w:rPr>
            </w:pPr>
            <w:r>
              <w:rPr>
                <w:color w:val="auto"/>
                <w:szCs w:val="21"/>
              </w:rPr>
              <w:t>类 别</w:t>
            </w:r>
          </w:p>
        </w:tc>
        <w:tc>
          <w:tcPr>
            <w:tcW w:w="1291" w:type="dxa"/>
            <w:vAlign w:val="center"/>
          </w:tcPr>
          <w:p>
            <w:pPr>
              <w:jc w:val="center"/>
              <w:rPr>
                <w:color w:val="auto"/>
                <w:szCs w:val="21"/>
              </w:rPr>
            </w:pPr>
            <w:r>
              <w:rPr>
                <w:color w:val="auto"/>
                <w:szCs w:val="21"/>
              </w:rPr>
              <w:t>昼间</w:t>
            </w:r>
          </w:p>
        </w:tc>
        <w:tc>
          <w:tcPr>
            <w:tcW w:w="1181" w:type="dxa"/>
            <w:vAlign w:val="center"/>
          </w:tcPr>
          <w:p>
            <w:pPr>
              <w:jc w:val="center"/>
              <w:rPr>
                <w:color w:val="auto"/>
                <w:szCs w:val="21"/>
              </w:rPr>
            </w:pPr>
            <w:r>
              <w:rPr>
                <w:color w:val="auto"/>
                <w:szCs w:val="21"/>
              </w:rPr>
              <w:t>夜间</w:t>
            </w:r>
          </w:p>
        </w:tc>
        <w:tc>
          <w:tcPr>
            <w:tcW w:w="3987" w:type="dxa"/>
            <w:vAlign w:val="center"/>
          </w:tcPr>
          <w:p>
            <w:pPr>
              <w:jc w:val="center"/>
              <w:rPr>
                <w:color w:val="auto"/>
                <w:szCs w:val="21"/>
              </w:rPr>
            </w:pPr>
            <w:r>
              <w:rPr>
                <w:color w:val="auto"/>
                <w:szCs w:val="21"/>
              </w:rPr>
              <w:t>依据</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504" w:hRule="atLeast"/>
          <w:jc w:val="center"/>
        </w:trPr>
        <w:tc>
          <w:tcPr>
            <w:tcW w:w="2491" w:type="dxa"/>
            <w:vAlign w:val="center"/>
          </w:tcPr>
          <w:p>
            <w:pPr>
              <w:jc w:val="center"/>
              <w:rPr>
                <w:color w:val="auto"/>
                <w:szCs w:val="21"/>
              </w:rPr>
            </w:pPr>
            <w:r>
              <w:rPr>
                <w:color w:val="auto"/>
                <w:szCs w:val="21"/>
              </w:rPr>
              <w:t>噪声限值[Leq：dB（A）]</w:t>
            </w:r>
          </w:p>
        </w:tc>
        <w:tc>
          <w:tcPr>
            <w:tcW w:w="1291" w:type="dxa"/>
            <w:vAlign w:val="center"/>
          </w:tcPr>
          <w:p>
            <w:pPr>
              <w:jc w:val="center"/>
              <w:rPr>
                <w:color w:val="auto"/>
                <w:szCs w:val="21"/>
              </w:rPr>
            </w:pPr>
            <w:r>
              <w:rPr>
                <w:color w:val="auto"/>
                <w:szCs w:val="21"/>
              </w:rPr>
              <w:t>65</w:t>
            </w:r>
          </w:p>
        </w:tc>
        <w:tc>
          <w:tcPr>
            <w:tcW w:w="1181" w:type="dxa"/>
            <w:vAlign w:val="center"/>
          </w:tcPr>
          <w:p>
            <w:pPr>
              <w:jc w:val="center"/>
              <w:rPr>
                <w:color w:val="auto"/>
                <w:szCs w:val="21"/>
              </w:rPr>
            </w:pPr>
            <w:r>
              <w:rPr>
                <w:color w:val="auto"/>
                <w:szCs w:val="21"/>
              </w:rPr>
              <w:t>55</w:t>
            </w:r>
          </w:p>
        </w:tc>
        <w:tc>
          <w:tcPr>
            <w:tcW w:w="3987" w:type="dxa"/>
            <w:vAlign w:val="center"/>
          </w:tcPr>
          <w:p>
            <w:pPr>
              <w:jc w:val="center"/>
              <w:rPr>
                <w:color w:val="auto"/>
                <w:szCs w:val="21"/>
              </w:rPr>
            </w:pPr>
            <w:r>
              <w:rPr>
                <w:color w:val="auto"/>
                <w:szCs w:val="21"/>
              </w:rPr>
              <w:t>《工业企业厂界环境噪声排放标准》（GB12348-2008）中3</w:t>
            </w:r>
            <w:r>
              <w:rPr>
                <w:color w:val="auto"/>
                <w:szCs w:val="21"/>
              </w:rPr>
              <w:fldChar w:fldCharType="begin"/>
            </w:r>
            <w:r>
              <w:rPr>
                <w:color w:val="auto"/>
                <w:szCs w:val="21"/>
              </w:rPr>
              <w:instrText xml:space="preserve"> = 3 \* ROMAN </w:instrText>
            </w:r>
            <w:r>
              <w:rPr>
                <w:color w:val="auto"/>
                <w:szCs w:val="21"/>
              </w:rPr>
              <w:fldChar w:fldCharType="end"/>
            </w:r>
            <w:r>
              <w:rPr>
                <w:color w:val="auto"/>
                <w:szCs w:val="21"/>
              </w:rPr>
              <w:t>类</w:t>
            </w:r>
          </w:p>
        </w:tc>
      </w:tr>
    </w:tbl>
    <w:p>
      <w:pPr>
        <w:spacing w:line="520" w:lineRule="exact"/>
        <w:ind w:firstLine="480" w:firstLineChars="200"/>
        <w:rPr>
          <w:bCs/>
          <w:color w:val="auto"/>
          <w:sz w:val="24"/>
        </w:rPr>
      </w:pPr>
      <w:r>
        <w:rPr>
          <w:bCs/>
          <w:color w:val="auto"/>
          <w:sz w:val="24"/>
        </w:rPr>
        <w:t>（4）固体废弃物控制标准</w:t>
      </w:r>
    </w:p>
    <w:p>
      <w:pPr>
        <w:spacing w:line="520" w:lineRule="exact"/>
        <w:ind w:firstLine="480" w:firstLineChars="200"/>
        <w:rPr>
          <w:bCs/>
          <w:color w:val="auto"/>
          <w:sz w:val="24"/>
        </w:rPr>
      </w:pPr>
      <w:r>
        <w:rPr>
          <w:color w:val="auto"/>
          <w:sz w:val="24"/>
        </w:rPr>
        <w:t>一般固体废弃物执行《一般工业固体废物贮存、处置场污染物控制标准》（GB18599-2001）及环保部2013年第36号文件中的修改要求进行贮存；危险废弃物贮存执行《危险废物贮存污染控制标准》（GB18597-2001）及环保部2013年第36号文件中的修改要求进行贮存。</w:t>
      </w:r>
    </w:p>
    <w:p>
      <w:pPr>
        <w:pStyle w:val="4"/>
        <w:spacing w:line="360" w:lineRule="auto"/>
        <w:rPr>
          <w:rFonts w:ascii="Times New Roman" w:hAnsi="Times New Roman"/>
          <w:b/>
          <w:color w:val="auto"/>
        </w:rPr>
      </w:pPr>
      <w:bookmarkStart w:id="92" w:name="_Toc717"/>
      <w:bookmarkStart w:id="93" w:name="_Toc287813363"/>
      <w:bookmarkStart w:id="94" w:name="_Toc367091855"/>
      <w:bookmarkStart w:id="95" w:name="_Toc366874096"/>
      <w:bookmarkStart w:id="96" w:name="_Toc333177931"/>
      <w:bookmarkStart w:id="97" w:name="_Toc333178532"/>
      <w:bookmarkStart w:id="98" w:name="_Toc333388574"/>
      <w:bookmarkStart w:id="99" w:name="_Toc335291734"/>
      <w:bookmarkStart w:id="100" w:name="_Toc12842"/>
      <w:r>
        <w:rPr>
          <w:rFonts w:ascii="Times New Roman" w:hAnsi="Times New Roman"/>
          <w:b/>
          <w:color w:val="auto"/>
        </w:rPr>
        <w:t>2.5评价内容及评价重点</w:t>
      </w:r>
      <w:bookmarkEnd w:id="92"/>
      <w:bookmarkEnd w:id="93"/>
      <w:bookmarkEnd w:id="94"/>
      <w:bookmarkEnd w:id="95"/>
      <w:bookmarkEnd w:id="96"/>
      <w:bookmarkEnd w:id="97"/>
      <w:bookmarkEnd w:id="98"/>
      <w:bookmarkEnd w:id="99"/>
      <w:bookmarkEnd w:id="100"/>
    </w:p>
    <w:p>
      <w:pPr>
        <w:pStyle w:val="5"/>
        <w:spacing w:before="0" w:after="0" w:line="360" w:lineRule="auto"/>
        <w:rPr>
          <w:color w:val="auto"/>
          <w:sz w:val="24"/>
          <w:szCs w:val="24"/>
        </w:rPr>
      </w:pPr>
      <w:bookmarkStart w:id="101" w:name="_Toc333177932"/>
      <w:r>
        <w:rPr>
          <w:color w:val="auto"/>
          <w:sz w:val="24"/>
          <w:szCs w:val="24"/>
        </w:rPr>
        <w:t>2.5.1评价内容</w:t>
      </w:r>
      <w:bookmarkEnd w:id="101"/>
    </w:p>
    <w:p>
      <w:pPr>
        <w:spacing w:line="360" w:lineRule="auto"/>
        <w:ind w:firstLine="480" w:firstLineChars="200"/>
        <w:rPr>
          <w:rFonts w:eastAsia="长城黑体"/>
          <w:color w:val="auto"/>
          <w:sz w:val="24"/>
        </w:rPr>
      </w:pPr>
      <w:r>
        <w:rPr>
          <w:rFonts w:eastAsia="长城黑体"/>
          <w:color w:val="auto"/>
          <w:sz w:val="24"/>
        </w:rPr>
        <w:t>本次评价主要包括以下专题设置：概述、总论、建设项目工程分析、环境现状调查与评价、环境影响预测与评价、环境保护措施及其可行性论证、环境影响经济损益分析、环境管理与监测计划、环境影响评价结论和附录附件等内容。</w:t>
      </w:r>
    </w:p>
    <w:p>
      <w:pPr>
        <w:pStyle w:val="5"/>
        <w:spacing w:before="0" w:after="0" w:line="360" w:lineRule="auto"/>
        <w:rPr>
          <w:color w:val="auto"/>
          <w:sz w:val="24"/>
          <w:szCs w:val="24"/>
        </w:rPr>
      </w:pPr>
      <w:bookmarkStart w:id="102" w:name="_Toc333177933"/>
      <w:r>
        <w:rPr>
          <w:color w:val="auto"/>
          <w:sz w:val="24"/>
          <w:szCs w:val="24"/>
        </w:rPr>
        <w:t>2.5.2评价重点</w:t>
      </w:r>
      <w:bookmarkEnd w:id="102"/>
    </w:p>
    <w:p>
      <w:pPr>
        <w:spacing w:line="360" w:lineRule="auto"/>
        <w:ind w:firstLine="480" w:firstLineChars="200"/>
        <w:rPr>
          <w:color w:val="auto"/>
          <w:sz w:val="24"/>
        </w:rPr>
      </w:pPr>
      <w:r>
        <w:rPr>
          <w:color w:val="auto"/>
          <w:sz w:val="24"/>
        </w:rPr>
        <w:t>本次评价重点专题为：</w:t>
      </w:r>
    </w:p>
    <w:p>
      <w:pPr>
        <w:pStyle w:val="23"/>
        <w:adjustRightInd w:val="0"/>
        <w:snapToGrid w:val="0"/>
        <w:spacing w:after="0" w:line="360" w:lineRule="auto"/>
        <w:ind w:left="0" w:leftChars="0" w:firstLine="480" w:firstLineChars="200"/>
        <w:rPr>
          <w:color w:val="auto"/>
          <w:sz w:val="24"/>
        </w:rPr>
      </w:pPr>
      <w:r>
        <w:rPr>
          <w:color w:val="auto"/>
          <w:sz w:val="24"/>
        </w:rPr>
        <w:t>（1）结合“污染物达标排放”、“污染物排放总量控制”等原则进行工程分析，查清项目各类污染因子、排污源强、排放方式以及排放规律，合理确定评价等级，重点为污染物产生量及产生特点的分析，预测项目建成后污染物排放对周围环境的影响。</w:t>
      </w:r>
    </w:p>
    <w:p>
      <w:pPr>
        <w:pStyle w:val="23"/>
        <w:adjustRightInd w:val="0"/>
        <w:snapToGrid w:val="0"/>
        <w:spacing w:after="0" w:line="360" w:lineRule="auto"/>
        <w:ind w:left="0" w:leftChars="0" w:firstLine="480" w:firstLineChars="200"/>
        <w:rPr>
          <w:color w:val="auto"/>
          <w:sz w:val="24"/>
        </w:rPr>
      </w:pPr>
      <w:r>
        <w:rPr>
          <w:color w:val="auto"/>
          <w:sz w:val="24"/>
        </w:rPr>
        <w:t>（2）在进行工程分析以及环境影响评价的基础上，进行污染防治对策研究，提出切实可行的环保措施。</w:t>
      </w:r>
    </w:p>
    <w:p>
      <w:pPr>
        <w:pStyle w:val="23"/>
        <w:adjustRightInd w:val="0"/>
        <w:snapToGrid w:val="0"/>
        <w:spacing w:after="0" w:line="360" w:lineRule="auto"/>
        <w:ind w:left="0" w:leftChars="0" w:firstLine="480" w:firstLineChars="200"/>
        <w:rPr>
          <w:color w:val="auto"/>
          <w:sz w:val="24"/>
        </w:rPr>
      </w:pPr>
      <w:r>
        <w:rPr>
          <w:color w:val="auto"/>
          <w:sz w:val="24"/>
        </w:rPr>
        <w:t>（3）根据资料，结合项目与当地规划、环境功能区划的相符性、总量控制、污染物达标等方面，对项目建设可行性进行分析。</w:t>
      </w:r>
    </w:p>
    <w:p>
      <w:pPr>
        <w:pStyle w:val="4"/>
        <w:spacing w:line="360" w:lineRule="auto"/>
        <w:rPr>
          <w:rFonts w:ascii="Times New Roman" w:hAnsi="Times New Roman"/>
          <w:b/>
          <w:color w:val="auto"/>
          <w:szCs w:val="28"/>
        </w:rPr>
      </w:pPr>
      <w:bookmarkStart w:id="103" w:name="_Toc287813364"/>
      <w:bookmarkStart w:id="104" w:name="_Toc333388575"/>
      <w:bookmarkStart w:id="105" w:name="_Toc333177934"/>
      <w:bookmarkStart w:id="106" w:name="_Toc333178533"/>
      <w:bookmarkStart w:id="107" w:name="_Toc335291735"/>
      <w:bookmarkStart w:id="108" w:name="_Toc366874097"/>
      <w:bookmarkStart w:id="109" w:name="_Toc367091856"/>
      <w:bookmarkStart w:id="110" w:name="_Toc31168"/>
      <w:bookmarkStart w:id="111" w:name="_Toc12043"/>
      <w:r>
        <w:rPr>
          <w:rFonts w:ascii="Times New Roman" w:hAnsi="Times New Roman"/>
          <w:b/>
          <w:color w:val="auto"/>
          <w:szCs w:val="28"/>
        </w:rPr>
        <w:t>2.6评价时段</w:t>
      </w:r>
      <w:bookmarkEnd w:id="103"/>
      <w:bookmarkEnd w:id="104"/>
      <w:bookmarkEnd w:id="105"/>
      <w:bookmarkEnd w:id="106"/>
      <w:bookmarkEnd w:id="107"/>
      <w:bookmarkEnd w:id="108"/>
      <w:bookmarkEnd w:id="109"/>
      <w:bookmarkEnd w:id="110"/>
      <w:bookmarkEnd w:id="111"/>
    </w:p>
    <w:p>
      <w:pPr>
        <w:spacing w:line="360" w:lineRule="auto"/>
        <w:ind w:firstLine="480" w:firstLineChars="200"/>
        <w:rPr>
          <w:bCs/>
          <w:color w:val="auto"/>
          <w:sz w:val="24"/>
        </w:rPr>
      </w:pPr>
      <w:bookmarkStart w:id="112" w:name="_Toc333178534"/>
      <w:bookmarkStart w:id="113" w:name="_Toc333177935"/>
      <w:bookmarkStart w:id="114" w:name="_Toc287813365"/>
      <w:bookmarkStart w:id="115" w:name="_Toc333388576"/>
      <w:bookmarkStart w:id="116" w:name="_Toc335291736"/>
      <w:r>
        <w:rPr>
          <w:bCs/>
          <w:color w:val="auto"/>
          <w:sz w:val="24"/>
        </w:rPr>
        <w:t>本项目主要针对施工期和运营期进行环境影响评价。</w:t>
      </w:r>
    </w:p>
    <w:p>
      <w:pPr>
        <w:pStyle w:val="4"/>
        <w:spacing w:line="360" w:lineRule="auto"/>
        <w:rPr>
          <w:rFonts w:ascii="Times New Roman" w:hAnsi="Times New Roman"/>
          <w:b/>
          <w:color w:val="auto"/>
          <w:szCs w:val="28"/>
        </w:rPr>
      </w:pPr>
      <w:bookmarkStart w:id="117" w:name="_Toc21197"/>
      <w:bookmarkStart w:id="118" w:name="_Toc4132"/>
      <w:r>
        <w:rPr>
          <w:rFonts w:ascii="Times New Roman" w:hAnsi="Times New Roman"/>
          <w:b/>
          <w:color w:val="auto"/>
          <w:szCs w:val="28"/>
        </w:rPr>
        <w:t>2.7相关规划及环境功能区划</w:t>
      </w:r>
      <w:bookmarkEnd w:id="117"/>
      <w:bookmarkEnd w:id="118"/>
    </w:p>
    <w:p>
      <w:pPr>
        <w:pStyle w:val="5"/>
        <w:spacing w:before="0" w:after="0" w:line="360" w:lineRule="auto"/>
        <w:rPr>
          <w:color w:val="auto"/>
          <w:sz w:val="24"/>
          <w:szCs w:val="24"/>
        </w:rPr>
      </w:pPr>
      <w:r>
        <w:rPr>
          <w:color w:val="auto"/>
          <w:sz w:val="24"/>
          <w:szCs w:val="24"/>
        </w:rPr>
        <w:t>2.7.1产业政策相符性分析</w:t>
      </w:r>
    </w:p>
    <w:p>
      <w:pPr>
        <w:spacing w:line="360" w:lineRule="auto"/>
        <w:ind w:firstLine="480" w:firstLineChars="200"/>
        <w:rPr>
          <w:bCs/>
          <w:color w:val="auto"/>
          <w:sz w:val="24"/>
        </w:rPr>
      </w:pPr>
      <w:r>
        <w:rPr>
          <w:bCs/>
          <w:color w:val="auto"/>
          <w:sz w:val="24"/>
        </w:rPr>
        <w:t>对照《产业结构调整指导目录（2019年本）》，本项目不属于鼓励类、限制类、淘汰类，属于允许项目。项目符合国家产业政策。</w:t>
      </w:r>
    </w:p>
    <w:p>
      <w:pPr>
        <w:spacing w:line="360" w:lineRule="auto"/>
        <w:ind w:firstLine="480" w:firstLineChars="200"/>
        <w:rPr>
          <w:bCs/>
          <w:color w:val="auto"/>
          <w:sz w:val="24"/>
        </w:rPr>
      </w:pPr>
      <w:r>
        <w:rPr>
          <w:bCs/>
          <w:color w:val="auto"/>
          <w:sz w:val="24"/>
        </w:rPr>
        <w:t>根据《宣城市人民政府办公室关于印发宣城市工业经济发展指南(2016-2020)的通知》、《宁国市企业投资项目负面清单》（2015年本），本项目是橡胶制品加工，不属于负面清单限制类和淘汰类生产工艺、设备、产品项目。项目符合地方产业政策。</w:t>
      </w:r>
    </w:p>
    <w:p>
      <w:pPr>
        <w:pStyle w:val="5"/>
        <w:spacing w:before="0" w:after="0" w:line="360" w:lineRule="auto"/>
        <w:rPr>
          <w:color w:val="auto"/>
          <w:sz w:val="24"/>
          <w:szCs w:val="24"/>
        </w:rPr>
      </w:pPr>
      <w:r>
        <w:rPr>
          <w:color w:val="auto"/>
          <w:sz w:val="24"/>
          <w:szCs w:val="24"/>
        </w:rPr>
        <w:t>2.7.2行业规划符合性分析</w:t>
      </w:r>
    </w:p>
    <w:p>
      <w:pPr>
        <w:autoSpaceDE w:val="0"/>
        <w:autoSpaceDN w:val="0"/>
        <w:adjustRightInd w:val="0"/>
        <w:spacing w:line="360" w:lineRule="auto"/>
        <w:ind w:firstLine="480" w:firstLineChars="200"/>
        <w:rPr>
          <w:bCs/>
          <w:color w:val="auto"/>
          <w:kern w:val="0"/>
          <w:sz w:val="24"/>
        </w:rPr>
      </w:pPr>
      <w:r>
        <w:rPr>
          <w:bCs/>
          <w:color w:val="auto"/>
          <w:kern w:val="0"/>
          <w:sz w:val="24"/>
        </w:rPr>
        <w:t>《中国橡胶行业“十三五”发展规划指导纲要》指出：淘汰落后产能，限制低水平重复投入，提高产业集中度和企业竞争力；坚持自主创新，提高产品技术含量；节约能源、保护环境，大力推进绿色生产；加强行业自律，培育品牌产品，促进行业健康发展。</w:t>
      </w:r>
    </w:p>
    <w:p>
      <w:pPr>
        <w:autoSpaceDE w:val="0"/>
        <w:autoSpaceDN w:val="0"/>
        <w:adjustRightInd w:val="0"/>
        <w:spacing w:line="360" w:lineRule="auto"/>
        <w:ind w:firstLine="480" w:firstLineChars="200"/>
        <w:rPr>
          <w:bCs/>
          <w:color w:val="auto"/>
          <w:kern w:val="0"/>
          <w:sz w:val="24"/>
        </w:rPr>
      </w:pPr>
      <w:r>
        <w:rPr>
          <w:bCs/>
          <w:color w:val="auto"/>
          <w:kern w:val="0"/>
          <w:sz w:val="24"/>
        </w:rPr>
        <w:t>本工程为新建项目，采用自动化水平较高的生产设备，提高生产水平和生产能力；按照环保要求，做到达标排放，减小生产对区域环境的影响。</w:t>
      </w:r>
    </w:p>
    <w:p>
      <w:pPr>
        <w:autoSpaceDE w:val="0"/>
        <w:autoSpaceDN w:val="0"/>
        <w:adjustRightInd w:val="0"/>
        <w:spacing w:line="360" w:lineRule="auto"/>
        <w:ind w:firstLine="480" w:firstLineChars="200"/>
        <w:rPr>
          <w:bCs/>
          <w:color w:val="auto"/>
          <w:kern w:val="0"/>
          <w:sz w:val="24"/>
        </w:rPr>
      </w:pPr>
      <w:r>
        <w:rPr>
          <w:bCs/>
          <w:color w:val="auto"/>
          <w:kern w:val="0"/>
          <w:sz w:val="24"/>
        </w:rPr>
        <w:t>因此，项目的建设符合《中国橡胶行业“十三五”发展规划指导纲要》精神。</w:t>
      </w:r>
    </w:p>
    <w:p>
      <w:pPr>
        <w:pStyle w:val="5"/>
        <w:spacing w:before="0" w:after="0" w:line="520" w:lineRule="exact"/>
        <w:rPr>
          <w:color w:val="auto"/>
          <w:sz w:val="24"/>
          <w:szCs w:val="24"/>
        </w:rPr>
      </w:pPr>
      <w:r>
        <w:rPr>
          <w:color w:val="auto"/>
          <w:sz w:val="24"/>
          <w:szCs w:val="24"/>
        </w:rPr>
        <w:t>2.7.3《宁国市城市总体规划（2007～2020）》</w:t>
      </w:r>
    </w:p>
    <w:p>
      <w:pPr>
        <w:autoSpaceDE w:val="0"/>
        <w:autoSpaceDN w:val="0"/>
        <w:adjustRightInd w:val="0"/>
        <w:spacing w:line="520" w:lineRule="exact"/>
        <w:ind w:firstLine="480" w:firstLineChars="200"/>
        <w:rPr>
          <w:color w:val="auto"/>
          <w:sz w:val="24"/>
        </w:rPr>
      </w:pPr>
      <w:r>
        <w:rPr>
          <w:color w:val="auto"/>
          <w:sz w:val="24"/>
        </w:rPr>
        <w:t>《宁国市城市总体规划（2007～2020）》规划的范围为以宁国市行政辖区为规划范围，总面积2487km</w:t>
      </w:r>
      <w:r>
        <w:rPr>
          <w:color w:val="auto"/>
          <w:sz w:val="24"/>
          <w:vertAlign w:val="superscript"/>
        </w:rPr>
        <w:t>2</w:t>
      </w:r>
      <w:r>
        <w:rPr>
          <w:color w:val="auto"/>
          <w:sz w:val="24"/>
        </w:rPr>
        <w:t>。规划期限为2007年～2020年。近期为2007～2010年；远期为2011～2020年。宁国工业的发展次序是：“主攻配套、特色工业，积极培育高新技术产业，相机发展其它工业”。重点是促进汽车橡胶零部件、耐磨材料、塑料包装、化肥、电容器五大行业形成产业优势，成为区域性的加工配套协作中心；发挥资源特色优势，促进水泥、林特产品做强做大，成为区域性的特色产品生产基地，构筑起取向明显、特色鲜明、主体多元、富有活力的市域工业经济发展新格局。</w:t>
      </w:r>
    </w:p>
    <w:p>
      <w:pPr>
        <w:autoSpaceDE w:val="0"/>
        <w:autoSpaceDN w:val="0"/>
        <w:adjustRightInd w:val="0"/>
        <w:spacing w:line="520" w:lineRule="exact"/>
        <w:ind w:firstLine="482" w:firstLineChars="200"/>
        <w:rPr>
          <w:b/>
          <w:bCs/>
          <w:color w:val="auto"/>
          <w:kern w:val="0"/>
          <w:sz w:val="24"/>
        </w:rPr>
      </w:pPr>
      <w:r>
        <w:rPr>
          <w:b/>
          <w:bCs/>
          <w:color w:val="auto"/>
          <w:sz w:val="24"/>
        </w:rPr>
        <w:t>本项目为</w:t>
      </w:r>
      <w:r>
        <w:rPr>
          <w:rFonts w:hint="eastAsia"/>
          <w:b/>
          <w:bCs/>
          <w:color w:val="auto"/>
          <w:sz w:val="24"/>
          <w:lang w:eastAsia="zh-CN"/>
        </w:rPr>
        <w:t>橡胶制品制造</w:t>
      </w:r>
      <w:r>
        <w:rPr>
          <w:b/>
          <w:bCs/>
          <w:color w:val="auto"/>
          <w:sz w:val="24"/>
        </w:rPr>
        <w:t>，位于</w:t>
      </w:r>
      <w:r>
        <w:rPr>
          <w:rFonts w:hint="eastAsia"/>
          <w:b/>
          <w:bCs/>
          <w:color w:val="auto"/>
          <w:sz w:val="24"/>
          <w:lang w:eastAsia="zh-CN"/>
        </w:rPr>
        <w:t>安徽省宁国经济技术开发区河沥园区振宁路（宁国市德胜建筑机械有限公司内）</w:t>
      </w:r>
      <w:r>
        <w:rPr>
          <w:b/>
          <w:bCs/>
          <w:color w:val="auto"/>
          <w:sz w:val="24"/>
        </w:rPr>
        <w:t>，符合宁国市城市总体规划要求。</w:t>
      </w:r>
    </w:p>
    <w:p>
      <w:pPr>
        <w:pStyle w:val="5"/>
        <w:spacing w:before="0" w:after="0" w:line="520" w:lineRule="exact"/>
        <w:rPr>
          <w:color w:val="auto"/>
          <w:sz w:val="24"/>
          <w:szCs w:val="24"/>
        </w:rPr>
      </w:pPr>
      <w:r>
        <w:rPr>
          <w:color w:val="auto"/>
          <w:sz w:val="24"/>
          <w:szCs w:val="24"/>
        </w:rPr>
        <w:t>2.7.4与宁国市经济技术开发区规划符合性分析</w:t>
      </w:r>
    </w:p>
    <w:p>
      <w:pPr>
        <w:autoSpaceDE w:val="0"/>
        <w:autoSpaceDN w:val="0"/>
        <w:adjustRightInd w:val="0"/>
        <w:spacing w:line="520" w:lineRule="exact"/>
        <w:ind w:firstLine="480" w:firstLineChars="200"/>
        <w:rPr>
          <w:color w:val="auto"/>
          <w:sz w:val="24"/>
        </w:rPr>
      </w:pPr>
      <w:r>
        <w:rPr>
          <w:color w:val="auto"/>
          <w:sz w:val="24"/>
        </w:rPr>
        <w:t>（1）宁国市经济技术开发区概况</w:t>
      </w:r>
    </w:p>
    <w:p>
      <w:pPr>
        <w:autoSpaceDE w:val="0"/>
        <w:autoSpaceDN w:val="0"/>
        <w:adjustRightInd w:val="0"/>
        <w:spacing w:line="520" w:lineRule="exact"/>
        <w:ind w:firstLine="480" w:firstLineChars="200"/>
        <w:rPr>
          <w:color w:val="auto"/>
          <w:sz w:val="24"/>
        </w:rPr>
      </w:pPr>
      <w:r>
        <w:rPr>
          <w:color w:val="auto"/>
          <w:sz w:val="24"/>
        </w:rPr>
        <w:t>宁国经济技术开发区成立于2000年12月，经过多年建设，已形成“一区三园一拓展” 发展格局，规划面积达55.2平方公里，其中南山园区15.6平方公里，建成区10平方公里，河沥园区19.7平方公里，汪溪园区15.2平方公里，梅林拓展区4.7平方公里。2013年3月，经国务院国办函（2013) 54号批准，同意宁国经济开发区升级为国家级经济技术开发区，实行现行国家级经济技术开发区的政策。宁国经济技术开发区起 步区位于宁国市区西南部、南山办事处境内，国务院及省政府批准起步区面积为1.37平方公里。近年来，随着招商引资力度的加大，以苏浙沪地区为主导的投资商和企业纷沓而至，目前起步区范围内已全部建成。</w:t>
      </w:r>
    </w:p>
    <w:p>
      <w:pPr>
        <w:autoSpaceDE w:val="0"/>
        <w:autoSpaceDN w:val="0"/>
        <w:adjustRightInd w:val="0"/>
        <w:spacing w:line="520" w:lineRule="exact"/>
        <w:ind w:firstLine="480" w:firstLineChars="200"/>
        <w:rPr>
          <w:color w:val="auto"/>
          <w:sz w:val="24"/>
        </w:rPr>
      </w:pPr>
      <w:r>
        <w:rPr>
          <w:color w:val="auto"/>
          <w:sz w:val="24"/>
        </w:rPr>
        <w:t>宁国经济技术开发区管委会于2007年2月委托安徽省环境科技咨询中心编制完成了 《宁国经济技术开发区区域环境影响报告书》；2007年3月，原安徽省环境保护局以环评 函〔2007〕226号文对区域环境影响报告书进行了批复。根据安徽省人民政府办公厅《关于印发皖江城市带承接产业转移示范区省级开发区扩 区暂行办法的通知》（皖政办〔2010〕39号）要求，宁国经济技术开发区管委会结合宁国 城市总体规划以及工业发展实际，于2012年7月在原省批核定面积1.37平方公里的基础上，向西南片区延伸6.40平方公里，规划为宁国经济技术开发区扩区范围，扩区后开发区规划总面积为7.77平方公里，经安徽省国土资源厅原则同意。扩区后开发区具体四至范围 为东至中溪南路、南至白云路、南极西路及外环南路以南、西至外环西路西侧、北至独山路及杨山路以及宜黄公路南侧（不含河沥园区）。安徽省商务厅皖商开函〔2011〕59号 《关于对宁国经济技术开发区扩大规划范围的复函》对开发区扩区予以了函复。宁国经济技术开发区管委会于2012年委托中冶华天工程技术有限公司编制了《安徽省宁国经济技术开发区扩区总体规划环境影响报告书》，安徽省环境保护厅于2012年11月以环评函 〔2012〕1291号文对规划环境影响报告书进行了批复。</w:t>
      </w:r>
    </w:p>
    <w:p>
      <w:pPr>
        <w:autoSpaceDE w:val="0"/>
        <w:autoSpaceDN w:val="0"/>
        <w:adjustRightInd w:val="0"/>
        <w:spacing w:line="520" w:lineRule="exact"/>
        <w:ind w:firstLine="480" w:firstLineChars="200"/>
        <w:rPr>
          <w:color w:val="auto"/>
          <w:sz w:val="24"/>
        </w:rPr>
      </w:pPr>
      <w:r>
        <w:rPr>
          <w:color w:val="auto"/>
          <w:sz w:val="24"/>
        </w:rPr>
        <w:t>2013年3月，国办函（2013) 54号，经国务院批准，同意宁国经济开发区升级为国家 级经济技术开发区，实行现行国家级经济技术开发区的政策。目前，宁国经济开发区已经初步形成汽车零部件、电子元器件、耐磨铸件三大主导产业，同时，园区积极培育节能建 材与新能源应用、生物医药、电子信息等新兴战略性产业，发展总部经济。</w:t>
      </w:r>
    </w:p>
    <w:p>
      <w:pPr>
        <w:autoSpaceDE w:val="0"/>
        <w:autoSpaceDN w:val="0"/>
        <w:adjustRightInd w:val="0"/>
        <w:spacing w:line="520" w:lineRule="exact"/>
        <w:ind w:firstLine="480" w:firstLineChars="200"/>
        <w:rPr>
          <w:color w:val="auto"/>
          <w:sz w:val="24"/>
        </w:rPr>
      </w:pPr>
      <w:r>
        <w:rPr>
          <w:color w:val="auto"/>
          <w:sz w:val="24"/>
        </w:rPr>
        <w:t>近年来，随着宁国城市经济总量和发展速度的高速增长，工业园区面临用地紧张，基础设施压力较大等诸多方面问题，同时这些问题也逐渐成为制约宁国市工业发展的瓶颈。随着皖赣铁路和高速公路的修建，其对宁国开发区的总体格局产生一定影响，使得宁国市发展的内外部条件都发生变化，因此，原有开发区的规模、范围以及基础设施已不能适应城市未来建设发展的需求，无法承载宁国市经济持续发展的需要。为此，2016年5月宁国市经济开发区管委会组织编制了《安徽宁国经济技术开发区总体规划（2016~2030)》，规划区域分南山园区和河沥园区，规划范围涵盖原有开发区（原规划面积1.37平方公里）、新扩区域（规划面积10.05平方公里），共11.42平方公里，对宁国经济技术开发区的扩区进行了规划。</w:t>
      </w:r>
    </w:p>
    <w:p>
      <w:pPr>
        <w:autoSpaceDE w:val="0"/>
        <w:autoSpaceDN w:val="0"/>
        <w:adjustRightInd w:val="0"/>
        <w:spacing w:line="360" w:lineRule="auto"/>
        <w:ind w:firstLine="480" w:firstLineChars="200"/>
        <w:rPr>
          <w:color w:val="auto"/>
          <w:sz w:val="24"/>
        </w:rPr>
      </w:pPr>
      <w:r>
        <w:rPr>
          <w:color w:val="auto"/>
          <w:sz w:val="24"/>
        </w:rPr>
        <w:t>（2）符合性分析</w:t>
      </w:r>
    </w:p>
    <w:p>
      <w:pPr>
        <w:autoSpaceDE w:val="0"/>
        <w:autoSpaceDN w:val="0"/>
        <w:adjustRightInd w:val="0"/>
        <w:spacing w:line="360" w:lineRule="auto"/>
        <w:ind w:firstLine="480" w:firstLineChars="200"/>
        <w:rPr>
          <w:color w:val="auto"/>
          <w:sz w:val="24"/>
        </w:rPr>
      </w:pPr>
      <w:r>
        <w:rPr>
          <w:color w:val="auto"/>
          <w:sz w:val="24"/>
        </w:rPr>
        <w:t>本项目位于</w:t>
      </w:r>
      <w:r>
        <w:rPr>
          <w:rFonts w:hint="eastAsia"/>
          <w:color w:val="auto"/>
          <w:sz w:val="24"/>
          <w:lang w:eastAsia="zh-CN"/>
        </w:rPr>
        <w:t>安徽省宁国经济技术开发区河沥园区振宁路（宁国市德胜建筑机械有限公司内）</w:t>
      </w:r>
      <w:r>
        <w:rPr>
          <w:color w:val="auto"/>
          <w:sz w:val="24"/>
        </w:rPr>
        <w:t>，开发区成立以来，不断加快产业结构调整，着力优化产业布局和资源配置，在提升壮大汽车零部件、电子元器件、耐磨铸件等传统优势产业的基础上，大力发展节能建材与新能源应用、生物医药、电子信息等高新技术产业，积极发展总部经济和现代物流业，大力推进合作办园力度。宁国经济技术开发区主导产业及产业定位为：汽车橡胶零部件、水暖器材、电子元器件、耐磨材料、复合化肥、塑胶包装及农林产品加工。</w:t>
      </w:r>
    </w:p>
    <w:p>
      <w:pPr>
        <w:autoSpaceDE w:val="0"/>
        <w:autoSpaceDN w:val="0"/>
        <w:adjustRightInd w:val="0"/>
        <w:spacing w:line="360" w:lineRule="auto"/>
        <w:ind w:firstLine="482" w:firstLineChars="200"/>
        <w:rPr>
          <w:b/>
          <w:bCs/>
          <w:color w:val="auto"/>
          <w:sz w:val="24"/>
        </w:rPr>
      </w:pPr>
      <w:r>
        <w:rPr>
          <w:b/>
          <w:bCs/>
          <w:color w:val="auto"/>
          <w:sz w:val="24"/>
        </w:rPr>
        <w:t>本项目为</w:t>
      </w:r>
      <w:r>
        <w:rPr>
          <w:rFonts w:hint="eastAsia"/>
          <w:b/>
          <w:bCs/>
          <w:color w:val="auto"/>
          <w:sz w:val="24"/>
          <w:lang w:eastAsia="zh-CN"/>
        </w:rPr>
        <w:t>橡胶制品制造</w:t>
      </w:r>
      <w:r>
        <w:rPr>
          <w:b/>
          <w:bCs/>
          <w:color w:val="auto"/>
          <w:sz w:val="24"/>
        </w:rPr>
        <w:t>，符合宁国经济技术开发区产业规划要求。</w:t>
      </w:r>
    </w:p>
    <w:p>
      <w:pPr>
        <w:pStyle w:val="5"/>
        <w:spacing w:before="0" w:after="0" w:line="360" w:lineRule="auto"/>
        <w:rPr>
          <w:color w:val="auto"/>
          <w:sz w:val="24"/>
        </w:rPr>
      </w:pPr>
      <w:r>
        <w:rPr>
          <w:color w:val="auto"/>
          <w:sz w:val="24"/>
          <w:szCs w:val="24"/>
        </w:rPr>
        <w:t>2.7.5与</w:t>
      </w:r>
      <w:r>
        <w:rPr>
          <w:color w:val="auto"/>
          <w:sz w:val="24"/>
        </w:rPr>
        <w:t>《橡胶工厂环境保护设计规范》符合性分析</w:t>
      </w:r>
    </w:p>
    <w:p>
      <w:pPr>
        <w:autoSpaceDE w:val="0"/>
        <w:autoSpaceDN w:val="0"/>
        <w:adjustRightInd w:val="0"/>
        <w:spacing w:line="360" w:lineRule="auto"/>
        <w:ind w:firstLine="480" w:firstLineChars="200"/>
        <w:rPr>
          <w:color w:val="auto"/>
          <w:sz w:val="24"/>
        </w:rPr>
      </w:pPr>
      <w:r>
        <w:rPr>
          <w:color w:val="auto"/>
          <w:sz w:val="24"/>
        </w:rPr>
        <w:t>《橡胶工厂环境保护设计规范》（GB50469-2016）关于厂址选择的要求：“橡胶工厂建设项目的选址必须符合地区环境影响评价和区域规划的要求，并应符合规划环境影响评价和项目环境影响评价的要求。厂址选择应根据区域规划，结合拟建项目性质、规模和排污特征，以及地区环境容量，经技术经济比较后确定。厂址不应选择在下列区域内：城市规划确定的生活居住区、文教卫生区；饮用水源保护区；风景名胜区；文化遗产保护区；自然保护区。厂址应布置在生活居住区等环境保护目标全年最小频率风向的上风向，防护距离应根据经批准的环境影响报告书（表）的数据确定。”</w:t>
      </w:r>
    </w:p>
    <w:p>
      <w:pPr>
        <w:autoSpaceDE w:val="0"/>
        <w:autoSpaceDN w:val="0"/>
        <w:adjustRightInd w:val="0"/>
        <w:spacing w:line="360" w:lineRule="auto"/>
        <w:ind w:firstLine="480" w:firstLineChars="200"/>
        <w:rPr>
          <w:color w:val="auto"/>
          <w:sz w:val="24"/>
        </w:rPr>
      </w:pPr>
      <w:r>
        <w:rPr>
          <w:color w:val="auto"/>
          <w:sz w:val="24"/>
        </w:rPr>
        <w:t>本项目选址位于安徽省宣城市安徽</w:t>
      </w:r>
      <w:r>
        <w:rPr>
          <w:rFonts w:hint="eastAsia"/>
          <w:color w:val="auto"/>
          <w:sz w:val="24"/>
          <w:lang w:eastAsia="zh-CN"/>
        </w:rPr>
        <w:t>安徽省宁国经济技术开发区河沥园区振宁路（宁国市德胜建筑机械有限公司内）</w:t>
      </w:r>
      <w:r>
        <w:rPr>
          <w:color w:val="auto"/>
          <w:sz w:val="24"/>
        </w:rPr>
        <w:t>，用地性质为工业用地，选址符合地区环境影响评价和区域规划的要求，符合规划环境影响评价的要求。同时不在城市规划确定的生活居住区、文教卫生区、饮用水源保护区、风景名胜区、文化遗产保护区、自然保护区等环境敏感区域内。</w:t>
      </w:r>
    </w:p>
    <w:p>
      <w:pPr>
        <w:pStyle w:val="5"/>
        <w:spacing w:before="0" w:after="0" w:line="360" w:lineRule="auto"/>
        <w:rPr>
          <w:color w:val="auto"/>
          <w:sz w:val="24"/>
        </w:rPr>
      </w:pPr>
      <w:r>
        <w:rPr>
          <w:color w:val="auto"/>
          <w:sz w:val="24"/>
          <w:szCs w:val="24"/>
        </w:rPr>
        <w:t>2.7.6与</w:t>
      </w:r>
      <w:r>
        <w:rPr>
          <w:color w:val="auto"/>
          <w:sz w:val="24"/>
        </w:rPr>
        <w:t>挥发性有机物污染防治工作方案符合性分析</w:t>
      </w:r>
    </w:p>
    <w:p>
      <w:pPr>
        <w:adjustRightInd w:val="0"/>
        <w:snapToGrid w:val="0"/>
        <w:spacing w:line="360" w:lineRule="auto"/>
        <w:ind w:firstLine="480" w:firstLineChars="200"/>
        <w:rPr>
          <w:color w:val="auto"/>
          <w:sz w:val="24"/>
        </w:rPr>
      </w:pPr>
      <w:r>
        <w:rPr>
          <w:color w:val="auto"/>
          <w:sz w:val="24"/>
        </w:rPr>
        <w:t>《安徽省挥发性有机物污染整治工作方案》提出：在城市建成区、水源保护地、风机名胜区、森林公园、重要湿地和其他重要生态功能区实行强制性保护，禁止新建、改建、扩建VOCs高污染企业。在水源涵养区、水土保持区等生态功能区实施限制开发。本项目位于安徽省宣城市安徽宁国经济技术开发区，且VOCs排放量较少，符合要求。</w:t>
      </w:r>
    </w:p>
    <w:p>
      <w:pPr>
        <w:adjustRightInd w:val="0"/>
        <w:snapToGrid w:val="0"/>
        <w:spacing w:line="360" w:lineRule="auto"/>
        <w:ind w:firstLine="480" w:firstLineChars="200"/>
        <w:rPr>
          <w:color w:val="auto"/>
          <w:sz w:val="24"/>
        </w:rPr>
      </w:pPr>
      <w:r>
        <w:rPr>
          <w:color w:val="auto"/>
          <w:sz w:val="24"/>
        </w:rPr>
        <w:t>新建、改建、扩建涉及VOCs排放的建设项目在开展环境影响评价时，必须将VOCs排放控制纳入环境影响评价的重要内容，并落实最严格的废气污染防治措施。本项目开展环境影响评价，并将VOCs纳入环境影响评价内，本项目对</w:t>
      </w:r>
      <w:r>
        <w:rPr>
          <w:rFonts w:hint="eastAsia"/>
          <w:color w:val="auto"/>
          <w:sz w:val="24"/>
          <w:lang w:eastAsia="zh-CN"/>
        </w:rPr>
        <w:t>开炼、密炼</w:t>
      </w:r>
      <w:r>
        <w:rPr>
          <w:color w:val="auto"/>
          <w:sz w:val="24"/>
        </w:rPr>
        <w:t>废气产生的含非甲烷总烃的废气采取“</w:t>
      </w:r>
      <w:r>
        <w:rPr>
          <w:rFonts w:hint="eastAsia"/>
          <w:color w:val="auto"/>
          <w:sz w:val="24"/>
          <w:lang w:eastAsia="zh-CN"/>
        </w:rPr>
        <w:t>二级活性炭</w:t>
      </w:r>
      <w:r>
        <w:rPr>
          <w:color w:val="auto"/>
          <w:sz w:val="24"/>
        </w:rPr>
        <w:t>”处理工艺，符合要求。</w:t>
      </w:r>
    </w:p>
    <w:p>
      <w:pPr>
        <w:adjustRightInd w:val="0"/>
        <w:snapToGrid w:val="0"/>
        <w:spacing w:line="360" w:lineRule="auto"/>
        <w:ind w:firstLine="480" w:firstLineChars="200"/>
        <w:rPr>
          <w:color w:val="auto"/>
          <w:sz w:val="24"/>
        </w:rPr>
      </w:pPr>
      <w:r>
        <w:rPr>
          <w:color w:val="auto"/>
          <w:sz w:val="24"/>
        </w:rPr>
        <w:t>涉及VOCs排放的新、改、扩建项目，应配备废气回收、净化装置，原则上总净化效率不得低于</w:t>
      </w:r>
      <w:r>
        <w:rPr>
          <w:color w:val="auto"/>
          <w:sz w:val="24"/>
          <w:lang w:val="zh-CN"/>
        </w:rPr>
        <w:t>90%</w:t>
      </w:r>
      <w:r>
        <w:rPr>
          <w:color w:val="auto"/>
          <w:sz w:val="24"/>
        </w:rPr>
        <w:t>。建立VOCs排放总量控制制度。本项目有机废气的净化效率可达到</w:t>
      </w:r>
      <w:r>
        <w:rPr>
          <w:color w:val="auto"/>
          <w:sz w:val="24"/>
          <w:lang w:val="zh-CN"/>
        </w:rPr>
        <w:t>90%</w:t>
      </w:r>
      <w:r>
        <w:rPr>
          <w:color w:val="auto"/>
          <w:sz w:val="24"/>
        </w:rPr>
        <w:t>，VOCs排放量较小，并严格执行总量控制指标。</w:t>
      </w:r>
    </w:p>
    <w:p>
      <w:pPr>
        <w:adjustRightInd w:val="0"/>
        <w:snapToGrid w:val="0"/>
        <w:spacing w:line="360" w:lineRule="auto"/>
        <w:ind w:firstLine="480" w:firstLineChars="200"/>
        <w:rPr>
          <w:color w:val="auto"/>
          <w:sz w:val="24"/>
        </w:rPr>
      </w:pPr>
      <w:r>
        <w:rPr>
          <w:color w:val="auto"/>
          <w:sz w:val="24"/>
        </w:rPr>
        <w:t>加强企业内部管理，明确VOCs处理装置的管理和监控方案，提升现场管理水平，确保VOCs处理装置长期有效运行。要加强基础工作，建立完善的</w:t>
      </w:r>
      <w:r>
        <w:rPr>
          <w:color w:val="auto"/>
          <w:sz w:val="24"/>
          <w:lang w:val="zh-CN"/>
        </w:rPr>
        <w:t>“</w:t>
      </w:r>
      <w:r>
        <w:rPr>
          <w:color w:val="auto"/>
          <w:sz w:val="24"/>
        </w:rPr>
        <w:t>一厂一档</w:t>
      </w:r>
      <w:r>
        <w:rPr>
          <w:color w:val="auto"/>
          <w:sz w:val="24"/>
          <w:lang w:val="zh-CN"/>
        </w:rPr>
        <w:t>”</w:t>
      </w:r>
      <w:r>
        <w:rPr>
          <w:color w:val="auto"/>
          <w:sz w:val="24"/>
        </w:rPr>
        <w:t>，与VOCs排放相关的原辅料、溶剂的使用、产品生产及输出、废气处理、污染物排放、在线监控等信息应进行跟踪记录，以满足企业VOCs实际以及潜在的排放量查证需要，确保企业VOCs处理装置运行效果。建设单位专门设立环保机构，安排专人进行有机废气装置日常维护，满足要求。</w:t>
      </w:r>
    </w:p>
    <w:p>
      <w:pPr>
        <w:adjustRightInd w:val="0"/>
        <w:snapToGrid w:val="0"/>
        <w:spacing w:line="360" w:lineRule="auto"/>
        <w:ind w:firstLine="480" w:firstLineChars="200"/>
        <w:rPr>
          <w:color w:val="auto"/>
          <w:sz w:val="24"/>
        </w:rPr>
      </w:pPr>
      <w:r>
        <w:rPr>
          <w:color w:val="auto"/>
          <w:sz w:val="24"/>
        </w:rPr>
        <w:t>本项目选址位于工业区规划用地、净化效率能够达到</w:t>
      </w:r>
      <w:r>
        <w:rPr>
          <w:color w:val="auto"/>
          <w:sz w:val="24"/>
          <w:lang w:val="zh-CN"/>
        </w:rPr>
        <w:t>90%</w:t>
      </w:r>
      <w:r>
        <w:rPr>
          <w:color w:val="auto"/>
          <w:sz w:val="24"/>
        </w:rPr>
        <w:t>，厂区配备完善的环保管理制度，VOCs控制基本符合《安徽省挥发性有机物污染整治工作方案》皖大气办</w:t>
      </w:r>
      <w:r>
        <w:rPr>
          <w:color w:val="auto"/>
          <w:sz w:val="24"/>
          <w:lang w:val="zh-CN"/>
        </w:rPr>
        <w:t>[2014]23</w:t>
      </w:r>
      <w:r>
        <w:rPr>
          <w:color w:val="auto"/>
          <w:sz w:val="24"/>
        </w:rPr>
        <w:t>号文件的要求。</w:t>
      </w:r>
    </w:p>
    <w:p>
      <w:pPr>
        <w:pStyle w:val="5"/>
        <w:spacing w:before="0" w:after="0" w:line="360" w:lineRule="auto"/>
        <w:rPr>
          <w:color w:val="auto"/>
          <w:sz w:val="24"/>
          <w:szCs w:val="24"/>
        </w:rPr>
      </w:pPr>
      <w:r>
        <w:rPr>
          <w:color w:val="auto"/>
          <w:sz w:val="24"/>
          <w:szCs w:val="24"/>
        </w:rPr>
        <w:t>2.7.7与</w:t>
      </w:r>
      <w:r>
        <w:rPr>
          <w:color w:val="auto"/>
          <w:kern w:val="0"/>
          <w:sz w:val="24"/>
        </w:rPr>
        <w:t>《关于印发宁国市水清岸绿产业优美丽长江（安徽）经济带工作专项治理实施方案的通知》的</w:t>
      </w:r>
      <w:r>
        <w:rPr>
          <w:color w:val="auto"/>
          <w:sz w:val="24"/>
        </w:rPr>
        <w:t>符合性分析</w:t>
      </w:r>
    </w:p>
    <w:p>
      <w:pPr>
        <w:spacing w:line="360" w:lineRule="auto"/>
        <w:ind w:firstLine="480" w:firstLineChars="200"/>
        <w:rPr>
          <w:bCs/>
          <w:color w:val="auto"/>
          <w:sz w:val="24"/>
        </w:rPr>
      </w:pPr>
      <w:r>
        <w:rPr>
          <w:bCs/>
          <w:color w:val="auto"/>
          <w:kern w:val="0"/>
          <w:sz w:val="24"/>
        </w:rPr>
        <w:t>根据宁国市人民政府办公室文件，《关于印发宁国市水清岸绿产业优美丽长江（安徽）经济带工作专项治理实施方案的通知》，宁政办秘[2019]12号文，文件规定：（一）2018年8月起，水阳江岸边1公里范围内，除必须实施的防洪护岸、河道治理、供水、航道整治，港口码头及集疏运通道、道路及跨江桥隧、公共管理、生态环境治理、国家和省重要基础设施等事关公共安全、公共服务和公众利益的建设项目，以及岸线规划确定的城乡（镇）建设区内非工业项目外，不得新建建设项目，不得布局新的工业园区。（二）水阳江岸线1公里范围内已批未开工的项目，</w:t>
      </w:r>
      <w:r>
        <w:rPr>
          <w:bCs/>
          <w:color w:val="auto"/>
          <w:sz w:val="24"/>
        </w:rPr>
        <w:t>依法停止建设，支持重新选址；已经开工建设的项目，严格进行检查评估，不符合岸线规划和环保、安全要求的，全部依法依规停建搬迁。</w:t>
      </w:r>
    </w:p>
    <w:p>
      <w:pPr>
        <w:spacing w:line="360" w:lineRule="auto"/>
        <w:ind w:firstLine="480" w:firstLineChars="200"/>
        <w:rPr>
          <w:bCs/>
          <w:color w:val="auto"/>
          <w:kern w:val="0"/>
          <w:sz w:val="24"/>
        </w:rPr>
      </w:pPr>
      <w:r>
        <w:rPr>
          <w:bCs/>
          <w:color w:val="auto"/>
          <w:sz w:val="24"/>
        </w:rPr>
        <w:t>本项目位于水阳江</w:t>
      </w:r>
      <w:r>
        <w:rPr>
          <w:rFonts w:hint="eastAsia"/>
          <w:bCs/>
          <w:color w:val="auto"/>
          <w:sz w:val="24"/>
          <w:lang w:eastAsia="zh-CN"/>
        </w:rPr>
        <w:t>东南</w:t>
      </w:r>
      <w:r>
        <w:rPr>
          <w:bCs/>
          <w:color w:val="auto"/>
          <w:sz w:val="24"/>
        </w:rPr>
        <w:t>侧</w:t>
      </w:r>
      <w:r>
        <w:rPr>
          <w:rFonts w:hint="eastAsia"/>
          <w:bCs/>
          <w:color w:val="auto"/>
          <w:sz w:val="24"/>
          <w:lang w:val="en-US" w:eastAsia="zh-CN"/>
        </w:rPr>
        <w:t>4600</w:t>
      </w:r>
      <w:r>
        <w:rPr>
          <w:bCs/>
          <w:color w:val="auto"/>
          <w:sz w:val="24"/>
        </w:rPr>
        <w:t>m，在1公里范围外，符合</w:t>
      </w:r>
      <w:r>
        <w:rPr>
          <w:bCs/>
          <w:color w:val="auto"/>
          <w:kern w:val="0"/>
          <w:sz w:val="24"/>
        </w:rPr>
        <w:t>《关于印发宁国市水清岸绿产业优美丽长江（安徽）经济带工作专项治理实施方案的通知》要求。</w:t>
      </w:r>
    </w:p>
    <w:p>
      <w:pPr>
        <w:pStyle w:val="5"/>
        <w:spacing w:before="0" w:after="0" w:line="360" w:lineRule="auto"/>
        <w:rPr>
          <w:color w:val="auto"/>
          <w:sz w:val="24"/>
          <w:szCs w:val="24"/>
        </w:rPr>
      </w:pPr>
      <w:r>
        <w:rPr>
          <w:color w:val="auto"/>
          <w:sz w:val="24"/>
          <w:szCs w:val="24"/>
        </w:rPr>
        <w:t>2.7.8选址符合性分析</w:t>
      </w:r>
    </w:p>
    <w:p>
      <w:pPr>
        <w:spacing w:line="360" w:lineRule="auto"/>
        <w:ind w:firstLine="480" w:firstLineChars="200"/>
        <w:rPr>
          <w:rFonts w:hint="eastAsia"/>
          <w:color w:val="auto"/>
          <w:sz w:val="24"/>
          <w:lang w:val="zh-CN"/>
        </w:rPr>
      </w:pPr>
      <w:r>
        <w:rPr>
          <w:rFonts w:hint="eastAsia"/>
          <w:color w:val="auto"/>
          <w:sz w:val="24"/>
        </w:rPr>
        <w:t>本项目选址位于</w:t>
      </w:r>
      <w:r>
        <w:rPr>
          <w:rFonts w:hint="eastAsia"/>
          <w:color w:val="auto"/>
          <w:sz w:val="24"/>
          <w:lang w:eastAsia="zh-CN"/>
        </w:rPr>
        <w:t>安徽省宁国经济技术开发区河沥园区振宁路（宁国市德胜建筑机械有限公司内）</w:t>
      </w:r>
      <w:r>
        <w:rPr>
          <w:rFonts w:hint="eastAsia"/>
          <w:color w:val="auto"/>
          <w:sz w:val="24"/>
        </w:rPr>
        <w:t>，项目场址东</w:t>
      </w:r>
      <w:r>
        <w:rPr>
          <w:rFonts w:hint="eastAsia"/>
          <w:color w:val="auto"/>
          <w:sz w:val="24"/>
          <w:lang w:eastAsia="zh-CN"/>
        </w:rPr>
        <w:t>、西、北侧均为空地，南侧为振宁中路，隔路为</w:t>
      </w:r>
      <w:r>
        <w:rPr>
          <w:rFonts w:hint="eastAsia"/>
          <w:color w:val="auto"/>
          <w:sz w:val="24"/>
          <w:lang w:val="zh-CN"/>
        </w:rPr>
        <w:t>宁国市裕华电器有限公司。</w:t>
      </w:r>
    </w:p>
    <w:p>
      <w:pPr>
        <w:pStyle w:val="409"/>
        <w:spacing w:after="0" w:line="500" w:lineRule="exact"/>
        <w:rPr>
          <w:rFonts w:hint="default" w:ascii="Times New Roman" w:hAnsi="Times New Roman" w:cs="Times New Roman"/>
          <w:color w:val="auto"/>
          <w:sz w:val="24"/>
          <w:szCs w:val="24"/>
        </w:rPr>
      </w:pPr>
      <w:bookmarkStart w:id="119" w:name="OLE_LINK179"/>
      <w:r>
        <w:rPr>
          <w:rFonts w:hint="default" w:ascii="Times New Roman" w:hAnsi="Times New Roman" w:cs="Times New Roman"/>
          <w:color w:val="auto"/>
          <w:sz w:val="24"/>
          <w:szCs w:val="24"/>
        </w:rPr>
        <w:t>项目区域周围环境质量现状较好，地理位置优越，交通便利，供水、供电、生活垃圾处理等基础设施较完善，故项目选址合适、可行。</w:t>
      </w:r>
      <w:bookmarkEnd w:id="119"/>
    </w:p>
    <w:p>
      <w:pPr>
        <w:pStyle w:val="5"/>
        <w:snapToGrid w:val="0"/>
        <w:spacing w:before="0" w:after="0" w:line="360" w:lineRule="auto"/>
        <w:rPr>
          <w:color w:val="auto"/>
          <w:sz w:val="24"/>
          <w:szCs w:val="24"/>
        </w:rPr>
      </w:pPr>
    </w:p>
    <w:p>
      <w:pPr>
        <w:pStyle w:val="5"/>
        <w:snapToGrid w:val="0"/>
        <w:spacing w:before="0" w:after="0" w:line="360" w:lineRule="auto"/>
        <w:rPr>
          <w:color w:val="auto"/>
          <w:sz w:val="24"/>
          <w:szCs w:val="24"/>
        </w:rPr>
      </w:pPr>
      <w:r>
        <w:rPr>
          <w:color w:val="auto"/>
          <w:sz w:val="24"/>
          <w:szCs w:val="24"/>
        </w:rPr>
        <w:t>2.7.9与相关政策符合性</w:t>
      </w:r>
    </w:p>
    <w:p>
      <w:pPr>
        <w:adjustRightInd w:val="0"/>
        <w:spacing w:line="460" w:lineRule="exact"/>
        <w:ind w:firstLine="480" w:firstLineChars="200"/>
        <w:jc w:val="left"/>
        <w:rPr>
          <w:b/>
          <w:bCs/>
          <w:color w:val="auto"/>
          <w:sz w:val="24"/>
        </w:rPr>
      </w:pPr>
      <w:r>
        <w:rPr>
          <w:color w:val="auto"/>
          <w:sz w:val="24"/>
        </w:rPr>
        <w:t>项目与相关政策要求的符合性分析如下：</w:t>
      </w:r>
    </w:p>
    <w:p>
      <w:pPr>
        <w:adjustRightInd w:val="0"/>
        <w:spacing w:line="460" w:lineRule="exact"/>
        <w:ind w:firstLine="482" w:firstLineChars="200"/>
        <w:jc w:val="center"/>
        <w:rPr>
          <w:b/>
          <w:bCs/>
          <w:color w:val="auto"/>
          <w:sz w:val="24"/>
        </w:rPr>
      </w:pPr>
    </w:p>
    <w:p>
      <w:pPr>
        <w:adjustRightInd w:val="0"/>
        <w:spacing w:line="460" w:lineRule="exact"/>
        <w:ind w:firstLine="482" w:firstLineChars="200"/>
        <w:jc w:val="center"/>
        <w:rPr>
          <w:b/>
          <w:bCs/>
          <w:color w:val="auto"/>
          <w:sz w:val="24"/>
        </w:rPr>
      </w:pPr>
      <w:r>
        <w:rPr>
          <w:b/>
          <w:bCs/>
          <w:color w:val="auto"/>
          <w:sz w:val="24"/>
        </w:rPr>
        <w:t>表</w:t>
      </w:r>
      <w:r>
        <w:rPr>
          <w:rFonts w:hint="eastAsia"/>
          <w:b/>
          <w:color w:val="auto"/>
          <w:sz w:val="24"/>
        </w:rPr>
        <w:t>2</w:t>
      </w:r>
      <w:r>
        <w:rPr>
          <w:b/>
          <w:color w:val="auto"/>
          <w:sz w:val="24"/>
        </w:rPr>
        <w:t>-</w:t>
      </w:r>
      <w:r>
        <w:rPr>
          <w:rFonts w:hint="eastAsia"/>
          <w:b/>
          <w:color w:val="auto"/>
          <w:sz w:val="24"/>
        </w:rPr>
        <w:t>1</w:t>
      </w:r>
      <w:r>
        <w:rPr>
          <w:rFonts w:hint="eastAsia"/>
          <w:b/>
          <w:color w:val="auto"/>
          <w:sz w:val="24"/>
          <w:lang w:val="en-US" w:eastAsia="zh-CN"/>
        </w:rPr>
        <w:t>2</w:t>
      </w:r>
      <w:r>
        <w:rPr>
          <w:b/>
          <w:bCs/>
          <w:color w:val="auto"/>
          <w:sz w:val="24"/>
        </w:rPr>
        <w:t xml:space="preserve">  项目与相关政策符合性分析表</w:t>
      </w:r>
    </w:p>
    <w:tbl>
      <w:tblPr>
        <w:tblStyle w:val="53"/>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41"/>
        <w:gridCol w:w="1035"/>
        <w:gridCol w:w="2325"/>
        <w:gridCol w:w="3461"/>
        <w:gridCol w:w="5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61" w:type="pct"/>
            <w:vAlign w:val="center"/>
          </w:tcPr>
          <w:p>
            <w:pPr>
              <w:adjustRightInd w:val="0"/>
              <w:snapToGrid w:val="0"/>
              <w:spacing w:line="300" w:lineRule="exact"/>
              <w:ind w:left="-105" w:leftChars="-50" w:right="-105" w:rightChars="-50"/>
              <w:jc w:val="center"/>
              <w:rPr>
                <w:b/>
                <w:bCs/>
                <w:color w:val="auto"/>
                <w:szCs w:val="21"/>
              </w:rPr>
            </w:pPr>
            <w:r>
              <w:rPr>
                <w:b/>
                <w:bCs/>
                <w:color w:val="auto"/>
                <w:szCs w:val="21"/>
              </w:rPr>
              <w:t>文件名称</w:t>
            </w:r>
          </w:p>
        </w:tc>
        <w:tc>
          <w:tcPr>
            <w:tcW w:w="1878" w:type="pct"/>
            <w:gridSpan w:val="2"/>
            <w:vAlign w:val="center"/>
          </w:tcPr>
          <w:p>
            <w:pPr>
              <w:adjustRightInd w:val="0"/>
              <w:snapToGrid w:val="0"/>
              <w:spacing w:line="300" w:lineRule="exact"/>
              <w:jc w:val="center"/>
              <w:rPr>
                <w:b/>
                <w:bCs/>
                <w:color w:val="auto"/>
                <w:szCs w:val="21"/>
              </w:rPr>
            </w:pPr>
            <w:r>
              <w:rPr>
                <w:b/>
                <w:bCs/>
                <w:color w:val="auto"/>
                <w:szCs w:val="21"/>
              </w:rPr>
              <w:t>相关要求</w:t>
            </w:r>
          </w:p>
        </w:tc>
        <w:tc>
          <w:tcPr>
            <w:tcW w:w="1935" w:type="pct"/>
            <w:vAlign w:val="center"/>
          </w:tcPr>
          <w:p>
            <w:pPr>
              <w:adjustRightInd w:val="0"/>
              <w:snapToGrid w:val="0"/>
              <w:spacing w:line="300" w:lineRule="exact"/>
              <w:jc w:val="center"/>
              <w:rPr>
                <w:b/>
                <w:bCs/>
                <w:color w:val="auto"/>
                <w:szCs w:val="21"/>
              </w:rPr>
            </w:pPr>
            <w:r>
              <w:rPr>
                <w:b/>
                <w:bCs/>
                <w:color w:val="auto"/>
                <w:szCs w:val="21"/>
              </w:rPr>
              <w:t>项目建设情况</w:t>
            </w:r>
          </w:p>
        </w:tc>
        <w:tc>
          <w:tcPr>
            <w:tcW w:w="325" w:type="pct"/>
            <w:vAlign w:val="center"/>
          </w:tcPr>
          <w:p>
            <w:pPr>
              <w:adjustRightInd w:val="0"/>
              <w:snapToGrid w:val="0"/>
              <w:spacing w:line="300" w:lineRule="exact"/>
              <w:ind w:left="-105" w:leftChars="-50" w:right="-105" w:rightChars="-50"/>
              <w:jc w:val="center"/>
              <w:rPr>
                <w:b/>
                <w:bCs/>
                <w:color w:val="auto"/>
                <w:szCs w:val="21"/>
              </w:rPr>
            </w:pPr>
            <w:r>
              <w:rPr>
                <w:b/>
                <w:bCs/>
                <w:color w:val="auto"/>
                <w:szCs w:val="21"/>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61" w:type="pct"/>
            <w:vMerge w:val="restart"/>
            <w:vAlign w:val="center"/>
          </w:tcPr>
          <w:p>
            <w:pPr>
              <w:pStyle w:val="18"/>
              <w:spacing w:line="300" w:lineRule="exact"/>
              <w:ind w:left="-63" w:leftChars="-30" w:right="-63" w:rightChars="-30"/>
              <w:jc w:val="center"/>
              <w:rPr>
                <w:color w:val="auto"/>
                <w:szCs w:val="21"/>
              </w:rPr>
            </w:pPr>
            <w:r>
              <w:rPr>
                <w:color w:val="auto"/>
                <w:szCs w:val="21"/>
              </w:rPr>
              <w:t>《安徽省人民政府关于印发安徽省打赢蓝天保卫战三年行动计划实施方案的通知》</w:t>
            </w:r>
          </w:p>
        </w:tc>
        <w:tc>
          <w:tcPr>
            <w:tcW w:w="1878" w:type="pct"/>
            <w:gridSpan w:val="2"/>
            <w:vAlign w:val="center"/>
          </w:tcPr>
          <w:p>
            <w:pPr>
              <w:pStyle w:val="18"/>
              <w:spacing w:line="300" w:lineRule="exact"/>
              <w:jc w:val="center"/>
              <w:rPr>
                <w:color w:val="auto"/>
                <w:szCs w:val="21"/>
              </w:rPr>
            </w:pPr>
            <w:r>
              <w:rPr>
                <w:color w:val="auto"/>
                <w:szCs w:val="21"/>
              </w:rPr>
              <w:t>推进重点行业污染治理升级改造。二氧化硫、氮氧化物、颗粒物、挥发性有机物（VOCs）全面执行大气污染物特别排放限值。</w:t>
            </w:r>
          </w:p>
        </w:tc>
        <w:tc>
          <w:tcPr>
            <w:tcW w:w="1935" w:type="pct"/>
            <w:vAlign w:val="center"/>
          </w:tcPr>
          <w:p>
            <w:pPr>
              <w:pStyle w:val="18"/>
              <w:spacing w:line="300" w:lineRule="exact"/>
              <w:jc w:val="center"/>
              <w:rPr>
                <w:color w:val="auto"/>
                <w:szCs w:val="21"/>
              </w:rPr>
            </w:pPr>
            <w:r>
              <w:rPr>
                <w:color w:val="auto"/>
                <w:szCs w:val="21"/>
              </w:rPr>
              <w:t>本项目属于</w:t>
            </w:r>
            <w:r>
              <w:rPr>
                <w:rFonts w:hint="eastAsia"/>
                <w:color w:val="auto"/>
                <w:szCs w:val="21"/>
                <w:lang w:eastAsia="zh-CN"/>
              </w:rPr>
              <w:t>C2912 橡胶板、管、带制造</w:t>
            </w:r>
            <w:r>
              <w:rPr>
                <w:color w:val="auto"/>
                <w:szCs w:val="21"/>
              </w:rPr>
              <w:t>，不属于重点行业。项目生产过程中产生的VOCs无组织排放的有机废气执行</w:t>
            </w:r>
            <w:r>
              <w:rPr>
                <w:rFonts w:hint="eastAsia"/>
                <w:color w:val="auto"/>
                <w:szCs w:val="21"/>
                <w:lang w:eastAsia="zh-CN"/>
              </w:rPr>
              <w:t>《工业企业挥发性有机物排放控制标准》（DB12/524-2014）中表2中标准</w:t>
            </w:r>
            <w:r>
              <w:rPr>
                <w:color w:val="auto"/>
                <w:szCs w:val="21"/>
              </w:rPr>
              <w:t>。颗粒物排放执行</w:t>
            </w:r>
            <w:r>
              <w:rPr>
                <w:rFonts w:hint="eastAsia"/>
                <w:color w:val="auto"/>
                <w:szCs w:val="21"/>
                <w:lang w:eastAsia="zh-CN"/>
              </w:rPr>
              <w:t>《橡胶制品工业污染物排放标准》(GB27632-2011)</w:t>
            </w:r>
            <w:r>
              <w:rPr>
                <w:color w:val="auto"/>
                <w:szCs w:val="21"/>
              </w:rPr>
              <w:t>。</w:t>
            </w:r>
          </w:p>
        </w:tc>
        <w:tc>
          <w:tcPr>
            <w:tcW w:w="325" w:type="pct"/>
            <w:vAlign w:val="center"/>
          </w:tcPr>
          <w:p>
            <w:pPr>
              <w:adjustRightInd w:val="0"/>
              <w:snapToGrid w:val="0"/>
              <w:spacing w:line="300" w:lineRule="exact"/>
              <w:jc w:val="center"/>
              <w:rPr>
                <w:color w:val="auto"/>
                <w:szCs w:val="21"/>
              </w:rPr>
            </w:pPr>
            <w:r>
              <w:rPr>
                <w:color w:val="auto"/>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61" w:type="pct"/>
            <w:vMerge w:val="continue"/>
            <w:vAlign w:val="center"/>
          </w:tcPr>
          <w:p>
            <w:pPr>
              <w:adjustRightInd w:val="0"/>
              <w:snapToGrid w:val="0"/>
              <w:spacing w:line="300" w:lineRule="exact"/>
              <w:ind w:left="-63" w:leftChars="-30" w:right="-63" w:rightChars="-30"/>
              <w:jc w:val="center"/>
              <w:rPr>
                <w:color w:val="auto"/>
                <w:szCs w:val="21"/>
              </w:rPr>
            </w:pPr>
          </w:p>
        </w:tc>
        <w:tc>
          <w:tcPr>
            <w:tcW w:w="578" w:type="pct"/>
            <w:vAlign w:val="center"/>
          </w:tcPr>
          <w:p>
            <w:pPr>
              <w:adjustRightInd w:val="0"/>
              <w:snapToGrid w:val="0"/>
              <w:spacing w:line="300" w:lineRule="exact"/>
              <w:jc w:val="center"/>
              <w:rPr>
                <w:color w:val="auto"/>
                <w:szCs w:val="21"/>
              </w:rPr>
            </w:pPr>
            <w:r>
              <w:rPr>
                <w:color w:val="auto"/>
                <w:szCs w:val="21"/>
              </w:rPr>
              <w:t>调整优化产业结构，推进产业绿色发展</w:t>
            </w:r>
          </w:p>
        </w:tc>
        <w:tc>
          <w:tcPr>
            <w:tcW w:w="1299" w:type="pct"/>
            <w:vAlign w:val="center"/>
          </w:tcPr>
          <w:p>
            <w:pPr>
              <w:adjustRightInd w:val="0"/>
              <w:snapToGrid w:val="0"/>
              <w:spacing w:line="300" w:lineRule="exact"/>
              <w:jc w:val="center"/>
              <w:rPr>
                <w:color w:val="auto"/>
                <w:szCs w:val="21"/>
              </w:rPr>
            </w:pPr>
            <w:r>
              <w:rPr>
                <w:color w:val="auto"/>
                <w:szCs w:val="21"/>
              </w:rPr>
              <w:t>（六）深化工业污染治理。二氧化硫、氮氧化物、颗粒物、挥发性有机物（VOCs）全面执行大气污染物特别排放限值。提升工业废气收集处理效率，强化工业企业无组织排放管控。</w:t>
            </w:r>
          </w:p>
        </w:tc>
        <w:tc>
          <w:tcPr>
            <w:tcW w:w="1935" w:type="pct"/>
            <w:vAlign w:val="center"/>
          </w:tcPr>
          <w:p>
            <w:pPr>
              <w:adjustRightInd w:val="0"/>
              <w:snapToGrid w:val="0"/>
              <w:spacing w:line="300" w:lineRule="exact"/>
              <w:ind w:left="-63" w:leftChars="-30" w:right="-63" w:rightChars="-30"/>
              <w:jc w:val="center"/>
              <w:rPr>
                <w:color w:val="auto"/>
                <w:szCs w:val="21"/>
              </w:rPr>
            </w:pPr>
            <w:r>
              <w:rPr>
                <w:color w:val="auto"/>
                <w:szCs w:val="21"/>
              </w:rPr>
              <w:t>项目生产过程中产生的VOCs执行《工业企业挥发性有机物排放控制标准》(DB12/524-2014)表2中的标准。</w:t>
            </w:r>
          </w:p>
          <w:p>
            <w:pPr>
              <w:adjustRightInd w:val="0"/>
              <w:snapToGrid w:val="0"/>
              <w:spacing w:line="300" w:lineRule="exact"/>
              <w:ind w:left="-63" w:leftChars="-30" w:right="-63" w:rightChars="-30"/>
              <w:jc w:val="center"/>
              <w:rPr>
                <w:color w:val="auto"/>
                <w:szCs w:val="21"/>
              </w:rPr>
            </w:pPr>
            <w:r>
              <w:rPr>
                <w:color w:val="auto"/>
                <w:szCs w:val="21"/>
              </w:rPr>
              <w:t>颗粒物排放执行</w:t>
            </w:r>
            <w:r>
              <w:rPr>
                <w:rFonts w:hint="eastAsia"/>
                <w:color w:val="auto"/>
                <w:szCs w:val="21"/>
                <w:lang w:eastAsia="zh-CN"/>
              </w:rPr>
              <w:t>《橡胶制品工业污染物排放标准》(GB27632-2011)</w:t>
            </w:r>
            <w:r>
              <w:rPr>
                <w:color w:val="auto"/>
                <w:szCs w:val="21"/>
              </w:rPr>
              <w:t>。项目生产过程中产</w:t>
            </w:r>
            <w:r>
              <w:rPr>
                <w:rFonts w:hint="eastAsia"/>
                <w:color w:val="auto"/>
                <w:szCs w:val="21"/>
              </w:rPr>
              <w:t>涂胶工序在封闭的车间内进行，加强了废气的收集效率。</w:t>
            </w:r>
          </w:p>
        </w:tc>
        <w:tc>
          <w:tcPr>
            <w:tcW w:w="325" w:type="pct"/>
            <w:vAlign w:val="center"/>
          </w:tcPr>
          <w:p>
            <w:pPr>
              <w:adjustRightInd w:val="0"/>
              <w:snapToGrid w:val="0"/>
              <w:spacing w:line="300" w:lineRule="exact"/>
              <w:jc w:val="center"/>
              <w:rPr>
                <w:color w:val="auto"/>
                <w:szCs w:val="21"/>
              </w:rPr>
            </w:pPr>
            <w:r>
              <w:rPr>
                <w:color w:val="auto"/>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61" w:type="pct"/>
            <w:vMerge w:val="continue"/>
            <w:vAlign w:val="center"/>
          </w:tcPr>
          <w:p>
            <w:pPr>
              <w:adjustRightInd w:val="0"/>
              <w:snapToGrid w:val="0"/>
              <w:spacing w:line="300" w:lineRule="exact"/>
              <w:ind w:left="-63" w:leftChars="-30" w:right="-63" w:rightChars="-30"/>
              <w:jc w:val="center"/>
              <w:rPr>
                <w:color w:val="auto"/>
                <w:szCs w:val="21"/>
              </w:rPr>
            </w:pPr>
          </w:p>
        </w:tc>
        <w:tc>
          <w:tcPr>
            <w:tcW w:w="578" w:type="pct"/>
            <w:vAlign w:val="center"/>
          </w:tcPr>
          <w:p>
            <w:pPr>
              <w:adjustRightInd w:val="0"/>
              <w:snapToGrid w:val="0"/>
              <w:spacing w:line="300" w:lineRule="exact"/>
              <w:jc w:val="center"/>
              <w:rPr>
                <w:color w:val="auto"/>
                <w:szCs w:val="21"/>
              </w:rPr>
            </w:pPr>
            <w:r>
              <w:rPr>
                <w:color w:val="auto"/>
                <w:szCs w:val="21"/>
              </w:rPr>
              <w:t>实施重大专项行动，大幅降低污染物排放</w:t>
            </w:r>
          </w:p>
        </w:tc>
        <w:tc>
          <w:tcPr>
            <w:tcW w:w="1299" w:type="pct"/>
            <w:vAlign w:val="center"/>
          </w:tcPr>
          <w:p>
            <w:pPr>
              <w:adjustRightInd w:val="0"/>
              <w:snapToGrid w:val="0"/>
              <w:spacing w:line="300" w:lineRule="exact"/>
              <w:ind w:left="-63" w:leftChars="-30" w:right="-63" w:rightChars="-30"/>
              <w:jc w:val="center"/>
              <w:rPr>
                <w:color w:val="auto"/>
                <w:szCs w:val="21"/>
              </w:rPr>
            </w:pPr>
            <w:r>
              <w:rPr>
                <w:color w:val="auto"/>
                <w:szCs w:val="21"/>
              </w:rPr>
              <w:t>（二十五）实施VOCs专项整治行动。产生含挥发性有机物废气的生产和服务活动，应当在密闭空间或者设备中进行，并按照规定安装、使用污染防治设施。禁止新（改、扩）建涉高VOCs含量溶剂型涂料、油墨、胶粘剂等生产和使用的项目。企业应依据排放废气的风量、温度、浓度、组分以及工况等，选择适宜的技术路线，确保稳定达标排放。</w:t>
            </w:r>
          </w:p>
        </w:tc>
        <w:tc>
          <w:tcPr>
            <w:tcW w:w="1935" w:type="pct"/>
            <w:vAlign w:val="center"/>
          </w:tcPr>
          <w:p>
            <w:pPr>
              <w:adjustRightInd w:val="0"/>
              <w:snapToGrid w:val="0"/>
              <w:spacing w:line="300" w:lineRule="exact"/>
              <w:ind w:left="-63" w:leftChars="-30" w:right="-63" w:rightChars="-30"/>
              <w:jc w:val="center"/>
              <w:rPr>
                <w:color w:val="auto"/>
                <w:szCs w:val="21"/>
              </w:rPr>
            </w:pPr>
            <w:r>
              <w:rPr>
                <w:color w:val="auto"/>
                <w:szCs w:val="21"/>
              </w:rPr>
              <w:t>项目生产过程中</w:t>
            </w:r>
            <w:r>
              <w:rPr>
                <w:rFonts w:hint="eastAsia"/>
                <w:color w:val="auto"/>
                <w:szCs w:val="21"/>
                <w:lang w:eastAsia="zh-CN"/>
              </w:rPr>
              <w:t>配胶、密炼、开炼、</w:t>
            </w:r>
            <w:r>
              <w:rPr>
                <w:rFonts w:hint="eastAsia"/>
                <w:color w:val="auto"/>
                <w:szCs w:val="21"/>
              </w:rPr>
              <w:t>涂胶工序在封闭的车间内进行，加强了废气的收集效率。</w:t>
            </w:r>
          </w:p>
          <w:p>
            <w:pPr>
              <w:adjustRightInd w:val="0"/>
              <w:snapToGrid w:val="0"/>
              <w:spacing w:line="300" w:lineRule="exact"/>
              <w:ind w:left="-63" w:leftChars="-30" w:right="-63" w:rightChars="-30"/>
              <w:jc w:val="center"/>
              <w:rPr>
                <w:color w:val="auto"/>
                <w:szCs w:val="21"/>
              </w:rPr>
            </w:pPr>
            <w:r>
              <w:rPr>
                <w:rFonts w:hint="eastAsia"/>
                <w:color w:val="auto"/>
                <w:szCs w:val="21"/>
              </w:rPr>
              <w:t>配胶、开炼、密炼</w:t>
            </w:r>
            <w:r>
              <w:rPr>
                <w:rFonts w:hint="eastAsia"/>
                <w:color w:val="auto"/>
                <w:szCs w:val="21"/>
                <w:lang w:eastAsia="zh-CN"/>
              </w:rPr>
              <w:t>：集气装置+布袋除尘器（2套）+二级活性炭净化装置+1根15m高排气筒；涂胶、晾干、烘干：</w:t>
            </w:r>
            <w:r>
              <w:rPr>
                <w:rFonts w:hint="eastAsia"/>
                <w:color w:val="auto"/>
                <w:szCs w:val="21"/>
              </w:rPr>
              <w:t>集气装置</w:t>
            </w:r>
            <w:r>
              <w:rPr>
                <w:rFonts w:hint="eastAsia"/>
                <w:color w:val="auto"/>
                <w:szCs w:val="21"/>
                <w:lang w:val="en-US" w:eastAsia="zh-CN"/>
              </w:rPr>
              <w:t>+</w:t>
            </w:r>
            <w:r>
              <w:rPr>
                <w:rFonts w:hint="eastAsia"/>
                <w:color w:val="auto"/>
                <w:szCs w:val="21"/>
                <w:lang w:eastAsia="zh-CN"/>
              </w:rPr>
              <w:t>催化燃烧装置</w:t>
            </w:r>
            <w:r>
              <w:rPr>
                <w:color w:val="auto"/>
                <w:szCs w:val="21"/>
              </w:rPr>
              <w:t>+1根15m高排气筒</w:t>
            </w:r>
            <w:r>
              <w:rPr>
                <w:rFonts w:hint="eastAsia"/>
                <w:color w:val="auto"/>
                <w:szCs w:val="21"/>
                <w:lang w:eastAsia="zh-CN"/>
              </w:rPr>
              <w:t>；</w:t>
            </w:r>
            <w:r>
              <w:rPr>
                <w:rFonts w:hint="eastAsia"/>
                <w:color w:val="auto"/>
                <w:szCs w:val="21"/>
              </w:rPr>
              <w:t>项目废气采用组合式废气净化装置，可提高净化效率，确保废气达标排放。</w:t>
            </w:r>
          </w:p>
        </w:tc>
        <w:tc>
          <w:tcPr>
            <w:tcW w:w="325" w:type="pct"/>
            <w:vAlign w:val="center"/>
          </w:tcPr>
          <w:p>
            <w:pPr>
              <w:adjustRightInd w:val="0"/>
              <w:snapToGrid w:val="0"/>
              <w:spacing w:line="300" w:lineRule="exact"/>
              <w:jc w:val="center"/>
              <w:rPr>
                <w:color w:val="auto"/>
                <w:szCs w:val="21"/>
              </w:rPr>
            </w:pPr>
            <w:r>
              <w:rPr>
                <w:color w:val="auto"/>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61" w:type="pct"/>
            <w:vAlign w:val="center"/>
          </w:tcPr>
          <w:p>
            <w:pPr>
              <w:adjustRightInd w:val="0"/>
              <w:snapToGrid w:val="0"/>
              <w:spacing w:line="300" w:lineRule="exact"/>
              <w:ind w:left="-63" w:leftChars="-30" w:right="-63" w:rightChars="-30"/>
              <w:jc w:val="center"/>
              <w:rPr>
                <w:color w:val="auto"/>
                <w:szCs w:val="21"/>
              </w:rPr>
            </w:pPr>
            <w:r>
              <w:rPr>
                <w:color w:val="auto"/>
              </w:rPr>
              <w:t>《挥发性有机污染物无组织排放控制标准》（GB37822-2019）</w:t>
            </w:r>
          </w:p>
        </w:tc>
        <w:tc>
          <w:tcPr>
            <w:tcW w:w="578" w:type="pct"/>
            <w:vAlign w:val="center"/>
          </w:tcPr>
          <w:p>
            <w:pPr>
              <w:adjustRightInd w:val="0"/>
              <w:snapToGrid w:val="0"/>
              <w:spacing w:line="300" w:lineRule="exact"/>
              <w:jc w:val="center"/>
              <w:rPr>
                <w:color w:val="auto"/>
                <w:szCs w:val="21"/>
              </w:rPr>
            </w:pPr>
            <w:r>
              <w:rPr>
                <w:color w:val="auto"/>
                <w:szCs w:val="21"/>
              </w:rPr>
              <w:t>工艺过程VOCs无组织排放控制要求</w:t>
            </w:r>
          </w:p>
        </w:tc>
        <w:tc>
          <w:tcPr>
            <w:tcW w:w="1299" w:type="pct"/>
            <w:vAlign w:val="center"/>
          </w:tcPr>
          <w:p>
            <w:pPr>
              <w:adjustRightInd w:val="0"/>
              <w:snapToGrid w:val="0"/>
              <w:spacing w:line="300" w:lineRule="exact"/>
              <w:ind w:left="-63" w:leftChars="-30" w:right="-63" w:rightChars="-30"/>
              <w:jc w:val="center"/>
              <w:rPr>
                <w:color w:val="auto"/>
                <w:szCs w:val="21"/>
              </w:rPr>
            </w:pPr>
            <w:r>
              <w:rPr>
                <w:color w:val="auto"/>
                <w:szCs w:val="21"/>
              </w:rPr>
              <w:t>配料加工和含VOCs产品的包装：VOCs物料混合、搅拌、研磨、造粒、切片、压块等配料加工过程，以及含VOCs产品的包装（罐装、粉状）过程应采用密闭设备或在密闭空间内操作，废气应排至VOCs废气收集处理系统；无法密闭的，应采取局部气体收集措施，废气应排至VOCs废气收集处理系统。</w:t>
            </w:r>
          </w:p>
        </w:tc>
        <w:tc>
          <w:tcPr>
            <w:tcW w:w="1935" w:type="pct"/>
            <w:vAlign w:val="center"/>
          </w:tcPr>
          <w:p>
            <w:pPr>
              <w:adjustRightInd w:val="0"/>
              <w:snapToGrid w:val="0"/>
              <w:spacing w:line="300" w:lineRule="exact"/>
              <w:jc w:val="center"/>
              <w:rPr>
                <w:color w:val="auto"/>
              </w:rPr>
            </w:pPr>
            <w:r>
              <w:rPr>
                <w:rFonts w:hint="eastAsia"/>
                <w:color w:val="auto"/>
                <w:szCs w:val="21"/>
              </w:rPr>
              <w:t>配胶、开炼、密炼</w:t>
            </w:r>
            <w:r>
              <w:rPr>
                <w:rFonts w:hint="eastAsia"/>
                <w:color w:val="auto"/>
                <w:szCs w:val="21"/>
                <w:lang w:eastAsia="zh-CN"/>
              </w:rPr>
              <w:t>：集气装置+布袋除尘器（2套）+二级活性炭净化装置+1根15m高排气筒；涂胶、晾干、烘干：</w:t>
            </w:r>
            <w:r>
              <w:rPr>
                <w:rFonts w:hint="eastAsia"/>
                <w:color w:val="auto"/>
                <w:szCs w:val="21"/>
              </w:rPr>
              <w:t>集气装置</w:t>
            </w:r>
            <w:r>
              <w:rPr>
                <w:rFonts w:hint="eastAsia"/>
                <w:color w:val="auto"/>
                <w:szCs w:val="21"/>
                <w:lang w:val="en-US" w:eastAsia="zh-CN"/>
              </w:rPr>
              <w:t>+</w:t>
            </w:r>
            <w:r>
              <w:rPr>
                <w:rFonts w:hint="eastAsia"/>
                <w:color w:val="auto"/>
                <w:szCs w:val="21"/>
                <w:lang w:eastAsia="zh-CN"/>
              </w:rPr>
              <w:t>催化燃烧装置</w:t>
            </w:r>
            <w:r>
              <w:rPr>
                <w:color w:val="auto"/>
                <w:szCs w:val="21"/>
              </w:rPr>
              <w:t>+1根15m高排气筒</w:t>
            </w:r>
            <w:r>
              <w:rPr>
                <w:rFonts w:hint="eastAsia"/>
                <w:color w:val="auto"/>
              </w:rPr>
              <w:t>，项目废气采用组合式废气净化装置，可提高净化效率，确保废气达标排放。</w:t>
            </w:r>
          </w:p>
          <w:p>
            <w:pPr>
              <w:adjustRightInd w:val="0"/>
              <w:snapToGrid w:val="0"/>
              <w:spacing w:line="300" w:lineRule="exact"/>
              <w:ind w:left="-63" w:leftChars="-30" w:right="-63" w:rightChars="-30"/>
              <w:jc w:val="center"/>
              <w:rPr>
                <w:snapToGrid w:val="0"/>
                <w:color w:val="auto"/>
                <w:kern w:val="0"/>
                <w:szCs w:val="21"/>
              </w:rPr>
            </w:pPr>
            <w:r>
              <w:rPr>
                <w:color w:val="auto"/>
                <w:szCs w:val="21"/>
              </w:rPr>
              <w:t>同时为了减少无组织排放，项目将</w:t>
            </w:r>
            <w:r>
              <w:rPr>
                <w:rFonts w:hint="eastAsia"/>
                <w:color w:val="auto"/>
                <w:szCs w:val="21"/>
                <w:lang w:eastAsia="zh-CN"/>
              </w:rPr>
              <w:t>配胶、密炼、开炼、</w:t>
            </w:r>
            <w:r>
              <w:rPr>
                <w:rFonts w:hint="eastAsia"/>
                <w:color w:val="auto"/>
                <w:szCs w:val="21"/>
              </w:rPr>
              <w:t>涂胶工序在封闭的车间内进行，加强了废气的收集效率</w:t>
            </w:r>
            <w:r>
              <w:rPr>
                <w:color w:val="auto"/>
                <w:szCs w:val="21"/>
              </w:rPr>
              <w:t>，</w:t>
            </w:r>
            <w:r>
              <w:rPr>
                <w:rFonts w:hint="eastAsia"/>
                <w:color w:val="auto"/>
                <w:szCs w:val="21"/>
                <w:lang w:eastAsia="zh-CN"/>
              </w:rPr>
              <w:t>废气</w:t>
            </w:r>
            <w:r>
              <w:rPr>
                <w:color w:val="auto"/>
                <w:szCs w:val="21"/>
              </w:rPr>
              <w:t>经有组织收集后净化处理，高空排放</w:t>
            </w:r>
          </w:p>
        </w:tc>
        <w:tc>
          <w:tcPr>
            <w:tcW w:w="325" w:type="pct"/>
            <w:vAlign w:val="center"/>
          </w:tcPr>
          <w:p>
            <w:pPr>
              <w:adjustRightInd w:val="0"/>
              <w:snapToGrid w:val="0"/>
              <w:spacing w:line="300" w:lineRule="exact"/>
              <w:jc w:val="center"/>
              <w:rPr>
                <w:color w:val="auto"/>
                <w:szCs w:val="21"/>
              </w:rPr>
            </w:pPr>
            <w:r>
              <w:rPr>
                <w:color w:val="auto"/>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61" w:type="pct"/>
            <w:vAlign w:val="center"/>
          </w:tcPr>
          <w:p>
            <w:pPr>
              <w:adjustRightInd w:val="0"/>
              <w:snapToGrid w:val="0"/>
              <w:spacing w:line="300" w:lineRule="exact"/>
              <w:jc w:val="center"/>
              <w:rPr>
                <w:color w:val="auto"/>
                <w:szCs w:val="21"/>
              </w:rPr>
            </w:pPr>
            <w:r>
              <w:rPr>
                <w:rFonts w:hint="eastAsia"/>
                <w:color w:val="auto"/>
                <w:szCs w:val="21"/>
              </w:rPr>
              <w:t>《安徽省2020年大气污染防治重点工作任务》的通知皖大气办﹝2020﹞2号文</w:t>
            </w:r>
          </w:p>
        </w:tc>
        <w:tc>
          <w:tcPr>
            <w:tcW w:w="1878" w:type="pct"/>
            <w:gridSpan w:val="2"/>
            <w:vAlign w:val="center"/>
          </w:tcPr>
          <w:p>
            <w:pPr>
              <w:adjustRightInd w:val="0"/>
              <w:snapToGrid w:val="0"/>
              <w:spacing w:line="300" w:lineRule="exact"/>
              <w:jc w:val="center"/>
              <w:rPr>
                <w:color w:val="auto"/>
                <w:szCs w:val="21"/>
              </w:rPr>
            </w:pPr>
            <w:r>
              <w:rPr>
                <w:color w:val="auto"/>
                <w:szCs w:val="21"/>
              </w:rPr>
              <w:t>强化VOCs</w:t>
            </w:r>
            <w:r>
              <w:rPr>
                <w:rFonts w:hint="eastAsia"/>
                <w:color w:val="auto"/>
                <w:szCs w:val="21"/>
              </w:rPr>
              <w:t>综合治理：</w:t>
            </w:r>
            <w:r>
              <w:rPr>
                <w:color w:val="auto"/>
                <w:szCs w:val="21"/>
              </w:rPr>
              <w:t>继续开展</w:t>
            </w:r>
            <w:r>
              <w:rPr>
                <w:rFonts w:hint="eastAsia"/>
                <w:color w:val="auto"/>
                <w:szCs w:val="21"/>
              </w:rPr>
              <w:t>涉</w:t>
            </w:r>
            <w:r>
              <w:rPr>
                <w:color w:val="auto"/>
                <w:szCs w:val="21"/>
              </w:rPr>
              <w:t>VOCs</w:t>
            </w:r>
            <w:r>
              <w:rPr>
                <w:rFonts w:hint="eastAsia"/>
                <w:color w:val="auto"/>
                <w:szCs w:val="21"/>
              </w:rPr>
              <w:t>排放企业摸底调查，纳入动态监管。推广使用低</w:t>
            </w:r>
            <w:r>
              <w:rPr>
                <w:color w:val="auto"/>
                <w:szCs w:val="21"/>
              </w:rPr>
              <w:t>VOCs</w:t>
            </w:r>
            <w:r>
              <w:rPr>
                <w:rFonts w:hint="eastAsia"/>
                <w:color w:val="auto"/>
                <w:szCs w:val="21"/>
              </w:rPr>
              <w:t>含量涂料、油墨、胶粘剂；加强含</w:t>
            </w:r>
            <w:r>
              <w:rPr>
                <w:color w:val="auto"/>
                <w:szCs w:val="21"/>
              </w:rPr>
              <w:t>VOCs</w:t>
            </w:r>
            <w:r>
              <w:rPr>
                <w:rFonts w:hint="eastAsia"/>
                <w:color w:val="auto"/>
                <w:szCs w:val="21"/>
              </w:rPr>
              <w:t>物料储存、转移和输送、设备与管线组件泄漏、敞开液面逸散以及工艺过程等</w:t>
            </w:r>
            <w:r>
              <w:rPr>
                <w:color w:val="auto"/>
                <w:szCs w:val="21"/>
              </w:rPr>
              <w:t>VOCs</w:t>
            </w:r>
            <w:r>
              <w:rPr>
                <w:rFonts w:hint="eastAsia"/>
                <w:color w:val="auto"/>
                <w:szCs w:val="21"/>
              </w:rPr>
              <w:t>管控；加强执法监管，重点检查有机溶剂使用量较大、低温等离子、光氧化等低效治理技术的企业，对不能稳定达标排放或无组织排放管控不能满足法律法规要求的，应限期整改、依法查处。</w:t>
            </w:r>
          </w:p>
        </w:tc>
        <w:tc>
          <w:tcPr>
            <w:tcW w:w="1935" w:type="pct"/>
            <w:vAlign w:val="center"/>
          </w:tcPr>
          <w:p>
            <w:pPr>
              <w:adjustRightInd w:val="0"/>
              <w:snapToGrid w:val="0"/>
              <w:spacing w:line="300" w:lineRule="exact"/>
              <w:jc w:val="center"/>
              <w:rPr>
                <w:color w:val="auto"/>
                <w:szCs w:val="21"/>
              </w:rPr>
            </w:pPr>
            <w:r>
              <w:rPr>
                <w:rFonts w:hint="eastAsia"/>
                <w:color w:val="auto"/>
                <w:szCs w:val="21"/>
              </w:rPr>
              <w:t>配胶、开炼、密炼</w:t>
            </w:r>
            <w:r>
              <w:rPr>
                <w:rFonts w:hint="eastAsia"/>
                <w:color w:val="auto"/>
                <w:szCs w:val="21"/>
                <w:lang w:eastAsia="zh-CN"/>
              </w:rPr>
              <w:t>：集气装置+布袋除尘器（2套）+二级活性炭净化装置+1根15m高排气筒；涂胶、晾干、烘干：</w:t>
            </w:r>
            <w:r>
              <w:rPr>
                <w:rFonts w:hint="eastAsia"/>
                <w:color w:val="auto"/>
                <w:szCs w:val="21"/>
              </w:rPr>
              <w:t>集气装置</w:t>
            </w:r>
            <w:r>
              <w:rPr>
                <w:rFonts w:hint="eastAsia"/>
                <w:color w:val="auto"/>
                <w:szCs w:val="21"/>
                <w:lang w:val="en-US" w:eastAsia="zh-CN"/>
              </w:rPr>
              <w:t>+</w:t>
            </w:r>
            <w:r>
              <w:rPr>
                <w:rFonts w:hint="eastAsia"/>
                <w:color w:val="auto"/>
                <w:szCs w:val="21"/>
                <w:lang w:eastAsia="zh-CN"/>
              </w:rPr>
              <w:t>催化燃烧装置</w:t>
            </w:r>
            <w:r>
              <w:rPr>
                <w:color w:val="auto"/>
                <w:szCs w:val="21"/>
              </w:rPr>
              <w:t>+1根15m高排气筒</w:t>
            </w:r>
            <w:r>
              <w:rPr>
                <w:rFonts w:hint="eastAsia"/>
                <w:color w:val="auto"/>
              </w:rPr>
              <w:t>，</w:t>
            </w:r>
            <w:r>
              <w:rPr>
                <w:rFonts w:hint="eastAsia"/>
                <w:color w:val="auto"/>
                <w:szCs w:val="21"/>
              </w:rPr>
              <w:t>项目废气采用组合式废气净化装置，可提高净化效率，确保废气达标排放。</w:t>
            </w:r>
          </w:p>
          <w:p>
            <w:pPr>
              <w:adjustRightInd w:val="0"/>
              <w:snapToGrid w:val="0"/>
              <w:spacing w:line="300" w:lineRule="exact"/>
              <w:jc w:val="center"/>
              <w:rPr>
                <w:color w:val="auto"/>
                <w:szCs w:val="21"/>
              </w:rPr>
            </w:pPr>
            <w:r>
              <w:rPr>
                <w:color w:val="auto"/>
                <w:szCs w:val="21"/>
              </w:rPr>
              <w:t>同时为了减少无组织排放，项目将</w:t>
            </w:r>
            <w:r>
              <w:rPr>
                <w:rFonts w:hint="eastAsia"/>
                <w:color w:val="auto"/>
                <w:szCs w:val="21"/>
                <w:lang w:eastAsia="zh-CN"/>
              </w:rPr>
              <w:t>配胶、密炼、开炼、</w:t>
            </w:r>
            <w:r>
              <w:rPr>
                <w:rFonts w:hint="eastAsia"/>
                <w:color w:val="auto"/>
                <w:szCs w:val="21"/>
              </w:rPr>
              <w:t>涂胶工序在封闭的车间内进行，加强了废气的收集效率</w:t>
            </w:r>
            <w:r>
              <w:rPr>
                <w:color w:val="auto"/>
                <w:szCs w:val="21"/>
              </w:rPr>
              <w:t>，</w:t>
            </w:r>
            <w:r>
              <w:rPr>
                <w:rFonts w:hint="eastAsia"/>
                <w:color w:val="auto"/>
                <w:szCs w:val="21"/>
                <w:lang w:eastAsia="zh-CN"/>
              </w:rPr>
              <w:t>废气</w:t>
            </w:r>
            <w:r>
              <w:rPr>
                <w:color w:val="auto"/>
                <w:szCs w:val="21"/>
              </w:rPr>
              <w:t>经有组织收集后净化处理，高空排放</w:t>
            </w:r>
          </w:p>
        </w:tc>
        <w:tc>
          <w:tcPr>
            <w:tcW w:w="325" w:type="pct"/>
            <w:vAlign w:val="center"/>
          </w:tcPr>
          <w:p>
            <w:pPr>
              <w:adjustRightInd w:val="0"/>
              <w:snapToGrid w:val="0"/>
              <w:spacing w:line="300" w:lineRule="exact"/>
              <w:jc w:val="center"/>
              <w:rPr>
                <w:color w:val="auto"/>
                <w:szCs w:val="21"/>
              </w:rPr>
            </w:pPr>
            <w:r>
              <w:rPr>
                <w:color w:val="auto"/>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61" w:type="pct"/>
            <w:vMerge w:val="restart"/>
            <w:vAlign w:val="center"/>
          </w:tcPr>
          <w:p>
            <w:pPr>
              <w:adjustRightInd w:val="0"/>
              <w:snapToGrid w:val="0"/>
              <w:spacing w:line="300" w:lineRule="exact"/>
              <w:jc w:val="center"/>
              <w:rPr>
                <w:color w:val="auto"/>
                <w:szCs w:val="21"/>
              </w:rPr>
            </w:pPr>
            <w:r>
              <w:rPr>
                <w:color w:val="auto"/>
                <w:szCs w:val="21"/>
                <w:lang w:val="en"/>
              </w:rPr>
              <w:t>关于印发《长三角地区2019-2020年秋冬季大气污染综合治理攻坚行动方案》的通知（环大气〔2019〕97号）</w:t>
            </w:r>
          </w:p>
        </w:tc>
        <w:tc>
          <w:tcPr>
            <w:tcW w:w="1878" w:type="pct"/>
            <w:gridSpan w:val="2"/>
            <w:vAlign w:val="center"/>
          </w:tcPr>
          <w:p>
            <w:pPr>
              <w:adjustRightInd w:val="0"/>
              <w:snapToGrid w:val="0"/>
              <w:spacing w:line="300" w:lineRule="exact"/>
              <w:jc w:val="center"/>
              <w:rPr>
                <w:color w:val="auto"/>
                <w:szCs w:val="21"/>
              </w:rPr>
            </w:pPr>
            <w:r>
              <w:rPr>
                <w:color w:val="auto"/>
                <w:szCs w:val="21"/>
                <w:lang w:val="en"/>
              </w:rPr>
              <w:t>提升VOCs综合治理水平。强化无组织排放管控。全面加强含VOCs物料储存、转移和输送、设备与管线组件泄漏、敞开液面逸散以及工艺过程等五类排放源VOCs管控。按照“应收尽收、分质收集”的原则，显著提高废气收集率。</w:t>
            </w:r>
          </w:p>
        </w:tc>
        <w:tc>
          <w:tcPr>
            <w:tcW w:w="1935" w:type="pct"/>
            <w:vAlign w:val="center"/>
          </w:tcPr>
          <w:p>
            <w:pPr>
              <w:adjustRightInd w:val="0"/>
              <w:snapToGrid w:val="0"/>
              <w:spacing w:line="300" w:lineRule="exact"/>
              <w:jc w:val="center"/>
              <w:rPr>
                <w:color w:val="auto"/>
                <w:szCs w:val="21"/>
              </w:rPr>
            </w:pPr>
            <w:r>
              <w:rPr>
                <w:rFonts w:hint="eastAsia"/>
                <w:color w:val="auto"/>
                <w:szCs w:val="21"/>
              </w:rPr>
              <w:t>配胶、开炼、密炼</w:t>
            </w:r>
            <w:r>
              <w:rPr>
                <w:rFonts w:hint="eastAsia"/>
                <w:color w:val="auto"/>
                <w:szCs w:val="21"/>
                <w:lang w:eastAsia="zh-CN"/>
              </w:rPr>
              <w:t>：集气装置+布袋除尘器（2套）+二级活性炭净化装置+1根15m高排气筒；涂胶、晾干、烘干：</w:t>
            </w:r>
            <w:r>
              <w:rPr>
                <w:rFonts w:hint="eastAsia"/>
                <w:color w:val="auto"/>
                <w:szCs w:val="21"/>
              </w:rPr>
              <w:t>集气装置</w:t>
            </w:r>
            <w:r>
              <w:rPr>
                <w:rFonts w:hint="eastAsia"/>
                <w:color w:val="auto"/>
                <w:szCs w:val="21"/>
                <w:lang w:val="en-US" w:eastAsia="zh-CN"/>
              </w:rPr>
              <w:t>+</w:t>
            </w:r>
            <w:r>
              <w:rPr>
                <w:rFonts w:hint="eastAsia"/>
                <w:color w:val="auto"/>
                <w:szCs w:val="21"/>
                <w:lang w:eastAsia="zh-CN"/>
              </w:rPr>
              <w:t>催化燃烧装置</w:t>
            </w:r>
            <w:r>
              <w:rPr>
                <w:color w:val="auto"/>
                <w:szCs w:val="21"/>
              </w:rPr>
              <w:t>+1根15m高排气筒</w:t>
            </w:r>
            <w:r>
              <w:rPr>
                <w:rFonts w:hint="eastAsia"/>
                <w:color w:val="auto"/>
              </w:rPr>
              <w:t>，项目废气采用组合式废气净化装置，可提高净化效率，确保废气达标排放。</w:t>
            </w:r>
          </w:p>
        </w:tc>
        <w:tc>
          <w:tcPr>
            <w:tcW w:w="325" w:type="pct"/>
            <w:vAlign w:val="center"/>
          </w:tcPr>
          <w:p>
            <w:pPr>
              <w:adjustRightInd w:val="0"/>
              <w:snapToGrid w:val="0"/>
              <w:spacing w:line="300" w:lineRule="exact"/>
              <w:jc w:val="center"/>
              <w:rPr>
                <w:color w:val="auto"/>
                <w:szCs w:val="21"/>
              </w:rPr>
            </w:pPr>
            <w:r>
              <w:rPr>
                <w:color w:val="auto"/>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61" w:type="pct"/>
            <w:vMerge w:val="continue"/>
            <w:vAlign w:val="center"/>
          </w:tcPr>
          <w:p>
            <w:pPr>
              <w:adjustRightInd w:val="0"/>
              <w:snapToGrid w:val="0"/>
              <w:spacing w:line="300" w:lineRule="exact"/>
              <w:jc w:val="center"/>
              <w:rPr>
                <w:color w:val="auto"/>
                <w:szCs w:val="21"/>
                <w:lang w:val="en"/>
              </w:rPr>
            </w:pPr>
          </w:p>
        </w:tc>
        <w:tc>
          <w:tcPr>
            <w:tcW w:w="1878" w:type="pct"/>
            <w:gridSpan w:val="2"/>
            <w:vAlign w:val="center"/>
          </w:tcPr>
          <w:p>
            <w:pPr>
              <w:adjustRightInd w:val="0"/>
              <w:snapToGrid w:val="0"/>
              <w:spacing w:line="300" w:lineRule="exact"/>
              <w:jc w:val="center"/>
              <w:rPr>
                <w:color w:val="auto"/>
                <w:szCs w:val="21"/>
              </w:rPr>
            </w:pPr>
            <w:r>
              <w:rPr>
                <w:color w:val="auto"/>
                <w:szCs w:val="21"/>
                <w:lang w:val="en"/>
              </w:rPr>
              <w:t>进建设适宜高效的治理设施。鼓励企业采用多种技术的组合工艺，提高VOCs治理效率。</w:t>
            </w:r>
          </w:p>
        </w:tc>
        <w:tc>
          <w:tcPr>
            <w:tcW w:w="1935" w:type="pct"/>
            <w:vAlign w:val="center"/>
          </w:tcPr>
          <w:p>
            <w:pPr>
              <w:adjustRightInd w:val="0"/>
              <w:snapToGrid w:val="0"/>
              <w:spacing w:line="300" w:lineRule="exact"/>
              <w:jc w:val="center"/>
              <w:rPr>
                <w:color w:val="auto"/>
                <w:szCs w:val="21"/>
              </w:rPr>
            </w:pPr>
            <w:r>
              <w:rPr>
                <w:rFonts w:hint="eastAsia"/>
                <w:color w:val="auto"/>
                <w:szCs w:val="21"/>
              </w:rPr>
              <w:t>配胶、开炼、密炼</w:t>
            </w:r>
            <w:r>
              <w:rPr>
                <w:rFonts w:hint="eastAsia"/>
                <w:color w:val="auto"/>
                <w:szCs w:val="21"/>
                <w:lang w:eastAsia="zh-CN"/>
              </w:rPr>
              <w:t>：集气装置+布袋除尘器（2套）+二级活性炭净化装置+1根15m高排气筒；涂胶、晾干、烘干：</w:t>
            </w:r>
            <w:r>
              <w:rPr>
                <w:rFonts w:hint="eastAsia"/>
                <w:color w:val="auto"/>
                <w:szCs w:val="21"/>
              </w:rPr>
              <w:t>集气装置</w:t>
            </w:r>
            <w:r>
              <w:rPr>
                <w:rFonts w:hint="eastAsia"/>
                <w:color w:val="auto"/>
                <w:szCs w:val="21"/>
                <w:lang w:val="en-US" w:eastAsia="zh-CN"/>
              </w:rPr>
              <w:t>+</w:t>
            </w:r>
            <w:r>
              <w:rPr>
                <w:rFonts w:hint="eastAsia"/>
                <w:color w:val="auto"/>
                <w:szCs w:val="21"/>
                <w:lang w:eastAsia="zh-CN"/>
              </w:rPr>
              <w:t>催化燃烧装置</w:t>
            </w:r>
            <w:r>
              <w:rPr>
                <w:color w:val="auto"/>
                <w:szCs w:val="21"/>
              </w:rPr>
              <w:t>+1根15m高排气筒</w:t>
            </w:r>
            <w:r>
              <w:rPr>
                <w:rFonts w:hint="eastAsia"/>
                <w:color w:val="auto"/>
              </w:rPr>
              <w:t>，项目废气采用组合式废气净化装置，可提高净化效率，</w:t>
            </w:r>
            <w:r>
              <w:rPr>
                <w:color w:val="auto"/>
                <w:szCs w:val="21"/>
              </w:rPr>
              <w:t>废气收集效率达90%</w:t>
            </w:r>
            <w:r>
              <w:rPr>
                <w:rFonts w:hint="eastAsia"/>
                <w:color w:val="auto"/>
                <w:szCs w:val="21"/>
                <w:lang w:eastAsia="zh-CN"/>
              </w:rPr>
              <w:t>以上</w:t>
            </w:r>
            <w:r>
              <w:rPr>
                <w:color w:val="auto"/>
                <w:szCs w:val="21"/>
              </w:rPr>
              <w:t>。</w:t>
            </w:r>
            <w:r>
              <w:rPr>
                <w:rFonts w:hint="eastAsia"/>
                <w:color w:val="auto"/>
              </w:rPr>
              <w:t>确保废气达标排放</w:t>
            </w:r>
            <w:r>
              <w:rPr>
                <w:color w:val="auto"/>
                <w:szCs w:val="21"/>
              </w:rPr>
              <w:t>，</w:t>
            </w:r>
          </w:p>
        </w:tc>
        <w:tc>
          <w:tcPr>
            <w:tcW w:w="325" w:type="pct"/>
            <w:vAlign w:val="center"/>
          </w:tcPr>
          <w:p>
            <w:pPr>
              <w:adjustRightInd w:val="0"/>
              <w:snapToGrid w:val="0"/>
              <w:spacing w:line="300" w:lineRule="exact"/>
              <w:jc w:val="center"/>
              <w:rPr>
                <w:color w:val="auto"/>
                <w:szCs w:val="21"/>
              </w:rPr>
            </w:pPr>
            <w:r>
              <w:rPr>
                <w:color w:val="auto"/>
                <w:szCs w:val="21"/>
              </w:rPr>
              <w:t>符合</w:t>
            </w:r>
          </w:p>
        </w:tc>
      </w:tr>
    </w:tbl>
    <w:p>
      <w:pPr>
        <w:adjustRightInd w:val="0"/>
        <w:spacing w:line="460" w:lineRule="exact"/>
        <w:ind w:firstLine="480" w:firstLineChars="200"/>
        <w:jc w:val="left"/>
        <w:rPr>
          <w:color w:val="auto"/>
        </w:rPr>
      </w:pPr>
      <w:r>
        <w:rPr>
          <w:bCs/>
          <w:color w:val="auto"/>
          <w:sz w:val="24"/>
        </w:rPr>
        <w:t>综上所述，本项目采取的各项废气防治措施可行，符合相关规划要求。</w:t>
      </w:r>
    </w:p>
    <w:p>
      <w:pPr>
        <w:pStyle w:val="5"/>
        <w:spacing w:before="0" w:after="0" w:line="360" w:lineRule="auto"/>
        <w:rPr>
          <w:color w:val="auto"/>
          <w:sz w:val="24"/>
          <w:szCs w:val="24"/>
        </w:rPr>
      </w:pPr>
      <w:r>
        <w:rPr>
          <w:color w:val="auto"/>
          <w:sz w:val="24"/>
          <w:szCs w:val="24"/>
        </w:rPr>
        <w:t>2.7.9环境功能区划</w:t>
      </w:r>
    </w:p>
    <w:p>
      <w:pPr>
        <w:spacing w:line="360" w:lineRule="auto"/>
        <w:ind w:firstLine="480" w:firstLineChars="200"/>
        <w:rPr>
          <w:bCs/>
          <w:color w:val="auto"/>
          <w:sz w:val="24"/>
        </w:rPr>
      </w:pPr>
      <w:r>
        <w:rPr>
          <w:bCs/>
          <w:color w:val="auto"/>
          <w:sz w:val="24"/>
        </w:rPr>
        <w:t>项目区域环境空气功能区划为《环境空气质量标准》（GB3095-2012）中二类区；声环境功能区划为《声环境质量标准》(GB3096-2008)中的3类区；地表水体属于</w:t>
      </w:r>
      <w:r>
        <w:rPr>
          <w:color w:val="auto"/>
          <w:sz w:val="24"/>
        </w:rPr>
        <w:t>《地表水环境质量标准》（GB3838-2002）</w:t>
      </w:r>
      <w:r>
        <w:rPr>
          <w:bCs/>
          <w:color w:val="auto"/>
          <w:sz w:val="24"/>
        </w:rPr>
        <w:t>Ⅲ类水体；项目区地下水环境属于《地下水质量标准》（GB/T14848-2017）III类水质。</w:t>
      </w:r>
    </w:p>
    <w:p>
      <w:pPr>
        <w:pStyle w:val="4"/>
        <w:spacing w:line="360" w:lineRule="auto"/>
        <w:rPr>
          <w:rFonts w:ascii="Times New Roman" w:hAnsi="Times New Roman"/>
          <w:b/>
          <w:color w:val="auto"/>
          <w:szCs w:val="28"/>
        </w:rPr>
      </w:pPr>
      <w:bookmarkStart w:id="120" w:name="_Toc23078"/>
      <w:bookmarkStart w:id="121" w:name="_Toc366874098"/>
      <w:bookmarkStart w:id="122" w:name="_Toc367091857"/>
      <w:bookmarkStart w:id="123" w:name="_Toc5206"/>
      <w:r>
        <w:rPr>
          <w:rFonts w:ascii="Times New Roman" w:hAnsi="Times New Roman"/>
          <w:b/>
          <w:color w:val="auto"/>
          <w:szCs w:val="28"/>
        </w:rPr>
        <w:t>2.8环境保护目标</w:t>
      </w:r>
      <w:bookmarkEnd w:id="112"/>
      <w:bookmarkEnd w:id="113"/>
      <w:bookmarkEnd w:id="114"/>
      <w:bookmarkEnd w:id="115"/>
      <w:bookmarkEnd w:id="116"/>
      <w:bookmarkEnd w:id="120"/>
      <w:bookmarkEnd w:id="121"/>
      <w:bookmarkEnd w:id="122"/>
      <w:bookmarkEnd w:id="123"/>
    </w:p>
    <w:p>
      <w:pPr>
        <w:pStyle w:val="42"/>
        <w:spacing w:after="0" w:line="360" w:lineRule="auto"/>
        <w:ind w:left="0" w:leftChars="0" w:firstLine="480" w:firstLineChars="200"/>
        <w:rPr>
          <w:color w:val="auto"/>
          <w:sz w:val="24"/>
          <w:szCs w:val="24"/>
        </w:rPr>
      </w:pPr>
      <w:r>
        <w:rPr>
          <w:color w:val="auto"/>
          <w:sz w:val="24"/>
          <w:szCs w:val="24"/>
        </w:rPr>
        <w:t>项目评价范围内无自然保护区、风景旅游点和文物古迹等需要特殊保护的环境敏感对象，总体上不因本项目的实施而改变区域环境现有功能，具体环境保护目标如下：</w:t>
      </w:r>
    </w:p>
    <w:p>
      <w:pPr>
        <w:spacing w:line="360" w:lineRule="auto"/>
        <w:ind w:firstLine="360" w:firstLineChars="150"/>
        <w:rPr>
          <w:color w:val="auto"/>
          <w:sz w:val="24"/>
        </w:rPr>
      </w:pPr>
      <w:r>
        <w:rPr>
          <w:color w:val="auto"/>
          <w:sz w:val="24"/>
        </w:rPr>
        <w:t>（1）保护地表水体水质满足《地表水环境质量标准》（GB3838-2002）</w:t>
      </w:r>
      <w:r>
        <w:rPr>
          <w:bCs/>
          <w:color w:val="auto"/>
          <w:sz w:val="24"/>
        </w:rPr>
        <w:t>Ⅲ类标准</w:t>
      </w:r>
      <w:r>
        <w:rPr>
          <w:color w:val="auto"/>
          <w:sz w:val="24"/>
        </w:rPr>
        <w:t>。</w:t>
      </w:r>
    </w:p>
    <w:p>
      <w:pPr>
        <w:spacing w:line="360" w:lineRule="auto"/>
        <w:ind w:firstLine="360" w:firstLineChars="150"/>
        <w:rPr>
          <w:color w:val="auto"/>
          <w:sz w:val="24"/>
        </w:rPr>
      </w:pPr>
      <w:r>
        <w:rPr>
          <w:color w:val="auto"/>
          <w:sz w:val="24"/>
        </w:rPr>
        <w:t>（2）保护评价区环境空气质量满足《环境空气质量标准》（GB3095-2012）中二级标准；</w:t>
      </w:r>
    </w:p>
    <w:p>
      <w:pPr>
        <w:spacing w:line="360" w:lineRule="auto"/>
        <w:ind w:firstLine="360" w:firstLineChars="150"/>
        <w:rPr>
          <w:color w:val="auto"/>
          <w:sz w:val="24"/>
        </w:rPr>
      </w:pPr>
      <w:r>
        <w:rPr>
          <w:color w:val="auto"/>
          <w:sz w:val="24"/>
        </w:rPr>
        <w:t>（3）保护区域声环境达到《声环境质量标准》</w:t>
      </w:r>
      <w:r>
        <w:rPr>
          <w:bCs/>
          <w:color w:val="auto"/>
          <w:sz w:val="24"/>
        </w:rPr>
        <w:t>（</w:t>
      </w:r>
      <w:r>
        <w:rPr>
          <w:color w:val="auto"/>
          <w:sz w:val="24"/>
        </w:rPr>
        <w:t>GB3096-2008</w:t>
      </w:r>
      <w:r>
        <w:rPr>
          <w:bCs/>
          <w:color w:val="auto"/>
          <w:sz w:val="24"/>
        </w:rPr>
        <w:t>）</w:t>
      </w:r>
      <w:r>
        <w:rPr>
          <w:color w:val="auto"/>
          <w:sz w:val="24"/>
        </w:rPr>
        <w:t>中3类标准。</w:t>
      </w:r>
    </w:p>
    <w:p>
      <w:pPr>
        <w:spacing w:line="360" w:lineRule="auto"/>
        <w:ind w:firstLine="360" w:firstLineChars="150"/>
        <w:rPr>
          <w:b/>
          <w:color w:val="auto"/>
          <w:sz w:val="24"/>
          <w:szCs w:val="22"/>
        </w:rPr>
      </w:pPr>
      <w:r>
        <w:rPr>
          <w:color w:val="auto"/>
          <w:sz w:val="24"/>
        </w:rPr>
        <w:t>（4）保护区域地下水水质达到《地下水质量标准》（GB/T14848-2017）中Ⅲ类标准。</w:t>
      </w:r>
    </w:p>
    <w:p>
      <w:pPr>
        <w:jc w:val="center"/>
        <w:rPr>
          <w:b/>
          <w:color w:val="auto"/>
          <w:sz w:val="24"/>
          <w:szCs w:val="22"/>
        </w:rPr>
      </w:pPr>
    </w:p>
    <w:p>
      <w:pPr>
        <w:jc w:val="center"/>
        <w:rPr>
          <w:b/>
          <w:color w:val="auto"/>
          <w:sz w:val="24"/>
          <w:szCs w:val="22"/>
        </w:rPr>
      </w:pPr>
      <w:r>
        <w:rPr>
          <w:b/>
          <w:color w:val="auto"/>
          <w:sz w:val="24"/>
          <w:szCs w:val="22"/>
        </w:rPr>
        <w:t>表2-1</w:t>
      </w:r>
      <w:r>
        <w:rPr>
          <w:rFonts w:hint="eastAsia"/>
          <w:b/>
          <w:color w:val="auto"/>
          <w:sz w:val="24"/>
          <w:szCs w:val="22"/>
          <w:lang w:val="en-US" w:eastAsia="zh-CN"/>
        </w:rPr>
        <w:t>3</w:t>
      </w:r>
      <w:r>
        <w:rPr>
          <w:b/>
          <w:color w:val="auto"/>
          <w:sz w:val="24"/>
          <w:szCs w:val="22"/>
        </w:rPr>
        <w:t xml:space="preserve">  主要环境保护目标表</w:t>
      </w:r>
    </w:p>
    <w:tbl>
      <w:tblPr>
        <w:tblStyle w:val="53"/>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6"/>
        <w:gridCol w:w="1174"/>
        <w:gridCol w:w="1315"/>
        <w:gridCol w:w="1217"/>
        <w:gridCol w:w="771"/>
        <w:gridCol w:w="1260"/>
        <w:gridCol w:w="1404"/>
        <w:gridCol w:w="716"/>
        <w:gridCol w:w="6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5" w:hRule="atLeast"/>
        </w:trPr>
        <w:tc>
          <w:tcPr>
            <w:tcW w:w="238" w:type="pct"/>
            <w:vMerge w:val="restart"/>
            <w:noWrap w:val="0"/>
            <w:vAlign w:val="center"/>
          </w:tcPr>
          <w:p>
            <w:pPr>
              <w:spacing w:line="320" w:lineRule="exact"/>
              <w:jc w:val="center"/>
              <w:rPr>
                <w:color w:val="auto"/>
                <w:szCs w:val="21"/>
              </w:rPr>
            </w:pPr>
            <w:r>
              <w:rPr>
                <w:color w:val="auto"/>
                <w:szCs w:val="21"/>
              </w:rPr>
              <w:t>环境要素</w:t>
            </w:r>
          </w:p>
        </w:tc>
        <w:tc>
          <w:tcPr>
            <w:tcW w:w="656" w:type="pct"/>
            <w:vMerge w:val="restart"/>
            <w:noWrap w:val="0"/>
            <w:vAlign w:val="center"/>
          </w:tcPr>
          <w:p>
            <w:pPr>
              <w:spacing w:line="320" w:lineRule="exact"/>
              <w:jc w:val="center"/>
              <w:rPr>
                <w:color w:val="auto"/>
                <w:szCs w:val="21"/>
              </w:rPr>
            </w:pPr>
            <w:r>
              <w:rPr>
                <w:color w:val="auto"/>
                <w:szCs w:val="21"/>
              </w:rPr>
              <w:t>名称</w:t>
            </w:r>
          </w:p>
        </w:tc>
        <w:tc>
          <w:tcPr>
            <w:tcW w:w="1415" w:type="pct"/>
            <w:gridSpan w:val="2"/>
            <w:noWrap w:val="0"/>
            <w:vAlign w:val="center"/>
          </w:tcPr>
          <w:p>
            <w:pPr>
              <w:spacing w:line="320" w:lineRule="exact"/>
              <w:jc w:val="center"/>
              <w:rPr>
                <w:rFonts w:hint="eastAsia"/>
                <w:color w:val="auto"/>
                <w:szCs w:val="21"/>
                <w:lang w:eastAsia="zh-CN"/>
              </w:rPr>
            </w:pPr>
            <w:r>
              <w:rPr>
                <w:rFonts w:hint="eastAsia"/>
                <w:color w:val="auto"/>
                <w:szCs w:val="21"/>
                <w:lang w:eastAsia="zh-CN"/>
              </w:rPr>
              <w:t>经纬度</w:t>
            </w:r>
          </w:p>
        </w:tc>
        <w:tc>
          <w:tcPr>
            <w:tcW w:w="431" w:type="pct"/>
            <w:vMerge w:val="restart"/>
            <w:noWrap w:val="0"/>
            <w:vAlign w:val="center"/>
          </w:tcPr>
          <w:p>
            <w:pPr>
              <w:spacing w:line="320" w:lineRule="exact"/>
              <w:jc w:val="center"/>
              <w:rPr>
                <w:color w:val="auto"/>
                <w:szCs w:val="21"/>
              </w:rPr>
            </w:pPr>
            <w:r>
              <w:rPr>
                <w:color w:val="auto"/>
                <w:szCs w:val="21"/>
              </w:rPr>
              <w:t>保护对象</w:t>
            </w:r>
          </w:p>
        </w:tc>
        <w:tc>
          <w:tcPr>
            <w:tcW w:w="704" w:type="pct"/>
            <w:vMerge w:val="restart"/>
            <w:noWrap w:val="0"/>
            <w:vAlign w:val="center"/>
          </w:tcPr>
          <w:p>
            <w:pPr>
              <w:spacing w:line="320" w:lineRule="exact"/>
              <w:jc w:val="center"/>
              <w:rPr>
                <w:color w:val="auto"/>
                <w:szCs w:val="21"/>
              </w:rPr>
            </w:pPr>
            <w:r>
              <w:rPr>
                <w:color w:val="auto"/>
                <w:szCs w:val="21"/>
              </w:rPr>
              <w:t>保护内容</w:t>
            </w:r>
          </w:p>
        </w:tc>
        <w:tc>
          <w:tcPr>
            <w:tcW w:w="784" w:type="pct"/>
            <w:vMerge w:val="restart"/>
            <w:noWrap w:val="0"/>
            <w:vAlign w:val="center"/>
          </w:tcPr>
          <w:p>
            <w:pPr>
              <w:spacing w:line="320" w:lineRule="exact"/>
              <w:jc w:val="center"/>
              <w:rPr>
                <w:color w:val="auto"/>
                <w:szCs w:val="21"/>
              </w:rPr>
            </w:pPr>
            <w:r>
              <w:rPr>
                <w:color w:val="auto"/>
                <w:szCs w:val="21"/>
              </w:rPr>
              <w:t>环境功能区</w:t>
            </w:r>
          </w:p>
        </w:tc>
        <w:tc>
          <w:tcPr>
            <w:tcW w:w="400" w:type="pct"/>
            <w:vMerge w:val="restart"/>
            <w:noWrap w:val="0"/>
            <w:vAlign w:val="center"/>
          </w:tcPr>
          <w:p>
            <w:pPr>
              <w:spacing w:line="320" w:lineRule="exact"/>
              <w:jc w:val="center"/>
              <w:rPr>
                <w:color w:val="auto"/>
                <w:szCs w:val="21"/>
              </w:rPr>
            </w:pPr>
            <w:r>
              <w:rPr>
                <w:color w:val="auto"/>
                <w:szCs w:val="21"/>
              </w:rPr>
              <w:t>相对厂址方位</w:t>
            </w:r>
          </w:p>
        </w:tc>
        <w:tc>
          <w:tcPr>
            <w:tcW w:w="369" w:type="pct"/>
            <w:vMerge w:val="restart"/>
            <w:noWrap w:val="0"/>
            <w:vAlign w:val="center"/>
          </w:tcPr>
          <w:p>
            <w:pPr>
              <w:spacing w:line="320" w:lineRule="exact"/>
              <w:jc w:val="center"/>
              <w:rPr>
                <w:color w:val="auto"/>
                <w:szCs w:val="21"/>
              </w:rPr>
            </w:pPr>
            <w:r>
              <w:rPr>
                <w:color w:val="auto"/>
                <w:szCs w:val="21"/>
              </w:rPr>
              <w:t>相对厂界距离/m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5" w:hRule="atLeast"/>
        </w:trPr>
        <w:tc>
          <w:tcPr>
            <w:tcW w:w="238" w:type="pct"/>
            <w:vMerge w:val="continue"/>
            <w:noWrap w:val="0"/>
            <w:vAlign w:val="center"/>
          </w:tcPr>
          <w:p>
            <w:pPr>
              <w:spacing w:line="320" w:lineRule="exact"/>
              <w:jc w:val="center"/>
              <w:rPr>
                <w:color w:val="auto"/>
                <w:szCs w:val="21"/>
              </w:rPr>
            </w:pPr>
          </w:p>
        </w:tc>
        <w:tc>
          <w:tcPr>
            <w:tcW w:w="656" w:type="pct"/>
            <w:vMerge w:val="continue"/>
            <w:noWrap w:val="0"/>
            <w:vAlign w:val="center"/>
          </w:tcPr>
          <w:p>
            <w:pPr>
              <w:spacing w:line="320" w:lineRule="exact"/>
              <w:jc w:val="center"/>
              <w:rPr>
                <w:color w:val="auto"/>
                <w:szCs w:val="21"/>
              </w:rPr>
            </w:pPr>
          </w:p>
        </w:tc>
        <w:tc>
          <w:tcPr>
            <w:tcW w:w="735" w:type="pct"/>
            <w:noWrap w:val="0"/>
            <w:vAlign w:val="center"/>
          </w:tcPr>
          <w:p>
            <w:pPr>
              <w:spacing w:line="320" w:lineRule="exact"/>
              <w:jc w:val="center"/>
              <w:rPr>
                <w:rFonts w:hint="eastAsia"/>
                <w:color w:val="auto"/>
                <w:szCs w:val="21"/>
                <w:lang w:eastAsia="zh-CN"/>
              </w:rPr>
            </w:pPr>
            <w:r>
              <w:rPr>
                <w:rFonts w:hint="eastAsia"/>
                <w:color w:val="auto"/>
                <w:szCs w:val="21"/>
                <w:lang w:eastAsia="zh-CN"/>
              </w:rPr>
              <w:t>经度</w:t>
            </w:r>
          </w:p>
        </w:tc>
        <w:tc>
          <w:tcPr>
            <w:tcW w:w="680" w:type="pct"/>
            <w:noWrap w:val="0"/>
            <w:vAlign w:val="center"/>
          </w:tcPr>
          <w:p>
            <w:pPr>
              <w:spacing w:line="320" w:lineRule="exact"/>
              <w:jc w:val="center"/>
              <w:rPr>
                <w:rFonts w:hint="eastAsia"/>
                <w:color w:val="auto"/>
                <w:szCs w:val="21"/>
                <w:lang w:eastAsia="zh-CN"/>
              </w:rPr>
            </w:pPr>
            <w:r>
              <w:rPr>
                <w:rFonts w:hint="eastAsia"/>
                <w:color w:val="auto"/>
                <w:szCs w:val="21"/>
                <w:lang w:eastAsia="zh-CN"/>
              </w:rPr>
              <w:t>纬度</w:t>
            </w:r>
          </w:p>
        </w:tc>
        <w:tc>
          <w:tcPr>
            <w:tcW w:w="431" w:type="pct"/>
            <w:vMerge w:val="continue"/>
            <w:noWrap w:val="0"/>
            <w:vAlign w:val="center"/>
          </w:tcPr>
          <w:p>
            <w:pPr>
              <w:spacing w:line="320" w:lineRule="exact"/>
              <w:jc w:val="center"/>
              <w:rPr>
                <w:color w:val="auto"/>
                <w:szCs w:val="21"/>
              </w:rPr>
            </w:pPr>
          </w:p>
        </w:tc>
        <w:tc>
          <w:tcPr>
            <w:tcW w:w="704" w:type="pct"/>
            <w:vMerge w:val="continue"/>
            <w:noWrap w:val="0"/>
            <w:vAlign w:val="center"/>
          </w:tcPr>
          <w:p>
            <w:pPr>
              <w:spacing w:line="320" w:lineRule="exact"/>
              <w:jc w:val="center"/>
              <w:rPr>
                <w:color w:val="auto"/>
                <w:szCs w:val="21"/>
              </w:rPr>
            </w:pPr>
          </w:p>
        </w:tc>
        <w:tc>
          <w:tcPr>
            <w:tcW w:w="784" w:type="pct"/>
            <w:vMerge w:val="continue"/>
            <w:noWrap w:val="0"/>
            <w:vAlign w:val="center"/>
          </w:tcPr>
          <w:p>
            <w:pPr>
              <w:spacing w:line="320" w:lineRule="exact"/>
              <w:jc w:val="center"/>
              <w:rPr>
                <w:color w:val="auto"/>
                <w:szCs w:val="21"/>
              </w:rPr>
            </w:pPr>
          </w:p>
        </w:tc>
        <w:tc>
          <w:tcPr>
            <w:tcW w:w="400" w:type="pct"/>
            <w:vMerge w:val="continue"/>
            <w:noWrap w:val="0"/>
            <w:vAlign w:val="center"/>
          </w:tcPr>
          <w:p>
            <w:pPr>
              <w:spacing w:line="320" w:lineRule="exact"/>
              <w:jc w:val="center"/>
              <w:rPr>
                <w:color w:val="auto"/>
                <w:szCs w:val="21"/>
              </w:rPr>
            </w:pPr>
          </w:p>
        </w:tc>
        <w:tc>
          <w:tcPr>
            <w:tcW w:w="369" w:type="pct"/>
            <w:vMerge w:val="continue"/>
            <w:noWrap w:val="0"/>
            <w:vAlign w:val="center"/>
          </w:tcPr>
          <w:p>
            <w:pPr>
              <w:spacing w:line="320" w:lineRule="exact"/>
              <w:jc w:val="center"/>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5" w:hRule="atLeast"/>
        </w:trPr>
        <w:tc>
          <w:tcPr>
            <w:tcW w:w="238" w:type="pct"/>
            <w:vMerge w:val="restart"/>
            <w:noWrap w:val="0"/>
            <w:vAlign w:val="center"/>
          </w:tcPr>
          <w:p>
            <w:pPr>
              <w:spacing w:line="320" w:lineRule="exact"/>
              <w:jc w:val="center"/>
              <w:rPr>
                <w:color w:val="auto"/>
                <w:szCs w:val="21"/>
              </w:rPr>
            </w:pPr>
            <w:r>
              <w:rPr>
                <w:color w:val="auto"/>
                <w:szCs w:val="21"/>
              </w:rPr>
              <w:t>大气环境</w:t>
            </w:r>
          </w:p>
        </w:tc>
        <w:tc>
          <w:tcPr>
            <w:tcW w:w="656" w:type="pct"/>
            <w:noWrap w:val="0"/>
            <w:vAlign w:val="center"/>
          </w:tcPr>
          <w:p>
            <w:pPr>
              <w:spacing w:line="320" w:lineRule="exact"/>
              <w:jc w:val="center"/>
              <w:rPr>
                <w:rFonts w:ascii="Times New Roman" w:hAnsi="Times New Roman" w:eastAsia="宋体" w:cs="Times New Roman"/>
                <w:color w:val="auto"/>
                <w:kern w:val="2"/>
                <w:sz w:val="21"/>
                <w:szCs w:val="21"/>
                <w:lang w:val="en-US" w:eastAsia="zh-CN" w:bidi="ar-SA"/>
              </w:rPr>
            </w:pPr>
            <w:r>
              <w:rPr>
                <w:rFonts w:hint="eastAsia"/>
                <w:color w:val="auto"/>
                <w:szCs w:val="21"/>
              </w:rPr>
              <w:t>棺山上</w:t>
            </w:r>
          </w:p>
        </w:tc>
        <w:tc>
          <w:tcPr>
            <w:tcW w:w="735" w:type="pct"/>
            <w:noWrap w:val="0"/>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color w:val="auto"/>
                <w:szCs w:val="21"/>
              </w:rPr>
              <w:t>119.0360031</w:t>
            </w:r>
          </w:p>
        </w:tc>
        <w:tc>
          <w:tcPr>
            <w:tcW w:w="680" w:type="pct"/>
            <w:noWrap w:val="0"/>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color w:val="auto"/>
                <w:szCs w:val="21"/>
              </w:rPr>
              <w:t>30.6749992</w:t>
            </w:r>
          </w:p>
        </w:tc>
        <w:tc>
          <w:tcPr>
            <w:tcW w:w="431" w:type="pct"/>
            <w:noWrap w:val="0"/>
            <w:vAlign w:val="center"/>
          </w:tcPr>
          <w:p>
            <w:pPr>
              <w:spacing w:line="320" w:lineRule="exact"/>
              <w:jc w:val="center"/>
              <w:rPr>
                <w:rFonts w:ascii="Times New Roman" w:hAnsi="Times New Roman" w:eastAsia="宋体" w:cs="Times New Roman"/>
                <w:color w:val="auto"/>
                <w:kern w:val="2"/>
                <w:sz w:val="21"/>
                <w:szCs w:val="21"/>
                <w:lang w:val="en-US" w:eastAsia="zh-CN" w:bidi="ar-SA"/>
              </w:rPr>
            </w:pPr>
            <w:r>
              <w:rPr>
                <w:rFonts w:hint="eastAsia"/>
                <w:color w:val="auto"/>
                <w:szCs w:val="21"/>
              </w:rPr>
              <w:t>居民</w:t>
            </w:r>
          </w:p>
        </w:tc>
        <w:tc>
          <w:tcPr>
            <w:tcW w:w="704" w:type="pct"/>
            <w:noWrap w:val="0"/>
            <w:vAlign w:val="center"/>
          </w:tcPr>
          <w:p>
            <w:pPr>
              <w:spacing w:line="320" w:lineRule="exact"/>
              <w:jc w:val="center"/>
              <w:rPr>
                <w:rFonts w:ascii="Times New Roman" w:hAnsi="Times New Roman" w:eastAsia="宋体" w:cs="Times New Roman"/>
                <w:color w:val="auto"/>
                <w:kern w:val="2"/>
                <w:sz w:val="21"/>
                <w:szCs w:val="21"/>
                <w:lang w:val="en-US" w:eastAsia="zh-CN" w:bidi="ar-SA"/>
              </w:rPr>
            </w:pPr>
            <w:r>
              <w:rPr>
                <w:rFonts w:hint="eastAsia"/>
                <w:color w:val="auto"/>
                <w:szCs w:val="21"/>
                <w:lang w:val="en-US" w:eastAsia="zh-CN"/>
              </w:rPr>
              <w:t>16户，</w:t>
            </w:r>
            <w:r>
              <w:rPr>
                <w:rFonts w:hint="eastAsia"/>
                <w:color w:val="auto"/>
                <w:szCs w:val="21"/>
              </w:rPr>
              <w:t>50人</w:t>
            </w:r>
          </w:p>
        </w:tc>
        <w:tc>
          <w:tcPr>
            <w:tcW w:w="784" w:type="pct"/>
            <w:vMerge w:val="restart"/>
            <w:noWrap w:val="0"/>
            <w:vAlign w:val="center"/>
          </w:tcPr>
          <w:p>
            <w:pPr>
              <w:spacing w:line="320" w:lineRule="exact"/>
              <w:jc w:val="center"/>
              <w:rPr>
                <w:color w:val="auto"/>
                <w:szCs w:val="21"/>
              </w:rPr>
            </w:pPr>
            <w:r>
              <w:rPr>
                <w:color w:val="auto"/>
                <w:szCs w:val="21"/>
              </w:rPr>
              <w:t>《环境空气质量标准》（GB3095-2012）二级标准</w:t>
            </w:r>
          </w:p>
        </w:tc>
        <w:tc>
          <w:tcPr>
            <w:tcW w:w="400" w:type="pct"/>
            <w:noWrap w:val="0"/>
            <w:vAlign w:val="center"/>
          </w:tcPr>
          <w:p>
            <w:pPr>
              <w:spacing w:line="320" w:lineRule="exact"/>
              <w:jc w:val="center"/>
              <w:rPr>
                <w:rFonts w:hint="default" w:eastAsia="宋体"/>
                <w:color w:val="auto"/>
                <w:szCs w:val="21"/>
                <w:lang w:val="en-US" w:eastAsia="zh-CN"/>
              </w:rPr>
            </w:pPr>
            <w:r>
              <w:rPr>
                <w:rFonts w:hint="eastAsia"/>
                <w:color w:val="auto"/>
                <w:szCs w:val="21"/>
                <w:lang w:val="en-US" w:eastAsia="zh-CN"/>
              </w:rPr>
              <w:t>NE</w:t>
            </w:r>
          </w:p>
        </w:tc>
        <w:tc>
          <w:tcPr>
            <w:tcW w:w="369" w:type="pct"/>
            <w:noWrap w:val="0"/>
            <w:vAlign w:val="center"/>
          </w:tcPr>
          <w:p>
            <w:pPr>
              <w:spacing w:line="320" w:lineRule="exact"/>
              <w:jc w:val="center"/>
              <w:rPr>
                <w:rFonts w:hint="default" w:eastAsia="宋体"/>
                <w:color w:val="auto"/>
                <w:szCs w:val="21"/>
                <w:lang w:val="en-US" w:eastAsia="zh-CN"/>
              </w:rPr>
            </w:pPr>
            <w:r>
              <w:rPr>
                <w:rFonts w:hint="eastAsia"/>
                <w:color w:val="auto"/>
                <w:szCs w:val="21"/>
                <w:lang w:val="en-US" w:eastAsia="zh-CN"/>
              </w:rPr>
              <w:t>2000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5" w:hRule="atLeast"/>
        </w:trPr>
        <w:tc>
          <w:tcPr>
            <w:tcW w:w="238" w:type="pct"/>
            <w:vMerge w:val="continue"/>
            <w:noWrap w:val="0"/>
            <w:vAlign w:val="center"/>
          </w:tcPr>
          <w:p>
            <w:pPr>
              <w:spacing w:line="320" w:lineRule="exact"/>
              <w:jc w:val="center"/>
              <w:rPr>
                <w:color w:val="auto"/>
                <w:szCs w:val="21"/>
              </w:rPr>
            </w:pPr>
          </w:p>
        </w:tc>
        <w:tc>
          <w:tcPr>
            <w:tcW w:w="656" w:type="pct"/>
            <w:noWrap w:val="0"/>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color w:val="auto"/>
                <w:szCs w:val="21"/>
              </w:rPr>
              <w:t>茅棚</w:t>
            </w:r>
          </w:p>
        </w:tc>
        <w:tc>
          <w:tcPr>
            <w:tcW w:w="735" w:type="pct"/>
            <w:noWrap w:val="0"/>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119.0390015</w:t>
            </w:r>
          </w:p>
        </w:tc>
        <w:tc>
          <w:tcPr>
            <w:tcW w:w="680" w:type="pct"/>
            <w:noWrap w:val="0"/>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30.6459999</w:t>
            </w:r>
          </w:p>
        </w:tc>
        <w:tc>
          <w:tcPr>
            <w:tcW w:w="431" w:type="pct"/>
            <w:noWrap w:val="0"/>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rPr>
              <w:t>居民</w:t>
            </w:r>
          </w:p>
        </w:tc>
        <w:tc>
          <w:tcPr>
            <w:tcW w:w="704" w:type="pct"/>
            <w:noWrap w:val="0"/>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16户，</w:t>
            </w:r>
            <w:r>
              <w:rPr>
                <w:color w:val="auto"/>
                <w:szCs w:val="21"/>
              </w:rPr>
              <w:t>50人</w:t>
            </w:r>
          </w:p>
        </w:tc>
        <w:tc>
          <w:tcPr>
            <w:tcW w:w="784" w:type="pct"/>
            <w:vMerge w:val="continue"/>
            <w:noWrap w:val="0"/>
            <w:vAlign w:val="center"/>
          </w:tcPr>
          <w:p>
            <w:pPr>
              <w:spacing w:line="320" w:lineRule="exact"/>
              <w:jc w:val="center"/>
              <w:rPr>
                <w:color w:val="auto"/>
                <w:szCs w:val="21"/>
              </w:rPr>
            </w:pPr>
          </w:p>
        </w:tc>
        <w:tc>
          <w:tcPr>
            <w:tcW w:w="400" w:type="pct"/>
            <w:noWrap w:val="0"/>
            <w:vAlign w:val="center"/>
          </w:tcPr>
          <w:p>
            <w:pPr>
              <w:spacing w:line="320" w:lineRule="exact"/>
              <w:jc w:val="center"/>
              <w:rPr>
                <w:color w:val="auto"/>
                <w:szCs w:val="21"/>
              </w:rPr>
            </w:pPr>
            <w:r>
              <w:rPr>
                <w:rFonts w:hint="eastAsia"/>
                <w:color w:val="auto"/>
                <w:szCs w:val="21"/>
                <w:lang w:val="en-US" w:eastAsia="zh-CN"/>
              </w:rPr>
              <w:t>NE</w:t>
            </w:r>
          </w:p>
        </w:tc>
        <w:tc>
          <w:tcPr>
            <w:tcW w:w="369" w:type="pct"/>
            <w:noWrap w:val="0"/>
            <w:vAlign w:val="center"/>
          </w:tcPr>
          <w:p>
            <w:pPr>
              <w:spacing w:line="320" w:lineRule="exact"/>
              <w:jc w:val="center"/>
              <w:rPr>
                <w:rFonts w:hint="default" w:eastAsia="宋体"/>
                <w:color w:val="auto"/>
                <w:szCs w:val="21"/>
                <w:lang w:val="en-US" w:eastAsia="zh-CN"/>
              </w:rPr>
            </w:pPr>
            <w:r>
              <w:rPr>
                <w:rFonts w:hint="eastAsia"/>
                <w:color w:val="auto"/>
                <w:szCs w:val="21"/>
                <w:lang w:val="en-US" w:eastAsia="zh-CN"/>
              </w:rPr>
              <w:t>1700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5" w:hRule="atLeast"/>
        </w:trPr>
        <w:tc>
          <w:tcPr>
            <w:tcW w:w="238" w:type="pct"/>
            <w:vMerge w:val="continue"/>
            <w:noWrap w:val="0"/>
            <w:vAlign w:val="center"/>
          </w:tcPr>
          <w:p>
            <w:pPr>
              <w:spacing w:line="320" w:lineRule="exact"/>
              <w:jc w:val="center"/>
              <w:rPr>
                <w:color w:val="auto"/>
                <w:szCs w:val="21"/>
              </w:rPr>
            </w:pPr>
          </w:p>
        </w:tc>
        <w:tc>
          <w:tcPr>
            <w:tcW w:w="656" w:type="pct"/>
            <w:noWrap w:val="0"/>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rPr>
              <w:t>桥西</w:t>
            </w:r>
          </w:p>
        </w:tc>
        <w:tc>
          <w:tcPr>
            <w:tcW w:w="735" w:type="pct"/>
            <w:noWrap w:val="0"/>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color w:val="auto"/>
                <w:szCs w:val="21"/>
              </w:rPr>
              <w:t>119.0270004</w:t>
            </w:r>
          </w:p>
        </w:tc>
        <w:tc>
          <w:tcPr>
            <w:tcW w:w="680" w:type="pct"/>
            <w:noWrap w:val="0"/>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color w:val="auto"/>
                <w:szCs w:val="21"/>
              </w:rPr>
              <w:t>30.6660995</w:t>
            </w:r>
          </w:p>
        </w:tc>
        <w:tc>
          <w:tcPr>
            <w:tcW w:w="431" w:type="pct"/>
            <w:noWrap w:val="0"/>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rPr>
              <w:t>居民</w:t>
            </w:r>
          </w:p>
        </w:tc>
        <w:tc>
          <w:tcPr>
            <w:tcW w:w="704" w:type="pct"/>
            <w:noWrap w:val="0"/>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10户，</w:t>
            </w:r>
            <w:r>
              <w:rPr>
                <w:rFonts w:hint="eastAsia"/>
                <w:color w:val="auto"/>
                <w:szCs w:val="21"/>
              </w:rPr>
              <w:t>30人</w:t>
            </w:r>
          </w:p>
        </w:tc>
        <w:tc>
          <w:tcPr>
            <w:tcW w:w="784" w:type="pct"/>
            <w:vMerge w:val="continue"/>
            <w:noWrap w:val="0"/>
            <w:vAlign w:val="center"/>
          </w:tcPr>
          <w:p>
            <w:pPr>
              <w:spacing w:line="320" w:lineRule="exact"/>
              <w:jc w:val="center"/>
              <w:rPr>
                <w:color w:val="auto"/>
                <w:szCs w:val="21"/>
              </w:rPr>
            </w:pPr>
          </w:p>
        </w:tc>
        <w:tc>
          <w:tcPr>
            <w:tcW w:w="400" w:type="pct"/>
            <w:noWrap w:val="0"/>
            <w:vAlign w:val="center"/>
          </w:tcPr>
          <w:p>
            <w:pPr>
              <w:spacing w:line="320" w:lineRule="exact"/>
              <w:jc w:val="center"/>
              <w:rPr>
                <w:rFonts w:hint="eastAsia" w:eastAsia="宋体"/>
                <w:color w:val="auto"/>
                <w:szCs w:val="21"/>
                <w:lang w:val="en-US" w:eastAsia="zh-CN"/>
              </w:rPr>
            </w:pPr>
            <w:r>
              <w:rPr>
                <w:rFonts w:hint="eastAsia"/>
                <w:color w:val="auto"/>
                <w:szCs w:val="21"/>
                <w:lang w:val="en-US" w:eastAsia="zh-CN"/>
              </w:rPr>
              <w:t>E</w:t>
            </w:r>
          </w:p>
        </w:tc>
        <w:tc>
          <w:tcPr>
            <w:tcW w:w="369" w:type="pct"/>
            <w:noWrap w:val="0"/>
            <w:vAlign w:val="center"/>
          </w:tcPr>
          <w:p>
            <w:pPr>
              <w:spacing w:line="320" w:lineRule="exact"/>
              <w:jc w:val="center"/>
              <w:rPr>
                <w:rFonts w:hint="default" w:eastAsia="宋体"/>
                <w:color w:val="auto"/>
                <w:szCs w:val="21"/>
                <w:lang w:val="en-US" w:eastAsia="zh-CN"/>
              </w:rPr>
            </w:pPr>
            <w:r>
              <w:rPr>
                <w:rFonts w:hint="eastAsia"/>
                <w:color w:val="auto"/>
                <w:szCs w:val="21"/>
                <w:lang w:val="en-US" w:eastAsia="zh-CN"/>
              </w:rPr>
              <w:t>900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0" w:hRule="atLeast"/>
        </w:trPr>
        <w:tc>
          <w:tcPr>
            <w:tcW w:w="238" w:type="pct"/>
            <w:vMerge w:val="continue"/>
            <w:noWrap w:val="0"/>
            <w:vAlign w:val="center"/>
          </w:tcPr>
          <w:p>
            <w:pPr>
              <w:spacing w:line="320" w:lineRule="exact"/>
              <w:jc w:val="center"/>
              <w:rPr>
                <w:color w:val="auto"/>
                <w:szCs w:val="21"/>
              </w:rPr>
            </w:pPr>
          </w:p>
        </w:tc>
        <w:tc>
          <w:tcPr>
            <w:tcW w:w="656" w:type="pct"/>
            <w:noWrap w:val="0"/>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rPr>
              <w:t>矮桥</w:t>
            </w:r>
          </w:p>
        </w:tc>
        <w:tc>
          <w:tcPr>
            <w:tcW w:w="735" w:type="pct"/>
            <w:noWrap w:val="0"/>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119.0329971</w:t>
            </w:r>
          </w:p>
        </w:tc>
        <w:tc>
          <w:tcPr>
            <w:tcW w:w="680" w:type="pct"/>
            <w:noWrap w:val="0"/>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30.6685009</w:t>
            </w:r>
          </w:p>
        </w:tc>
        <w:tc>
          <w:tcPr>
            <w:tcW w:w="431" w:type="pct"/>
            <w:noWrap w:val="0"/>
            <w:vAlign w:val="center"/>
          </w:tcPr>
          <w:p>
            <w:pPr>
              <w:spacing w:line="320" w:lineRule="exact"/>
              <w:jc w:val="center"/>
              <w:rPr>
                <w:rFonts w:ascii="Times New Roman" w:hAnsi="Times New Roman" w:eastAsia="宋体" w:cs="Times New Roman"/>
                <w:color w:val="auto"/>
                <w:kern w:val="2"/>
                <w:sz w:val="21"/>
                <w:szCs w:val="21"/>
                <w:lang w:val="en-US" w:eastAsia="zh-CN" w:bidi="ar-SA"/>
              </w:rPr>
            </w:pPr>
            <w:r>
              <w:rPr>
                <w:rFonts w:hint="eastAsia"/>
                <w:color w:val="auto"/>
                <w:szCs w:val="21"/>
              </w:rPr>
              <w:t>居民</w:t>
            </w:r>
          </w:p>
        </w:tc>
        <w:tc>
          <w:tcPr>
            <w:tcW w:w="704" w:type="pct"/>
            <w:noWrap w:val="0"/>
            <w:vAlign w:val="center"/>
          </w:tcPr>
          <w:p>
            <w:pPr>
              <w:spacing w:line="320" w:lineRule="exact"/>
              <w:jc w:val="center"/>
              <w:rPr>
                <w:rFonts w:ascii="Times New Roman" w:hAnsi="Times New Roman" w:eastAsia="宋体" w:cs="Times New Roman"/>
                <w:color w:val="auto"/>
                <w:kern w:val="2"/>
                <w:sz w:val="21"/>
                <w:szCs w:val="21"/>
                <w:lang w:val="en-US" w:eastAsia="zh-CN" w:bidi="ar-SA"/>
              </w:rPr>
            </w:pPr>
            <w:r>
              <w:rPr>
                <w:rFonts w:hint="eastAsia"/>
                <w:color w:val="auto"/>
                <w:szCs w:val="21"/>
                <w:lang w:val="en-US" w:eastAsia="zh-CN"/>
              </w:rPr>
              <w:t>10户，</w:t>
            </w:r>
            <w:r>
              <w:rPr>
                <w:rFonts w:hint="eastAsia"/>
                <w:color w:val="auto"/>
                <w:szCs w:val="21"/>
              </w:rPr>
              <w:t>30人</w:t>
            </w:r>
          </w:p>
        </w:tc>
        <w:tc>
          <w:tcPr>
            <w:tcW w:w="784" w:type="pct"/>
            <w:vMerge w:val="continue"/>
            <w:noWrap w:val="0"/>
            <w:vAlign w:val="center"/>
          </w:tcPr>
          <w:p>
            <w:pPr>
              <w:spacing w:line="320" w:lineRule="exact"/>
              <w:jc w:val="center"/>
              <w:rPr>
                <w:color w:val="auto"/>
                <w:szCs w:val="21"/>
              </w:rPr>
            </w:pPr>
          </w:p>
        </w:tc>
        <w:tc>
          <w:tcPr>
            <w:tcW w:w="400" w:type="pct"/>
            <w:noWrap w:val="0"/>
            <w:vAlign w:val="center"/>
          </w:tcPr>
          <w:p>
            <w:pPr>
              <w:spacing w:line="320" w:lineRule="exact"/>
              <w:jc w:val="center"/>
              <w:rPr>
                <w:rFonts w:hint="default" w:eastAsia="宋体"/>
                <w:color w:val="auto"/>
                <w:szCs w:val="21"/>
                <w:lang w:val="en-US" w:eastAsia="zh-CN"/>
              </w:rPr>
            </w:pPr>
            <w:r>
              <w:rPr>
                <w:rFonts w:hint="eastAsia"/>
                <w:color w:val="auto"/>
                <w:szCs w:val="21"/>
                <w:lang w:val="en-US" w:eastAsia="zh-CN"/>
              </w:rPr>
              <w:t>E</w:t>
            </w:r>
          </w:p>
        </w:tc>
        <w:tc>
          <w:tcPr>
            <w:tcW w:w="369" w:type="pct"/>
            <w:noWrap w:val="0"/>
            <w:vAlign w:val="center"/>
          </w:tcPr>
          <w:p>
            <w:pPr>
              <w:spacing w:line="320" w:lineRule="exact"/>
              <w:jc w:val="center"/>
              <w:rPr>
                <w:rFonts w:hint="default" w:eastAsia="宋体"/>
                <w:color w:val="auto"/>
                <w:szCs w:val="21"/>
                <w:lang w:val="en-US" w:eastAsia="zh-CN"/>
              </w:rPr>
            </w:pPr>
            <w:r>
              <w:rPr>
                <w:rFonts w:hint="eastAsia"/>
                <w:color w:val="auto"/>
                <w:szCs w:val="21"/>
                <w:lang w:val="en-US" w:eastAsia="zh-CN"/>
              </w:rPr>
              <w:t>1500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trPr>
        <w:tc>
          <w:tcPr>
            <w:tcW w:w="238" w:type="pct"/>
            <w:vMerge w:val="continue"/>
            <w:noWrap w:val="0"/>
            <w:vAlign w:val="center"/>
          </w:tcPr>
          <w:p>
            <w:pPr>
              <w:spacing w:line="320" w:lineRule="exact"/>
              <w:jc w:val="center"/>
              <w:rPr>
                <w:color w:val="auto"/>
                <w:szCs w:val="21"/>
              </w:rPr>
            </w:pPr>
          </w:p>
        </w:tc>
        <w:tc>
          <w:tcPr>
            <w:tcW w:w="656" w:type="pct"/>
            <w:noWrap w:val="0"/>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rPr>
              <w:t>梅村</w:t>
            </w:r>
          </w:p>
        </w:tc>
        <w:tc>
          <w:tcPr>
            <w:tcW w:w="735" w:type="pct"/>
            <w:noWrap w:val="0"/>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119.0390015</w:t>
            </w:r>
          </w:p>
        </w:tc>
        <w:tc>
          <w:tcPr>
            <w:tcW w:w="680" w:type="pct"/>
            <w:noWrap w:val="0"/>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30.6683006</w:t>
            </w:r>
          </w:p>
        </w:tc>
        <w:tc>
          <w:tcPr>
            <w:tcW w:w="431" w:type="pct"/>
            <w:noWrap w:val="0"/>
            <w:vAlign w:val="center"/>
          </w:tcPr>
          <w:p>
            <w:pPr>
              <w:spacing w:line="320" w:lineRule="exact"/>
              <w:jc w:val="center"/>
              <w:rPr>
                <w:rFonts w:ascii="Times New Roman" w:hAnsi="Times New Roman" w:eastAsia="宋体" w:cs="Times New Roman"/>
                <w:color w:val="auto"/>
                <w:kern w:val="2"/>
                <w:sz w:val="21"/>
                <w:szCs w:val="21"/>
                <w:lang w:val="en-US" w:eastAsia="zh-CN" w:bidi="ar-SA"/>
              </w:rPr>
            </w:pPr>
            <w:r>
              <w:rPr>
                <w:rFonts w:hint="eastAsia"/>
                <w:color w:val="auto"/>
                <w:szCs w:val="21"/>
              </w:rPr>
              <w:t>居民</w:t>
            </w:r>
          </w:p>
        </w:tc>
        <w:tc>
          <w:tcPr>
            <w:tcW w:w="704" w:type="pct"/>
            <w:noWrap w:val="0"/>
            <w:vAlign w:val="center"/>
          </w:tcPr>
          <w:p>
            <w:pPr>
              <w:spacing w:line="320" w:lineRule="exact"/>
              <w:jc w:val="center"/>
              <w:rPr>
                <w:rFonts w:ascii="Times New Roman" w:hAnsi="Times New Roman" w:eastAsia="宋体" w:cs="Times New Roman"/>
                <w:color w:val="auto"/>
                <w:kern w:val="2"/>
                <w:sz w:val="21"/>
                <w:szCs w:val="21"/>
                <w:lang w:val="en-US" w:eastAsia="zh-CN" w:bidi="ar-SA"/>
              </w:rPr>
            </w:pPr>
            <w:r>
              <w:rPr>
                <w:rFonts w:hint="eastAsia"/>
                <w:color w:val="auto"/>
                <w:szCs w:val="21"/>
                <w:lang w:val="en-US" w:eastAsia="zh-CN"/>
              </w:rPr>
              <w:t>6户，</w:t>
            </w:r>
            <w:r>
              <w:rPr>
                <w:rFonts w:hint="eastAsia"/>
                <w:color w:val="auto"/>
                <w:szCs w:val="21"/>
              </w:rPr>
              <w:t>20人</w:t>
            </w:r>
          </w:p>
        </w:tc>
        <w:tc>
          <w:tcPr>
            <w:tcW w:w="784" w:type="pct"/>
            <w:vMerge w:val="continue"/>
            <w:noWrap w:val="0"/>
            <w:vAlign w:val="center"/>
          </w:tcPr>
          <w:p>
            <w:pPr>
              <w:spacing w:line="320" w:lineRule="exact"/>
              <w:jc w:val="center"/>
              <w:rPr>
                <w:color w:val="auto"/>
                <w:szCs w:val="21"/>
              </w:rPr>
            </w:pPr>
          </w:p>
        </w:tc>
        <w:tc>
          <w:tcPr>
            <w:tcW w:w="400" w:type="pct"/>
            <w:noWrap w:val="0"/>
            <w:vAlign w:val="center"/>
          </w:tcPr>
          <w:p>
            <w:pPr>
              <w:spacing w:line="320" w:lineRule="exact"/>
              <w:jc w:val="center"/>
              <w:rPr>
                <w:color w:val="auto"/>
                <w:szCs w:val="21"/>
              </w:rPr>
            </w:pPr>
            <w:r>
              <w:rPr>
                <w:rFonts w:hint="eastAsia"/>
                <w:color w:val="auto"/>
                <w:szCs w:val="21"/>
                <w:lang w:val="en-US" w:eastAsia="zh-CN"/>
              </w:rPr>
              <w:t>E</w:t>
            </w:r>
          </w:p>
        </w:tc>
        <w:tc>
          <w:tcPr>
            <w:tcW w:w="369" w:type="pct"/>
            <w:noWrap w:val="0"/>
            <w:vAlign w:val="center"/>
          </w:tcPr>
          <w:p>
            <w:pPr>
              <w:spacing w:line="320" w:lineRule="exact"/>
              <w:jc w:val="center"/>
              <w:rPr>
                <w:rFonts w:hint="default" w:eastAsia="宋体"/>
                <w:color w:val="auto"/>
                <w:szCs w:val="21"/>
                <w:lang w:val="en-US" w:eastAsia="zh-CN"/>
              </w:rPr>
            </w:pPr>
            <w:r>
              <w:rPr>
                <w:rFonts w:hint="eastAsia"/>
                <w:color w:val="auto"/>
                <w:szCs w:val="21"/>
                <w:lang w:val="en-US" w:eastAsia="zh-CN"/>
              </w:rPr>
              <w:t>2000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8" w:type="pct"/>
            <w:vMerge w:val="continue"/>
            <w:noWrap w:val="0"/>
            <w:vAlign w:val="center"/>
          </w:tcPr>
          <w:p>
            <w:pPr>
              <w:spacing w:line="320" w:lineRule="exact"/>
              <w:jc w:val="center"/>
              <w:rPr>
                <w:color w:val="auto"/>
                <w:szCs w:val="21"/>
              </w:rPr>
            </w:pPr>
          </w:p>
        </w:tc>
        <w:tc>
          <w:tcPr>
            <w:tcW w:w="656" w:type="pct"/>
            <w:noWrap w:val="0"/>
            <w:vAlign w:val="center"/>
          </w:tcPr>
          <w:p>
            <w:pPr>
              <w:spacing w:line="320" w:lineRule="exact"/>
              <w:jc w:val="center"/>
              <w:rPr>
                <w:rFonts w:hint="eastAsia" w:eastAsia="宋体"/>
                <w:color w:val="auto"/>
                <w:szCs w:val="21"/>
                <w:lang w:eastAsia="zh-CN"/>
              </w:rPr>
            </w:pPr>
            <w:r>
              <w:rPr>
                <w:rFonts w:hint="eastAsia"/>
                <w:color w:val="auto"/>
                <w:szCs w:val="21"/>
                <w:lang w:eastAsia="zh-CN"/>
              </w:rPr>
              <w:t>清水湾</w:t>
            </w:r>
          </w:p>
        </w:tc>
        <w:tc>
          <w:tcPr>
            <w:tcW w:w="735" w:type="pct"/>
            <w:noWrap w:val="0"/>
            <w:vAlign w:val="center"/>
          </w:tcPr>
          <w:p>
            <w:pPr>
              <w:spacing w:line="320" w:lineRule="exact"/>
              <w:jc w:val="center"/>
              <w:rPr>
                <w:rFonts w:hint="eastAsia"/>
                <w:color w:val="auto"/>
                <w:szCs w:val="21"/>
                <w:lang w:val="en-US" w:eastAsia="zh-CN"/>
              </w:rPr>
            </w:pPr>
            <w:r>
              <w:rPr>
                <w:rFonts w:hint="eastAsia"/>
                <w:color w:val="auto"/>
                <w:szCs w:val="21"/>
                <w:lang w:val="en-US" w:eastAsia="zh-CN"/>
              </w:rPr>
              <w:t>119.024597</w:t>
            </w:r>
          </w:p>
        </w:tc>
        <w:tc>
          <w:tcPr>
            <w:tcW w:w="680" w:type="pct"/>
            <w:noWrap w:val="0"/>
            <w:vAlign w:val="center"/>
          </w:tcPr>
          <w:p>
            <w:pPr>
              <w:spacing w:line="320" w:lineRule="exact"/>
              <w:jc w:val="center"/>
              <w:rPr>
                <w:rFonts w:hint="eastAsia"/>
                <w:color w:val="auto"/>
                <w:szCs w:val="21"/>
                <w:lang w:val="en-US" w:eastAsia="zh-CN"/>
              </w:rPr>
            </w:pPr>
            <w:r>
              <w:rPr>
                <w:rFonts w:hint="eastAsia"/>
                <w:color w:val="auto"/>
                <w:szCs w:val="21"/>
                <w:lang w:val="en-US" w:eastAsia="zh-CN"/>
              </w:rPr>
              <w:t>30.685616</w:t>
            </w:r>
          </w:p>
        </w:tc>
        <w:tc>
          <w:tcPr>
            <w:tcW w:w="431" w:type="pct"/>
            <w:noWrap w:val="0"/>
            <w:vAlign w:val="center"/>
          </w:tcPr>
          <w:p>
            <w:pPr>
              <w:spacing w:line="320" w:lineRule="exact"/>
              <w:jc w:val="center"/>
              <w:rPr>
                <w:color w:val="auto"/>
                <w:szCs w:val="21"/>
              </w:rPr>
            </w:pPr>
            <w:r>
              <w:rPr>
                <w:rFonts w:hint="eastAsia"/>
                <w:color w:val="auto"/>
                <w:szCs w:val="21"/>
              </w:rPr>
              <w:t>居民</w:t>
            </w:r>
          </w:p>
        </w:tc>
        <w:tc>
          <w:tcPr>
            <w:tcW w:w="704" w:type="pct"/>
            <w:noWrap w:val="0"/>
            <w:vAlign w:val="center"/>
          </w:tcPr>
          <w:p>
            <w:pPr>
              <w:spacing w:line="320" w:lineRule="exact"/>
              <w:jc w:val="center"/>
              <w:rPr>
                <w:rFonts w:hint="default" w:eastAsia="宋体"/>
                <w:color w:val="auto"/>
                <w:szCs w:val="21"/>
                <w:lang w:val="en-US" w:eastAsia="zh-CN"/>
              </w:rPr>
            </w:pPr>
            <w:r>
              <w:rPr>
                <w:rFonts w:hint="eastAsia"/>
                <w:color w:val="auto"/>
                <w:szCs w:val="21"/>
                <w:lang w:val="en-US" w:eastAsia="zh-CN"/>
              </w:rPr>
              <w:t>30户，90人</w:t>
            </w:r>
          </w:p>
        </w:tc>
        <w:tc>
          <w:tcPr>
            <w:tcW w:w="784" w:type="pct"/>
            <w:vMerge w:val="continue"/>
            <w:noWrap w:val="0"/>
            <w:vAlign w:val="center"/>
          </w:tcPr>
          <w:p>
            <w:pPr>
              <w:spacing w:line="320" w:lineRule="exact"/>
              <w:jc w:val="center"/>
              <w:rPr>
                <w:color w:val="auto"/>
                <w:szCs w:val="21"/>
              </w:rPr>
            </w:pPr>
          </w:p>
        </w:tc>
        <w:tc>
          <w:tcPr>
            <w:tcW w:w="400" w:type="pct"/>
            <w:noWrap w:val="0"/>
            <w:vAlign w:val="center"/>
          </w:tcPr>
          <w:p>
            <w:pPr>
              <w:spacing w:line="320" w:lineRule="exact"/>
              <w:jc w:val="center"/>
              <w:rPr>
                <w:rFonts w:hint="default" w:eastAsia="宋体"/>
                <w:color w:val="auto"/>
                <w:szCs w:val="21"/>
                <w:lang w:val="en-US" w:eastAsia="zh-CN"/>
              </w:rPr>
            </w:pPr>
            <w:r>
              <w:rPr>
                <w:rFonts w:hint="eastAsia"/>
                <w:color w:val="auto"/>
                <w:szCs w:val="21"/>
                <w:lang w:val="en-US" w:eastAsia="zh-CN"/>
              </w:rPr>
              <w:t>NE</w:t>
            </w:r>
          </w:p>
        </w:tc>
        <w:tc>
          <w:tcPr>
            <w:tcW w:w="369" w:type="pct"/>
            <w:noWrap w:val="0"/>
            <w:vAlign w:val="center"/>
          </w:tcPr>
          <w:p>
            <w:pPr>
              <w:spacing w:line="320" w:lineRule="exact"/>
              <w:jc w:val="center"/>
              <w:rPr>
                <w:rFonts w:hint="default" w:eastAsia="宋体"/>
                <w:color w:val="auto"/>
                <w:szCs w:val="21"/>
                <w:lang w:val="en-US" w:eastAsia="zh-CN"/>
              </w:rPr>
            </w:pPr>
            <w:r>
              <w:rPr>
                <w:rFonts w:hint="eastAsia"/>
                <w:color w:val="auto"/>
                <w:szCs w:val="21"/>
                <w:lang w:val="en-US" w:eastAsia="zh-CN"/>
              </w:rPr>
              <w:t>2300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8" w:type="pct"/>
            <w:vMerge w:val="continue"/>
            <w:noWrap w:val="0"/>
            <w:vAlign w:val="center"/>
          </w:tcPr>
          <w:p>
            <w:pPr>
              <w:spacing w:line="320" w:lineRule="exact"/>
              <w:jc w:val="center"/>
              <w:rPr>
                <w:color w:val="auto"/>
                <w:szCs w:val="21"/>
              </w:rPr>
            </w:pPr>
          </w:p>
        </w:tc>
        <w:tc>
          <w:tcPr>
            <w:tcW w:w="656" w:type="pct"/>
            <w:noWrap w:val="0"/>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rPr>
              <w:t>高桥村</w:t>
            </w:r>
          </w:p>
        </w:tc>
        <w:tc>
          <w:tcPr>
            <w:tcW w:w="735" w:type="pct"/>
            <w:noWrap w:val="0"/>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color w:val="auto"/>
                <w:szCs w:val="21"/>
              </w:rPr>
              <w:t>119.0240021</w:t>
            </w:r>
          </w:p>
        </w:tc>
        <w:tc>
          <w:tcPr>
            <w:tcW w:w="680" w:type="pct"/>
            <w:noWrap w:val="0"/>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color w:val="auto"/>
                <w:szCs w:val="21"/>
              </w:rPr>
              <w:t>30.6784000</w:t>
            </w:r>
          </w:p>
        </w:tc>
        <w:tc>
          <w:tcPr>
            <w:tcW w:w="431" w:type="pct"/>
            <w:noWrap w:val="0"/>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rPr>
              <w:t>居民</w:t>
            </w:r>
          </w:p>
        </w:tc>
        <w:tc>
          <w:tcPr>
            <w:tcW w:w="704" w:type="pct"/>
            <w:noWrap w:val="0"/>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16户，</w:t>
            </w:r>
            <w:r>
              <w:rPr>
                <w:rFonts w:hint="eastAsia"/>
                <w:color w:val="auto"/>
                <w:szCs w:val="21"/>
              </w:rPr>
              <w:t>50人</w:t>
            </w:r>
          </w:p>
        </w:tc>
        <w:tc>
          <w:tcPr>
            <w:tcW w:w="784" w:type="pct"/>
            <w:vMerge w:val="continue"/>
            <w:noWrap w:val="0"/>
            <w:vAlign w:val="center"/>
          </w:tcPr>
          <w:p>
            <w:pPr>
              <w:spacing w:line="320" w:lineRule="exact"/>
              <w:jc w:val="center"/>
              <w:rPr>
                <w:color w:val="auto"/>
                <w:szCs w:val="21"/>
              </w:rPr>
            </w:pPr>
          </w:p>
        </w:tc>
        <w:tc>
          <w:tcPr>
            <w:tcW w:w="400" w:type="pct"/>
            <w:noWrap w:val="0"/>
            <w:vAlign w:val="center"/>
          </w:tcPr>
          <w:p>
            <w:pPr>
              <w:spacing w:line="320" w:lineRule="exact"/>
              <w:jc w:val="center"/>
              <w:rPr>
                <w:color w:val="auto"/>
                <w:szCs w:val="21"/>
              </w:rPr>
            </w:pPr>
            <w:r>
              <w:rPr>
                <w:rFonts w:hint="eastAsia"/>
                <w:color w:val="auto"/>
                <w:szCs w:val="21"/>
                <w:lang w:val="en-US" w:eastAsia="zh-CN"/>
              </w:rPr>
              <w:t>NE</w:t>
            </w:r>
          </w:p>
        </w:tc>
        <w:tc>
          <w:tcPr>
            <w:tcW w:w="369" w:type="pct"/>
            <w:noWrap w:val="0"/>
            <w:vAlign w:val="center"/>
          </w:tcPr>
          <w:p>
            <w:pPr>
              <w:spacing w:line="320" w:lineRule="exact"/>
              <w:jc w:val="center"/>
              <w:rPr>
                <w:rFonts w:hint="default" w:eastAsia="宋体"/>
                <w:color w:val="auto"/>
                <w:szCs w:val="21"/>
                <w:lang w:val="en-US" w:eastAsia="zh-CN"/>
              </w:rPr>
            </w:pPr>
            <w:r>
              <w:rPr>
                <w:rFonts w:hint="eastAsia"/>
                <w:color w:val="auto"/>
                <w:szCs w:val="21"/>
                <w:lang w:val="en-US" w:eastAsia="zh-CN"/>
              </w:rPr>
              <w:t>1500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8" w:type="pct"/>
            <w:vMerge w:val="continue"/>
            <w:noWrap w:val="0"/>
            <w:vAlign w:val="center"/>
          </w:tcPr>
          <w:p>
            <w:pPr>
              <w:spacing w:line="320" w:lineRule="exact"/>
              <w:jc w:val="center"/>
              <w:rPr>
                <w:color w:val="auto"/>
                <w:szCs w:val="21"/>
              </w:rPr>
            </w:pPr>
          </w:p>
        </w:tc>
        <w:tc>
          <w:tcPr>
            <w:tcW w:w="656" w:type="pct"/>
            <w:noWrap w:val="0"/>
            <w:vAlign w:val="center"/>
          </w:tcPr>
          <w:p>
            <w:pPr>
              <w:spacing w:line="320" w:lineRule="exact"/>
              <w:jc w:val="center"/>
              <w:rPr>
                <w:rFonts w:hint="eastAsia" w:eastAsia="宋体"/>
                <w:color w:val="auto"/>
                <w:szCs w:val="21"/>
                <w:lang w:eastAsia="zh-CN"/>
              </w:rPr>
            </w:pPr>
            <w:r>
              <w:rPr>
                <w:rFonts w:hint="eastAsia"/>
                <w:color w:val="auto"/>
                <w:szCs w:val="21"/>
                <w:lang w:eastAsia="zh-CN"/>
              </w:rPr>
              <w:t>连塘冲</w:t>
            </w:r>
          </w:p>
        </w:tc>
        <w:tc>
          <w:tcPr>
            <w:tcW w:w="735" w:type="pct"/>
            <w:noWrap w:val="0"/>
            <w:vAlign w:val="center"/>
          </w:tcPr>
          <w:p>
            <w:pPr>
              <w:spacing w:line="320" w:lineRule="exact"/>
              <w:jc w:val="center"/>
              <w:rPr>
                <w:color w:val="auto"/>
                <w:szCs w:val="21"/>
              </w:rPr>
            </w:pPr>
            <w:r>
              <w:rPr>
                <w:rFonts w:hint="eastAsia"/>
                <w:color w:val="auto"/>
                <w:szCs w:val="21"/>
              </w:rPr>
              <w:t>119.023565</w:t>
            </w:r>
          </w:p>
        </w:tc>
        <w:tc>
          <w:tcPr>
            <w:tcW w:w="680" w:type="pct"/>
            <w:noWrap w:val="0"/>
            <w:vAlign w:val="center"/>
          </w:tcPr>
          <w:p>
            <w:pPr>
              <w:spacing w:line="320" w:lineRule="exact"/>
              <w:jc w:val="center"/>
              <w:rPr>
                <w:color w:val="auto"/>
                <w:szCs w:val="21"/>
              </w:rPr>
            </w:pPr>
            <w:r>
              <w:rPr>
                <w:rFonts w:hint="eastAsia"/>
                <w:color w:val="auto"/>
                <w:szCs w:val="21"/>
              </w:rPr>
              <w:t>30.673450</w:t>
            </w:r>
          </w:p>
        </w:tc>
        <w:tc>
          <w:tcPr>
            <w:tcW w:w="431" w:type="pct"/>
            <w:noWrap w:val="0"/>
            <w:vAlign w:val="center"/>
          </w:tcPr>
          <w:p>
            <w:pPr>
              <w:spacing w:line="320" w:lineRule="exact"/>
              <w:jc w:val="center"/>
              <w:rPr>
                <w:rFonts w:hint="eastAsia"/>
                <w:color w:val="auto"/>
                <w:szCs w:val="21"/>
              </w:rPr>
            </w:pPr>
            <w:r>
              <w:rPr>
                <w:rFonts w:hint="eastAsia"/>
                <w:color w:val="auto"/>
                <w:szCs w:val="21"/>
              </w:rPr>
              <w:t>居民</w:t>
            </w:r>
          </w:p>
        </w:tc>
        <w:tc>
          <w:tcPr>
            <w:tcW w:w="704" w:type="pct"/>
            <w:noWrap w:val="0"/>
            <w:vAlign w:val="center"/>
          </w:tcPr>
          <w:p>
            <w:pPr>
              <w:spacing w:line="320" w:lineRule="exact"/>
              <w:jc w:val="center"/>
              <w:rPr>
                <w:rFonts w:hint="default"/>
                <w:color w:val="auto"/>
                <w:szCs w:val="21"/>
                <w:lang w:val="en-US" w:eastAsia="zh-CN"/>
              </w:rPr>
            </w:pPr>
            <w:r>
              <w:rPr>
                <w:rFonts w:hint="eastAsia"/>
                <w:color w:val="auto"/>
                <w:szCs w:val="21"/>
                <w:lang w:val="en-US" w:eastAsia="zh-CN"/>
              </w:rPr>
              <w:t>6户，20人</w:t>
            </w:r>
          </w:p>
        </w:tc>
        <w:tc>
          <w:tcPr>
            <w:tcW w:w="784" w:type="pct"/>
            <w:vMerge w:val="continue"/>
            <w:noWrap w:val="0"/>
            <w:vAlign w:val="center"/>
          </w:tcPr>
          <w:p>
            <w:pPr>
              <w:spacing w:line="320" w:lineRule="exact"/>
              <w:jc w:val="center"/>
              <w:rPr>
                <w:color w:val="auto"/>
                <w:szCs w:val="21"/>
              </w:rPr>
            </w:pPr>
          </w:p>
        </w:tc>
        <w:tc>
          <w:tcPr>
            <w:tcW w:w="400" w:type="pct"/>
            <w:noWrap w:val="0"/>
            <w:vAlign w:val="center"/>
          </w:tcPr>
          <w:p>
            <w:pPr>
              <w:spacing w:line="320" w:lineRule="exact"/>
              <w:jc w:val="center"/>
              <w:rPr>
                <w:rFonts w:hint="eastAsia"/>
                <w:color w:val="auto"/>
                <w:szCs w:val="21"/>
                <w:lang w:val="en-US" w:eastAsia="zh-CN"/>
              </w:rPr>
            </w:pPr>
            <w:r>
              <w:rPr>
                <w:rFonts w:hint="eastAsia"/>
                <w:color w:val="auto"/>
                <w:szCs w:val="21"/>
                <w:lang w:val="en-US" w:eastAsia="zh-CN"/>
              </w:rPr>
              <w:t>NE</w:t>
            </w:r>
          </w:p>
        </w:tc>
        <w:tc>
          <w:tcPr>
            <w:tcW w:w="369" w:type="pct"/>
            <w:noWrap w:val="0"/>
            <w:vAlign w:val="center"/>
          </w:tcPr>
          <w:p>
            <w:pPr>
              <w:spacing w:line="320" w:lineRule="exact"/>
              <w:jc w:val="center"/>
              <w:rPr>
                <w:rFonts w:hint="default"/>
                <w:color w:val="auto"/>
                <w:szCs w:val="21"/>
                <w:lang w:val="en-US" w:eastAsia="zh-CN"/>
              </w:rPr>
            </w:pPr>
            <w:r>
              <w:rPr>
                <w:rFonts w:hint="eastAsia"/>
                <w:color w:val="auto"/>
                <w:szCs w:val="21"/>
                <w:lang w:val="en-US" w:eastAsia="zh-CN"/>
              </w:rPr>
              <w:t>950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8" w:type="pct"/>
            <w:vMerge w:val="continue"/>
            <w:noWrap w:val="0"/>
            <w:vAlign w:val="center"/>
          </w:tcPr>
          <w:p>
            <w:pPr>
              <w:spacing w:line="320" w:lineRule="exact"/>
              <w:jc w:val="center"/>
              <w:rPr>
                <w:color w:val="auto"/>
                <w:szCs w:val="21"/>
              </w:rPr>
            </w:pPr>
          </w:p>
        </w:tc>
        <w:tc>
          <w:tcPr>
            <w:tcW w:w="656" w:type="pct"/>
            <w:noWrap w:val="0"/>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color w:val="auto"/>
                <w:szCs w:val="21"/>
              </w:rPr>
              <w:t>狮子山</w:t>
            </w:r>
          </w:p>
        </w:tc>
        <w:tc>
          <w:tcPr>
            <w:tcW w:w="735" w:type="pct"/>
            <w:noWrap w:val="0"/>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119.0019989</w:t>
            </w:r>
          </w:p>
        </w:tc>
        <w:tc>
          <w:tcPr>
            <w:tcW w:w="680" w:type="pct"/>
            <w:noWrap w:val="0"/>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30.6474991</w:t>
            </w:r>
          </w:p>
        </w:tc>
        <w:tc>
          <w:tcPr>
            <w:tcW w:w="431" w:type="pct"/>
            <w:noWrap w:val="0"/>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color w:val="auto"/>
                <w:szCs w:val="21"/>
              </w:rPr>
              <w:t>居民</w:t>
            </w:r>
          </w:p>
        </w:tc>
        <w:tc>
          <w:tcPr>
            <w:tcW w:w="704" w:type="pct"/>
            <w:noWrap w:val="0"/>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650户，</w:t>
            </w:r>
            <w:r>
              <w:rPr>
                <w:rFonts w:hint="eastAsia"/>
                <w:color w:val="auto"/>
                <w:szCs w:val="21"/>
              </w:rPr>
              <w:t>20</w:t>
            </w:r>
            <w:r>
              <w:rPr>
                <w:color w:val="auto"/>
                <w:szCs w:val="21"/>
              </w:rPr>
              <w:t>00人</w:t>
            </w:r>
          </w:p>
        </w:tc>
        <w:tc>
          <w:tcPr>
            <w:tcW w:w="784" w:type="pct"/>
            <w:vMerge w:val="continue"/>
            <w:noWrap w:val="0"/>
            <w:vAlign w:val="center"/>
          </w:tcPr>
          <w:p>
            <w:pPr>
              <w:spacing w:line="320" w:lineRule="exact"/>
              <w:jc w:val="center"/>
              <w:rPr>
                <w:color w:val="auto"/>
                <w:szCs w:val="21"/>
              </w:rPr>
            </w:pPr>
          </w:p>
        </w:tc>
        <w:tc>
          <w:tcPr>
            <w:tcW w:w="400" w:type="pct"/>
            <w:noWrap w:val="0"/>
            <w:vAlign w:val="center"/>
          </w:tcPr>
          <w:p>
            <w:pPr>
              <w:spacing w:line="320" w:lineRule="exact"/>
              <w:jc w:val="center"/>
              <w:rPr>
                <w:rFonts w:hint="default" w:eastAsia="宋体"/>
                <w:color w:val="auto"/>
                <w:szCs w:val="21"/>
                <w:lang w:val="en-US" w:eastAsia="zh-CN"/>
              </w:rPr>
            </w:pPr>
            <w:r>
              <w:rPr>
                <w:rFonts w:hint="eastAsia"/>
                <w:color w:val="auto"/>
                <w:szCs w:val="21"/>
                <w:lang w:val="en-US" w:eastAsia="zh-CN"/>
              </w:rPr>
              <w:t>SW</w:t>
            </w:r>
          </w:p>
        </w:tc>
        <w:tc>
          <w:tcPr>
            <w:tcW w:w="369" w:type="pct"/>
            <w:noWrap w:val="0"/>
            <w:vAlign w:val="center"/>
          </w:tcPr>
          <w:p>
            <w:pPr>
              <w:spacing w:line="320" w:lineRule="exact"/>
              <w:jc w:val="center"/>
              <w:rPr>
                <w:rFonts w:hint="default" w:eastAsia="宋体"/>
                <w:color w:val="auto"/>
                <w:szCs w:val="21"/>
                <w:lang w:val="en-US" w:eastAsia="zh-CN"/>
              </w:rPr>
            </w:pPr>
            <w:r>
              <w:rPr>
                <w:rFonts w:hint="eastAsia"/>
                <w:color w:val="auto"/>
                <w:szCs w:val="21"/>
                <w:lang w:val="en-US" w:eastAsia="zh-CN"/>
              </w:rPr>
              <w:t>2400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8" w:type="pct"/>
            <w:vMerge w:val="continue"/>
            <w:noWrap w:val="0"/>
            <w:vAlign w:val="center"/>
          </w:tcPr>
          <w:p>
            <w:pPr>
              <w:spacing w:line="320" w:lineRule="exact"/>
              <w:jc w:val="center"/>
              <w:rPr>
                <w:color w:val="auto"/>
                <w:szCs w:val="21"/>
              </w:rPr>
            </w:pPr>
          </w:p>
        </w:tc>
        <w:tc>
          <w:tcPr>
            <w:tcW w:w="656" w:type="pct"/>
            <w:noWrap w:val="0"/>
            <w:vAlign w:val="center"/>
          </w:tcPr>
          <w:p>
            <w:pPr>
              <w:spacing w:line="320" w:lineRule="exact"/>
              <w:jc w:val="center"/>
              <w:rPr>
                <w:rFonts w:ascii="Times New Roman" w:hAnsi="Times New Roman" w:eastAsia="宋体" w:cs="Times New Roman"/>
                <w:color w:val="auto"/>
                <w:kern w:val="2"/>
                <w:sz w:val="21"/>
                <w:szCs w:val="21"/>
                <w:lang w:val="en-US" w:eastAsia="zh-CN" w:bidi="ar-SA"/>
              </w:rPr>
            </w:pPr>
            <w:r>
              <w:rPr>
                <w:color w:val="auto"/>
                <w:szCs w:val="21"/>
              </w:rPr>
              <w:t>十亩太堰</w:t>
            </w:r>
          </w:p>
        </w:tc>
        <w:tc>
          <w:tcPr>
            <w:tcW w:w="735" w:type="pct"/>
            <w:noWrap w:val="0"/>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119.0080032</w:t>
            </w:r>
          </w:p>
        </w:tc>
        <w:tc>
          <w:tcPr>
            <w:tcW w:w="680" w:type="pct"/>
            <w:noWrap w:val="0"/>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30.6522999</w:t>
            </w:r>
          </w:p>
        </w:tc>
        <w:tc>
          <w:tcPr>
            <w:tcW w:w="431" w:type="pct"/>
            <w:noWrap w:val="0"/>
            <w:vAlign w:val="center"/>
          </w:tcPr>
          <w:p>
            <w:pPr>
              <w:spacing w:line="320" w:lineRule="exact"/>
              <w:jc w:val="center"/>
              <w:rPr>
                <w:rFonts w:ascii="Times New Roman" w:hAnsi="Times New Roman" w:eastAsia="宋体" w:cs="Times New Roman"/>
                <w:color w:val="auto"/>
                <w:kern w:val="2"/>
                <w:sz w:val="21"/>
                <w:szCs w:val="21"/>
                <w:lang w:val="en-US" w:eastAsia="zh-CN" w:bidi="ar-SA"/>
              </w:rPr>
            </w:pPr>
            <w:r>
              <w:rPr>
                <w:color w:val="auto"/>
                <w:szCs w:val="21"/>
              </w:rPr>
              <w:t>居民</w:t>
            </w:r>
          </w:p>
        </w:tc>
        <w:tc>
          <w:tcPr>
            <w:tcW w:w="704" w:type="pct"/>
            <w:noWrap w:val="0"/>
            <w:vAlign w:val="center"/>
          </w:tcPr>
          <w:p>
            <w:pPr>
              <w:spacing w:line="320" w:lineRule="exact"/>
              <w:jc w:val="center"/>
              <w:rPr>
                <w:rFonts w:ascii="Times New Roman" w:hAnsi="Times New Roman" w:eastAsia="宋体" w:cs="Times New Roman"/>
                <w:color w:val="auto"/>
                <w:kern w:val="2"/>
                <w:sz w:val="21"/>
                <w:szCs w:val="21"/>
                <w:lang w:val="en-US" w:eastAsia="zh-CN" w:bidi="ar-SA"/>
              </w:rPr>
            </w:pPr>
            <w:r>
              <w:rPr>
                <w:rFonts w:hint="eastAsia"/>
                <w:color w:val="auto"/>
                <w:szCs w:val="21"/>
                <w:lang w:val="en-US" w:eastAsia="zh-CN"/>
              </w:rPr>
              <w:t>800户，</w:t>
            </w:r>
            <w:r>
              <w:rPr>
                <w:color w:val="auto"/>
                <w:szCs w:val="21"/>
              </w:rPr>
              <w:t>2500人</w:t>
            </w:r>
          </w:p>
        </w:tc>
        <w:tc>
          <w:tcPr>
            <w:tcW w:w="784" w:type="pct"/>
            <w:vMerge w:val="continue"/>
            <w:noWrap w:val="0"/>
            <w:vAlign w:val="center"/>
          </w:tcPr>
          <w:p>
            <w:pPr>
              <w:spacing w:line="320" w:lineRule="exact"/>
              <w:jc w:val="center"/>
              <w:rPr>
                <w:color w:val="auto"/>
                <w:szCs w:val="21"/>
              </w:rPr>
            </w:pPr>
          </w:p>
        </w:tc>
        <w:tc>
          <w:tcPr>
            <w:tcW w:w="400" w:type="pct"/>
            <w:noWrap w:val="0"/>
            <w:vAlign w:val="center"/>
          </w:tcPr>
          <w:p>
            <w:pPr>
              <w:spacing w:line="320" w:lineRule="exact"/>
              <w:jc w:val="center"/>
              <w:rPr>
                <w:color w:val="auto"/>
                <w:szCs w:val="21"/>
              </w:rPr>
            </w:pPr>
            <w:r>
              <w:rPr>
                <w:rFonts w:hint="eastAsia"/>
                <w:color w:val="auto"/>
                <w:szCs w:val="21"/>
                <w:lang w:val="en-US" w:eastAsia="zh-CN"/>
              </w:rPr>
              <w:t>SW</w:t>
            </w:r>
          </w:p>
        </w:tc>
        <w:tc>
          <w:tcPr>
            <w:tcW w:w="369" w:type="pct"/>
            <w:noWrap w:val="0"/>
            <w:vAlign w:val="center"/>
          </w:tcPr>
          <w:p>
            <w:pPr>
              <w:spacing w:line="320" w:lineRule="exact"/>
              <w:jc w:val="center"/>
              <w:rPr>
                <w:rFonts w:hint="default" w:eastAsia="宋体"/>
                <w:color w:val="auto"/>
                <w:szCs w:val="21"/>
                <w:lang w:val="en-US" w:eastAsia="zh-CN"/>
              </w:rPr>
            </w:pPr>
            <w:r>
              <w:rPr>
                <w:rFonts w:hint="eastAsia"/>
                <w:color w:val="auto"/>
                <w:szCs w:val="21"/>
                <w:lang w:val="en-US" w:eastAsia="zh-CN"/>
              </w:rPr>
              <w:t>2000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38" w:type="pct"/>
            <w:vMerge w:val="continue"/>
            <w:noWrap w:val="0"/>
            <w:vAlign w:val="center"/>
          </w:tcPr>
          <w:p>
            <w:pPr>
              <w:spacing w:line="320" w:lineRule="exact"/>
              <w:jc w:val="center"/>
              <w:rPr>
                <w:color w:val="auto"/>
                <w:szCs w:val="21"/>
              </w:rPr>
            </w:pPr>
          </w:p>
        </w:tc>
        <w:tc>
          <w:tcPr>
            <w:tcW w:w="656" w:type="pct"/>
            <w:noWrap w:val="0"/>
            <w:vAlign w:val="center"/>
          </w:tcPr>
          <w:p>
            <w:pPr>
              <w:spacing w:line="320" w:lineRule="exact"/>
              <w:jc w:val="center"/>
              <w:rPr>
                <w:rFonts w:ascii="Times New Roman" w:hAnsi="Times New Roman" w:eastAsia="宋体" w:cs="Times New Roman"/>
                <w:color w:val="auto"/>
                <w:kern w:val="2"/>
                <w:sz w:val="21"/>
                <w:szCs w:val="21"/>
                <w:lang w:val="en-US" w:eastAsia="zh-CN" w:bidi="ar-SA"/>
              </w:rPr>
            </w:pPr>
            <w:r>
              <w:rPr>
                <w:color w:val="auto"/>
                <w:szCs w:val="21"/>
              </w:rPr>
              <w:t>三里亭</w:t>
            </w:r>
          </w:p>
        </w:tc>
        <w:tc>
          <w:tcPr>
            <w:tcW w:w="735" w:type="pct"/>
            <w:noWrap w:val="0"/>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119.0070038</w:t>
            </w:r>
          </w:p>
        </w:tc>
        <w:tc>
          <w:tcPr>
            <w:tcW w:w="680" w:type="pct"/>
            <w:noWrap w:val="0"/>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30.6450996</w:t>
            </w:r>
          </w:p>
        </w:tc>
        <w:tc>
          <w:tcPr>
            <w:tcW w:w="431" w:type="pct"/>
            <w:noWrap w:val="0"/>
            <w:vAlign w:val="center"/>
          </w:tcPr>
          <w:p>
            <w:pPr>
              <w:spacing w:line="320" w:lineRule="exact"/>
              <w:jc w:val="center"/>
              <w:rPr>
                <w:rFonts w:ascii="Times New Roman" w:hAnsi="Times New Roman" w:eastAsia="宋体" w:cs="Times New Roman"/>
                <w:color w:val="auto"/>
                <w:kern w:val="2"/>
                <w:sz w:val="21"/>
                <w:szCs w:val="21"/>
                <w:lang w:val="en-US" w:eastAsia="zh-CN" w:bidi="ar-SA"/>
              </w:rPr>
            </w:pPr>
            <w:r>
              <w:rPr>
                <w:color w:val="auto"/>
                <w:szCs w:val="21"/>
              </w:rPr>
              <w:t>居民</w:t>
            </w:r>
          </w:p>
        </w:tc>
        <w:tc>
          <w:tcPr>
            <w:tcW w:w="704" w:type="pct"/>
            <w:noWrap w:val="0"/>
            <w:vAlign w:val="center"/>
          </w:tcPr>
          <w:p>
            <w:pPr>
              <w:spacing w:line="320" w:lineRule="exact"/>
              <w:jc w:val="center"/>
              <w:rPr>
                <w:rFonts w:ascii="Times New Roman" w:hAnsi="Times New Roman" w:eastAsia="宋体" w:cs="Times New Roman"/>
                <w:color w:val="auto"/>
                <w:kern w:val="2"/>
                <w:sz w:val="21"/>
                <w:szCs w:val="21"/>
                <w:lang w:val="en-US" w:eastAsia="zh-CN" w:bidi="ar-SA"/>
              </w:rPr>
            </w:pPr>
            <w:r>
              <w:rPr>
                <w:rFonts w:hint="eastAsia"/>
                <w:color w:val="auto"/>
                <w:szCs w:val="21"/>
                <w:lang w:val="en-US" w:eastAsia="zh-CN"/>
              </w:rPr>
              <w:t>800户，</w:t>
            </w:r>
            <w:r>
              <w:rPr>
                <w:color w:val="auto"/>
                <w:szCs w:val="21"/>
              </w:rPr>
              <w:t>2500人</w:t>
            </w:r>
          </w:p>
        </w:tc>
        <w:tc>
          <w:tcPr>
            <w:tcW w:w="784" w:type="pct"/>
            <w:vMerge w:val="continue"/>
            <w:noWrap w:val="0"/>
            <w:vAlign w:val="center"/>
          </w:tcPr>
          <w:p>
            <w:pPr>
              <w:spacing w:line="320" w:lineRule="exact"/>
              <w:jc w:val="center"/>
              <w:rPr>
                <w:color w:val="auto"/>
                <w:szCs w:val="21"/>
              </w:rPr>
            </w:pPr>
          </w:p>
        </w:tc>
        <w:tc>
          <w:tcPr>
            <w:tcW w:w="400" w:type="pct"/>
            <w:noWrap w:val="0"/>
            <w:vAlign w:val="center"/>
          </w:tcPr>
          <w:p>
            <w:pPr>
              <w:spacing w:line="320" w:lineRule="exact"/>
              <w:jc w:val="center"/>
              <w:rPr>
                <w:color w:val="auto"/>
                <w:szCs w:val="21"/>
              </w:rPr>
            </w:pPr>
            <w:r>
              <w:rPr>
                <w:rFonts w:hint="eastAsia"/>
                <w:color w:val="auto"/>
                <w:szCs w:val="21"/>
                <w:lang w:val="en-US" w:eastAsia="zh-CN"/>
              </w:rPr>
              <w:t>SW</w:t>
            </w:r>
          </w:p>
        </w:tc>
        <w:tc>
          <w:tcPr>
            <w:tcW w:w="369" w:type="pct"/>
            <w:noWrap w:val="0"/>
            <w:vAlign w:val="center"/>
          </w:tcPr>
          <w:p>
            <w:pPr>
              <w:spacing w:line="320" w:lineRule="exact"/>
              <w:jc w:val="center"/>
              <w:rPr>
                <w:rFonts w:hint="default" w:eastAsia="宋体"/>
                <w:color w:val="auto"/>
                <w:szCs w:val="21"/>
                <w:lang w:val="en-US" w:eastAsia="zh-CN"/>
              </w:rPr>
            </w:pPr>
            <w:r>
              <w:rPr>
                <w:rFonts w:hint="eastAsia"/>
                <w:color w:val="auto"/>
                <w:szCs w:val="21"/>
                <w:lang w:val="en-US" w:eastAsia="zh-CN"/>
              </w:rPr>
              <w:t>2400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38" w:type="pct"/>
            <w:vMerge w:val="continue"/>
            <w:noWrap w:val="0"/>
            <w:vAlign w:val="center"/>
          </w:tcPr>
          <w:p>
            <w:pPr>
              <w:spacing w:line="320" w:lineRule="exact"/>
              <w:jc w:val="center"/>
              <w:rPr>
                <w:color w:val="auto"/>
                <w:szCs w:val="21"/>
              </w:rPr>
            </w:pPr>
          </w:p>
        </w:tc>
        <w:tc>
          <w:tcPr>
            <w:tcW w:w="656" w:type="pct"/>
            <w:noWrap w:val="0"/>
            <w:vAlign w:val="center"/>
          </w:tcPr>
          <w:p>
            <w:pPr>
              <w:spacing w:line="320" w:lineRule="exact"/>
              <w:jc w:val="center"/>
              <w:rPr>
                <w:rFonts w:hint="eastAsia" w:eastAsia="宋体"/>
                <w:color w:val="auto"/>
                <w:szCs w:val="21"/>
                <w:lang w:eastAsia="zh-CN"/>
              </w:rPr>
            </w:pPr>
            <w:r>
              <w:rPr>
                <w:rFonts w:hint="eastAsia"/>
                <w:color w:val="auto"/>
                <w:szCs w:val="21"/>
                <w:lang w:eastAsia="zh-CN"/>
              </w:rPr>
              <w:t>金桥湾</w:t>
            </w:r>
          </w:p>
        </w:tc>
        <w:tc>
          <w:tcPr>
            <w:tcW w:w="735" w:type="pct"/>
            <w:noWrap w:val="0"/>
            <w:vAlign w:val="center"/>
          </w:tcPr>
          <w:p>
            <w:pPr>
              <w:spacing w:line="320" w:lineRule="exact"/>
              <w:jc w:val="center"/>
              <w:rPr>
                <w:rFonts w:hint="eastAsia"/>
                <w:color w:val="auto"/>
                <w:szCs w:val="21"/>
                <w:lang w:val="en-US" w:eastAsia="zh-CN"/>
              </w:rPr>
            </w:pPr>
            <w:r>
              <w:rPr>
                <w:rFonts w:hint="eastAsia"/>
                <w:color w:val="auto"/>
                <w:szCs w:val="21"/>
                <w:lang w:val="en-US" w:eastAsia="zh-CN"/>
              </w:rPr>
              <w:t>118.997279</w:t>
            </w:r>
          </w:p>
        </w:tc>
        <w:tc>
          <w:tcPr>
            <w:tcW w:w="680" w:type="pct"/>
            <w:noWrap w:val="0"/>
            <w:vAlign w:val="center"/>
          </w:tcPr>
          <w:p>
            <w:pPr>
              <w:spacing w:line="320" w:lineRule="exact"/>
              <w:jc w:val="center"/>
              <w:rPr>
                <w:rFonts w:hint="eastAsia"/>
                <w:color w:val="auto"/>
                <w:szCs w:val="21"/>
                <w:lang w:val="en-US" w:eastAsia="zh-CN"/>
              </w:rPr>
            </w:pPr>
            <w:r>
              <w:rPr>
                <w:rFonts w:hint="eastAsia"/>
                <w:color w:val="auto"/>
                <w:szCs w:val="21"/>
                <w:lang w:val="en-US" w:eastAsia="zh-CN"/>
              </w:rPr>
              <w:t>30.647527</w:t>
            </w:r>
          </w:p>
        </w:tc>
        <w:tc>
          <w:tcPr>
            <w:tcW w:w="431" w:type="pct"/>
            <w:noWrap w:val="0"/>
            <w:vAlign w:val="center"/>
          </w:tcPr>
          <w:p>
            <w:pPr>
              <w:spacing w:line="320" w:lineRule="exact"/>
              <w:jc w:val="center"/>
              <w:rPr>
                <w:color w:val="auto"/>
                <w:szCs w:val="21"/>
              </w:rPr>
            </w:pPr>
            <w:r>
              <w:rPr>
                <w:color w:val="auto"/>
                <w:szCs w:val="21"/>
              </w:rPr>
              <w:t>居民</w:t>
            </w:r>
          </w:p>
        </w:tc>
        <w:tc>
          <w:tcPr>
            <w:tcW w:w="704" w:type="pct"/>
            <w:noWrap w:val="0"/>
            <w:vAlign w:val="center"/>
          </w:tcPr>
          <w:p>
            <w:pPr>
              <w:spacing w:line="320" w:lineRule="exact"/>
              <w:jc w:val="center"/>
              <w:rPr>
                <w:color w:val="auto"/>
                <w:szCs w:val="21"/>
              </w:rPr>
            </w:pPr>
            <w:r>
              <w:rPr>
                <w:rFonts w:hint="eastAsia"/>
                <w:color w:val="auto"/>
                <w:szCs w:val="21"/>
                <w:lang w:val="en-US" w:eastAsia="zh-CN"/>
              </w:rPr>
              <w:t>1000户，3000人</w:t>
            </w:r>
          </w:p>
        </w:tc>
        <w:tc>
          <w:tcPr>
            <w:tcW w:w="784" w:type="pct"/>
            <w:vMerge w:val="continue"/>
            <w:noWrap w:val="0"/>
            <w:vAlign w:val="center"/>
          </w:tcPr>
          <w:p>
            <w:pPr>
              <w:spacing w:line="320" w:lineRule="exact"/>
              <w:jc w:val="center"/>
              <w:rPr>
                <w:color w:val="auto"/>
                <w:szCs w:val="21"/>
              </w:rPr>
            </w:pPr>
          </w:p>
        </w:tc>
        <w:tc>
          <w:tcPr>
            <w:tcW w:w="400" w:type="pct"/>
            <w:noWrap w:val="0"/>
            <w:vAlign w:val="center"/>
          </w:tcPr>
          <w:p>
            <w:pPr>
              <w:spacing w:line="320" w:lineRule="exact"/>
              <w:jc w:val="center"/>
              <w:rPr>
                <w:color w:val="auto"/>
                <w:szCs w:val="21"/>
              </w:rPr>
            </w:pPr>
            <w:r>
              <w:rPr>
                <w:rFonts w:hint="eastAsia"/>
                <w:color w:val="auto"/>
                <w:szCs w:val="21"/>
                <w:lang w:val="en-US" w:eastAsia="zh-CN"/>
              </w:rPr>
              <w:t>SW</w:t>
            </w:r>
          </w:p>
        </w:tc>
        <w:tc>
          <w:tcPr>
            <w:tcW w:w="369" w:type="pct"/>
            <w:noWrap w:val="0"/>
            <w:vAlign w:val="center"/>
          </w:tcPr>
          <w:p>
            <w:pPr>
              <w:spacing w:line="320" w:lineRule="exact"/>
              <w:jc w:val="center"/>
              <w:rPr>
                <w:rFonts w:hint="default" w:eastAsia="宋体"/>
                <w:color w:val="auto"/>
                <w:szCs w:val="21"/>
                <w:lang w:val="en-US" w:eastAsia="zh-CN"/>
              </w:rPr>
            </w:pPr>
            <w:r>
              <w:rPr>
                <w:rFonts w:hint="eastAsia"/>
                <w:color w:val="auto"/>
                <w:szCs w:val="21"/>
                <w:lang w:val="en-US" w:eastAsia="zh-CN"/>
              </w:rPr>
              <w:t>2600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38" w:type="pct"/>
            <w:vMerge w:val="continue"/>
            <w:noWrap w:val="0"/>
            <w:vAlign w:val="center"/>
          </w:tcPr>
          <w:p>
            <w:pPr>
              <w:spacing w:line="320" w:lineRule="exact"/>
              <w:jc w:val="center"/>
              <w:rPr>
                <w:color w:val="auto"/>
                <w:szCs w:val="21"/>
              </w:rPr>
            </w:pPr>
          </w:p>
        </w:tc>
        <w:tc>
          <w:tcPr>
            <w:tcW w:w="656" w:type="pct"/>
            <w:noWrap w:val="0"/>
            <w:vAlign w:val="center"/>
          </w:tcPr>
          <w:p>
            <w:pPr>
              <w:spacing w:line="320" w:lineRule="exact"/>
              <w:jc w:val="center"/>
              <w:rPr>
                <w:rFonts w:ascii="Times New Roman" w:hAnsi="Times New Roman" w:eastAsia="宋体" w:cs="Times New Roman"/>
                <w:color w:val="auto"/>
                <w:kern w:val="2"/>
                <w:sz w:val="21"/>
                <w:szCs w:val="21"/>
                <w:lang w:val="en-US" w:eastAsia="zh-CN" w:bidi="ar-SA"/>
              </w:rPr>
            </w:pPr>
            <w:r>
              <w:rPr>
                <w:rFonts w:hint="eastAsia"/>
                <w:color w:val="auto"/>
                <w:szCs w:val="21"/>
              </w:rPr>
              <w:t>上杨村</w:t>
            </w:r>
          </w:p>
        </w:tc>
        <w:tc>
          <w:tcPr>
            <w:tcW w:w="735" w:type="pct"/>
            <w:noWrap w:val="0"/>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119.0380020</w:t>
            </w:r>
          </w:p>
        </w:tc>
        <w:tc>
          <w:tcPr>
            <w:tcW w:w="680" w:type="pct"/>
            <w:noWrap w:val="0"/>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30.6581993</w:t>
            </w:r>
          </w:p>
        </w:tc>
        <w:tc>
          <w:tcPr>
            <w:tcW w:w="431" w:type="pct"/>
            <w:noWrap w:val="0"/>
            <w:vAlign w:val="center"/>
          </w:tcPr>
          <w:p>
            <w:pPr>
              <w:spacing w:line="320" w:lineRule="exact"/>
              <w:jc w:val="center"/>
              <w:rPr>
                <w:rFonts w:ascii="Times New Roman" w:hAnsi="Times New Roman" w:eastAsia="宋体" w:cs="Times New Roman"/>
                <w:color w:val="auto"/>
                <w:kern w:val="2"/>
                <w:sz w:val="21"/>
                <w:szCs w:val="21"/>
                <w:lang w:val="en-US" w:eastAsia="zh-CN" w:bidi="ar-SA"/>
              </w:rPr>
            </w:pPr>
            <w:r>
              <w:rPr>
                <w:rFonts w:hint="eastAsia"/>
                <w:color w:val="auto"/>
                <w:szCs w:val="21"/>
              </w:rPr>
              <w:t>居民</w:t>
            </w:r>
          </w:p>
        </w:tc>
        <w:tc>
          <w:tcPr>
            <w:tcW w:w="704" w:type="pct"/>
            <w:noWrap w:val="0"/>
            <w:vAlign w:val="center"/>
          </w:tcPr>
          <w:p>
            <w:pPr>
              <w:spacing w:line="320" w:lineRule="exact"/>
              <w:jc w:val="center"/>
              <w:rPr>
                <w:rFonts w:ascii="Times New Roman" w:hAnsi="Times New Roman" w:eastAsia="宋体" w:cs="Times New Roman"/>
                <w:color w:val="auto"/>
                <w:kern w:val="2"/>
                <w:sz w:val="21"/>
                <w:szCs w:val="21"/>
                <w:lang w:val="en-US" w:eastAsia="zh-CN" w:bidi="ar-SA"/>
              </w:rPr>
            </w:pPr>
            <w:r>
              <w:rPr>
                <w:rFonts w:hint="eastAsia"/>
                <w:color w:val="auto"/>
                <w:szCs w:val="21"/>
                <w:lang w:val="en-US" w:eastAsia="zh-CN"/>
              </w:rPr>
              <w:t>16户，</w:t>
            </w:r>
            <w:r>
              <w:rPr>
                <w:rFonts w:hint="eastAsia"/>
                <w:color w:val="auto"/>
                <w:szCs w:val="21"/>
              </w:rPr>
              <w:t>50人</w:t>
            </w:r>
          </w:p>
        </w:tc>
        <w:tc>
          <w:tcPr>
            <w:tcW w:w="784" w:type="pct"/>
            <w:vMerge w:val="continue"/>
            <w:noWrap w:val="0"/>
            <w:vAlign w:val="center"/>
          </w:tcPr>
          <w:p>
            <w:pPr>
              <w:spacing w:line="320" w:lineRule="exact"/>
              <w:jc w:val="center"/>
              <w:rPr>
                <w:color w:val="auto"/>
                <w:szCs w:val="21"/>
              </w:rPr>
            </w:pPr>
          </w:p>
        </w:tc>
        <w:tc>
          <w:tcPr>
            <w:tcW w:w="400" w:type="pct"/>
            <w:noWrap w:val="0"/>
            <w:vAlign w:val="center"/>
          </w:tcPr>
          <w:p>
            <w:pPr>
              <w:spacing w:line="320" w:lineRule="exact"/>
              <w:jc w:val="center"/>
              <w:rPr>
                <w:rFonts w:hint="default" w:eastAsia="宋体"/>
                <w:color w:val="auto"/>
                <w:szCs w:val="21"/>
                <w:lang w:val="en-US" w:eastAsia="zh-CN"/>
              </w:rPr>
            </w:pPr>
            <w:r>
              <w:rPr>
                <w:rFonts w:hint="eastAsia"/>
                <w:color w:val="auto"/>
                <w:szCs w:val="21"/>
                <w:lang w:val="en-US" w:eastAsia="zh-CN"/>
              </w:rPr>
              <w:t>SE</w:t>
            </w:r>
          </w:p>
        </w:tc>
        <w:tc>
          <w:tcPr>
            <w:tcW w:w="369" w:type="pct"/>
            <w:noWrap w:val="0"/>
            <w:vAlign w:val="center"/>
          </w:tcPr>
          <w:p>
            <w:pPr>
              <w:spacing w:line="320" w:lineRule="exact"/>
              <w:jc w:val="center"/>
              <w:rPr>
                <w:rFonts w:hint="default" w:eastAsia="宋体"/>
                <w:color w:val="auto"/>
                <w:szCs w:val="21"/>
                <w:lang w:val="en-US" w:eastAsia="zh-CN"/>
              </w:rPr>
            </w:pPr>
            <w:r>
              <w:rPr>
                <w:rFonts w:hint="eastAsia"/>
                <w:color w:val="auto"/>
                <w:szCs w:val="21"/>
                <w:lang w:val="en-US" w:eastAsia="zh-CN"/>
              </w:rPr>
              <w:t>2200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38" w:type="pct"/>
            <w:vMerge w:val="continue"/>
            <w:noWrap w:val="0"/>
            <w:vAlign w:val="center"/>
          </w:tcPr>
          <w:p>
            <w:pPr>
              <w:spacing w:line="320" w:lineRule="exact"/>
              <w:jc w:val="center"/>
              <w:rPr>
                <w:color w:val="auto"/>
                <w:szCs w:val="21"/>
              </w:rPr>
            </w:pPr>
          </w:p>
        </w:tc>
        <w:tc>
          <w:tcPr>
            <w:tcW w:w="656" w:type="pct"/>
            <w:noWrap w:val="0"/>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rPr>
              <w:t>下杨村</w:t>
            </w:r>
          </w:p>
        </w:tc>
        <w:tc>
          <w:tcPr>
            <w:tcW w:w="735" w:type="pct"/>
            <w:noWrap w:val="0"/>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119.0429993</w:t>
            </w:r>
          </w:p>
        </w:tc>
        <w:tc>
          <w:tcPr>
            <w:tcW w:w="680" w:type="pct"/>
            <w:noWrap w:val="0"/>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30.6606998</w:t>
            </w:r>
          </w:p>
        </w:tc>
        <w:tc>
          <w:tcPr>
            <w:tcW w:w="431" w:type="pct"/>
            <w:noWrap w:val="0"/>
            <w:vAlign w:val="center"/>
          </w:tcPr>
          <w:p>
            <w:pPr>
              <w:spacing w:line="320" w:lineRule="exact"/>
              <w:jc w:val="center"/>
              <w:rPr>
                <w:rFonts w:ascii="Times New Roman" w:hAnsi="Times New Roman" w:eastAsia="宋体" w:cs="Times New Roman"/>
                <w:color w:val="auto"/>
                <w:kern w:val="2"/>
                <w:sz w:val="21"/>
                <w:szCs w:val="21"/>
                <w:lang w:val="en-US" w:eastAsia="zh-CN" w:bidi="ar-SA"/>
              </w:rPr>
            </w:pPr>
            <w:r>
              <w:rPr>
                <w:rFonts w:hint="eastAsia"/>
                <w:color w:val="auto"/>
                <w:szCs w:val="21"/>
              </w:rPr>
              <w:t>居民</w:t>
            </w:r>
          </w:p>
        </w:tc>
        <w:tc>
          <w:tcPr>
            <w:tcW w:w="704" w:type="pct"/>
            <w:noWrap w:val="0"/>
            <w:vAlign w:val="center"/>
          </w:tcPr>
          <w:p>
            <w:pPr>
              <w:spacing w:line="320" w:lineRule="exact"/>
              <w:jc w:val="center"/>
              <w:rPr>
                <w:rFonts w:ascii="Times New Roman" w:hAnsi="Times New Roman" w:eastAsia="宋体" w:cs="Times New Roman"/>
                <w:color w:val="auto"/>
                <w:kern w:val="2"/>
                <w:sz w:val="21"/>
                <w:szCs w:val="21"/>
                <w:lang w:val="en-US" w:eastAsia="zh-CN" w:bidi="ar-SA"/>
              </w:rPr>
            </w:pPr>
            <w:r>
              <w:rPr>
                <w:rFonts w:hint="eastAsia"/>
                <w:color w:val="auto"/>
                <w:szCs w:val="21"/>
                <w:lang w:val="en-US" w:eastAsia="zh-CN"/>
              </w:rPr>
              <w:t>16户，</w:t>
            </w:r>
            <w:r>
              <w:rPr>
                <w:rFonts w:hint="eastAsia"/>
                <w:color w:val="auto"/>
                <w:szCs w:val="21"/>
              </w:rPr>
              <w:t>50人</w:t>
            </w:r>
          </w:p>
        </w:tc>
        <w:tc>
          <w:tcPr>
            <w:tcW w:w="784" w:type="pct"/>
            <w:vMerge w:val="continue"/>
            <w:noWrap w:val="0"/>
            <w:vAlign w:val="center"/>
          </w:tcPr>
          <w:p>
            <w:pPr>
              <w:spacing w:line="320" w:lineRule="exact"/>
              <w:jc w:val="center"/>
              <w:rPr>
                <w:color w:val="auto"/>
                <w:szCs w:val="21"/>
              </w:rPr>
            </w:pPr>
          </w:p>
        </w:tc>
        <w:tc>
          <w:tcPr>
            <w:tcW w:w="400" w:type="pct"/>
            <w:noWrap w:val="0"/>
            <w:vAlign w:val="center"/>
          </w:tcPr>
          <w:p>
            <w:pPr>
              <w:spacing w:line="320" w:lineRule="exact"/>
              <w:jc w:val="center"/>
              <w:rPr>
                <w:color w:val="auto"/>
                <w:szCs w:val="21"/>
              </w:rPr>
            </w:pPr>
            <w:r>
              <w:rPr>
                <w:rFonts w:hint="eastAsia"/>
                <w:color w:val="auto"/>
                <w:szCs w:val="21"/>
                <w:lang w:val="en-US" w:eastAsia="zh-CN"/>
              </w:rPr>
              <w:t>SE</w:t>
            </w:r>
          </w:p>
        </w:tc>
        <w:tc>
          <w:tcPr>
            <w:tcW w:w="369" w:type="pct"/>
            <w:noWrap w:val="0"/>
            <w:vAlign w:val="center"/>
          </w:tcPr>
          <w:p>
            <w:pPr>
              <w:spacing w:line="320" w:lineRule="exact"/>
              <w:jc w:val="center"/>
              <w:rPr>
                <w:rFonts w:hint="default" w:eastAsia="宋体"/>
                <w:color w:val="auto"/>
                <w:szCs w:val="21"/>
                <w:lang w:val="en-US" w:eastAsia="zh-CN"/>
              </w:rPr>
            </w:pPr>
            <w:r>
              <w:rPr>
                <w:rFonts w:hint="eastAsia"/>
                <w:color w:val="auto"/>
                <w:szCs w:val="21"/>
                <w:lang w:val="en-US" w:eastAsia="zh-CN"/>
              </w:rPr>
              <w:t>2400</w:t>
            </w:r>
          </w:p>
        </w:tc>
      </w:tr>
    </w:tbl>
    <w:p>
      <w:pPr>
        <w:spacing w:line="460" w:lineRule="exact"/>
        <w:jc w:val="center"/>
        <w:rPr>
          <w:rFonts w:hint="eastAsia" w:ascii="宋体" w:hAnsi="宋体"/>
          <w:b/>
          <w:bCs/>
          <w:color w:val="auto"/>
          <w:sz w:val="24"/>
        </w:rPr>
      </w:pPr>
    </w:p>
    <w:p>
      <w:pPr>
        <w:spacing w:line="460" w:lineRule="exact"/>
        <w:jc w:val="center"/>
        <w:rPr>
          <w:rFonts w:ascii="宋体" w:hAnsi="宋体"/>
          <w:b/>
          <w:bCs/>
          <w:color w:val="auto"/>
          <w:sz w:val="24"/>
        </w:rPr>
      </w:pPr>
      <w:r>
        <w:rPr>
          <w:rFonts w:hint="eastAsia" w:ascii="宋体" w:hAnsi="宋体"/>
          <w:b/>
          <w:bCs/>
          <w:color w:val="auto"/>
          <w:sz w:val="24"/>
        </w:rPr>
        <w:t>表2-1</w:t>
      </w:r>
      <w:r>
        <w:rPr>
          <w:rFonts w:hint="eastAsia" w:ascii="宋体" w:hAnsi="宋体"/>
          <w:b/>
          <w:bCs/>
          <w:color w:val="auto"/>
          <w:sz w:val="24"/>
          <w:lang w:val="en-US" w:eastAsia="zh-CN"/>
        </w:rPr>
        <w:t>4</w:t>
      </w:r>
      <w:r>
        <w:rPr>
          <w:rFonts w:hint="eastAsia" w:ascii="宋体" w:hAnsi="宋体"/>
          <w:b/>
          <w:bCs/>
          <w:color w:val="auto"/>
          <w:sz w:val="24"/>
        </w:rPr>
        <w:t xml:space="preserve">  地表水环境、</w:t>
      </w:r>
      <w:r>
        <w:rPr>
          <w:rFonts w:ascii="宋体" w:hAnsi="宋体"/>
          <w:b/>
          <w:bCs/>
          <w:color w:val="auto"/>
          <w:sz w:val="24"/>
        </w:rPr>
        <w:t>地下水环境</w:t>
      </w:r>
      <w:r>
        <w:rPr>
          <w:rFonts w:hint="eastAsia" w:ascii="宋体" w:hAnsi="宋体"/>
          <w:b/>
          <w:bCs/>
          <w:color w:val="auto"/>
          <w:sz w:val="24"/>
        </w:rPr>
        <w:t>、声环境保护目标一览表</w:t>
      </w:r>
    </w:p>
    <w:tbl>
      <w:tblPr>
        <w:tblStyle w:val="53"/>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65"/>
        <w:gridCol w:w="1371"/>
        <w:gridCol w:w="845"/>
        <w:gridCol w:w="1378"/>
        <w:gridCol w:w="1564"/>
        <w:gridCol w:w="27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8" w:hRule="atLeast"/>
          <w:jc w:val="center"/>
        </w:trPr>
        <w:tc>
          <w:tcPr>
            <w:tcW w:w="595" w:type="pct"/>
            <w:tcBorders>
              <w:top w:val="single" w:color="auto" w:sz="4" w:space="0"/>
              <w:left w:val="single" w:color="auto" w:sz="4" w:space="0"/>
              <w:bottom w:val="single" w:color="auto" w:sz="4" w:space="0"/>
              <w:right w:val="single" w:color="auto" w:sz="4" w:space="0"/>
            </w:tcBorders>
            <w:vAlign w:val="center"/>
          </w:tcPr>
          <w:p>
            <w:pPr>
              <w:spacing w:line="340" w:lineRule="exact"/>
              <w:jc w:val="center"/>
              <w:rPr>
                <w:b/>
                <w:bCs/>
                <w:color w:val="auto"/>
                <w:szCs w:val="21"/>
              </w:rPr>
            </w:pPr>
            <w:r>
              <w:rPr>
                <w:b/>
                <w:bCs/>
                <w:color w:val="auto"/>
                <w:szCs w:val="21"/>
              </w:rPr>
              <w:t>环境要素</w:t>
            </w:r>
          </w:p>
        </w:tc>
        <w:tc>
          <w:tcPr>
            <w:tcW w:w="766" w:type="pct"/>
            <w:tcBorders>
              <w:top w:val="single" w:color="auto" w:sz="4" w:space="0"/>
              <w:left w:val="nil"/>
              <w:bottom w:val="single" w:color="auto" w:sz="4" w:space="0"/>
              <w:right w:val="single" w:color="auto" w:sz="4" w:space="0"/>
            </w:tcBorders>
            <w:vAlign w:val="center"/>
          </w:tcPr>
          <w:p>
            <w:pPr>
              <w:spacing w:line="340" w:lineRule="exact"/>
              <w:jc w:val="center"/>
              <w:rPr>
                <w:b/>
                <w:bCs/>
                <w:color w:val="auto"/>
                <w:szCs w:val="21"/>
              </w:rPr>
            </w:pPr>
            <w:r>
              <w:rPr>
                <w:b/>
                <w:bCs/>
                <w:color w:val="auto"/>
                <w:szCs w:val="21"/>
              </w:rPr>
              <w:t>环境保护对象名称</w:t>
            </w:r>
          </w:p>
        </w:tc>
        <w:tc>
          <w:tcPr>
            <w:tcW w:w="472" w:type="pct"/>
            <w:tcBorders>
              <w:top w:val="single" w:color="auto" w:sz="4" w:space="0"/>
              <w:left w:val="nil"/>
              <w:bottom w:val="single" w:color="auto" w:sz="4" w:space="0"/>
              <w:right w:val="single" w:color="auto" w:sz="4" w:space="0"/>
            </w:tcBorders>
            <w:vAlign w:val="center"/>
          </w:tcPr>
          <w:p>
            <w:pPr>
              <w:spacing w:line="340" w:lineRule="exact"/>
              <w:jc w:val="center"/>
              <w:rPr>
                <w:b/>
                <w:bCs/>
                <w:color w:val="auto"/>
                <w:szCs w:val="21"/>
              </w:rPr>
            </w:pPr>
            <w:r>
              <w:rPr>
                <w:b/>
                <w:bCs/>
                <w:color w:val="auto"/>
                <w:szCs w:val="21"/>
              </w:rPr>
              <w:t>方位</w:t>
            </w:r>
          </w:p>
        </w:tc>
        <w:tc>
          <w:tcPr>
            <w:tcW w:w="770" w:type="pct"/>
            <w:tcBorders>
              <w:top w:val="single" w:color="auto" w:sz="4" w:space="0"/>
              <w:left w:val="nil"/>
              <w:bottom w:val="single" w:color="auto" w:sz="4" w:space="0"/>
              <w:right w:val="single" w:color="auto" w:sz="4" w:space="0"/>
            </w:tcBorders>
            <w:vAlign w:val="center"/>
          </w:tcPr>
          <w:p>
            <w:pPr>
              <w:spacing w:line="340" w:lineRule="exact"/>
              <w:ind w:left="-105" w:leftChars="-50" w:right="-105" w:rightChars="-50"/>
              <w:jc w:val="center"/>
              <w:rPr>
                <w:b/>
                <w:bCs/>
                <w:color w:val="auto"/>
                <w:szCs w:val="21"/>
              </w:rPr>
            </w:pPr>
            <w:r>
              <w:rPr>
                <w:b/>
                <w:bCs/>
                <w:color w:val="auto"/>
                <w:szCs w:val="21"/>
              </w:rPr>
              <w:t>距</w:t>
            </w:r>
            <w:r>
              <w:rPr>
                <w:rFonts w:hint="eastAsia" w:ascii="宋体" w:hAnsi="宋体"/>
                <w:b/>
                <w:bCs/>
                <w:color w:val="auto"/>
                <w:szCs w:val="21"/>
              </w:rPr>
              <w:t>项目边界最近</w:t>
            </w:r>
            <w:r>
              <w:rPr>
                <w:b/>
                <w:bCs/>
                <w:color w:val="auto"/>
                <w:szCs w:val="21"/>
              </w:rPr>
              <w:t>距离</w:t>
            </w:r>
          </w:p>
        </w:tc>
        <w:tc>
          <w:tcPr>
            <w:tcW w:w="874" w:type="pct"/>
            <w:tcBorders>
              <w:top w:val="single" w:color="auto" w:sz="4" w:space="0"/>
              <w:left w:val="nil"/>
              <w:bottom w:val="single" w:color="auto" w:sz="4" w:space="0"/>
              <w:right w:val="single" w:color="auto" w:sz="4" w:space="0"/>
            </w:tcBorders>
            <w:vAlign w:val="center"/>
          </w:tcPr>
          <w:p>
            <w:pPr>
              <w:spacing w:line="340" w:lineRule="exact"/>
              <w:jc w:val="center"/>
              <w:rPr>
                <w:rFonts w:ascii="宋体" w:hAnsi="宋体"/>
                <w:b/>
                <w:bCs/>
                <w:color w:val="auto"/>
                <w:szCs w:val="21"/>
              </w:rPr>
            </w:pPr>
            <w:r>
              <w:rPr>
                <w:rFonts w:hint="eastAsia" w:ascii="宋体" w:hAnsi="宋体"/>
                <w:b/>
                <w:bCs/>
                <w:color w:val="auto"/>
                <w:szCs w:val="21"/>
              </w:rPr>
              <w:t>规模</w:t>
            </w:r>
          </w:p>
        </w:tc>
        <w:tc>
          <w:tcPr>
            <w:tcW w:w="1521" w:type="pct"/>
            <w:tcBorders>
              <w:top w:val="single" w:color="auto" w:sz="4" w:space="0"/>
              <w:left w:val="nil"/>
              <w:bottom w:val="single" w:color="auto" w:sz="4" w:space="0"/>
              <w:right w:val="single" w:color="auto" w:sz="4" w:space="0"/>
            </w:tcBorders>
            <w:vAlign w:val="center"/>
          </w:tcPr>
          <w:p>
            <w:pPr>
              <w:spacing w:line="340" w:lineRule="exact"/>
              <w:jc w:val="center"/>
              <w:rPr>
                <w:b/>
                <w:bCs/>
                <w:color w:val="auto"/>
                <w:szCs w:val="21"/>
              </w:rPr>
            </w:pPr>
            <w:r>
              <w:rPr>
                <w:b/>
                <w:bCs/>
                <w:color w:val="auto"/>
                <w:szCs w:val="21"/>
              </w:rPr>
              <w:t>环境功能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0" w:hRule="atLeast"/>
          <w:jc w:val="center"/>
        </w:trPr>
        <w:tc>
          <w:tcPr>
            <w:tcW w:w="595" w:type="pct"/>
            <w:tcBorders>
              <w:top w:val="single" w:color="auto" w:sz="4" w:space="0"/>
              <w:left w:val="single" w:color="auto" w:sz="4" w:space="0"/>
              <w:bottom w:val="single" w:color="auto" w:sz="4" w:space="0"/>
              <w:right w:val="single" w:color="auto" w:sz="4" w:space="0"/>
            </w:tcBorders>
            <w:vAlign w:val="center"/>
          </w:tcPr>
          <w:p>
            <w:pPr>
              <w:spacing w:line="340" w:lineRule="exact"/>
              <w:jc w:val="center"/>
              <w:rPr>
                <w:color w:val="auto"/>
                <w:szCs w:val="21"/>
              </w:rPr>
            </w:pPr>
            <w:r>
              <w:rPr>
                <w:color w:val="auto"/>
                <w:szCs w:val="21"/>
              </w:rPr>
              <w:t>声环境</w:t>
            </w:r>
          </w:p>
        </w:tc>
        <w:tc>
          <w:tcPr>
            <w:tcW w:w="766" w:type="pct"/>
            <w:tcBorders>
              <w:top w:val="single" w:color="auto" w:sz="4" w:space="0"/>
              <w:left w:val="nil"/>
              <w:bottom w:val="single" w:color="auto" w:sz="4" w:space="0"/>
              <w:right w:val="single" w:color="auto" w:sz="4" w:space="0"/>
            </w:tcBorders>
            <w:vAlign w:val="center"/>
          </w:tcPr>
          <w:p>
            <w:pPr>
              <w:spacing w:line="360" w:lineRule="exact"/>
              <w:ind w:left="174" w:hanging="174" w:hangingChars="83"/>
              <w:jc w:val="center"/>
              <w:rPr>
                <w:color w:val="auto"/>
                <w:szCs w:val="21"/>
              </w:rPr>
            </w:pPr>
            <w:r>
              <w:rPr>
                <w:rFonts w:hint="eastAsia" w:ascii="宋体" w:hAnsi="宋体"/>
                <w:color w:val="auto"/>
                <w:szCs w:val="21"/>
              </w:rPr>
              <w:t>厂界四周</w:t>
            </w:r>
          </w:p>
        </w:tc>
        <w:tc>
          <w:tcPr>
            <w:tcW w:w="472" w:type="pct"/>
            <w:tcBorders>
              <w:top w:val="single" w:color="auto" w:sz="4" w:space="0"/>
              <w:left w:val="nil"/>
              <w:bottom w:val="single" w:color="auto" w:sz="4" w:space="0"/>
              <w:right w:val="single" w:color="auto" w:sz="4" w:space="0"/>
            </w:tcBorders>
            <w:vAlign w:val="center"/>
          </w:tcPr>
          <w:p>
            <w:pPr>
              <w:spacing w:line="360" w:lineRule="exact"/>
              <w:jc w:val="center"/>
              <w:rPr>
                <w:color w:val="auto"/>
                <w:szCs w:val="21"/>
              </w:rPr>
            </w:pPr>
            <w:r>
              <w:rPr>
                <w:rFonts w:hint="eastAsia" w:ascii="宋体" w:hAnsi="宋体"/>
                <w:color w:val="auto"/>
                <w:szCs w:val="21"/>
              </w:rPr>
              <w:t>/</w:t>
            </w:r>
          </w:p>
        </w:tc>
        <w:tc>
          <w:tcPr>
            <w:tcW w:w="770" w:type="pct"/>
            <w:tcBorders>
              <w:top w:val="single" w:color="auto" w:sz="4" w:space="0"/>
              <w:left w:val="nil"/>
              <w:bottom w:val="single" w:color="auto" w:sz="4" w:space="0"/>
              <w:right w:val="single" w:color="auto" w:sz="4" w:space="0"/>
            </w:tcBorders>
            <w:vAlign w:val="center"/>
          </w:tcPr>
          <w:p>
            <w:pPr>
              <w:spacing w:line="360" w:lineRule="exact"/>
              <w:jc w:val="center"/>
              <w:rPr>
                <w:color w:val="auto"/>
                <w:szCs w:val="21"/>
              </w:rPr>
            </w:pPr>
            <w:r>
              <w:rPr>
                <w:rFonts w:hint="eastAsia" w:ascii="宋体" w:hAnsi="宋体"/>
                <w:color w:val="auto"/>
                <w:szCs w:val="21"/>
              </w:rPr>
              <w:t>1m</w:t>
            </w:r>
          </w:p>
        </w:tc>
        <w:tc>
          <w:tcPr>
            <w:tcW w:w="874" w:type="pct"/>
            <w:tcBorders>
              <w:top w:val="single" w:color="auto" w:sz="4" w:space="0"/>
              <w:left w:val="nil"/>
              <w:bottom w:val="single" w:color="auto" w:sz="4" w:space="0"/>
              <w:right w:val="single" w:color="auto" w:sz="4" w:space="0"/>
            </w:tcBorders>
            <w:vAlign w:val="center"/>
          </w:tcPr>
          <w:p>
            <w:pPr>
              <w:spacing w:line="360" w:lineRule="exact"/>
              <w:jc w:val="center"/>
              <w:rPr>
                <w:color w:val="auto"/>
                <w:szCs w:val="21"/>
              </w:rPr>
            </w:pPr>
            <w:r>
              <w:rPr>
                <w:rFonts w:hint="eastAsia" w:ascii="宋体" w:hAnsi="宋体"/>
                <w:color w:val="auto"/>
                <w:szCs w:val="21"/>
              </w:rPr>
              <w:t>/</w:t>
            </w:r>
          </w:p>
        </w:tc>
        <w:tc>
          <w:tcPr>
            <w:tcW w:w="1521" w:type="pct"/>
            <w:tcBorders>
              <w:top w:val="single" w:color="auto" w:sz="4" w:space="0"/>
              <w:left w:val="nil"/>
              <w:bottom w:val="single" w:color="auto" w:sz="4" w:space="0"/>
              <w:right w:val="single" w:color="auto" w:sz="4" w:space="0"/>
            </w:tcBorders>
            <w:vAlign w:val="center"/>
          </w:tcPr>
          <w:p>
            <w:pPr>
              <w:spacing w:line="340" w:lineRule="exact"/>
              <w:jc w:val="center"/>
              <w:rPr>
                <w:color w:val="auto"/>
                <w:szCs w:val="21"/>
              </w:rPr>
            </w:pPr>
            <w:r>
              <w:rPr>
                <w:color w:val="auto"/>
                <w:szCs w:val="21"/>
              </w:rPr>
              <w:t>《声环境质量标准》</w:t>
            </w:r>
          </w:p>
          <w:p>
            <w:pPr>
              <w:spacing w:line="340" w:lineRule="exact"/>
              <w:jc w:val="center"/>
              <w:rPr>
                <w:color w:val="auto"/>
                <w:szCs w:val="21"/>
              </w:rPr>
            </w:pPr>
            <w:r>
              <w:rPr>
                <w:rFonts w:hint="eastAsia" w:ascii="宋体" w:hAnsi="宋体"/>
                <w:color w:val="auto"/>
                <w:szCs w:val="21"/>
              </w:rPr>
              <w:t>（</w:t>
            </w:r>
            <w:r>
              <w:rPr>
                <w:color w:val="auto"/>
                <w:szCs w:val="21"/>
              </w:rPr>
              <w:t>GB3096-2008</w:t>
            </w:r>
            <w:r>
              <w:rPr>
                <w:rFonts w:hint="eastAsia" w:ascii="宋体" w:hAnsi="宋体"/>
                <w:color w:val="auto"/>
                <w:szCs w:val="21"/>
              </w:rPr>
              <w:t>）</w:t>
            </w:r>
            <w:r>
              <w:rPr>
                <w:rFonts w:hint="eastAsia"/>
                <w:color w:val="auto"/>
                <w:szCs w:val="21"/>
              </w:rPr>
              <w:t>3</w:t>
            </w:r>
            <w:r>
              <w:rPr>
                <w:color w:val="auto"/>
                <w:szCs w:val="21"/>
              </w:rPr>
              <w:t>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45" w:hRule="atLeast"/>
          <w:jc w:val="center"/>
        </w:trPr>
        <w:tc>
          <w:tcPr>
            <w:tcW w:w="595" w:type="pct"/>
            <w:tcBorders>
              <w:top w:val="nil"/>
              <w:left w:val="single" w:color="auto" w:sz="4" w:space="0"/>
              <w:right w:val="single" w:color="auto" w:sz="4" w:space="0"/>
            </w:tcBorders>
            <w:vAlign w:val="center"/>
          </w:tcPr>
          <w:p>
            <w:pPr>
              <w:spacing w:line="340" w:lineRule="exact"/>
              <w:ind w:left="174" w:hanging="174" w:hangingChars="83"/>
              <w:jc w:val="center"/>
              <w:rPr>
                <w:color w:val="auto"/>
                <w:szCs w:val="21"/>
              </w:rPr>
            </w:pPr>
            <w:r>
              <w:rPr>
                <w:rFonts w:hint="eastAsia"/>
                <w:color w:val="auto"/>
                <w:szCs w:val="21"/>
              </w:rPr>
              <w:t>地表</w:t>
            </w:r>
            <w:r>
              <w:rPr>
                <w:color w:val="auto"/>
                <w:szCs w:val="21"/>
              </w:rPr>
              <w:t>水环境</w:t>
            </w:r>
          </w:p>
        </w:tc>
        <w:tc>
          <w:tcPr>
            <w:tcW w:w="766" w:type="pct"/>
            <w:tcBorders>
              <w:top w:val="single" w:color="auto" w:sz="4" w:space="0"/>
              <w:left w:val="nil"/>
              <w:bottom w:val="single" w:color="auto" w:sz="4" w:space="0"/>
              <w:right w:val="single" w:color="auto" w:sz="4" w:space="0"/>
            </w:tcBorders>
            <w:vAlign w:val="center"/>
          </w:tcPr>
          <w:p>
            <w:pPr>
              <w:jc w:val="center"/>
              <w:rPr>
                <w:color w:val="auto"/>
                <w:szCs w:val="21"/>
              </w:rPr>
            </w:pPr>
            <w:r>
              <w:rPr>
                <w:rFonts w:hint="eastAsia"/>
                <w:color w:val="auto"/>
                <w:szCs w:val="21"/>
                <w:lang w:eastAsia="zh-CN"/>
              </w:rPr>
              <w:t>中</w:t>
            </w:r>
            <w:r>
              <w:rPr>
                <w:color w:val="auto"/>
                <w:szCs w:val="21"/>
              </w:rPr>
              <w:t>津河</w:t>
            </w:r>
          </w:p>
        </w:tc>
        <w:tc>
          <w:tcPr>
            <w:tcW w:w="472" w:type="pct"/>
            <w:tcBorders>
              <w:top w:val="single" w:color="auto" w:sz="4" w:space="0"/>
              <w:left w:val="nil"/>
              <w:bottom w:val="single" w:color="auto" w:sz="4" w:space="0"/>
              <w:right w:val="single" w:color="auto" w:sz="4" w:space="0"/>
            </w:tcBorders>
            <w:vAlign w:val="center"/>
          </w:tcPr>
          <w:p>
            <w:pPr>
              <w:jc w:val="center"/>
              <w:rPr>
                <w:color w:val="auto"/>
                <w:szCs w:val="21"/>
              </w:rPr>
            </w:pPr>
            <w:r>
              <w:rPr>
                <w:color w:val="auto"/>
                <w:szCs w:val="21"/>
              </w:rPr>
              <w:t>W</w:t>
            </w:r>
          </w:p>
        </w:tc>
        <w:tc>
          <w:tcPr>
            <w:tcW w:w="770" w:type="pct"/>
            <w:tcBorders>
              <w:top w:val="single" w:color="auto" w:sz="4" w:space="0"/>
              <w:left w:val="nil"/>
              <w:bottom w:val="single" w:color="auto" w:sz="4" w:space="0"/>
              <w:right w:val="single" w:color="auto" w:sz="4" w:space="0"/>
            </w:tcBorders>
            <w:vAlign w:val="center"/>
          </w:tcPr>
          <w:p>
            <w:pPr>
              <w:jc w:val="center"/>
              <w:rPr>
                <w:color w:val="auto"/>
              </w:rPr>
            </w:pPr>
            <w:r>
              <w:rPr>
                <w:rFonts w:hint="eastAsia"/>
                <w:color w:val="auto"/>
                <w:szCs w:val="21"/>
                <w:lang w:val="en-US" w:eastAsia="zh-CN"/>
              </w:rPr>
              <w:t>300</w:t>
            </w:r>
            <w:r>
              <w:rPr>
                <w:color w:val="auto"/>
                <w:szCs w:val="21"/>
              </w:rPr>
              <w:t>0</w:t>
            </w:r>
          </w:p>
        </w:tc>
        <w:tc>
          <w:tcPr>
            <w:tcW w:w="874" w:type="pct"/>
            <w:tcBorders>
              <w:top w:val="single" w:color="auto" w:sz="4" w:space="0"/>
              <w:left w:val="nil"/>
              <w:bottom w:val="single" w:color="auto" w:sz="4" w:space="0"/>
              <w:right w:val="single" w:color="auto" w:sz="4" w:space="0"/>
            </w:tcBorders>
            <w:vAlign w:val="center"/>
          </w:tcPr>
          <w:p>
            <w:pPr>
              <w:spacing w:line="340" w:lineRule="exact"/>
              <w:jc w:val="center"/>
              <w:rPr>
                <w:rFonts w:ascii="宋体" w:hAnsi="宋体"/>
                <w:color w:val="auto"/>
                <w:szCs w:val="21"/>
              </w:rPr>
            </w:pPr>
            <w:r>
              <w:rPr>
                <w:rFonts w:hint="eastAsia" w:ascii="宋体" w:hAnsi="宋体"/>
                <w:color w:val="auto"/>
                <w:szCs w:val="21"/>
              </w:rPr>
              <w:t>小型</w:t>
            </w:r>
          </w:p>
        </w:tc>
        <w:tc>
          <w:tcPr>
            <w:tcW w:w="1521" w:type="pct"/>
            <w:tcBorders>
              <w:top w:val="single" w:color="auto" w:sz="4" w:space="0"/>
              <w:left w:val="nil"/>
              <w:right w:val="single" w:color="auto" w:sz="4" w:space="0"/>
            </w:tcBorders>
            <w:vAlign w:val="center"/>
          </w:tcPr>
          <w:p>
            <w:pPr>
              <w:adjustRightInd w:val="0"/>
              <w:snapToGrid w:val="0"/>
              <w:spacing w:line="360" w:lineRule="exact"/>
              <w:jc w:val="center"/>
              <w:rPr>
                <w:color w:val="auto"/>
                <w:szCs w:val="21"/>
              </w:rPr>
            </w:pPr>
            <w:r>
              <w:rPr>
                <w:color w:val="auto"/>
                <w:szCs w:val="21"/>
              </w:rPr>
              <w:t>《地表水环境质量标准》（GB3838-2002</w:t>
            </w:r>
            <w:r>
              <w:rPr>
                <w:rFonts w:hint="eastAsia" w:ascii="宋体" w:hAnsi="宋体"/>
                <w:color w:val="auto"/>
                <w:szCs w:val="21"/>
              </w:rPr>
              <w:t>）</w:t>
            </w:r>
            <w:r>
              <w:rPr>
                <w:rFonts w:hint="eastAsia" w:ascii="宋体" w:hAnsi="宋体" w:cs="宋体"/>
                <w:color w:val="auto"/>
                <w:szCs w:val="21"/>
              </w:rPr>
              <w:t>Ⅲ</w:t>
            </w:r>
            <w:r>
              <w:rPr>
                <w:color w:val="auto"/>
                <w:szCs w:val="21"/>
              </w:rPr>
              <w:t>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45" w:hRule="atLeast"/>
          <w:jc w:val="center"/>
        </w:trPr>
        <w:tc>
          <w:tcPr>
            <w:tcW w:w="595" w:type="pct"/>
            <w:tcBorders>
              <w:left w:val="single" w:color="auto" w:sz="4" w:space="0"/>
              <w:bottom w:val="single" w:color="auto" w:sz="4" w:space="0"/>
              <w:right w:val="single" w:color="auto" w:sz="4" w:space="0"/>
            </w:tcBorders>
            <w:vAlign w:val="center"/>
          </w:tcPr>
          <w:p>
            <w:pPr>
              <w:spacing w:line="340" w:lineRule="exact"/>
              <w:jc w:val="center"/>
              <w:rPr>
                <w:color w:val="auto"/>
                <w:szCs w:val="21"/>
              </w:rPr>
            </w:pPr>
            <w:r>
              <w:rPr>
                <w:color w:val="auto"/>
                <w:szCs w:val="21"/>
              </w:rPr>
              <w:t>地下水环境</w:t>
            </w:r>
          </w:p>
        </w:tc>
        <w:tc>
          <w:tcPr>
            <w:tcW w:w="766" w:type="pct"/>
            <w:tcBorders>
              <w:top w:val="single" w:color="auto" w:sz="4" w:space="0"/>
              <w:left w:val="nil"/>
              <w:bottom w:val="single" w:color="auto" w:sz="4" w:space="0"/>
              <w:right w:val="single" w:color="auto" w:sz="4" w:space="0"/>
            </w:tcBorders>
            <w:vAlign w:val="center"/>
          </w:tcPr>
          <w:p>
            <w:pPr>
              <w:jc w:val="center"/>
              <w:rPr>
                <w:color w:val="auto"/>
                <w:szCs w:val="21"/>
              </w:rPr>
            </w:pPr>
            <w:r>
              <w:rPr>
                <w:color w:val="auto"/>
                <w:szCs w:val="21"/>
              </w:rPr>
              <w:t>区域地下水</w:t>
            </w:r>
          </w:p>
        </w:tc>
        <w:tc>
          <w:tcPr>
            <w:tcW w:w="472" w:type="pct"/>
            <w:tcBorders>
              <w:top w:val="single" w:color="auto" w:sz="4" w:space="0"/>
              <w:left w:val="nil"/>
              <w:bottom w:val="single" w:color="auto" w:sz="4" w:space="0"/>
              <w:right w:val="single" w:color="auto" w:sz="4" w:space="0"/>
            </w:tcBorders>
            <w:vAlign w:val="center"/>
          </w:tcPr>
          <w:p>
            <w:pPr>
              <w:jc w:val="center"/>
              <w:rPr>
                <w:color w:val="auto"/>
                <w:szCs w:val="21"/>
              </w:rPr>
            </w:pPr>
            <w:r>
              <w:rPr>
                <w:rFonts w:hint="eastAsia"/>
                <w:color w:val="auto"/>
                <w:szCs w:val="21"/>
              </w:rPr>
              <w:t>/</w:t>
            </w:r>
          </w:p>
        </w:tc>
        <w:tc>
          <w:tcPr>
            <w:tcW w:w="770" w:type="pct"/>
            <w:tcBorders>
              <w:top w:val="single" w:color="auto" w:sz="4" w:space="0"/>
              <w:left w:val="nil"/>
              <w:bottom w:val="single" w:color="auto" w:sz="4" w:space="0"/>
              <w:right w:val="single" w:color="auto" w:sz="4" w:space="0"/>
            </w:tcBorders>
            <w:vAlign w:val="center"/>
          </w:tcPr>
          <w:p>
            <w:pPr>
              <w:jc w:val="center"/>
              <w:rPr>
                <w:color w:val="auto"/>
                <w:szCs w:val="21"/>
              </w:rPr>
            </w:pPr>
            <w:r>
              <w:rPr>
                <w:rFonts w:hint="eastAsia"/>
                <w:color w:val="auto"/>
                <w:szCs w:val="21"/>
              </w:rPr>
              <w:t>/</w:t>
            </w:r>
          </w:p>
        </w:tc>
        <w:tc>
          <w:tcPr>
            <w:tcW w:w="874" w:type="pct"/>
            <w:tcBorders>
              <w:top w:val="single" w:color="auto" w:sz="4" w:space="0"/>
              <w:left w:val="nil"/>
              <w:bottom w:val="single" w:color="000000" w:sz="6" w:space="0"/>
              <w:right w:val="single" w:color="auto" w:sz="4" w:space="0"/>
            </w:tcBorders>
            <w:vAlign w:val="center"/>
          </w:tcPr>
          <w:p>
            <w:pPr>
              <w:spacing w:line="340" w:lineRule="exact"/>
              <w:jc w:val="center"/>
              <w:rPr>
                <w:rFonts w:ascii="宋体" w:hAnsi="宋体"/>
                <w:color w:val="auto"/>
                <w:szCs w:val="21"/>
              </w:rPr>
            </w:pPr>
            <w:r>
              <w:rPr>
                <w:color w:val="auto"/>
                <w:szCs w:val="21"/>
              </w:rPr>
              <w:t>项目区6km</w:t>
            </w:r>
            <w:r>
              <w:rPr>
                <w:color w:val="auto"/>
                <w:szCs w:val="21"/>
                <w:vertAlign w:val="superscript"/>
              </w:rPr>
              <w:t>2</w:t>
            </w:r>
          </w:p>
        </w:tc>
        <w:tc>
          <w:tcPr>
            <w:tcW w:w="1521" w:type="pct"/>
            <w:tcBorders>
              <w:left w:val="nil"/>
              <w:bottom w:val="single" w:color="000000" w:sz="6" w:space="0"/>
              <w:right w:val="single" w:color="auto" w:sz="4" w:space="0"/>
            </w:tcBorders>
            <w:vAlign w:val="center"/>
          </w:tcPr>
          <w:p>
            <w:pPr>
              <w:adjustRightInd w:val="0"/>
              <w:snapToGrid w:val="0"/>
              <w:spacing w:line="360" w:lineRule="exact"/>
              <w:jc w:val="center"/>
              <w:rPr>
                <w:color w:val="auto"/>
                <w:szCs w:val="21"/>
              </w:rPr>
            </w:pPr>
            <w:r>
              <w:rPr>
                <w:color w:val="auto"/>
                <w:szCs w:val="21"/>
              </w:rPr>
              <w:t>《地下水质量标准》（GB14848-2017）Ⅲ类标准</w:t>
            </w:r>
          </w:p>
        </w:tc>
      </w:tr>
    </w:tbl>
    <w:p>
      <w:pPr>
        <w:pStyle w:val="2"/>
        <w:rPr>
          <w:color w:val="auto"/>
        </w:rPr>
        <w:sectPr>
          <w:footerReference r:id="rId3" w:type="default"/>
          <w:pgSz w:w="11910" w:h="16850"/>
          <w:pgMar w:top="1440" w:right="1588" w:bottom="1440" w:left="1588" w:header="680" w:footer="652" w:gutter="0"/>
          <w:pgBorders>
            <w:top w:val="none" w:sz="0" w:space="0"/>
            <w:left w:val="none" w:sz="0" w:space="0"/>
            <w:bottom w:val="none" w:sz="0" w:space="0"/>
            <w:right w:val="none" w:sz="0" w:space="0"/>
          </w:pgBorders>
          <w:cols w:space="720" w:num="1"/>
        </w:sectPr>
      </w:pPr>
    </w:p>
    <w:p>
      <w:pPr>
        <w:pStyle w:val="4"/>
        <w:spacing w:line="520" w:lineRule="exact"/>
        <w:rPr>
          <w:rFonts w:ascii="Times New Roman" w:hAnsi="Times New Roman"/>
          <w:b/>
          <w:color w:val="auto"/>
          <w:szCs w:val="28"/>
        </w:rPr>
      </w:pPr>
      <w:bookmarkStart w:id="124" w:name="_Toc366874099"/>
      <w:bookmarkStart w:id="125" w:name="_Toc26635"/>
      <w:bookmarkStart w:id="126" w:name="_Toc367091858"/>
      <w:r>
        <w:rPr>
          <w:rFonts w:ascii="Times New Roman" w:hAnsi="Times New Roman"/>
          <w:color w:val="auto"/>
        </w:rPr>
        <w:pict>
          <v:shape id="_x0000_s1026" o:spid="_x0000_s1026" o:spt="75" type="#_x0000_t75" style="position:absolute;left:0pt;margin-left:8.25pt;margin-top:-14pt;height:404.6pt;width:678.25pt;z-index:-251634688;mso-width-relative:page;mso-height-relative:page;" o:ole="t" filled="f" o:preferrelative="t" stroked="f" coordsize="21600,21600">
            <v:path/>
            <v:fill on="f" focussize="0,0"/>
            <v:stroke on="f"/>
            <v:imagedata r:id="rId10" o:title=""/>
            <o:lock v:ext="edit" aspectratio="f"/>
          </v:shape>
          <o:OLEObject Type="Embed" ProgID="Visio.Drawing.11" ShapeID="_x0000_s1026" DrawAspect="Content" ObjectID="_1468075725" r:id="rId9">
            <o:LockedField>false</o:LockedField>
          </o:OLEObject>
        </w:pict>
      </w:r>
      <w:r>
        <w:rPr>
          <w:rFonts w:ascii="Times New Roman" w:hAnsi="Times New Roman"/>
          <w:color w:val="auto"/>
        </w:rPr>
        <w:drawing>
          <wp:anchor distT="0" distB="0" distL="114300" distR="114300" simplePos="0" relativeHeight="251678720" behindDoc="0" locked="0" layoutInCell="1" allowOverlap="1">
            <wp:simplePos x="0" y="0"/>
            <wp:positionH relativeFrom="column">
              <wp:posOffset>7834630</wp:posOffset>
            </wp:positionH>
            <wp:positionV relativeFrom="paragraph">
              <wp:posOffset>-127635</wp:posOffset>
            </wp:positionV>
            <wp:extent cx="798830" cy="1045845"/>
            <wp:effectExtent l="0" t="0" r="1270" b="1905"/>
            <wp:wrapNone/>
            <wp:docPr id="6"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41"/>
                    <pic:cNvPicPr>
                      <a:picLocks noChangeAspect="1"/>
                    </pic:cNvPicPr>
                  </pic:nvPicPr>
                  <pic:blipFill>
                    <a:blip r:embed="rId11"/>
                    <a:stretch>
                      <a:fillRect/>
                    </a:stretch>
                  </pic:blipFill>
                  <pic:spPr>
                    <a:xfrm>
                      <a:off x="0" y="0"/>
                      <a:ext cx="798830" cy="1045845"/>
                    </a:xfrm>
                    <a:prstGeom prst="rect">
                      <a:avLst/>
                    </a:prstGeom>
                    <a:noFill/>
                    <a:ln>
                      <a:noFill/>
                    </a:ln>
                  </pic:spPr>
                </pic:pic>
              </a:graphicData>
            </a:graphic>
          </wp:anchor>
        </w:drawing>
      </w:r>
    </w:p>
    <w:p>
      <w:pPr>
        <w:pStyle w:val="4"/>
        <w:spacing w:line="520" w:lineRule="exact"/>
        <w:rPr>
          <w:rFonts w:ascii="Times New Roman" w:hAnsi="Times New Roman"/>
          <w:b/>
          <w:color w:val="auto"/>
          <w:szCs w:val="28"/>
        </w:rPr>
      </w:pPr>
    </w:p>
    <w:p>
      <w:pPr>
        <w:pStyle w:val="4"/>
        <w:spacing w:line="520" w:lineRule="exact"/>
        <w:rPr>
          <w:rFonts w:ascii="Times New Roman" w:hAnsi="Times New Roman"/>
          <w:b/>
          <w:color w:val="auto"/>
          <w:szCs w:val="28"/>
        </w:rPr>
      </w:pPr>
    </w:p>
    <w:p>
      <w:pPr>
        <w:pStyle w:val="4"/>
        <w:spacing w:line="520" w:lineRule="exact"/>
        <w:rPr>
          <w:rFonts w:ascii="Times New Roman" w:hAnsi="Times New Roman"/>
          <w:b/>
          <w:color w:val="auto"/>
          <w:szCs w:val="28"/>
        </w:rPr>
      </w:pPr>
    </w:p>
    <w:p>
      <w:pPr>
        <w:pStyle w:val="4"/>
        <w:spacing w:line="520" w:lineRule="exact"/>
        <w:rPr>
          <w:rFonts w:ascii="Times New Roman" w:hAnsi="Times New Roman"/>
          <w:b/>
          <w:color w:val="auto"/>
          <w:szCs w:val="28"/>
        </w:rPr>
      </w:pPr>
    </w:p>
    <w:p>
      <w:pPr>
        <w:pStyle w:val="4"/>
        <w:spacing w:line="520" w:lineRule="exact"/>
        <w:rPr>
          <w:rFonts w:ascii="Times New Roman" w:hAnsi="Times New Roman"/>
          <w:b/>
          <w:color w:val="auto"/>
          <w:szCs w:val="28"/>
        </w:rPr>
      </w:pPr>
    </w:p>
    <w:p>
      <w:pPr>
        <w:pStyle w:val="4"/>
        <w:spacing w:line="520" w:lineRule="exact"/>
        <w:rPr>
          <w:rFonts w:ascii="Times New Roman" w:hAnsi="Times New Roman"/>
          <w:b/>
          <w:color w:val="auto"/>
          <w:szCs w:val="28"/>
        </w:rPr>
      </w:pPr>
    </w:p>
    <w:p>
      <w:pPr>
        <w:pStyle w:val="4"/>
        <w:spacing w:line="520" w:lineRule="exact"/>
        <w:rPr>
          <w:rFonts w:ascii="Times New Roman" w:hAnsi="Times New Roman"/>
          <w:b/>
          <w:color w:val="auto"/>
          <w:szCs w:val="28"/>
        </w:rPr>
      </w:pPr>
    </w:p>
    <w:p>
      <w:pPr>
        <w:pStyle w:val="4"/>
        <w:spacing w:line="520" w:lineRule="exact"/>
        <w:rPr>
          <w:rFonts w:ascii="Times New Roman" w:hAnsi="Times New Roman"/>
          <w:b/>
          <w:color w:val="auto"/>
          <w:szCs w:val="28"/>
        </w:rPr>
      </w:pPr>
    </w:p>
    <w:p>
      <w:pPr>
        <w:rPr>
          <w:b/>
          <w:color w:val="auto"/>
          <w:szCs w:val="28"/>
        </w:rPr>
      </w:pPr>
    </w:p>
    <w:p>
      <w:pPr>
        <w:pStyle w:val="52"/>
        <w:rPr>
          <w:color w:val="auto"/>
        </w:rPr>
      </w:pPr>
    </w:p>
    <w:p>
      <w:pPr>
        <w:pStyle w:val="4"/>
        <w:spacing w:line="520" w:lineRule="exact"/>
        <w:rPr>
          <w:rFonts w:ascii="Times New Roman" w:hAnsi="Times New Roman"/>
          <w:b/>
          <w:color w:val="auto"/>
          <w:szCs w:val="28"/>
        </w:rPr>
      </w:pPr>
    </w:p>
    <w:p>
      <w:pPr>
        <w:pStyle w:val="4"/>
        <w:spacing w:line="520" w:lineRule="exact"/>
        <w:rPr>
          <w:rFonts w:ascii="Times New Roman" w:hAnsi="Times New Roman"/>
          <w:b/>
          <w:color w:val="auto"/>
          <w:szCs w:val="28"/>
        </w:rPr>
      </w:pPr>
    </w:p>
    <w:p>
      <w:pPr>
        <w:pStyle w:val="4"/>
        <w:spacing w:line="520" w:lineRule="exact"/>
        <w:rPr>
          <w:rFonts w:ascii="Times New Roman" w:hAnsi="Times New Roman"/>
          <w:b/>
          <w:color w:val="auto"/>
          <w:szCs w:val="28"/>
        </w:rPr>
      </w:pPr>
    </w:p>
    <w:p>
      <w:pPr>
        <w:pStyle w:val="4"/>
        <w:spacing w:line="520" w:lineRule="exact"/>
        <w:rPr>
          <w:rFonts w:ascii="Times New Roman" w:hAnsi="Times New Roman"/>
          <w:b/>
          <w:color w:val="auto"/>
          <w:szCs w:val="28"/>
        </w:rPr>
      </w:pPr>
    </w:p>
    <w:p>
      <w:pPr>
        <w:pStyle w:val="4"/>
        <w:spacing w:line="520" w:lineRule="exact"/>
        <w:rPr>
          <w:rFonts w:ascii="Times New Roman" w:hAnsi="Times New Roman"/>
          <w:b/>
          <w:color w:val="auto"/>
          <w:szCs w:val="28"/>
        </w:rPr>
      </w:pPr>
    </w:p>
    <w:p>
      <w:pPr>
        <w:jc w:val="center"/>
        <w:rPr>
          <w:b/>
          <w:bCs/>
          <w:color w:val="auto"/>
          <w:sz w:val="24"/>
        </w:rPr>
      </w:pPr>
      <w:r>
        <w:rPr>
          <w:b/>
          <w:bCs/>
          <w:color w:val="auto"/>
          <w:sz w:val="24"/>
        </w:rPr>
        <w:t>图2-1  主要环境保护目标分布图</w:t>
      </w:r>
    </w:p>
    <w:p>
      <w:pPr>
        <w:pStyle w:val="4"/>
        <w:spacing w:line="520" w:lineRule="exact"/>
        <w:rPr>
          <w:rFonts w:ascii="Times New Roman" w:hAnsi="Times New Roman"/>
          <w:b/>
          <w:color w:val="auto"/>
          <w:szCs w:val="28"/>
        </w:rPr>
        <w:sectPr>
          <w:pgSz w:w="16850" w:h="11910" w:orient="landscape"/>
          <w:pgMar w:top="1587" w:right="1440" w:bottom="1587" w:left="1440" w:header="680" w:footer="652" w:gutter="0"/>
          <w:pgBorders>
            <w:top w:val="none" w:sz="0" w:space="0"/>
            <w:left w:val="none" w:sz="0" w:space="0"/>
            <w:bottom w:val="none" w:sz="0" w:space="0"/>
            <w:right w:val="none" w:sz="0" w:space="0"/>
          </w:pgBorders>
          <w:cols w:space="720" w:num="1"/>
        </w:sectPr>
      </w:pPr>
    </w:p>
    <w:p>
      <w:pPr>
        <w:pStyle w:val="4"/>
        <w:spacing w:line="520" w:lineRule="exact"/>
        <w:rPr>
          <w:rFonts w:ascii="Times New Roman" w:hAnsi="Times New Roman"/>
          <w:color w:val="auto"/>
          <w:kern w:val="0"/>
          <w:sz w:val="24"/>
          <w:lang w:val="zh-CN"/>
        </w:rPr>
      </w:pPr>
      <w:bookmarkStart w:id="127" w:name="_Toc7752"/>
      <w:r>
        <w:rPr>
          <w:rFonts w:ascii="Times New Roman" w:hAnsi="Times New Roman"/>
          <w:b/>
          <w:color w:val="auto"/>
          <w:szCs w:val="28"/>
        </w:rPr>
        <w:t>2.9评价工作程序</w:t>
      </w:r>
      <w:bookmarkEnd w:id="124"/>
      <w:bookmarkEnd w:id="125"/>
      <w:bookmarkEnd w:id="126"/>
      <w:bookmarkEnd w:id="127"/>
      <w:bookmarkStart w:id="128" w:name="_Toc287813366"/>
    </w:p>
    <w:p>
      <w:pPr>
        <w:autoSpaceDE w:val="0"/>
        <w:autoSpaceDN w:val="0"/>
        <w:adjustRightInd w:val="0"/>
        <w:snapToGrid w:val="0"/>
        <w:spacing w:line="520" w:lineRule="exact"/>
        <w:ind w:firstLine="567"/>
        <w:rPr>
          <w:color w:val="auto"/>
          <w:kern w:val="0"/>
          <w:sz w:val="24"/>
          <w:lang w:val="zh-CN"/>
        </w:rPr>
      </w:pPr>
      <w:r>
        <w:rPr>
          <w:color w:val="auto"/>
          <w:sz w:val="24"/>
        </w:rPr>
        <w:pict>
          <v:shape id="对象 532" o:spid="_x0000_s1027" o:spt="75" type="#_x0000_t75" style="position:absolute;left:0pt;margin-left:25.35pt;margin-top:7.8pt;height:624.55pt;width:400.95pt;z-index:-251658240;mso-width-relative:page;mso-height-relative:page;" o:ole="t" filled="f" o:preferrelative="t" stroked="f" coordsize="21600,21600">
            <v:path/>
            <v:fill on="f" focussize="0,0"/>
            <v:stroke on="f" joinstyle="miter"/>
            <v:imagedata r:id="rId13" o:title=""/>
            <o:lock v:ext="edit" aspectratio="f"/>
          </v:shape>
          <o:OLEObject Type="Embed" ProgID="Visio.Drawing.11" ShapeID="对象 532" DrawAspect="Content" ObjectID="_1468075726" r:id="rId12">
            <o:LockedField>false</o:LockedField>
          </o:OLEObject>
        </w:pict>
      </w:r>
    </w:p>
    <w:p>
      <w:pPr>
        <w:autoSpaceDE w:val="0"/>
        <w:autoSpaceDN w:val="0"/>
        <w:adjustRightInd w:val="0"/>
        <w:snapToGrid w:val="0"/>
        <w:spacing w:line="520" w:lineRule="exact"/>
        <w:ind w:firstLine="567"/>
        <w:rPr>
          <w:color w:val="auto"/>
          <w:kern w:val="0"/>
          <w:sz w:val="24"/>
          <w:lang w:val="zh-CN"/>
        </w:rPr>
      </w:pPr>
    </w:p>
    <w:p>
      <w:pPr>
        <w:autoSpaceDE w:val="0"/>
        <w:autoSpaceDN w:val="0"/>
        <w:adjustRightInd w:val="0"/>
        <w:snapToGrid w:val="0"/>
        <w:spacing w:line="520" w:lineRule="exact"/>
        <w:ind w:firstLine="567"/>
        <w:rPr>
          <w:color w:val="auto"/>
          <w:kern w:val="0"/>
          <w:sz w:val="24"/>
          <w:lang w:val="zh-CN"/>
        </w:rPr>
      </w:pPr>
    </w:p>
    <w:p>
      <w:pPr>
        <w:autoSpaceDE w:val="0"/>
        <w:autoSpaceDN w:val="0"/>
        <w:adjustRightInd w:val="0"/>
        <w:snapToGrid w:val="0"/>
        <w:spacing w:line="520" w:lineRule="exact"/>
        <w:ind w:firstLine="567"/>
        <w:rPr>
          <w:color w:val="auto"/>
          <w:kern w:val="0"/>
          <w:sz w:val="24"/>
          <w:lang w:val="zh-CN"/>
        </w:rPr>
      </w:pPr>
    </w:p>
    <w:p>
      <w:pPr>
        <w:autoSpaceDE w:val="0"/>
        <w:autoSpaceDN w:val="0"/>
        <w:adjustRightInd w:val="0"/>
        <w:snapToGrid w:val="0"/>
        <w:spacing w:line="520" w:lineRule="exact"/>
        <w:ind w:firstLine="567"/>
        <w:rPr>
          <w:color w:val="auto"/>
          <w:kern w:val="0"/>
          <w:sz w:val="24"/>
          <w:lang w:val="zh-CN"/>
        </w:rPr>
      </w:pPr>
    </w:p>
    <w:p>
      <w:pPr>
        <w:autoSpaceDE w:val="0"/>
        <w:autoSpaceDN w:val="0"/>
        <w:adjustRightInd w:val="0"/>
        <w:snapToGrid w:val="0"/>
        <w:spacing w:line="520" w:lineRule="exact"/>
        <w:ind w:firstLine="567"/>
        <w:rPr>
          <w:color w:val="auto"/>
          <w:kern w:val="0"/>
          <w:sz w:val="24"/>
          <w:lang w:val="zh-CN"/>
        </w:rPr>
      </w:pPr>
    </w:p>
    <w:p>
      <w:pPr>
        <w:autoSpaceDE w:val="0"/>
        <w:autoSpaceDN w:val="0"/>
        <w:adjustRightInd w:val="0"/>
        <w:snapToGrid w:val="0"/>
        <w:spacing w:line="520" w:lineRule="exact"/>
        <w:ind w:firstLine="567"/>
        <w:rPr>
          <w:color w:val="auto"/>
          <w:kern w:val="0"/>
          <w:sz w:val="24"/>
          <w:lang w:val="zh-CN"/>
        </w:rPr>
      </w:pPr>
    </w:p>
    <w:p>
      <w:pPr>
        <w:autoSpaceDE w:val="0"/>
        <w:autoSpaceDN w:val="0"/>
        <w:adjustRightInd w:val="0"/>
        <w:snapToGrid w:val="0"/>
        <w:spacing w:line="520" w:lineRule="exact"/>
        <w:ind w:firstLine="567"/>
        <w:rPr>
          <w:color w:val="auto"/>
          <w:kern w:val="0"/>
          <w:sz w:val="24"/>
          <w:lang w:val="zh-CN"/>
        </w:rPr>
      </w:pPr>
    </w:p>
    <w:p>
      <w:pPr>
        <w:autoSpaceDE w:val="0"/>
        <w:autoSpaceDN w:val="0"/>
        <w:adjustRightInd w:val="0"/>
        <w:snapToGrid w:val="0"/>
        <w:spacing w:line="520" w:lineRule="exact"/>
        <w:ind w:firstLine="567"/>
        <w:rPr>
          <w:color w:val="auto"/>
          <w:kern w:val="0"/>
          <w:sz w:val="24"/>
          <w:lang w:val="zh-CN"/>
        </w:rPr>
      </w:pPr>
    </w:p>
    <w:p>
      <w:pPr>
        <w:autoSpaceDE w:val="0"/>
        <w:autoSpaceDN w:val="0"/>
        <w:adjustRightInd w:val="0"/>
        <w:snapToGrid w:val="0"/>
        <w:spacing w:line="520" w:lineRule="exact"/>
        <w:ind w:firstLine="567"/>
        <w:rPr>
          <w:color w:val="auto"/>
          <w:kern w:val="0"/>
          <w:sz w:val="24"/>
          <w:lang w:val="zh-CN"/>
        </w:rPr>
      </w:pPr>
    </w:p>
    <w:p>
      <w:pPr>
        <w:autoSpaceDE w:val="0"/>
        <w:autoSpaceDN w:val="0"/>
        <w:adjustRightInd w:val="0"/>
        <w:snapToGrid w:val="0"/>
        <w:spacing w:line="520" w:lineRule="exact"/>
        <w:ind w:firstLine="567"/>
        <w:rPr>
          <w:color w:val="auto"/>
          <w:kern w:val="0"/>
          <w:sz w:val="24"/>
          <w:lang w:val="zh-CN"/>
        </w:rPr>
      </w:pPr>
    </w:p>
    <w:p>
      <w:pPr>
        <w:autoSpaceDE w:val="0"/>
        <w:autoSpaceDN w:val="0"/>
        <w:adjustRightInd w:val="0"/>
        <w:snapToGrid w:val="0"/>
        <w:spacing w:line="520" w:lineRule="exact"/>
        <w:rPr>
          <w:color w:val="auto"/>
          <w:kern w:val="0"/>
          <w:sz w:val="24"/>
          <w:lang w:val="zh-CN"/>
        </w:rPr>
      </w:pPr>
    </w:p>
    <w:p>
      <w:pPr>
        <w:autoSpaceDE w:val="0"/>
        <w:autoSpaceDN w:val="0"/>
        <w:adjustRightInd w:val="0"/>
        <w:snapToGrid w:val="0"/>
        <w:spacing w:line="520" w:lineRule="exact"/>
        <w:ind w:firstLine="567"/>
        <w:rPr>
          <w:color w:val="auto"/>
          <w:kern w:val="0"/>
          <w:sz w:val="24"/>
          <w:lang w:val="zh-CN"/>
        </w:rPr>
      </w:pPr>
    </w:p>
    <w:p>
      <w:pPr>
        <w:autoSpaceDE w:val="0"/>
        <w:autoSpaceDN w:val="0"/>
        <w:adjustRightInd w:val="0"/>
        <w:snapToGrid w:val="0"/>
        <w:spacing w:line="520" w:lineRule="exact"/>
        <w:ind w:firstLine="567"/>
        <w:rPr>
          <w:color w:val="auto"/>
          <w:kern w:val="0"/>
          <w:sz w:val="24"/>
          <w:lang w:val="zh-CN"/>
        </w:rPr>
      </w:pPr>
    </w:p>
    <w:p>
      <w:pPr>
        <w:pStyle w:val="2"/>
        <w:rPr>
          <w:color w:val="auto"/>
          <w:kern w:val="0"/>
          <w:sz w:val="24"/>
          <w:lang w:val="zh-CN"/>
        </w:rPr>
      </w:pPr>
    </w:p>
    <w:p>
      <w:pPr>
        <w:rPr>
          <w:color w:val="auto"/>
          <w:lang w:val="zh-CN"/>
        </w:rPr>
      </w:pPr>
    </w:p>
    <w:p>
      <w:pPr>
        <w:rPr>
          <w:color w:val="auto"/>
          <w:kern w:val="0"/>
          <w:sz w:val="24"/>
          <w:lang w:val="zh-CN"/>
        </w:rPr>
      </w:pPr>
    </w:p>
    <w:p>
      <w:pPr>
        <w:pStyle w:val="2"/>
        <w:rPr>
          <w:color w:val="auto"/>
          <w:kern w:val="0"/>
          <w:sz w:val="24"/>
          <w:lang w:val="zh-CN"/>
        </w:rPr>
      </w:pPr>
    </w:p>
    <w:p>
      <w:pPr>
        <w:rPr>
          <w:color w:val="auto"/>
          <w:kern w:val="0"/>
          <w:sz w:val="24"/>
          <w:lang w:val="zh-CN"/>
        </w:rPr>
      </w:pPr>
    </w:p>
    <w:p>
      <w:pPr>
        <w:pStyle w:val="2"/>
        <w:rPr>
          <w:color w:val="auto"/>
          <w:kern w:val="0"/>
          <w:sz w:val="24"/>
          <w:lang w:val="zh-CN"/>
        </w:rPr>
      </w:pPr>
    </w:p>
    <w:p>
      <w:pPr>
        <w:rPr>
          <w:color w:val="auto"/>
          <w:kern w:val="0"/>
          <w:sz w:val="24"/>
          <w:lang w:val="zh-CN"/>
        </w:rPr>
      </w:pPr>
    </w:p>
    <w:p>
      <w:pPr>
        <w:pStyle w:val="2"/>
        <w:rPr>
          <w:color w:val="auto"/>
          <w:lang w:val="zh-CN"/>
        </w:rPr>
      </w:pPr>
    </w:p>
    <w:p>
      <w:pPr>
        <w:pStyle w:val="2"/>
        <w:rPr>
          <w:color w:val="auto"/>
          <w:kern w:val="0"/>
          <w:sz w:val="24"/>
          <w:lang w:val="zh-CN"/>
        </w:rPr>
      </w:pPr>
    </w:p>
    <w:p>
      <w:pPr>
        <w:rPr>
          <w:color w:val="auto"/>
          <w:kern w:val="0"/>
          <w:sz w:val="24"/>
          <w:lang w:val="zh-CN"/>
        </w:rPr>
      </w:pPr>
    </w:p>
    <w:p>
      <w:pPr>
        <w:pStyle w:val="2"/>
        <w:rPr>
          <w:color w:val="auto"/>
          <w:lang w:val="zh-CN"/>
        </w:rPr>
      </w:pPr>
    </w:p>
    <w:p>
      <w:pPr>
        <w:rPr>
          <w:color w:val="auto"/>
          <w:lang w:val="zh-CN"/>
        </w:rPr>
      </w:pPr>
    </w:p>
    <w:p>
      <w:pPr>
        <w:spacing w:line="440" w:lineRule="exact"/>
        <w:jc w:val="center"/>
        <w:rPr>
          <w:b/>
          <w:color w:val="auto"/>
        </w:rPr>
      </w:pPr>
    </w:p>
    <w:p>
      <w:pPr>
        <w:spacing w:line="440" w:lineRule="exact"/>
        <w:jc w:val="center"/>
        <w:rPr>
          <w:b/>
          <w:color w:val="auto"/>
        </w:rPr>
      </w:pPr>
    </w:p>
    <w:p>
      <w:pPr>
        <w:pStyle w:val="2"/>
        <w:rPr>
          <w:color w:val="auto"/>
        </w:rPr>
      </w:pPr>
    </w:p>
    <w:p>
      <w:pPr>
        <w:spacing w:line="440" w:lineRule="exact"/>
        <w:jc w:val="center"/>
        <w:rPr>
          <w:b/>
          <w:color w:val="auto"/>
          <w:sz w:val="24"/>
        </w:rPr>
      </w:pPr>
      <w:r>
        <w:rPr>
          <w:b/>
          <w:color w:val="auto"/>
          <w:sz w:val="24"/>
        </w:rPr>
        <w:t>图2-2 评价工作程序</w:t>
      </w:r>
    </w:p>
    <w:p>
      <w:pPr>
        <w:jc w:val="center"/>
        <w:rPr>
          <w:b/>
          <w:color w:val="auto"/>
          <w:sz w:val="24"/>
          <w:szCs w:val="22"/>
        </w:rPr>
      </w:pPr>
    </w:p>
    <w:p>
      <w:pPr>
        <w:pStyle w:val="3"/>
        <w:spacing w:before="120" w:after="0" w:line="360" w:lineRule="auto"/>
        <w:jc w:val="center"/>
        <w:rPr>
          <w:color w:val="auto"/>
          <w:sz w:val="36"/>
          <w:szCs w:val="36"/>
        </w:rPr>
      </w:pPr>
      <w:bookmarkStart w:id="129" w:name="_Toc335291738"/>
      <w:bookmarkStart w:id="130" w:name="_Toc333178536"/>
      <w:bookmarkStart w:id="131" w:name="_Toc333177939"/>
      <w:bookmarkStart w:id="132" w:name="_Toc333388578"/>
      <w:bookmarkStart w:id="133" w:name="_Toc367091859"/>
      <w:bookmarkStart w:id="134" w:name="_Toc366874100"/>
      <w:bookmarkStart w:id="135" w:name="_Toc62"/>
      <w:bookmarkStart w:id="136" w:name="_Toc9051"/>
      <w:r>
        <w:rPr>
          <w:color w:val="auto"/>
          <w:sz w:val="36"/>
          <w:szCs w:val="36"/>
        </w:rPr>
        <w:t xml:space="preserve">第三章 </w:t>
      </w:r>
      <w:bookmarkEnd w:id="128"/>
      <w:bookmarkEnd w:id="129"/>
      <w:bookmarkEnd w:id="130"/>
      <w:bookmarkEnd w:id="131"/>
      <w:bookmarkEnd w:id="132"/>
      <w:r>
        <w:rPr>
          <w:color w:val="auto"/>
          <w:sz w:val="36"/>
          <w:szCs w:val="36"/>
        </w:rPr>
        <w:t>现有工程回顾分析</w:t>
      </w:r>
      <w:bookmarkEnd w:id="133"/>
      <w:bookmarkEnd w:id="134"/>
      <w:bookmarkEnd w:id="135"/>
      <w:bookmarkEnd w:id="136"/>
    </w:p>
    <w:p>
      <w:pPr>
        <w:pStyle w:val="4"/>
        <w:spacing w:line="520" w:lineRule="exact"/>
        <w:rPr>
          <w:rFonts w:ascii="Times New Roman" w:hAnsi="Times New Roman"/>
          <w:b/>
          <w:color w:val="auto"/>
          <w:szCs w:val="28"/>
        </w:rPr>
      </w:pPr>
      <w:bookmarkStart w:id="137" w:name="_Toc366874101"/>
      <w:bookmarkStart w:id="138" w:name="_Toc335291739"/>
      <w:bookmarkStart w:id="139" w:name="_Toc287813367"/>
      <w:bookmarkStart w:id="140" w:name="_Toc333388579"/>
      <w:bookmarkStart w:id="141" w:name="_Toc333178537"/>
      <w:bookmarkStart w:id="142" w:name="_Toc333177940"/>
      <w:bookmarkStart w:id="143" w:name="_Toc367091860"/>
      <w:bookmarkStart w:id="144" w:name="_Toc10482"/>
      <w:bookmarkStart w:id="145" w:name="_Toc10543"/>
      <w:r>
        <w:rPr>
          <w:rFonts w:ascii="Times New Roman" w:hAnsi="Times New Roman"/>
          <w:b/>
          <w:color w:val="auto"/>
          <w:szCs w:val="28"/>
        </w:rPr>
        <w:t>3.1</w:t>
      </w:r>
      <w:bookmarkEnd w:id="137"/>
      <w:bookmarkEnd w:id="138"/>
      <w:bookmarkEnd w:id="139"/>
      <w:bookmarkEnd w:id="140"/>
      <w:bookmarkEnd w:id="141"/>
      <w:bookmarkEnd w:id="142"/>
      <w:bookmarkEnd w:id="143"/>
      <w:bookmarkEnd w:id="144"/>
      <w:r>
        <w:rPr>
          <w:rFonts w:ascii="Times New Roman" w:hAnsi="Times New Roman"/>
          <w:b/>
          <w:color w:val="auto"/>
          <w:szCs w:val="28"/>
        </w:rPr>
        <w:t>现有项目概况</w:t>
      </w:r>
      <w:bookmarkEnd w:id="145"/>
    </w:p>
    <w:p>
      <w:pPr>
        <w:pStyle w:val="5"/>
        <w:spacing w:before="0" w:after="0" w:line="520" w:lineRule="exact"/>
        <w:rPr>
          <w:color w:val="auto"/>
          <w:sz w:val="24"/>
          <w:szCs w:val="24"/>
        </w:rPr>
      </w:pPr>
      <w:r>
        <w:rPr>
          <w:color w:val="auto"/>
          <w:sz w:val="24"/>
          <w:szCs w:val="24"/>
        </w:rPr>
        <w:t>3.1.1现有项目概况</w:t>
      </w:r>
    </w:p>
    <w:p>
      <w:pPr>
        <w:pStyle w:val="112"/>
        <w:keepNext w:val="0"/>
        <w:keepLines w:val="0"/>
        <w:pageBreakBefore w:val="0"/>
        <w:widowControl w:val="0"/>
        <w:kinsoku/>
        <w:wordWrap/>
        <w:overflowPunct/>
        <w:topLinePunct w:val="0"/>
        <w:autoSpaceDE/>
        <w:autoSpaceDN/>
        <w:bidi w:val="0"/>
        <w:adjustRightInd w:val="0"/>
        <w:snapToGrid w:val="0"/>
        <w:spacing w:line="520" w:lineRule="exact"/>
        <w:ind w:left="0" w:leftChars="0" w:right="0" w:rightChars="0" w:firstLine="472" w:firstLineChars="200"/>
        <w:jc w:val="both"/>
        <w:textAlignment w:val="auto"/>
        <w:outlineLvl w:val="9"/>
        <w:rPr>
          <w:rFonts w:hint="default" w:ascii="Times New Roman" w:hAnsi="Times New Roman" w:cs="Times New Roman"/>
          <w:color w:val="auto"/>
          <w:kern w:val="2"/>
          <w:sz w:val="24"/>
          <w:szCs w:val="20"/>
          <w:lang w:val="en-US" w:eastAsia="zh-CN" w:bidi="ar-SA"/>
        </w:rPr>
      </w:pPr>
      <w:r>
        <w:rPr>
          <w:rFonts w:hint="eastAsia" w:ascii="Times New Roman" w:hAnsi="Times New Roman" w:eastAsia="宋体" w:cs="Times New Roman"/>
          <w:color w:val="auto"/>
          <w:sz w:val="24"/>
          <w:lang w:eastAsia="zh-CN"/>
        </w:rPr>
        <w:t>宁国市天马复合材料有限公司成立于</w:t>
      </w:r>
      <w:r>
        <w:rPr>
          <w:rFonts w:hint="eastAsia" w:ascii="Times New Roman" w:hAnsi="Times New Roman" w:eastAsia="宋体" w:cs="Times New Roman"/>
          <w:color w:val="auto"/>
          <w:sz w:val="24"/>
          <w:lang w:val="en-US" w:eastAsia="zh-CN"/>
        </w:rPr>
        <w:t>2018年1月，公司投资1200万元</w:t>
      </w:r>
      <w:r>
        <w:rPr>
          <w:rFonts w:hint="eastAsia" w:cs="Times New Roman"/>
          <w:color w:val="auto"/>
          <w:sz w:val="24"/>
          <w:lang w:val="en-US" w:eastAsia="zh-CN"/>
        </w:rPr>
        <w:t>，</w:t>
      </w:r>
      <w:r>
        <w:rPr>
          <w:rFonts w:hint="eastAsia" w:ascii="Times New Roman" w:hAnsi="Times New Roman" w:eastAsia="宋体" w:cs="Times New Roman"/>
          <w:color w:val="auto"/>
          <w:sz w:val="24"/>
          <w:lang w:val="en-US" w:eastAsia="zh-CN"/>
        </w:rPr>
        <w:t>租用宁国市河沥园区佳乐卫生用品公司闲置厂房2581.6平方米，购置辊涂机、搅拌机、烘干线、废气处理设施等设备若干台/套，建设</w:t>
      </w:r>
      <w:r>
        <w:rPr>
          <w:rFonts w:hint="eastAsia" w:ascii="Times New Roman" w:hAnsi="Times New Roman" w:eastAsia="宋体" w:cs="Times New Roman"/>
          <w:color w:val="auto"/>
          <w:sz w:val="24"/>
          <w:lang w:eastAsia="zh-CN"/>
        </w:rPr>
        <w:t>年产60万平方米金属橡胶发泡板及涂层板项目。该项目</w:t>
      </w:r>
      <w:r>
        <w:rPr>
          <w:rFonts w:hint="default" w:ascii="Times New Roman" w:hAnsi="Times New Roman" w:cs="Times New Roman"/>
          <w:color w:val="auto"/>
          <w:kern w:val="2"/>
          <w:sz w:val="24"/>
          <w:szCs w:val="20"/>
          <w:lang w:val="en-US" w:eastAsia="zh-CN" w:bidi="ar-SA"/>
        </w:rPr>
        <w:t>经宁国经济技</w:t>
      </w:r>
      <w:r>
        <w:rPr>
          <w:rFonts w:hint="eastAsia" w:cs="Times New Roman"/>
          <w:color w:val="auto"/>
          <w:kern w:val="2"/>
          <w:sz w:val="24"/>
          <w:szCs w:val="20"/>
          <w:lang w:val="en-US" w:eastAsia="zh-CN" w:bidi="ar-SA"/>
        </w:rPr>
        <w:t>术开发区管委会备案，备案文号：宁开发项[2018]7号。</w:t>
      </w:r>
    </w:p>
    <w:p>
      <w:pPr>
        <w:spacing w:line="360" w:lineRule="auto"/>
        <w:ind w:firstLine="480" w:firstLineChars="200"/>
        <w:rPr>
          <w:bCs/>
          <w:color w:val="auto"/>
          <w:kern w:val="0"/>
          <w:sz w:val="24"/>
        </w:rPr>
      </w:pPr>
      <w:r>
        <w:rPr>
          <w:bCs/>
          <w:color w:val="auto"/>
          <w:kern w:val="0"/>
          <w:sz w:val="24"/>
        </w:rPr>
        <w:t>项目名称：</w:t>
      </w:r>
      <w:r>
        <w:rPr>
          <w:rFonts w:hint="eastAsia"/>
          <w:color w:val="auto"/>
          <w:sz w:val="24"/>
          <w:lang w:eastAsia="zh-CN"/>
        </w:rPr>
        <w:t>年产60万平方米金属橡胶发泡板及涂层板项目</w:t>
      </w:r>
      <w:r>
        <w:rPr>
          <w:bCs/>
          <w:color w:val="auto"/>
          <w:kern w:val="0"/>
          <w:sz w:val="24"/>
        </w:rPr>
        <w:t>；</w:t>
      </w:r>
    </w:p>
    <w:p>
      <w:pPr>
        <w:spacing w:line="360" w:lineRule="auto"/>
        <w:ind w:firstLine="480" w:firstLineChars="200"/>
        <w:rPr>
          <w:bCs/>
          <w:color w:val="auto"/>
          <w:kern w:val="0"/>
          <w:sz w:val="24"/>
        </w:rPr>
      </w:pPr>
      <w:r>
        <w:rPr>
          <w:bCs/>
          <w:color w:val="auto"/>
          <w:kern w:val="0"/>
          <w:sz w:val="24"/>
        </w:rPr>
        <w:t>建设单位：</w:t>
      </w:r>
      <w:r>
        <w:rPr>
          <w:rFonts w:hint="eastAsia"/>
          <w:bCs/>
          <w:color w:val="auto"/>
          <w:kern w:val="0"/>
          <w:sz w:val="24"/>
          <w:lang w:eastAsia="zh-CN"/>
        </w:rPr>
        <w:t>宁国市天马复合材料有限公司</w:t>
      </w:r>
      <w:r>
        <w:rPr>
          <w:bCs/>
          <w:color w:val="auto"/>
          <w:kern w:val="0"/>
          <w:sz w:val="24"/>
        </w:rPr>
        <w:t>；</w:t>
      </w:r>
    </w:p>
    <w:p>
      <w:pPr>
        <w:spacing w:line="360" w:lineRule="auto"/>
        <w:ind w:firstLine="480" w:firstLineChars="200"/>
        <w:rPr>
          <w:bCs/>
          <w:color w:val="auto"/>
          <w:kern w:val="0"/>
          <w:sz w:val="24"/>
        </w:rPr>
      </w:pPr>
      <w:r>
        <w:rPr>
          <w:bCs/>
          <w:color w:val="auto"/>
          <w:kern w:val="0"/>
          <w:sz w:val="24"/>
        </w:rPr>
        <w:t>建设地址：</w:t>
      </w:r>
      <w:r>
        <w:rPr>
          <w:rFonts w:hint="eastAsia" w:ascii="Times New Roman" w:hAnsi="Times New Roman" w:eastAsia="宋体" w:cs="Times New Roman"/>
          <w:color w:val="auto"/>
          <w:kern w:val="0"/>
          <w:sz w:val="24"/>
          <w:lang w:eastAsia="zh-CN"/>
        </w:rPr>
        <w:t>宁国市河沥园区佳乐卫生用品公司厂区内</w:t>
      </w:r>
      <w:r>
        <w:rPr>
          <w:bCs/>
          <w:color w:val="auto"/>
          <w:kern w:val="0"/>
          <w:sz w:val="24"/>
        </w:rPr>
        <w:t>。</w:t>
      </w:r>
    </w:p>
    <w:p>
      <w:pPr>
        <w:spacing w:line="360" w:lineRule="auto"/>
        <w:ind w:firstLine="480" w:firstLineChars="200"/>
        <w:rPr>
          <w:color w:val="auto"/>
          <w:sz w:val="24"/>
        </w:rPr>
      </w:pPr>
      <w:r>
        <w:rPr>
          <w:bCs/>
          <w:color w:val="auto"/>
          <w:kern w:val="0"/>
          <w:sz w:val="24"/>
        </w:rPr>
        <w:t>建设规模：</w:t>
      </w:r>
      <w:r>
        <w:rPr>
          <w:rFonts w:hint="default" w:ascii="Times New Roman" w:hAnsi="Times New Roman" w:eastAsia="宋体" w:cs="Times New Roman"/>
          <w:color w:val="auto"/>
          <w:sz w:val="24"/>
        </w:rPr>
        <w:t>项目</w:t>
      </w:r>
      <w:r>
        <w:rPr>
          <w:rFonts w:hint="eastAsia" w:ascii="Times New Roman" w:hAnsi="Times New Roman" w:eastAsia="宋体" w:cs="Times New Roman"/>
          <w:color w:val="auto"/>
          <w:sz w:val="24"/>
          <w:lang w:eastAsia="zh-CN"/>
        </w:rPr>
        <w:t>租用宁国佳乐卫生用品公司</w:t>
      </w:r>
      <w:r>
        <w:rPr>
          <w:rFonts w:hint="default" w:ascii="Times New Roman" w:hAnsi="Times New Roman" w:eastAsia="宋体" w:cs="Times New Roman"/>
          <w:color w:val="auto"/>
          <w:sz w:val="24"/>
          <w:lang w:eastAsia="zh-CN"/>
        </w:rPr>
        <w:t>厂房</w:t>
      </w:r>
      <w:r>
        <w:rPr>
          <w:rFonts w:hint="eastAsia" w:ascii="Times New Roman" w:hAnsi="Times New Roman" w:eastAsia="宋体" w:cs="Times New Roman"/>
          <w:color w:val="auto"/>
          <w:sz w:val="24"/>
          <w:lang w:val="en-US" w:eastAsia="zh-CN"/>
        </w:rPr>
        <w:t>1栋</w:t>
      </w:r>
      <w:r>
        <w:rPr>
          <w:rFonts w:hint="eastAsia" w:ascii="Times New Roman" w:hAnsi="Times New Roman" w:eastAsia="宋体" w:cs="Times New Roman"/>
          <w:color w:val="auto"/>
          <w:sz w:val="24"/>
          <w:lang w:eastAsia="zh-CN"/>
        </w:rPr>
        <w:t>，建筑面积约</w:t>
      </w:r>
      <w:r>
        <w:rPr>
          <w:rFonts w:hint="eastAsia" w:ascii="Times New Roman" w:hAnsi="Times New Roman" w:eastAsia="宋体" w:cs="Times New Roman"/>
          <w:color w:val="auto"/>
          <w:sz w:val="24"/>
          <w:lang w:val="en-US" w:eastAsia="zh-CN"/>
        </w:rPr>
        <w:t>2581.6</w:t>
      </w:r>
      <w:r>
        <w:rPr>
          <w:rFonts w:hint="default" w:ascii="Times New Roman" w:hAnsi="Times New Roman" w:eastAsia="宋体" w:cs="Times New Roman"/>
          <w:color w:val="auto"/>
          <w:sz w:val="24"/>
          <w:lang w:val="en-US" w:eastAsia="zh-CN"/>
        </w:rPr>
        <w:t>m</w:t>
      </w:r>
      <w:r>
        <w:rPr>
          <w:rFonts w:hint="default" w:ascii="Times New Roman" w:hAnsi="Times New Roman" w:eastAsia="宋体" w:cs="Times New Roman"/>
          <w:color w:val="auto"/>
          <w:sz w:val="24"/>
          <w:vertAlign w:val="superscript"/>
          <w:lang w:val="en-US" w:eastAsia="zh-CN"/>
        </w:rPr>
        <w:t>2</w:t>
      </w:r>
      <w:r>
        <w:rPr>
          <w:rFonts w:hint="default" w:ascii="Times New Roman" w:hAnsi="Times New Roman" w:eastAsia="宋体" w:cs="Times New Roman"/>
          <w:color w:val="auto"/>
          <w:sz w:val="24"/>
          <w:lang w:val="en-US" w:eastAsia="zh-CN"/>
        </w:rPr>
        <w:t>，</w:t>
      </w:r>
      <w:r>
        <w:rPr>
          <w:rFonts w:hint="eastAsia" w:ascii="Times New Roman" w:hAnsi="Times New Roman" w:eastAsia="宋体" w:cs="Times New Roman"/>
          <w:color w:val="auto"/>
          <w:sz w:val="24"/>
          <w:lang w:val="en-US" w:eastAsia="zh-CN"/>
        </w:rPr>
        <w:t>购置辊涂机、搅拌机、烘干线、废气处理设施等设备若干台/套，项目建成后，形成</w:t>
      </w:r>
      <w:r>
        <w:rPr>
          <w:rFonts w:hint="eastAsia" w:ascii="Times New Roman" w:hAnsi="Times New Roman" w:eastAsia="宋体" w:cs="Times New Roman"/>
          <w:color w:val="auto"/>
          <w:sz w:val="24"/>
          <w:lang w:eastAsia="zh-CN"/>
        </w:rPr>
        <w:t>年产60万平方米金属橡胶发泡板及涂层板的能力</w:t>
      </w:r>
      <w:r>
        <w:rPr>
          <w:color w:val="auto"/>
          <w:sz w:val="24"/>
        </w:rPr>
        <w:t>。</w:t>
      </w:r>
    </w:p>
    <w:p>
      <w:pPr>
        <w:pStyle w:val="5"/>
        <w:spacing w:before="0" w:after="0" w:line="520" w:lineRule="exact"/>
        <w:rPr>
          <w:color w:val="auto"/>
          <w:sz w:val="24"/>
          <w:szCs w:val="24"/>
        </w:rPr>
      </w:pPr>
      <w:bookmarkStart w:id="146" w:name="_Toc333177942"/>
      <w:r>
        <w:rPr>
          <w:color w:val="auto"/>
          <w:sz w:val="24"/>
          <w:szCs w:val="24"/>
        </w:rPr>
        <w:t>3.1.2</w:t>
      </w:r>
      <w:bookmarkEnd w:id="146"/>
      <w:r>
        <w:rPr>
          <w:color w:val="auto"/>
          <w:sz w:val="24"/>
          <w:szCs w:val="24"/>
        </w:rPr>
        <w:t>现有项目建设内容</w:t>
      </w:r>
    </w:p>
    <w:p>
      <w:pPr>
        <w:spacing w:line="520" w:lineRule="exact"/>
        <w:ind w:firstLine="480" w:firstLineChars="200"/>
        <w:rPr>
          <w:color w:val="auto"/>
          <w:kern w:val="0"/>
          <w:sz w:val="24"/>
        </w:rPr>
      </w:pPr>
      <w:r>
        <w:rPr>
          <w:color w:val="auto"/>
          <w:kern w:val="0"/>
          <w:sz w:val="24"/>
        </w:rPr>
        <w:t>主要建设内容见下表。</w:t>
      </w:r>
    </w:p>
    <w:p>
      <w:pPr>
        <w:spacing w:line="440" w:lineRule="exact"/>
        <w:jc w:val="center"/>
        <w:rPr>
          <w:b/>
          <w:color w:val="auto"/>
          <w:sz w:val="24"/>
        </w:rPr>
      </w:pPr>
      <w:r>
        <w:rPr>
          <w:b/>
          <w:color w:val="auto"/>
          <w:sz w:val="24"/>
        </w:rPr>
        <w:t>表3-1 项目建设内容一览表</w:t>
      </w:r>
    </w:p>
    <w:tbl>
      <w:tblPr>
        <w:tblStyle w:val="5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78"/>
        <w:gridCol w:w="1523"/>
        <w:gridCol w:w="5532"/>
        <w:gridCol w:w="9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78" w:type="dxa"/>
            <w:tcBorders>
              <w:tl2br w:val="nil"/>
              <w:tr2bl w:val="nil"/>
            </w:tcBorders>
            <w:noWrap w:val="0"/>
            <w:vAlign w:val="center"/>
          </w:tcPr>
          <w:p>
            <w:pPr>
              <w:adjustRightInd w:val="0"/>
              <w:snapToGrid w:val="0"/>
              <w:spacing w:line="360" w:lineRule="exact"/>
              <w:jc w:val="center"/>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Cs w:val="21"/>
              </w:rPr>
              <w:t>工程名称</w:t>
            </w:r>
          </w:p>
        </w:tc>
        <w:tc>
          <w:tcPr>
            <w:tcW w:w="1523" w:type="dxa"/>
            <w:tcBorders>
              <w:tl2br w:val="nil"/>
              <w:tr2bl w:val="nil"/>
            </w:tcBorders>
            <w:noWrap w:val="0"/>
            <w:vAlign w:val="center"/>
          </w:tcPr>
          <w:p>
            <w:pPr>
              <w:adjustRightInd w:val="0"/>
              <w:snapToGrid w:val="0"/>
              <w:spacing w:line="360" w:lineRule="exact"/>
              <w:jc w:val="center"/>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Cs w:val="21"/>
              </w:rPr>
              <w:t>单项工程名称</w:t>
            </w:r>
          </w:p>
        </w:tc>
        <w:tc>
          <w:tcPr>
            <w:tcW w:w="5532" w:type="dxa"/>
            <w:tcBorders>
              <w:tl2br w:val="nil"/>
              <w:tr2bl w:val="nil"/>
            </w:tcBorders>
            <w:noWrap w:val="0"/>
            <w:vAlign w:val="center"/>
          </w:tcPr>
          <w:p>
            <w:pPr>
              <w:adjustRightInd w:val="0"/>
              <w:snapToGrid w:val="0"/>
              <w:spacing w:line="360" w:lineRule="exact"/>
              <w:jc w:val="center"/>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Cs w:val="21"/>
              </w:rPr>
              <w:t>工程内容及规模</w:t>
            </w:r>
          </w:p>
          <w:p>
            <w:pPr>
              <w:adjustRightInd w:val="0"/>
              <w:snapToGrid w:val="0"/>
              <w:spacing w:line="360" w:lineRule="exact"/>
              <w:jc w:val="center"/>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Cs w:val="21"/>
              </w:rPr>
              <w:t>规模</w:t>
            </w:r>
          </w:p>
        </w:tc>
        <w:tc>
          <w:tcPr>
            <w:tcW w:w="924" w:type="dxa"/>
            <w:tcBorders>
              <w:tl2br w:val="nil"/>
              <w:tr2bl w:val="nil"/>
            </w:tcBorders>
            <w:noWrap w:val="0"/>
            <w:vAlign w:val="center"/>
          </w:tcPr>
          <w:p>
            <w:pPr>
              <w:adjustRightInd w:val="0"/>
              <w:snapToGrid w:val="0"/>
              <w:spacing w:line="360" w:lineRule="exact"/>
              <w:jc w:val="center"/>
              <w:rPr>
                <w:rFonts w:hint="eastAsia" w:ascii="Times New Roman" w:hAnsi="Times New Roman" w:eastAsia="宋体" w:cs="Times New Roman"/>
                <w:bCs/>
                <w:color w:val="auto"/>
                <w:szCs w:val="21"/>
                <w:lang w:eastAsia="zh-CN"/>
              </w:rPr>
            </w:pPr>
            <w:r>
              <w:rPr>
                <w:rFonts w:hint="eastAsia" w:ascii="Times New Roman" w:hAnsi="Times New Roman" w:eastAsia="宋体" w:cs="Times New Roman"/>
                <w:bCs/>
                <w:color w:val="auto"/>
                <w:szCs w:val="21"/>
                <w:lang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78" w:type="dxa"/>
            <w:tcBorders>
              <w:tl2br w:val="nil"/>
              <w:tr2bl w:val="nil"/>
            </w:tcBorders>
            <w:noWrap w:val="0"/>
            <w:vAlign w:val="center"/>
          </w:tcPr>
          <w:p>
            <w:pPr>
              <w:adjustRightInd w:val="0"/>
              <w:snapToGrid w:val="0"/>
              <w:spacing w:line="360" w:lineRule="exact"/>
              <w:jc w:val="center"/>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Cs w:val="21"/>
              </w:rPr>
              <w:t>主体工程</w:t>
            </w:r>
          </w:p>
        </w:tc>
        <w:tc>
          <w:tcPr>
            <w:tcW w:w="1523" w:type="dxa"/>
            <w:tcBorders>
              <w:tl2br w:val="nil"/>
              <w:tr2bl w:val="nil"/>
            </w:tcBorders>
            <w:noWrap w:val="0"/>
            <w:vAlign w:val="center"/>
          </w:tcPr>
          <w:p>
            <w:pPr>
              <w:adjustRightInd w:val="0"/>
              <w:snapToGrid w:val="0"/>
              <w:spacing w:line="360" w:lineRule="exact"/>
              <w:jc w:val="center"/>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Cs w:val="21"/>
                <w:lang w:eastAsia="zh-CN"/>
              </w:rPr>
              <w:t>生产</w:t>
            </w:r>
            <w:r>
              <w:rPr>
                <w:rFonts w:hint="default" w:ascii="Times New Roman" w:hAnsi="Times New Roman" w:eastAsia="宋体" w:cs="Times New Roman"/>
                <w:bCs/>
                <w:color w:val="auto"/>
                <w:szCs w:val="21"/>
              </w:rPr>
              <w:t>车间</w:t>
            </w:r>
          </w:p>
        </w:tc>
        <w:tc>
          <w:tcPr>
            <w:tcW w:w="55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rightChars="0" w:firstLine="0" w:firstLineChars="0"/>
              <w:jc w:val="left"/>
              <w:textAlignment w:val="auto"/>
              <w:outlineLvl w:val="9"/>
              <w:rPr>
                <w:rFonts w:hint="default" w:ascii="Times New Roman" w:hAnsi="Times New Roman" w:eastAsia="宋体" w:cs="Times New Roman"/>
                <w:color w:val="auto"/>
                <w:szCs w:val="21"/>
                <w:lang w:eastAsia="zh-CN"/>
              </w:rPr>
            </w:pPr>
            <w:r>
              <w:rPr>
                <w:rFonts w:hint="eastAsia" w:ascii="Times New Roman" w:hAnsi="Times New Roman" w:eastAsia="宋体" w:cs="Times New Roman"/>
                <w:color w:val="auto"/>
                <w:sz w:val="21"/>
                <w:szCs w:val="21"/>
                <w:lang w:eastAsia="zh-CN"/>
              </w:rPr>
              <w:t>租用河沥园区佳乐公司钢结构厂房</w:t>
            </w:r>
            <w:r>
              <w:rPr>
                <w:rFonts w:hint="eastAsia" w:ascii="Times New Roman" w:hAnsi="Times New Roman" w:eastAsia="宋体" w:cs="Times New Roman"/>
                <w:color w:val="auto"/>
                <w:sz w:val="21"/>
                <w:szCs w:val="21"/>
                <w:lang w:val="en-US" w:eastAsia="zh-CN"/>
              </w:rPr>
              <w:t>1</w:t>
            </w:r>
            <w:r>
              <w:rPr>
                <w:rFonts w:hint="default" w:ascii="Times New Roman" w:hAnsi="Times New Roman" w:eastAsia="宋体" w:cs="Times New Roman"/>
                <w:color w:val="auto"/>
                <w:sz w:val="21"/>
                <w:szCs w:val="21"/>
                <w:lang w:val="en-US" w:eastAsia="zh-CN"/>
              </w:rPr>
              <w:t>栋，</w:t>
            </w:r>
            <w:r>
              <w:rPr>
                <w:rFonts w:hint="eastAsia" w:ascii="Times New Roman" w:hAnsi="Times New Roman" w:eastAsia="宋体" w:cs="Times New Roman"/>
                <w:color w:val="auto"/>
                <w:sz w:val="21"/>
                <w:szCs w:val="21"/>
                <w:lang w:val="en-US" w:eastAsia="zh-CN"/>
              </w:rPr>
              <w:t>总</w:t>
            </w:r>
            <w:r>
              <w:rPr>
                <w:rFonts w:hint="default" w:ascii="Times New Roman" w:hAnsi="Times New Roman" w:eastAsia="宋体" w:cs="Times New Roman"/>
                <w:color w:val="auto"/>
                <w:sz w:val="21"/>
                <w:szCs w:val="21"/>
                <w:lang w:eastAsia="zh-CN"/>
              </w:rPr>
              <w:t>建筑面积为</w:t>
            </w:r>
            <w:r>
              <w:rPr>
                <w:rFonts w:hint="eastAsia" w:ascii="Times New Roman" w:hAnsi="Times New Roman" w:eastAsia="宋体" w:cs="Times New Roman"/>
                <w:color w:val="auto"/>
                <w:sz w:val="21"/>
                <w:szCs w:val="21"/>
                <w:lang w:val="en-US" w:eastAsia="zh-CN"/>
              </w:rPr>
              <w:t>2581.6</w:t>
            </w:r>
            <w:r>
              <w:rPr>
                <w:rFonts w:hint="default" w:ascii="Times New Roman" w:hAnsi="Times New Roman" w:eastAsia="宋体" w:cs="Times New Roman"/>
                <w:color w:val="auto"/>
                <w:sz w:val="21"/>
                <w:szCs w:val="21"/>
                <w:lang w:eastAsia="zh-CN"/>
              </w:rPr>
              <w:t>㎡，</w:t>
            </w:r>
            <w:r>
              <w:rPr>
                <w:rFonts w:hint="eastAsia" w:ascii="Times New Roman" w:hAnsi="Times New Roman" w:eastAsia="宋体" w:cs="Times New Roman"/>
                <w:color w:val="auto"/>
                <w:sz w:val="21"/>
                <w:szCs w:val="21"/>
                <w:lang w:val="en-US" w:eastAsia="zh-CN"/>
              </w:rPr>
              <w:t>购置辊涂机、搅拌机、烘干线、废气处理设施</w:t>
            </w:r>
            <w:r>
              <w:rPr>
                <w:rFonts w:hint="eastAsia" w:ascii="Times New Roman" w:hAnsi="Times New Roman" w:eastAsia="宋体" w:cs="Times New Roman"/>
                <w:color w:val="auto"/>
                <w:sz w:val="21"/>
                <w:szCs w:val="21"/>
                <w:lang w:eastAsia="zh-CN"/>
              </w:rPr>
              <w:t>等设</w:t>
            </w:r>
            <w:r>
              <w:rPr>
                <w:rFonts w:hint="eastAsia"/>
                <w:color w:val="auto"/>
                <w:sz w:val="21"/>
                <w:szCs w:val="21"/>
                <w:lang w:eastAsia="zh-CN"/>
              </w:rPr>
              <w:t>备</w:t>
            </w:r>
            <w:r>
              <w:rPr>
                <w:rFonts w:hint="eastAsia"/>
                <w:color w:val="auto"/>
                <w:sz w:val="21"/>
                <w:szCs w:val="21"/>
                <w:lang w:val="en-US" w:eastAsia="zh-CN"/>
              </w:rPr>
              <w:t>29台（套），</w:t>
            </w:r>
            <w:r>
              <w:rPr>
                <w:rFonts w:hint="eastAsia" w:ascii="Times New Roman" w:hAnsi="Times New Roman" w:eastAsia="宋体" w:cs="Times New Roman"/>
                <w:color w:val="auto"/>
                <w:sz w:val="21"/>
                <w:szCs w:val="21"/>
                <w:lang w:val="en-US" w:eastAsia="zh-CN"/>
              </w:rPr>
              <w:t>形成年产60万平方米金属橡胶发泡板及涂层板的生产能力</w:t>
            </w:r>
            <w:r>
              <w:rPr>
                <w:rFonts w:hint="default" w:ascii="Times New Roman" w:hAnsi="Times New Roman" w:eastAsia="宋体" w:cs="Times New Roman"/>
                <w:color w:val="auto"/>
                <w:sz w:val="21"/>
                <w:szCs w:val="21"/>
                <w:lang w:val="en-US" w:eastAsia="zh-CN"/>
              </w:rPr>
              <w:t>。</w:t>
            </w:r>
          </w:p>
        </w:tc>
        <w:tc>
          <w:tcPr>
            <w:tcW w:w="92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rightChars="0" w:firstLine="0" w:firstLineChars="0"/>
              <w:jc w:val="center"/>
              <w:textAlignment w:val="auto"/>
              <w:outlineLvl w:val="9"/>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厂房依托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78" w:type="dxa"/>
            <w:vMerge w:val="restart"/>
            <w:tcBorders>
              <w:tl2br w:val="nil"/>
              <w:tr2bl w:val="nil"/>
            </w:tcBorders>
            <w:noWrap w:val="0"/>
            <w:vAlign w:val="center"/>
          </w:tcPr>
          <w:p>
            <w:pPr>
              <w:adjustRightInd w:val="0"/>
              <w:snapToGrid w:val="0"/>
              <w:spacing w:line="360" w:lineRule="exact"/>
              <w:jc w:val="center"/>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Cs w:val="21"/>
              </w:rPr>
              <w:t>辅助工程</w:t>
            </w:r>
          </w:p>
        </w:tc>
        <w:tc>
          <w:tcPr>
            <w:tcW w:w="1523" w:type="dxa"/>
            <w:tcBorders>
              <w:tl2br w:val="nil"/>
              <w:tr2bl w:val="nil"/>
            </w:tcBorders>
            <w:noWrap w:val="0"/>
            <w:vAlign w:val="center"/>
          </w:tcPr>
          <w:p>
            <w:pPr>
              <w:adjustRightInd w:val="0"/>
              <w:snapToGrid w:val="0"/>
              <w:spacing w:line="360" w:lineRule="exact"/>
              <w:jc w:val="center"/>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Cs w:val="21"/>
              </w:rPr>
              <w:t>办公</w:t>
            </w:r>
            <w:r>
              <w:rPr>
                <w:rFonts w:hint="eastAsia" w:ascii="Times New Roman" w:hAnsi="Times New Roman" w:eastAsia="宋体" w:cs="Times New Roman"/>
                <w:bCs/>
                <w:color w:val="auto"/>
                <w:szCs w:val="21"/>
                <w:lang w:eastAsia="zh-CN"/>
              </w:rPr>
              <w:t>区</w:t>
            </w:r>
          </w:p>
        </w:tc>
        <w:tc>
          <w:tcPr>
            <w:tcW w:w="55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rightChars="0" w:firstLine="0" w:firstLineChars="0"/>
              <w:jc w:val="left"/>
              <w:textAlignment w:val="auto"/>
              <w:outlineLvl w:val="9"/>
              <w:rPr>
                <w:rFonts w:hint="default" w:ascii="Times New Roman" w:hAnsi="Times New Roman" w:eastAsia="宋体" w:cs="Times New Roman"/>
                <w:color w:val="auto"/>
                <w:szCs w:val="21"/>
              </w:rPr>
            </w:pPr>
            <w:r>
              <w:rPr>
                <w:rFonts w:hint="eastAsia" w:ascii="Times New Roman" w:hAnsi="Times New Roman" w:eastAsia="宋体" w:cs="Times New Roman"/>
                <w:color w:val="auto"/>
                <w:szCs w:val="21"/>
                <w:lang w:val="en-US" w:eastAsia="zh-CN"/>
              </w:rPr>
              <w:t>位于厂房内东北角，建筑面积约200</w:t>
            </w:r>
            <w:r>
              <w:rPr>
                <w:rFonts w:hint="default" w:ascii="Times New Roman" w:hAnsi="Times New Roman" w:eastAsia="宋体" w:cs="Times New Roman"/>
                <w:color w:val="auto"/>
                <w:szCs w:val="21"/>
              </w:rPr>
              <w:t>㎡</w:t>
            </w:r>
            <w:r>
              <w:rPr>
                <w:rFonts w:hint="eastAsia" w:ascii="Times New Roman" w:hAnsi="Times New Roman" w:eastAsia="宋体" w:cs="Times New Roman"/>
                <w:color w:val="auto"/>
                <w:szCs w:val="21"/>
                <w:lang w:eastAsia="zh-CN"/>
              </w:rPr>
              <w:t>，主要用于办公、业务接待及员工休息室等。</w:t>
            </w:r>
          </w:p>
        </w:tc>
        <w:tc>
          <w:tcPr>
            <w:tcW w:w="92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rightChars="0" w:firstLine="0" w:firstLineChars="0"/>
              <w:jc w:val="center"/>
              <w:textAlignment w:val="auto"/>
              <w:outlineLvl w:val="9"/>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78" w:type="dxa"/>
            <w:vMerge w:val="continue"/>
            <w:tcBorders>
              <w:tl2br w:val="nil"/>
              <w:tr2bl w:val="nil"/>
            </w:tcBorders>
            <w:noWrap w:val="0"/>
            <w:vAlign w:val="center"/>
          </w:tcPr>
          <w:p>
            <w:pPr>
              <w:adjustRightInd w:val="0"/>
              <w:snapToGrid w:val="0"/>
              <w:spacing w:line="360" w:lineRule="exact"/>
              <w:jc w:val="center"/>
              <w:rPr>
                <w:rFonts w:hint="default" w:ascii="Times New Roman" w:hAnsi="Times New Roman" w:eastAsia="宋体" w:cs="Times New Roman"/>
                <w:bCs/>
                <w:color w:val="auto"/>
                <w:szCs w:val="21"/>
              </w:rPr>
            </w:pPr>
          </w:p>
        </w:tc>
        <w:tc>
          <w:tcPr>
            <w:tcW w:w="1523" w:type="dxa"/>
            <w:tcBorders>
              <w:tl2br w:val="nil"/>
              <w:tr2bl w:val="nil"/>
            </w:tcBorders>
            <w:noWrap w:val="0"/>
            <w:vAlign w:val="center"/>
          </w:tcPr>
          <w:p>
            <w:pPr>
              <w:adjustRightInd w:val="0"/>
              <w:snapToGrid w:val="0"/>
              <w:spacing w:line="360" w:lineRule="exact"/>
              <w:jc w:val="center"/>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Cs w:val="21"/>
              </w:rPr>
              <w:t>仓库</w:t>
            </w:r>
          </w:p>
        </w:tc>
        <w:tc>
          <w:tcPr>
            <w:tcW w:w="55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rightChars="0" w:firstLine="0" w:firstLineChars="0"/>
              <w:jc w:val="left"/>
              <w:textAlignment w:val="auto"/>
              <w:outlineLvl w:val="9"/>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lang w:eastAsia="zh-CN"/>
              </w:rPr>
              <w:t>位于</w:t>
            </w:r>
            <w:r>
              <w:rPr>
                <w:rFonts w:hint="eastAsia" w:ascii="Times New Roman" w:hAnsi="Times New Roman" w:eastAsia="宋体" w:cs="Times New Roman"/>
                <w:color w:val="auto"/>
                <w:szCs w:val="21"/>
                <w:lang w:val="en-US" w:eastAsia="zh-CN"/>
              </w:rPr>
              <w:t>厂房内东南侧</w:t>
            </w:r>
            <w:r>
              <w:rPr>
                <w:rFonts w:hint="default" w:ascii="Times New Roman" w:hAnsi="Times New Roman" w:eastAsia="宋体" w:cs="Times New Roman"/>
                <w:color w:val="auto"/>
                <w:szCs w:val="21"/>
                <w:lang w:eastAsia="zh-CN"/>
              </w:rPr>
              <w:t>，</w:t>
            </w:r>
            <w:r>
              <w:rPr>
                <w:rFonts w:hint="default" w:ascii="Times New Roman" w:hAnsi="Times New Roman" w:eastAsia="宋体" w:cs="Times New Roman"/>
                <w:color w:val="auto"/>
                <w:szCs w:val="21"/>
              </w:rPr>
              <w:t>建筑面积</w:t>
            </w:r>
            <w:r>
              <w:rPr>
                <w:rFonts w:hint="eastAsia" w:ascii="Times New Roman" w:hAnsi="Times New Roman" w:eastAsia="宋体" w:cs="Times New Roman"/>
                <w:color w:val="auto"/>
                <w:szCs w:val="21"/>
                <w:lang w:eastAsia="zh-CN"/>
              </w:rPr>
              <w:t>约</w:t>
            </w:r>
            <w:r>
              <w:rPr>
                <w:rFonts w:hint="eastAsia" w:ascii="Times New Roman" w:hAnsi="Times New Roman" w:eastAsia="宋体" w:cs="Times New Roman"/>
                <w:color w:val="auto"/>
                <w:szCs w:val="21"/>
                <w:lang w:val="en-US" w:eastAsia="zh-CN"/>
              </w:rPr>
              <w:t>500</w:t>
            </w:r>
            <w:r>
              <w:rPr>
                <w:rFonts w:hint="default" w:ascii="Times New Roman" w:hAnsi="Times New Roman" w:eastAsia="宋体" w:cs="Times New Roman"/>
                <w:color w:val="auto"/>
                <w:szCs w:val="21"/>
              </w:rPr>
              <w:t>㎡</w:t>
            </w:r>
            <w:r>
              <w:rPr>
                <w:rFonts w:hint="eastAsia" w:ascii="Times New Roman" w:hAnsi="Times New Roman" w:eastAsia="宋体" w:cs="Times New Roman"/>
                <w:color w:val="auto"/>
                <w:szCs w:val="21"/>
                <w:lang w:eastAsia="zh-CN"/>
              </w:rPr>
              <w:t>，用于原材料及成品的储存。</w:t>
            </w:r>
          </w:p>
        </w:tc>
        <w:tc>
          <w:tcPr>
            <w:tcW w:w="92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rightChars="0" w:firstLine="0" w:firstLineChars="0"/>
              <w:jc w:val="center"/>
              <w:textAlignment w:val="auto"/>
              <w:outlineLvl w:val="9"/>
              <w:rPr>
                <w:rFonts w:hint="default" w:ascii="Times New Roman" w:hAnsi="Times New Roman" w:eastAsia="宋体" w:cs="Times New Roman"/>
                <w:color w:val="auto"/>
                <w:szCs w:val="21"/>
                <w:lang w:eastAsia="zh-CN"/>
              </w:rPr>
            </w:pPr>
            <w:r>
              <w:rPr>
                <w:rFonts w:hint="eastAsia" w:ascii="Times New Roman" w:hAnsi="Times New Roman" w:eastAsia="宋体" w:cs="Times New Roman"/>
                <w:color w:val="auto"/>
                <w:szCs w:val="21"/>
                <w:lang w:val="en-US" w:eastAsia="zh-CN"/>
              </w:rPr>
              <w:t>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78" w:type="dxa"/>
            <w:vMerge w:val="restart"/>
            <w:tcBorders>
              <w:tl2br w:val="nil"/>
              <w:tr2bl w:val="nil"/>
            </w:tcBorders>
            <w:noWrap w:val="0"/>
            <w:vAlign w:val="center"/>
          </w:tcPr>
          <w:p>
            <w:pPr>
              <w:adjustRightInd w:val="0"/>
              <w:snapToGrid w:val="0"/>
              <w:spacing w:line="360" w:lineRule="exact"/>
              <w:jc w:val="center"/>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Cs w:val="21"/>
              </w:rPr>
              <w:t>公用工程</w:t>
            </w:r>
          </w:p>
        </w:tc>
        <w:tc>
          <w:tcPr>
            <w:tcW w:w="1523" w:type="dxa"/>
            <w:tcBorders>
              <w:tl2br w:val="nil"/>
              <w:tr2bl w:val="nil"/>
            </w:tcBorders>
            <w:noWrap w:val="0"/>
            <w:vAlign w:val="center"/>
          </w:tcPr>
          <w:p>
            <w:pPr>
              <w:adjustRightInd w:val="0"/>
              <w:snapToGrid w:val="0"/>
              <w:spacing w:line="360" w:lineRule="exact"/>
              <w:jc w:val="center"/>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Cs w:val="21"/>
              </w:rPr>
              <w:t>供电</w:t>
            </w:r>
          </w:p>
        </w:tc>
        <w:tc>
          <w:tcPr>
            <w:tcW w:w="55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rightChars="0" w:firstLine="0" w:firstLineChars="0"/>
              <w:jc w:val="left"/>
              <w:textAlignment w:val="auto"/>
              <w:outlineLvl w:val="9"/>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Cs w:val="21"/>
              </w:rPr>
              <w:t>项目用电接自</w:t>
            </w:r>
            <w:r>
              <w:rPr>
                <w:rFonts w:hint="eastAsia" w:ascii="Times New Roman" w:hAnsi="Times New Roman" w:eastAsia="宋体" w:cs="Times New Roman"/>
                <w:bCs/>
                <w:color w:val="auto"/>
                <w:szCs w:val="21"/>
                <w:lang w:eastAsia="zh-CN"/>
              </w:rPr>
              <w:t>河沥园区</w:t>
            </w:r>
            <w:r>
              <w:rPr>
                <w:rFonts w:hint="default" w:ascii="Times New Roman" w:hAnsi="Times New Roman" w:eastAsia="宋体" w:cs="Times New Roman"/>
                <w:bCs/>
                <w:color w:val="auto"/>
                <w:szCs w:val="21"/>
              </w:rPr>
              <w:t>供电线路，</w:t>
            </w:r>
            <w:r>
              <w:rPr>
                <w:rFonts w:hint="eastAsia" w:cs="Times New Roman"/>
                <w:bCs/>
                <w:color w:val="auto"/>
                <w:szCs w:val="21"/>
                <w:lang w:eastAsia="zh-CN"/>
              </w:rPr>
              <w:t>建设</w:t>
            </w:r>
            <w:r>
              <w:rPr>
                <w:rFonts w:hint="eastAsia" w:ascii="Times New Roman" w:hAnsi="Times New Roman" w:eastAsia="宋体" w:cs="Times New Roman"/>
                <w:bCs/>
                <w:color w:val="auto"/>
                <w:szCs w:val="21"/>
                <w:lang w:val="en-US" w:eastAsia="zh-CN"/>
              </w:rPr>
              <w:t>200KVA变压器1台，</w:t>
            </w:r>
            <w:r>
              <w:rPr>
                <w:rFonts w:hint="default" w:ascii="Times New Roman" w:hAnsi="Times New Roman" w:eastAsia="宋体" w:cs="Times New Roman"/>
                <w:bCs/>
                <w:color w:val="auto"/>
                <w:szCs w:val="21"/>
              </w:rPr>
              <w:t>年用电量</w:t>
            </w:r>
            <w:r>
              <w:rPr>
                <w:rFonts w:hint="eastAsia" w:cs="Times New Roman"/>
                <w:bCs/>
                <w:color w:val="auto"/>
                <w:szCs w:val="21"/>
                <w:lang w:val="en-US" w:eastAsia="zh-CN"/>
              </w:rPr>
              <w:t>3</w:t>
            </w:r>
            <w:r>
              <w:rPr>
                <w:rFonts w:hint="eastAsia" w:ascii="Times New Roman" w:hAnsi="Times New Roman" w:eastAsia="宋体" w:cs="Times New Roman"/>
                <w:bCs/>
                <w:color w:val="auto"/>
                <w:szCs w:val="21"/>
                <w:lang w:val="en-US" w:eastAsia="zh-CN"/>
              </w:rPr>
              <w:t>0</w:t>
            </w:r>
            <w:r>
              <w:rPr>
                <w:rFonts w:hint="default" w:ascii="Times New Roman" w:hAnsi="Times New Roman" w:eastAsia="宋体" w:cs="Times New Roman"/>
                <w:bCs/>
                <w:color w:val="auto"/>
                <w:szCs w:val="21"/>
              </w:rPr>
              <w:t>万</w:t>
            </w:r>
            <w:r>
              <w:rPr>
                <w:rFonts w:hint="default" w:ascii="Times New Roman" w:hAnsi="Times New Roman" w:eastAsia="宋体" w:cs="Times New Roman"/>
                <w:bCs/>
                <w:color w:val="auto"/>
                <w:szCs w:val="21"/>
                <w:lang w:val="en-US" w:eastAsia="zh-CN"/>
              </w:rPr>
              <w:t>kwh。</w:t>
            </w:r>
          </w:p>
        </w:tc>
        <w:tc>
          <w:tcPr>
            <w:tcW w:w="92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rightChars="0" w:firstLine="0" w:firstLineChars="0"/>
              <w:jc w:val="center"/>
              <w:textAlignment w:val="auto"/>
              <w:outlineLvl w:val="9"/>
              <w:rPr>
                <w:rFonts w:hint="eastAsia" w:ascii="Times New Roman" w:hAnsi="Times New Roman" w:eastAsia="宋体" w:cs="Times New Roman"/>
                <w:bCs/>
                <w:color w:val="auto"/>
                <w:szCs w:val="21"/>
                <w:lang w:eastAsia="zh-CN"/>
              </w:rPr>
            </w:pPr>
            <w:r>
              <w:rPr>
                <w:rFonts w:hint="eastAsia" w:cs="Times New Roman"/>
                <w:bCs/>
                <w:color w:val="auto"/>
                <w:szCs w:val="21"/>
                <w:lang w:eastAsia="zh-CN"/>
              </w:rPr>
              <w:t>已建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78" w:type="dxa"/>
            <w:vMerge w:val="continue"/>
            <w:tcBorders>
              <w:tl2br w:val="nil"/>
              <w:tr2bl w:val="nil"/>
            </w:tcBorders>
            <w:noWrap w:val="0"/>
            <w:vAlign w:val="center"/>
          </w:tcPr>
          <w:p>
            <w:pPr>
              <w:adjustRightInd w:val="0"/>
              <w:snapToGrid w:val="0"/>
              <w:spacing w:line="360" w:lineRule="exact"/>
              <w:jc w:val="center"/>
              <w:rPr>
                <w:rFonts w:hint="default" w:ascii="Times New Roman" w:hAnsi="Times New Roman" w:eastAsia="宋体" w:cs="Times New Roman"/>
                <w:bCs/>
                <w:color w:val="auto"/>
                <w:szCs w:val="21"/>
              </w:rPr>
            </w:pPr>
          </w:p>
        </w:tc>
        <w:tc>
          <w:tcPr>
            <w:tcW w:w="1523" w:type="dxa"/>
            <w:tcBorders>
              <w:tl2br w:val="nil"/>
              <w:tr2bl w:val="nil"/>
            </w:tcBorders>
            <w:noWrap w:val="0"/>
            <w:vAlign w:val="center"/>
          </w:tcPr>
          <w:p>
            <w:pPr>
              <w:adjustRightInd w:val="0"/>
              <w:snapToGrid w:val="0"/>
              <w:spacing w:line="360" w:lineRule="exact"/>
              <w:jc w:val="center"/>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Cs w:val="21"/>
              </w:rPr>
              <w:t>供水</w:t>
            </w:r>
          </w:p>
        </w:tc>
        <w:tc>
          <w:tcPr>
            <w:tcW w:w="55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rightChars="0" w:firstLine="0" w:firstLineChars="0"/>
              <w:jc w:val="left"/>
              <w:textAlignment w:val="auto"/>
              <w:outlineLvl w:val="9"/>
              <w:rPr>
                <w:rFonts w:hint="default" w:ascii="Times New Roman" w:hAnsi="Times New Roman" w:eastAsia="宋体" w:cs="Times New Roman"/>
                <w:bCs/>
                <w:color w:val="auto"/>
                <w:szCs w:val="21"/>
              </w:rPr>
            </w:pPr>
            <w:r>
              <w:rPr>
                <w:rFonts w:hint="eastAsia" w:ascii="Times New Roman" w:hAnsi="Times New Roman" w:eastAsia="宋体" w:cs="Times New Roman"/>
                <w:color w:val="auto"/>
                <w:szCs w:val="21"/>
                <w:lang w:eastAsia="zh-CN"/>
              </w:rPr>
              <w:t>依托</w:t>
            </w:r>
            <w:r>
              <w:rPr>
                <w:rFonts w:hint="eastAsia" w:ascii="Times New Roman" w:hAnsi="Times New Roman" w:eastAsia="宋体" w:cs="Times New Roman"/>
                <w:color w:val="auto"/>
                <w:sz w:val="21"/>
                <w:szCs w:val="21"/>
                <w:lang w:eastAsia="zh-CN"/>
              </w:rPr>
              <w:t>佳乐公司</w:t>
            </w:r>
            <w:r>
              <w:rPr>
                <w:rFonts w:hint="eastAsia" w:ascii="Times New Roman" w:hAnsi="Times New Roman" w:eastAsia="宋体" w:cs="Times New Roman"/>
                <w:color w:val="auto"/>
                <w:szCs w:val="21"/>
                <w:lang w:eastAsia="zh-CN"/>
              </w:rPr>
              <w:t>内供水管网，由</w:t>
            </w:r>
            <w:r>
              <w:rPr>
                <w:rFonts w:hint="eastAsia" w:ascii="Times New Roman" w:hAnsi="Times New Roman" w:eastAsia="宋体" w:cs="Times New Roman"/>
                <w:bCs/>
                <w:color w:val="auto"/>
                <w:szCs w:val="21"/>
                <w:lang w:eastAsia="zh-CN"/>
              </w:rPr>
              <w:t>河沥园区自来水</w:t>
            </w:r>
            <w:r>
              <w:rPr>
                <w:rFonts w:hint="default" w:ascii="Times New Roman" w:hAnsi="Times New Roman" w:eastAsia="宋体" w:cs="Times New Roman"/>
                <w:color w:val="auto"/>
                <w:szCs w:val="21"/>
              </w:rPr>
              <w:t>管网</w:t>
            </w:r>
            <w:r>
              <w:rPr>
                <w:rFonts w:hint="eastAsia" w:ascii="Times New Roman" w:hAnsi="Times New Roman" w:eastAsia="宋体" w:cs="Times New Roman"/>
                <w:color w:val="auto"/>
                <w:szCs w:val="21"/>
                <w:lang w:eastAsia="zh-CN"/>
              </w:rPr>
              <w:t>供给，主要为职工生活用水</w:t>
            </w:r>
            <w:r>
              <w:rPr>
                <w:rFonts w:hint="default" w:ascii="Times New Roman" w:hAnsi="Times New Roman" w:eastAsia="宋体" w:cs="Times New Roman"/>
                <w:color w:val="auto"/>
                <w:szCs w:val="21"/>
                <w:lang w:eastAsia="zh-CN"/>
              </w:rPr>
              <w:t>。</w:t>
            </w:r>
          </w:p>
        </w:tc>
        <w:tc>
          <w:tcPr>
            <w:tcW w:w="92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rightChars="0" w:firstLine="0" w:firstLineChars="0"/>
              <w:jc w:val="center"/>
              <w:textAlignment w:val="auto"/>
              <w:outlineLvl w:val="9"/>
              <w:rPr>
                <w:rFonts w:hint="eastAsia" w:ascii="Times New Roman" w:hAnsi="Times New Roman" w:eastAsia="宋体" w:cs="Times New Roman"/>
                <w:color w:val="auto"/>
                <w:szCs w:val="21"/>
                <w:lang w:eastAsia="zh-CN"/>
              </w:rPr>
            </w:pPr>
            <w:r>
              <w:rPr>
                <w:rFonts w:hint="eastAsia" w:ascii="Times New Roman" w:hAnsi="Times New Roman" w:eastAsia="宋体" w:cs="Times New Roman"/>
                <w:color w:val="auto"/>
                <w:szCs w:val="21"/>
                <w:lang w:val="en-US" w:eastAsia="zh-CN"/>
              </w:rPr>
              <w:t>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78" w:type="dxa"/>
            <w:vMerge w:val="continue"/>
            <w:tcBorders>
              <w:tl2br w:val="nil"/>
              <w:tr2bl w:val="nil"/>
            </w:tcBorders>
            <w:noWrap w:val="0"/>
            <w:vAlign w:val="center"/>
          </w:tcPr>
          <w:p>
            <w:pPr>
              <w:adjustRightInd w:val="0"/>
              <w:snapToGrid w:val="0"/>
              <w:spacing w:line="360" w:lineRule="exact"/>
              <w:jc w:val="center"/>
              <w:rPr>
                <w:rFonts w:hint="default" w:ascii="Times New Roman" w:hAnsi="Times New Roman" w:eastAsia="宋体" w:cs="Times New Roman"/>
                <w:bCs/>
                <w:color w:val="auto"/>
                <w:szCs w:val="21"/>
              </w:rPr>
            </w:pPr>
          </w:p>
        </w:tc>
        <w:tc>
          <w:tcPr>
            <w:tcW w:w="1523" w:type="dxa"/>
            <w:tcBorders>
              <w:tl2br w:val="nil"/>
              <w:tr2bl w:val="nil"/>
            </w:tcBorders>
            <w:noWrap w:val="0"/>
            <w:vAlign w:val="center"/>
          </w:tcPr>
          <w:p>
            <w:pPr>
              <w:adjustRightInd w:val="0"/>
              <w:snapToGrid w:val="0"/>
              <w:spacing w:line="360" w:lineRule="exact"/>
              <w:jc w:val="center"/>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Cs w:val="21"/>
              </w:rPr>
              <w:t>排水</w:t>
            </w:r>
          </w:p>
        </w:tc>
        <w:tc>
          <w:tcPr>
            <w:tcW w:w="55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rightChars="0" w:firstLine="0" w:firstLineChars="0"/>
              <w:jc w:val="left"/>
              <w:textAlignment w:val="auto"/>
              <w:outlineLvl w:val="9"/>
              <w:rPr>
                <w:rFonts w:hint="default" w:ascii="Times New Roman" w:hAnsi="Times New Roman" w:eastAsia="宋体" w:cs="Times New Roman"/>
                <w:bCs/>
                <w:color w:val="auto"/>
                <w:szCs w:val="21"/>
              </w:rPr>
            </w:pPr>
            <w:r>
              <w:rPr>
                <w:rFonts w:hint="eastAsia" w:ascii="Times New Roman" w:hAnsi="Times New Roman" w:eastAsia="宋体" w:cs="Times New Roman"/>
                <w:color w:val="auto"/>
                <w:szCs w:val="21"/>
                <w:lang w:eastAsia="zh-CN"/>
              </w:rPr>
              <w:t>依托</w:t>
            </w:r>
            <w:r>
              <w:rPr>
                <w:rFonts w:hint="eastAsia" w:ascii="Times New Roman" w:hAnsi="Times New Roman" w:eastAsia="宋体" w:cs="Times New Roman"/>
                <w:color w:val="auto"/>
                <w:sz w:val="21"/>
                <w:szCs w:val="21"/>
                <w:lang w:eastAsia="zh-CN"/>
              </w:rPr>
              <w:t>佳乐公司</w:t>
            </w:r>
            <w:r>
              <w:rPr>
                <w:rFonts w:hint="eastAsia" w:ascii="Times New Roman" w:hAnsi="Times New Roman" w:eastAsia="宋体" w:cs="Times New Roman"/>
                <w:color w:val="auto"/>
                <w:szCs w:val="21"/>
                <w:lang w:eastAsia="zh-CN"/>
              </w:rPr>
              <w:t>厂区内</w:t>
            </w:r>
            <w:r>
              <w:rPr>
                <w:rFonts w:hint="default" w:ascii="Times New Roman" w:hAnsi="Times New Roman" w:eastAsia="宋体" w:cs="Times New Roman"/>
                <w:color w:val="auto"/>
                <w:szCs w:val="21"/>
              </w:rPr>
              <w:t>雨污管网分流，雨水收集后排入市政管网</w:t>
            </w:r>
            <w:r>
              <w:rPr>
                <w:rFonts w:hint="eastAsia" w:ascii="Times New Roman" w:hAnsi="Times New Roman" w:eastAsia="宋体" w:cs="Times New Roman"/>
                <w:color w:val="auto"/>
                <w:szCs w:val="21"/>
                <w:lang w:eastAsia="zh-CN"/>
              </w:rPr>
              <w:t>；</w:t>
            </w:r>
            <w:r>
              <w:rPr>
                <w:rFonts w:hint="default" w:ascii="Times New Roman" w:hAnsi="Times New Roman" w:eastAsia="宋体" w:cs="Times New Roman"/>
                <w:color w:val="auto"/>
                <w:szCs w:val="21"/>
              </w:rPr>
              <w:t>生活污水</w:t>
            </w:r>
            <w:r>
              <w:rPr>
                <w:rFonts w:hint="eastAsia" w:ascii="Times New Roman" w:hAnsi="Times New Roman" w:eastAsia="宋体" w:cs="Times New Roman"/>
                <w:color w:val="auto"/>
                <w:szCs w:val="21"/>
                <w:lang w:eastAsia="zh-CN"/>
              </w:rPr>
              <w:t>经</w:t>
            </w:r>
            <w:r>
              <w:rPr>
                <w:rFonts w:hint="default" w:ascii="Times New Roman" w:hAnsi="Times New Roman" w:eastAsia="宋体" w:cs="Times New Roman"/>
                <w:color w:val="auto"/>
                <w:szCs w:val="21"/>
              </w:rPr>
              <w:t>地埋式污水处理装置</w:t>
            </w:r>
            <w:r>
              <w:rPr>
                <w:rFonts w:hint="default" w:ascii="Times New Roman" w:hAnsi="Times New Roman" w:eastAsia="宋体" w:cs="Times New Roman"/>
                <w:color w:val="auto"/>
                <w:kern w:val="0"/>
                <w:szCs w:val="21"/>
              </w:rPr>
              <w:t>处理达标后</w:t>
            </w:r>
            <w:r>
              <w:rPr>
                <w:rFonts w:hint="eastAsia" w:ascii="Times New Roman" w:hAnsi="Times New Roman" w:eastAsia="宋体" w:cs="Times New Roman"/>
                <w:color w:val="auto"/>
                <w:kern w:val="0"/>
                <w:szCs w:val="21"/>
                <w:lang w:eastAsia="zh-CN"/>
              </w:rPr>
              <w:t>，通过园区污水管网排入东津河</w:t>
            </w:r>
            <w:r>
              <w:rPr>
                <w:rFonts w:hint="default" w:ascii="Times New Roman" w:hAnsi="Times New Roman" w:eastAsia="宋体" w:cs="Times New Roman"/>
                <w:color w:val="auto"/>
                <w:szCs w:val="21"/>
              </w:rPr>
              <w:t>。</w:t>
            </w:r>
          </w:p>
        </w:tc>
        <w:tc>
          <w:tcPr>
            <w:tcW w:w="92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rightChars="0" w:firstLine="0" w:firstLineChars="0"/>
              <w:jc w:val="center"/>
              <w:textAlignment w:val="auto"/>
              <w:outlineLvl w:val="9"/>
              <w:rPr>
                <w:rFonts w:hint="eastAsia" w:ascii="Times New Roman" w:hAnsi="Times New Roman" w:eastAsia="宋体" w:cs="Times New Roman"/>
                <w:color w:val="auto"/>
                <w:szCs w:val="21"/>
                <w:lang w:eastAsia="zh-CN"/>
              </w:rPr>
            </w:pPr>
            <w:r>
              <w:rPr>
                <w:rFonts w:hint="eastAsia" w:ascii="Times New Roman" w:hAnsi="Times New Roman" w:eastAsia="宋体" w:cs="Times New Roman"/>
                <w:color w:val="auto"/>
                <w:szCs w:val="21"/>
                <w:lang w:val="en-US" w:eastAsia="zh-CN"/>
              </w:rPr>
              <w:t>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78" w:type="dxa"/>
            <w:vMerge w:val="restart"/>
            <w:tcBorders>
              <w:tl2br w:val="nil"/>
              <w:tr2bl w:val="nil"/>
            </w:tcBorders>
            <w:noWrap w:val="0"/>
            <w:vAlign w:val="center"/>
          </w:tcPr>
          <w:p>
            <w:pPr>
              <w:adjustRightInd w:val="0"/>
              <w:snapToGrid w:val="0"/>
              <w:spacing w:line="360" w:lineRule="exact"/>
              <w:jc w:val="center"/>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Cs w:val="21"/>
              </w:rPr>
              <w:t>环保工程</w:t>
            </w:r>
          </w:p>
        </w:tc>
        <w:tc>
          <w:tcPr>
            <w:tcW w:w="1523" w:type="dxa"/>
            <w:tcBorders>
              <w:tl2br w:val="nil"/>
              <w:tr2bl w:val="nil"/>
            </w:tcBorders>
            <w:noWrap w:val="0"/>
            <w:vAlign w:val="center"/>
          </w:tcPr>
          <w:p>
            <w:pPr>
              <w:pStyle w:val="173"/>
              <w:snapToGrid w:val="0"/>
              <w:spacing w:line="360" w:lineRule="exact"/>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废气处理</w:t>
            </w:r>
          </w:p>
        </w:tc>
        <w:tc>
          <w:tcPr>
            <w:tcW w:w="55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rightChars="0" w:firstLine="0" w:firstLineChars="0"/>
              <w:jc w:val="left"/>
              <w:textAlignment w:val="auto"/>
              <w:outlineLvl w:val="9"/>
              <w:rPr>
                <w:rFonts w:hint="default" w:ascii="Times New Roman" w:hAnsi="Times New Roman" w:eastAsia="宋体" w:cs="Times New Roman"/>
                <w:bCs/>
                <w:color w:val="auto"/>
                <w:sz w:val="21"/>
                <w:szCs w:val="21"/>
              </w:rPr>
            </w:pPr>
            <w:r>
              <w:rPr>
                <w:rFonts w:hint="eastAsia" w:ascii="Times New Roman" w:hAnsi="Times New Roman" w:eastAsia="宋体" w:cs="Times New Roman"/>
                <w:bCs/>
                <w:color w:val="auto"/>
                <w:sz w:val="21"/>
                <w:szCs w:val="21"/>
                <w:lang w:val="en-US" w:eastAsia="zh-CN"/>
              </w:rPr>
              <w:t>橡胶溶解、辊涂、晾干、烘干等工序产生的有</w:t>
            </w:r>
            <w:r>
              <w:rPr>
                <w:rFonts w:hint="eastAsia" w:ascii="Times New Roman" w:hAnsi="Times New Roman" w:eastAsia="宋体" w:cs="Times New Roman"/>
                <w:color w:val="auto"/>
                <w:szCs w:val="21"/>
                <w:lang w:val="en-US" w:eastAsia="zh-CN"/>
              </w:rPr>
              <w:t>机废气分别收集后经1套</w:t>
            </w:r>
            <w:r>
              <w:rPr>
                <w:rFonts w:hint="eastAsia" w:ascii="Times New Roman" w:hAnsi="Times New Roman" w:eastAsia="宋体" w:cs="Times New Roman"/>
                <w:color w:val="auto"/>
                <w:szCs w:val="21"/>
              </w:rPr>
              <w:t>冷凝+高效滤油+复合光催化+活性炭吸附</w:t>
            </w:r>
            <w:r>
              <w:rPr>
                <w:rFonts w:hint="eastAsia" w:ascii="Times New Roman" w:hAnsi="Times New Roman" w:eastAsia="宋体" w:cs="Times New Roman"/>
                <w:color w:val="auto"/>
                <w:szCs w:val="21"/>
                <w:lang w:val="en-US" w:eastAsia="zh-CN"/>
              </w:rPr>
              <w:t>处理后，通过1根15米高排气筒外排；</w:t>
            </w:r>
            <w:r>
              <w:rPr>
                <w:rFonts w:hint="eastAsia" w:ascii="Times New Roman" w:hAnsi="Times New Roman" w:eastAsia="宋体" w:cs="Times New Roman"/>
                <w:bCs/>
                <w:color w:val="auto"/>
                <w:sz w:val="21"/>
                <w:szCs w:val="21"/>
                <w:lang w:val="en-US" w:eastAsia="zh-CN"/>
              </w:rPr>
              <w:t>车间加强机械通风设施。</w:t>
            </w:r>
          </w:p>
        </w:tc>
        <w:tc>
          <w:tcPr>
            <w:tcW w:w="92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rightChars="0" w:firstLine="0" w:firstLineChars="0"/>
              <w:jc w:val="center"/>
              <w:textAlignment w:val="auto"/>
              <w:outlineLvl w:val="9"/>
              <w:rPr>
                <w:rFonts w:hint="eastAsia" w:ascii="Times New Roman" w:hAnsi="Times New Roman" w:eastAsia="宋体" w:cs="Times New Roman"/>
                <w:bCs/>
                <w:color w:val="auto"/>
                <w:sz w:val="21"/>
                <w:szCs w:val="21"/>
                <w:lang w:val="en-US" w:eastAsia="zh-CN"/>
              </w:rPr>
            </w:pPr>
            <w:r>
              <w:rPr>
                <w:rFonts w:hint="eastAsia" w:cs="Times New Roman"/>
                <w:bCs/>
                <w:color w:val="auto"/>
                <w:szCs w:val="21"/>
                <w:lang w:eastAsia="zh-CN"/>
              </w:rPr>
              <w:t>已建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78" w:type="dxa"/>
            <w:vMerge w:val="continue"/>
            <w:tcBorders>
              <w:tl2br w:val="nil"/>
              <w:tr2bl w:val="nil"/>
            </w:tcBorders>
            <w:noWrap w:val="0"/>
            <w:vAlign w:val="center"/>
          </w:tcPr>
          <w:p>
            <w:pPr>
              <w:adjustRightInd w:val="0"/>
              <w:snapToGrid w:val="0"/>
              <w:spacing w:line="360" w:lineRule="exact"/>
              <w:jc w:val="center"/>
              <w:rPr>
                <w:rFonts w:hint="default" w:ascii="Times New Roman" w:hAnsi="Times New Roman" w:eastAsia="宋体" w:cs="Times New Roman"/>
                <w:bCs/>
                <w:color w:val="auto"/>
                <w:szCs w:val="21"/>
              </w:rPr>
            </w:pPr>
          </w:p>
        </w:tc>
        <w:tc>
          <w:tcPr>
            <w:tcW w:w="1523" w:type="dxa"/>
            <w:tcBorders>
              <w:tl2br w:val="nil"/>
              <w:tr2bl w:val="nil"/>
            </w:tcBorders>
            <w:noWrap w:val="0"/>
            <w:vAlign w:val="center"/>
          </w:tcPr>
          <w:p>
            <w:pPr>
              <w:pStyle w:val="173"/>
              <w:snapToGrid w:val="0"/>
              <w:spacing w:line="360" w:lineRule="exact"/>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废水处理</w:t>
            </w:r>
          </w:p>
        </w:tc>
        <w:tc>
          <w:tcPr>
            <w:tcW w:w="5532" w:type="dxa"/>
            <w:tcBorders>
              <w:tl2br w:val="nil"/>
              <w:tr2bl w:val="nil"/>
            </w:tcBorders>
            <w:noWrap w:val="0"/>
            <w:vAlign w:val="center"/>
          </w:tcPr>
          <w:p>
            <w:pPr>
              <w:pStyle w:val="173"/>
              <w:keepNext w:val="0"/>
              <w:keepLines w:val="0"/>
              <w:pageBreakBefore w:val="0"/>
              <w:widowControl w:val="0"/>
              <w:kinsoku/>
              <w:wordWrap/>
              <w:overflowPunct/>
              <w:topLinePunct w:val="0"/>
              <w:autoSpaceDE/>
              <w:autoSpaceDN/>
              <w:bidi w:val="0"/>
              <w:adjustRightInd w:val="0"/>
              <w:snapToGrid w:val="0"/>
              <w:spacing w:line="320" w:lineRule="exact"/>
              <w:ind w:left="0" w:leftChars="0" w:right="0" w:rightChars="0" w:firstLine="0" w:firstLineChars="0"/>
              <w:jc w:val="left"/>
              <w:textAlignment w:val="auto"/>
              <w:outlineLvl w:val="9"/>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生活污水</w:t>
            </w:r>
            <w:r>
              <w:rPr>
                <w:rFonts w:hint="eastAsia" w:ascii="Times New Roman" w:hAnsi="Times New Roman" w:eastAsia="宋体" w:cs="Times New Roman"/>
                <w:bCs/>
                <w:color w:val="auto"/>
                <w:sz w:val="21"/>
                <w:szCs w:val="21"/>
                <w:lang w:eastAsia="zh-CN"/>
              </w:rPr>
              <w:t>依托佳乐公司</w:t>
            </w:r>
            <w:r>
              <w:rPr>
                <w:rFonts w:hint="default" w:ascii="Times New Roman" w:hAnsi="Times New Roman" w:eastAsia="宋体" w:cs="Times New Roman"/>
                <w:bCs/>
                <w:color w:val="auto"/>
                <w:sz w:val="21"/>
                <w:szCs w:val="21"/>
              </w:rPr>
              <w:t>地埋式污水处理装置处理达标后</w:t>
            </w:r>
            <w:r>
              <w:rPr>
                <w:rFonts w:hint="eastAsia" w:ascii="Times New Roman" w:hAnsi="Times New Roman" w:eastAsia="宋体" w:cs="Times New Roman"/>
                <w:bCs/>
                <w:color w:val="auto"/>
                <w:sz w:val="21"/>
                <w:szCs w:val="21"/>
                <w:lang w:eastAsia="zh-CN"/>
              </w:rPr>
              <w:t>，通过园区污水管网排入东津河</w:t>
            </w:r>
            <w:r>
              <w:rPr>
                <w:rFonts w:hint="default" w:ascii="Times New Roman" w:hAnsi="Times New Roman" w:eastAsia="宋体" w:cs="Times New Roman"/>
                <w:bCs/>
                <w:color w:val="auto"/>
                <w:sz w:val="21"/>
                <w:szCs w:val="21"/>
              </w:rPr>
              <w:t>。</w:t>
            </w:r>
          </w:p>
        </w:tc>
        <w:tc>
          <w:tcPr>
            <w:tcW w:w="924" w:type="dxa"/>
            <w:tcBorders>
              <w:tl2br w:val="nil"/>
              <w:tr2bl w:val="nil"/>
            </w:tcBorders>
            <w:noWrap w:val="0"/>
            <w:vAlign w:val="center"/>
          </w:tcPr>
          <w:p>
            <w:pPr>
              <w:pStyle w:val="173"/>
              <w:keepNext w:val="0"/>
              <w:keepLines w:val="0"/>
              <w:pageBreakBefore w:val="0"/>
              <w:widowControl w:val="0"/>
              <w:kinsoku/>
              <w:wordWrap/>
              <w:overflowPunct/>
              <w:topLinePunct w:val="0"/>
              <w:autoSpaceDE/>
              <w:autoSpaceDN/>
              <w:bidi w:val="0"/>
              <w:adjustRightInd w:val="0"/>
              <w:snapToGrid w:val="0"/>
              <w:spacing w:line="320" w:lineRule="exact"/>
              <w:ind w:left="0" w:leftChars="0" w:right="0" w:rightChars="0" w:firstLine="0" w:firstLineChars="0"/>
              <w:jc w:val="center"/>
              <w:textAlignment w:val="auto"/>
              <w:outlineLvl w:val="9"/>
              <w:rPr>
                <w:rFonts w:hint="default" w:ascii="Times New Roman" w:hAnsi="Times New Roman" w:eastAsia="宋体" w:cs="Times New Roman"/>
                <w:bCs/>
                <w:color w:val="auto"/>
                <w:sz w:val="21"/>
                <w:szCs w:val="21"/>
              </w:rPr>
            </w:pPr>
            <w:r>
              <w:rPr>
                <w:rFonts w:hint="eastAsia" w:ascii="Times New Roman" w:hAnsi="Times New Roman" w:eastAsia="宋体" w:cs="Times New Roman"/>
                <w:color w:val="auto"/>
                <w:sz w:val="21"/>
                <w:szCs w:val="21"/>
                <w:lang w:val="en-US" w:eastAsia="zh-CN"/>
              </w:rPr>
              <w:t>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78" w:type="dxa"/>
            <w:vMerge w:val="continue"/>
            <w:tcBorders>
              <w:tl2br w:val="nil"/>
              <w:tr2bl w:val="nil"/>
            </w:tcBorders>
            <w:noWrap w:val="0"/>
            <w:vAlign w:val="center"/>
          </w:tcPr>
          <w:p>
            <w:pPr>
              <w:adjustRightInd w:val="0"/>
              <w:snapToGrid w:val="0"/>
              <w:spacing w:line="360" w:lineRule="exact"/>
              <w:jc w:val="center"/>
              <w:rPr>
                <w:rFonts w:hint="default" w:ascii="Times New Roman" w:hAnsi="Times New Roman" w:eastAsia="宋体" w:cs="Times New Roman"/>
                <w:bCs/>
                <w:color w:val="auto"/>
                <w:szCs w:val="21"/>
              </w:rPr>
            </w:pPr>
          </w:p>
        </w:tc>
        <w:tc>
          <w:tcPr>
            <w:tcW w:w="1523" w:type="dxa"/>
            <w:tcBorders>
              <w:tl2br w:val="nil"/>
              <w:tr2bl w:val="nil"/>
            </w:tcBorders>
            <w:noWrap w:val="0"/>
            <w:vAlign w:val="center"/>
          </w:tcPr>
          <w:p>
            <w:pPr>
              <w:pStyle w:val="173"/>
              <w:snapToGrid w:val="0"/>
              <w:spacing w:line="360" w:lineRule="exact"/>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噪声处理</w:t>
            </w:r>
          </w:p>
        </w:tc>
        <w:tc>
          <w:tcPr>
            <w:tcW w:w="5532" w:type="dxa"/>
            <w:tcBorders>
              <w:tl2br w:val="nil"/>
              <w:tr2bl w:val="nil"/>
            </w:tcBorders>
            <w:noWrap w:val="0"/>
            <w:vAlign w:val="center"/>
          </w:tcPr>
          <w:p>
            <w:pPr>
              <w:pStyle w:val="173"/>
              <w:keepNext w:val="0"/>
              <w:keepLines w:val="0"/>
              <w:pageBreakBefore w:val="0"/>
              <w:widowControl w:val="0"/>
              <w:kinsoku/>
              <w:wordWrap/>
              <w:overflowPunct/>
              <w:topLinePunct w:val="0"/>
              <w:autoSpaceDE/>
              <w:autoSpaceDN/>
              <w:bidi w:val="0"/>
              <w:adjustRightInd w:val="0"/>
              <w:snapToGrid w:val="0"/>
              <w:spacing w:line="320" w:lineRule="exact"/>
              <w:ind w:left="0" w:leftChars="0" w:right="0" w:rightChars="0" w:firstLine="0" w:firstLineChars="0"/>
              <w:jc w:val="left"/>
              <w:textAlignment w:val="auto"/>
              <w:outlineLvl w:val="9"/>
              <w:rPr>
                <w:rFonts w:hint="default" w:ascii="Times New Roman" w:hAnsi="Times New Roman" w:eastAsia="宋体" w:cs="Times New Roman"/>
                <w:bCs/>
                <w:color w:val="auto"/>
                <w:sz w:val="21"/>
                <w:szCs w:val="21"/>
              </w:rPr>
            </w:pPr>
            <w:r>
              <w:rPr>
                <w:rFonts w:hint="eastAsia" w:ascii="Times New Roman" w:hAnsi="Times New Roman" w:eastAsia="宋体" w:cs="Times New Roman"/>
                <w:color w:val="auto"/>
                <w:sz w:val="21"/>
                <w:szCs w:val="21"/>
                <w:lang w:eastAsia="zh-CN"/>
              </w:rPr>
              <w:t>噪声较大的设备</w:t>
            </w:r>
            <w:r>
              <w:rPr>
                <w:rFonts w:hint="default" w:ascii="Times New Roman" w:hAnsi="Times New Roman" w:eastAsia="宋体" w:cs="Times New Roman"/>
                <w:color w:val="auto"/>
                <w:sz w:val="21"/>
                <w:szCs w:val="21"/>
              </w:rPr>
              <w:t>采取</w:t>
            </w:r>
            <w:r>
              <w:rPr>
                <w:rFonts w:hint="eastAsia" w:ascii="Times New Roman" w:hAnsi="Times New Roman" w:eastAsia="宋体" w:cs="Times New Roman"/>
                <w:color w:val="auto"/>
                <w:sz w:val="21"/>
                <w:szCs w:val="21"/>
                <w:lang w:eastAsia="zh-CN"/>
              </w:rPr>
              <w:t>厂房隔音、</w:t>
            </w:r>
            <w:r>
              <w:rPr>
                <w:rFonts w:hint="default" w:ascii="Times New Roman" w:hAnsi="Times New Roman" w:eastAsia="宋体" w:cs="Times New Roman"/>
                <w:color w:val="auto"/>
                <w:sz w:val="21"/>
                <w:szCs w:val="21"/>
              </w:rPr>
              <w:t>消声，</w:t>
            </w:r>
            <w:r>
              <w:rPr>
                <w:rFonts w:hint="eastAsia" w:ascii="Times New Roman" w:hAnsi="Times New Roman" w:eastAsia="宋体" w:cs="Times New Roman"/>
                <w:color w:val="auto"/>
                <w:sz w:val="21"/>
                <w:szCs w:val="21"/>
                <w:lang w:eastAsia="zh-CN"/>
              </w:rPr>
              <w:t>减震</w:t>
            </w:r>
            <w:r>
              <w:rPr>
                <w:rFonts w:hint="default" w:ascii="Times New Roman" w:hAnsi="Times New Roman" w:eastAsia="宋体" w:cs="Times New Roman"/>
                <w:color w:val="auto"/>
                <w:sz w:val="21"/>
                <w:szCs w:val="21"/>
              </w:rPr>
              <w:t>措施</w:t>
            </w:r>
            <w:r>
              <w:rPr>
                <w:rFonts w:hint="eastAsia" w:ascii="Times New Roman" w:hAnsi="Times New Roman" w:eastAsia="宋体" w:cs="Times New Roman"/>
                <w:color w:val="auto"/>
                <w:sz w:val="21"/>
                <w:szCs w:val="21"/>
                <w:lang w:eastAsia="zh-CN"/>
              </w:rPr>
              <w:t>。</w:t>
            </w:r>
          </w:p>
        </w:tc>
        <w:tc>
          <w:tcPr>
            <w:tcW w:w="92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rightChars="0" w:firstLine="0" w:firstLineChars="0"/>
              <w:jc w:val="center"/>
              <w:textAlignment w:val="auto"/>
              <w:outlineLvl w:val="9"/>
              <w:rPr>
                <w:rFonts w:hint="eastAsia" w:ascii="Times New Roman" w:hAnsi="Times New Roman" w:eastAsia="宋体" w:cs="Times New Roman"/>
                <w:color w:val="auto"/>
                <w:sz w:val="21"/>
                <w:szCs w:val="21"/>
                <w:lang w:eastAsia="zh-CN"/>
              </w:rPr>
            </w:pPr>
            <w:r>
              <w:rPr>
                <w:rFonts w:hint="eastAsia" w:cs="Times New Roman"/>
                <w:bCs/>
                <w:color w:val="auto"/>
                <w:szCs w:val="21"/>
                <w:lang w:eastAsia="zh-CN"/>
              </w:rPr>
              <w:t>已建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78" w:type="dxa"/>
            <w:vMerge w:val="continue"/>
            <w:tcBorders>
              <w:tl2br w:val="nil"/>
              <w:tr2bl w:val="nil"/>
            </w:tcBorders>
            <w:noWrap w:val="0"/>
            <w:vAlign w:val="center"/>
          </w:tcPr>
          <w:p>
            <w:pPr>
              <w:adjustRightInd w:val="0"/>
              <w:snapToGrid w:val="0"/>
              <w:spacing w:line="360" w:lineRule="exact"/>
              <w:jc w:val="center"/>
              <w:rPr>
                <w:rFonts w:hint="default" w:ascii="Times New Roman" w:hAnsi="Times New Roman" w:eastAsia="宋体" w:cs="Times New Roman"/>
                <w:bCs/>
                <w:color w:val="auto"/>
                <w:szCs w:val="21"/>
              </w:rPr>
            </w:pPr>
          </w:p>
        </w:tc>
        <w:tc>
          <w:tcPr>
            <w:tcW w:w="1523" w:type="dxa"/>
            <w:tcBorders>
              <w:tl2br w:val="nil"/>
              <w:tr2bl w:val="nil"/>
            </w:tcBorders>
            <w:noWrap w:val="0"/>
            <w:vAlign w:val="center"/>
          </w:tcPr>
          <w:p>
            <w:pPr>
              <w:pStyle w:val="173"/>
              <w:snapToGrid w:val="0"/>
              <w:spacing w:line="360" w:lineRule="exact"/>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固废处理</w:t>
            </w:r>
          </w:p>
        </w:tc>
        <w:tc>
          <w:tcPr>
            <w:tcW w:w="5532" w:type="dxa"/>
            <w:tcBorders>
              <w:tl2br w:val="nil"/>
              <w:tr2bl w:val="nil"/>
            </w:tcBorders>
            <w:noWrap w:val="0"/>
            <w:vAlign w:val="center"/>
          </w:tcPr>
          <w:p>
            <w:pPr>
              <w:pStyle w:val="173"/>
              <w:keepNext w:val="0"/>
              <w:keepLines w:val="0"/>
              <w:pageBreakBefore w:val="0"/>
              <w:widowControl w:val="0"/>
              <w:kinsoku/>
              <w:wordWrap/>
              <w:overflowPunct/>
              <w:topLinePunct w:val="0"/>
              <w:autoSpaceDE/>
              <w:autoSpaceDN/>
              <w:bidi w:val="0"/>
              <w:adjustRightInd w:val="0"/>
              <w:snapToGrid w:val="0"/>
              <w:spacing w:line="320" w:lineRule="exact"/>
              <w:ind w:left="0" w:leftChars="0" w:right="0" w:rightChars="0" w:firstLine="0" w:firstLineChars="0"/>
              <w:jc w:val="left"/>
              <w:textAlignment w:val="auto"/>
              <w:outlineLvl w:val="9"/>
              <w:rPr>
                <w:rFonts w:hint="default" w:ascii="Times New Roman" w:hAnsi="Times New Roman" w:eastAsia="宋体" w:cs="Times New Roman"/>
                <w:bCs/>
                <w:color w:val="auto"/>
                <w:sz w:val="21"/>
                <w:szCs w:val="21"/>
              </w:rPr>
            </w:pPr>
            <w:r>
              <w:rPr>
                <w:rFonts w:hint="eastAsia" w:ascii="Times New Roman" w:hAnsi="Times New Roman" w:eastAsia="宋体" w:cs="Times New Roman"/>
                <w:bCs/>
                <w:color w:val="auto"/>
                <w:sz w:val="21"/>
                <w:szCs w:val="21"/>
                <w:lang w:eastAsia="zh-CN"/>
              </w:rPr>
              <w:t>一般固废临时储存场所</w:t>
            </w:r>
            <w:r>
              <w:rPr>
                <w:rFonts w:hint="default" w:ascii="Times New Roman" w:hAnsi="Times New Roman" w:eastAsia="宋体" w:cs="Times New Roman"/>
                <w:bCs/>
                <w:color w:val="auto"/>
                <w:sz w:val="21"/>
                <w:szCs w:val="21"/>
              </w:rPr>
              <w:t>；</w:t>
            </w:r>
            <w:r>
              <w:rPr>
                <w:rFonts w:hint="eastAsia" w:ascii="Times New Roman" w:hAnsi="Times New Roman" w:eastAsia="宋体" w:cs="Times New Roman"/>
                <w:bCs/>
                <w:color w:val="auto"/>
                <w:sz w:val="21"/>
                <w:szCs w:val="21"/>
                <w:lang w:eastAsia="zh-CN"/>
              </w:rPr>
              <w:t>危废临时储存场所；</w:t>
            </w:r>
            <w:r>
              <w:rPr>
                <w:rFonts w:hint="default" w:ascii="Times New Roman" w:hAnsi="Times New Roman" w:eastAsia="宋体" w:cs="Times New Roman"/>
                <w:bCs/>
                <w:color w:val="auto"/>
                <w:sz w:val="21"/>
                <w:szCs w:val="21"/>
              </w:rPr>
              <w:t>设置垃圾箱</w:t>
            </w:r>
            <w:r>
              <w:rPr>
                <w:rFonts w:hint="eastAsia" w:ascii="Times New Roman" w:hAnsi="Times New Roman" w:eastAsia="宋体" w:cs="Times New Roman"/>
                <w:bCs/>
                <w:color w:val="auto"/>
                <w:sz w:val="21"/>
                <w:szCs w:val="21"/>
                <w:lang w:eastAsia="zh-CN"/>
              </w:rPr>
              <w:t>等。</w:t>
            </w:r>
          </w:p>
        </w:tc>
        <w:tc>
          <w:tcPr>
            <w:tcW w:w="92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rightChars="0" w:firstLine="0" w:firstLineChars="0"/>
              <w:jc w:val="center"/>
              <w:textAlignment w:val="auto"/>
              <w:outlineLvl w:val="9"/>
              <w:rPr>
                <w:rFonts w:hint="eastAsia" w:ascii="Times New Roman" w:hAnsi="Times New Roman" w:eastAsia="宋体" w:cs="Times New Roman"/>
                <w:bCs/>
                <w:color w:val="auto"/>
                <w:sz w:val="21"/>
                <w:szCs w:val="21"/>
                <w:lang w:eastAsia="zh-CN"/>
              </w:rPr>
            </w:pPr>
            <w:r>
              <w:rPr>
                <w:rFonts w:hint="eastAsia" w:cs="Times New Roman"/>
                <w:bCs/>
                <w:color w:val="auto"/>
                <w:szCs w:val="21"/>
                <w:lang w:eastAsia="zh-CN"/>
              </w:rPr>
              <w:t>已建</w:t>
            </w:r>
          </w:p>
        </w:tc>
      </w:tr>
    </w:tbl>
    <w:p>
      <w:pPr>
        <w:pStyle w:val="2"/>
      </w:pPr>
    </w:p>
    <w:p>
      <w:pPr>
        <w:pStyle w:val="5"/>
        <w:spacing w:before="0" w:after="0" w:line="520" w:lineRule="exact"/>
        <w:rPr>
          <w:color w:val="auto"/>
          <w:sz w:val="24"/>
          <w:szCs w:val="24"/>
        </w:rPr>
      </w:pPr>
      <w:r>
        <w:rPr>
          <w:color w:val="auto"/>
          <w:sz w:val="24"/>
          <w:szCs w:val="24"/>
        </w:rPr>
        <w:t>3.1.3 现有项目产品方案</w:t>
      </w:r>
    </w:p>
    <w:p>
      <w:pPr>
        <w:autoSpaceDE w:val="0"/>
        <w:autoSpaceDN w:val="0"/>
        <w:adjustRightInd w:val="0"/>
        <w:snapToGrid w:val="0"/>
        <w:spacing w:line="360" w:lineRule="auto"/>
        <w:ind w:firstLine="480" w:firstLineChars="200"/>
        <w:jc w:val="left"/>
        <w:rPr>
          <w:color w:val="auto"/>
          <w:sz w:val="24"/>
        </w:rPr>
      </w:pPr>
      <w:r>
        <w:rPr>
          <w:color w:val="auto"/>
          <w:sz w:val="24"/>
          <w:szCs w:val="24"/>
        </w:rPr>
        <w:t>现有</w:t>
      </w:r>
      <w:r>
        <w:rPr>
          <w:color w:val="auto"/>
          <w:sz w:val="24"/>
        </w:rPr>
        <w:t>项目产品方案及用途见下表。</w:t>
      </w:r>
    </w:p>
    <w:p>
      <w:pPr>
        <w:autoSpaceDE w:val="0"/>
        <w:autoSpaceDN w:val="0"/>
        <w:adjustRightInd w:val="0"/>
        <w:snapToGrid w:val="0"/>
        <w:spacing w:line="500" w:lineRule="exact"/>
        <w:ind w:firstLine="482" w:firstLineChars="200"/>
        <w:jc w:val="center"/>
        <w:rPr>
          <w:b/>
          <w:color w:val="auto"/>
          <w:sz w:val="24"/>
        </w:rPr>
      </w:pPr>
      <w:r>
        <w:rPr>
          <w:b/>
          <w:color w:val="auto"/>
          <w:sz w:val="24"/>
        </w:rPr>
        <w:t>表</w:t>
      </w:r>
      <w:r>
        <w:rPr>
          <w:rFonts w:hint="eastAsia"/>
          <w:b/>
          <w:color w:val="auto"/>
          <w:sz w:val="24"/>
        </w:rPr>
        <w:t>3-2</w:t>
      </w:r>
      <w:r>
        <w:rPr>
          <w:b/>
          <w:color w:val="auto"/>
          <w:sz w:val="24"/>
        </w:rPr>
        <w:t xml:space="preserve"> 现有项目产品方案一览表</w:t>
      </w:r>
    </w:p>
    <w:tbl>
      <w:tblPr>
        <w:tblStyle w:val="5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36"/>
        <w:gridCol w:w="3790"/>
        <w:gridCol w:w="1452"/>
        <w:gridCol w:w="21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 w:hRule="atLeast"/>
          <w:jc w:val="center"/>
        </w:trPr>
        <w:tc>
          <w:tcPr>
            <w:tcW w:w="1036" w:type="dxa"/>
            <w:tcBorders>
              <w:tl2br w:val="nil"/>
              <w:tr2bl w:val="nil"/>
            </w:tcBorders>
            <w:noWrap w:val="0"/>
            <w:vAlign w:val="center"/>
          </w:tcPr>
          <w:p>
            <w:pPr>
              <w:spacing w:line="240" w:lineRule="atLeast"/>
              <w:jc w:val="center"/>
              <w:rPr>
                <w:rFonts w:hint="default" w:ascii="Times New Roman" w:hAnsi="Times New Roman" w:cs="Times New Roman"/>
                <w:b/>
                <w:bCs/>
                <w:color w:val="auto"/>
                <w:szCs w:val="21"/>
              </w:rPr>
            </w:pPr>
            <w:r>
              <w:rPr>
                <w:rFonts w:hint="default" w:ascii="Times New Roman" w:hAnsi="Times New Roman" w:cs="Times New Roman"/>
                <w:b/>
                <w:bCs/>
                <w:color w:val="auto"/>
                <w:szCs w:val="21"/>
              </w:rPr>
              <w:t>序号</w:t>
            </w:r>
          </w:p>
        </w:tc>
        <w:tc>
          <w:tcPr>
            <w:tcW w:w="3790" w:type="dxa"/>
            <w:tcBorders>
              <w:tl2br w:val="nil"/>
              <w:tr2bl w:val="nil"/>
            </w:tcBorders>
            <w:noWrap w:val="0"/>
            <w:vAlign w:val="center"/>
          </w:tcPr>
          <w:p>
            <w:pPr>
              <w:spacing w:line="240" w:lineRule="atLeast"/>
              <w:jc w:val="center"/>
              <w:rPr>
                <w:rFonts w:hint="default" w:ascii="Times New Roman" w:hAnsi="Times New Roman" w:cs="Times New Roman"/>
                <w:b/>
                <w:bCs/>
                <w:color w:val="auto"/>
                <w:szCs w:val="21"/>
              </w:rPr>
            </w:pPr>
            <w:r>
              <w:rPr>
                <w:rFonts w:hint="default" w:ascii="Times New Roman" w:hAnsi="Times New Roman" w:cs="Times New Roman"/>
                <w:b/>
                <w:bCs/>
                <w:color w:val="auto"/>
                <w:szCs w:val="21"/>
              </w:rPr>
              <w:t>产品名称</w:t>
            </w:r>
          </w:p>
        </w:tc>
        <w:tc>
          <w:tcPr>
            <w:tcW w:w="1452" w:type="dxa"/>
            <w:tcBorders>
              <w:tl2br w:val="nil"/>
              <w:tr2bl w:val="nil"/>
            </w:tcBorders>
            <w:noWrap w:val="0"/>
            <w:vAlign w:val="center"/>
          </w:tcPr>
          <w:p>
            <w:pPr>
              <w:spacing w:line="240" w:lineRule="atLeast"/>
              <w:jc w:val="center"/>
              <w:rPr>
                <w:rFonts w:hint="default" w:ascii="Times New Roman" w:hAnsi="Times New Roman" w:cs="Times New Roman"/>
                <w:b/>
                <w:bCs/>
                <w:color w:val="auto"/>
                <w:szCs w:val="21"/>
              </w:rPr>
            </w:pPr>
            <w:r>
              <w:rPr>
                <w:rFonts w:hint="default" w:ascii="Times New Roman" w:hAnsi="Times New Roman" w:cs="Times New Roman"/>
                <w:b/>
                <w:bCs/>
                <w:color w:val="auto"/>
                <w:szCs w:val="21"/>
              </w:rPr>
              <w:t>单位</w:t>
            </w:r>
          </w:p>
        </w:tc>
        <w:tc>
          <w:tcPr>
            <w:tcW w:w="2162" w:type="dxa"/>
            <w:tcBorders>
              <w:tl2br w:val="nil"/>
              <w:tr2bl w:val="nil"/>
            </w:tcBorders>
            <w:noWrap w:val="0"/>
            <w:vAlign w:val="center"/>
          </w:tcPr>
          <w:p>
            <w:pPr>
              <w:spacing w:line="240" w:lineRule="atLeast"/>
              <w:jc w:val="center"/>
              <w:rPr>
                <w:rFonts w:hint="default" w:ascii="Times New Roman" w:hAnsi="Times New Roman" w:cs="Times New Roman"/>
                <w:b/>
                <w:bCs/>
                <w:color w:val="auto"/>
                <w:szCs w:val="21"/>
              </w:rPr>
            </w:pPr>
            <w:r>
              <w:rPr>
                <w:rFonts w:hint="default" w:ascii="Times New Roman" w:hAnsi="Times New Roman" w:cs="Times New Roman"/>
                <w:b/>
                <w:bCs/>
                <w:color w:val="auto"/>
                <w:szCs w:val="21"/>
              </w:rPr>
              <w:t>年产量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 w:hRule="atLeast"/>
          <w:jc w:val="center"/>
        </w:trPr>
        <w:tc>
          <w:tcPr>
            <w:tcW w:w="1036" w:type="dxa"/>
            <w:tcBorders>
              <w:tl2br w:val="nil"/>
              <w:tr2bl w:val="nil"/>
            </w:tcBorders>
            <w:noWrap w:val="0"/>
            <w:vAlign w:val="center"/>
          </w:tcPr>
          <w:p>
            <w:pPr>
              <w:spacing w:line="240" w:lineRule="atLeast"/>
              <w:jc w:val="center"/>
              <w:rPr>
                <w:rFonts w:hint="default" w:ascii="Times New Roman" w:hAnsi="Times New Roman" w:cs="Times New Roman"/>
                <w:color w:val="auto"/>
                <w:szCs w:val="21"/>
              </w:rPr>
            </w:pPr>
            <w:r>
              <w:rPr>
                <w:rFonts w:hint="default" w:ascii="Times New Roman" w:hAnsi="Times New Roman" w:cs="Times New Roman"/>
                <w:color w:val="auto"/>
                <w:szCs w:val="21"/>
              </w:rPr>
              <w:t>1</w:t>
            </w:r>
          </w:p>
        </w:tc>
        <w:tc>
          <w:tcPr>
            <w:tcW w:w="3790" w:type="dxa"/>
            <w:tcBorders>
              <w:tl2br w:val="nil"/>
              <w:tr2bl w:val="nil"/>
            </w:tcBorders>
            <w:noWrap w:val="0"/>
            <w:vAlign w:val="center"/>
          </w:tcPr>
          <w:p>
            <w:pPr>
              <w:spacing w:line="240" w:lineRule="atLeast"/>
              <w:jc w:val="center"/>
              <w:rPr>
                <w:rFonts w:hint="default" w:ascii="Times New Roman" w:hAnsi="Times New Roman" w:cs="Times New Roman"/>
                <w:color w:val="auto"/>
                <w:szCs w:val="21"/>
              </w:rPr>
            </w:pPr>
            <w:r>
              <w:rPr>
                <w:rFonts w:hint="default" w:ascii="Times New Roman" w:hAnsi="Times New Roman" w:cs="Times New Roman"/>
                <w:color w:val="auto"/>
                <w:szCs w:val="21"/>
              </w:rPr>
              <w:t>金属橡胶发泡板</w:t>
            </w:r>
          </w:p>
        </w:tc>
        <w:tc>
          <w:tcPr>
            <w:tcW w:w="1452" w:type="dxa"/>
            <w:tcBorders>
              <w:tl2br w:val="nil"/>
              <w:tr2bl w:val="nil"/>
            </w:tcBorders>
            <w:noWrap w:val="0"/>
            <w:vAlign w:val="center"/>
          </w:tcPr>
          <w:p>
            <w:pPr>
              <w:spacing w:line="240" w:lineRule="atLeast"/>
              <w:jc w:val="center"/>
              <w:rPr>
                <w:rFonts w:hint="default" w:ascii="Times New Roman" w:hAnsi="Times New Roman" w:cs="Times New Roman"/>
                <w:color w:val="auto"/>
                <w:szCs w:val="21"/>
              </w:rPr>
            </w:pPr>
            <w:r>
              <w:rPr>
                <w:rFonts w:hint="default" w:ascii="Times New Roman" w:hAnsi="Times New Roman" w:cs="Times New Roman"/>
                <w:color w:val="auto"/>
                <w:szCs w:val="21"/>
              </w:rPr>
              <w:t>㎡</w:t>
            </w:r>
            <w:r>
              <w:rPr>
                <w:rFonts w:hint="default" w:ascii="Times New Roman" w:hAnsi="Times New Roman" w:cs="Times New Roman"/>
                <w:color w:val="auto"/>
                <w:szCs w:val="21"/>
                <w:lang w:val="en-US" w:eastAsia="zh-CN"/>
              </w:rPr>
              <w:t>/a</w:t>
            </w:r>
          </w:p>
        </w:tc>
        <w:tc>
          <w:tcPr>
            <w:tcW w:w="2162" w:type="dxa"/>
            <w:tcBorders>
              <w:tl2br w:val="nil"/>
              <w:tr2bl w:val="nil"/>
            </w:tcBorders>
            <w:noWrap w:val="0"/>
            <w:vAlign w:val="center"/>
          </w:tcPr>
          <w:p>
            <w:pPr>
              <w:spacing w:line="240" w:lineRule="atLeast"/>
              <w:jc w:val="center"/>
              <w:rPr>
                <w:rFonts w:hint="default" w:ascii="Times New Roman" w:hAnsi="Times New Roman" w:cs="Times New Roman"/>
                <w:color w:val="auto"/>
                <w:szCs w:val="21"/>
              </w:rPr>
            </w:pPr>
            <w:r>
              <w:rPr>
                <w:rFonts w:hint="default" w:ascii="Times New Roman" w:hAnsi="Times New Roman" w:cs="Times New Roman"/>
                <w:color w:val="auto"/>
                <w:szCs w:val="21"/>
              </w:rPr>
              <w:t>30</w:t>
            </w:r>
            <w:r>
              <w:rPr>
                <w:rFonts w:hint="default" w:ascii="Times New Roman" w:hAnsi="Times New Roman" w:cs="Times New Roman"/>
                <w:color w:val="auto"/>
                <w:szCs w:val="21"/>
                <w:lang w:eastAsia="zh-CN"/>
              </w:rPr>
              <w:t>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 w:hRule="atLeast"/>
          <w:jc w:val="center"/>
        </w:trPr>
        <w:tc>
          <w:tcPr>
            <w:tcW w:w="1036" w:type="dxa"/>
            <w:tcBorders>
              <w:tl2br w:val="nil"/>
              <w:tr2bl w:val="nil"/>
            </w:tcBorders>
            <w:noWrap w:val="0"/>
            <w:vAlign w:val="center"/>
          </w:tcPr>
          <w:p>
            <w:pPr>
              <w:spacing w:line="240" w:lineRule="atLeast"/>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2</w:t>
            </w:r>
          </w:p>
        </w:tc>
        <w:tc>
          <w:tcPr>
            <w:tcW w:w="3790" w:type="dxa"/>
            <w:tcBorders>
              <w:tl2br w:val="nil"/>
              <w:tr2bl w:val="nil"/>
            </w:tcBorders>
            <w:noWrap w:val="0"/>
            <w:vAlign w:val="center"/>
          </w:tcPr>
          <w:p>
            <w:pPr>
              <w:spacing w:line="240" w:lineRule="atLeast"/>
              <w:jc w:val="center"/>
              <w:rPr>
                <w:rFonts w:hint="default" w:ascii="Times New Roman" w:hAnsi="Times New Roman" w:cs="Times New Roman"/>
                <w:color w:val="auto"/>
                <w:szCs w:val="21"/>
                <w:lang w:eastAsia="zh-CN"/>
              </w:rPr>
            </w:pPr>
            <w:r>
              <w:rPr>
                <w:rFonts w:hint="default" w:ascii="Times New Roman" w:hAnsi="Times New Roman" w:cs="Times New Roman"/>
                <w:color w:val="auto"/>
                <w:szCs w:val="21"/>
              </w:rPr>
              <w:t>金属橡胶涂层板</w:t>
            </w:r>
          </w:p>
        </w:tc>
        <w:tc>
          <w:tcPr>
            <w:tcW w:w="1452" w:type="dxa"/>
            <w:tcBorders>
              <w:tl2br w:val="nil"/>
              <w:tr2bl w:val="nil"/>
            </w:tcBorders>
            <w:noWrap w:val="0"/>
            <w:vAlign w:val="center"/>
          </w:tcPr>
          <w:p>
            <w:pPr>
              <w:spacing w:line="240" w:lineRule="atLeast"/>
              <w:jc w:val="center"/>
              <w:rPr>
                <w:rFonts w:hint="default" w:ascii="Times New Roman" w:hAnsi="Times New Roman" w:cs="Times New Roman"/>
                <w:color w:val="auto"/>
                <w:szCs w:val="21"/>
              </w:rPr>
            </w:pPr>
            <w:r>
              <w:rPr>
                <w:rFonts w:hint="default" w:ascii="Times New Roman" w:hAnsi="Times New Roman" w:cs="Times New Roman"/>
                <w:color w:val="auto"/>
                <w:szCs w:val="21"/>
              </w:rPr>
              <w:t>㎡</w:t>
            </w:r>
            <w:r>
              <w:rPr>
                <w:rFonts w:hint="default" w:ascii="Times New Roman" w:hAnsi="Times New Roman" w:cs="Times New Roman"/>
                <w:color w:val="auto"/>
                <w:szCs w:val="21"/>
                <w:lang w:val="en-US" w:eastAsia="zh-CN"/>
              </w:rPr>
              <w:t>/a</w:t>
            </w:r>
          </w:p>
        </w:tc>
        <w:tc>
          <w:tcPr>
            <w:tcW w:w="2162" w:type="dxa"/>
            <w:tcBorders>
              <w:tl2br w:val="nil"/>
              <w:tr2bl w:val="nil"/>
            </w:tcBorders>
            <w:noWrap w:val="0"/>
            <w:vAlign w:val="center"/>
          </w:tcPr>
          <w:p>
            <w:pPr>
              <w:spacing w:line="240" w:lineRule="atLeast"/>
              <w:jc w:val="center"/>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rPr>
              <w:t>30</w:t>
            </w:r>
            <w:r>
              <w:rPr>
                <w:rFonts w:hint="default" w:ascii="Times New Roman" w:hAnsi="Times New Roman" w:cs="Times New Roman"/>
                <w:color w:val="auto"/>
                <w:szCs w:val="21"/>
                <w:lang w:eastAsia="zh-CN"/>
              </w:rPr>
              <w:t>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 w:hRule="atLeast"/>
          <w:jc w:val="center"/>
        </w:trPr>
        <w:tc>
          <w:tcPr>
            <w:tcW w:w="4826" w:type="dxa"/>
            <w:gridSpan w:val="2"/>
            <w:tcBorders>
              <w:tl2br w:val="nil"/>
              <w:tr2bl w:val="nil"/>
            </w:tcBorders>
            <w:noWrap w:val="0"/>
            <w:vAlign w:val="center"/>
          </w:tcPr>
          <w:p>
            <w:pPr>
              <w:spacing w:line="240" w:lineRule="atLeast"/>
              <w:jc w:val="center"/>
              <w:rPr>
                <w:rFonts w:hint="default" w:ascii="Times New Roman" w:hAnsi="Times New Roman" w:eastAsia="宋体" w:cs="Times New Roman"/>
                <w:color w:val="auto"/>
                <w:szCs w:val="21"/>
                <w:lang w:eastAsia="zh-CN"/>
              </w:rPr>
            </w:pPr>
            <w:r>
              <w:rPr>
                <w:rFonts w:hint="default" w:ascii="Times New Roman" w:hAnsi="Times New Roman" w:cs="Times New Roman"/>
                <w:color w:val="auto"/>
                <w:szCs w:val="21"/>
                <w:lang w:eastAsia="zh-CN"/>
              </w:rPr>
              <w:t>合计</w:t>
            </w:r>
          </w:p>
        </w:tc>
        <w:tc>
          <w:tcPr>
            <w:tcW w:w="1452" w:type="dxa"/>
            <w:tcBorders>
              <w:tl2br w:val="nil"/>
              <w:tr2bl w:val="nil"/>
            </w:tcBorders>
            <w:noWrap w:val="0"/>
            <w:vAlign w:val="center"/>
          </w:tcPr>
          <w:p>
            <w:pPr>
              <w:spacing w:line="240" w:lineRule="atLeast"/>
              <w:jc w:val="center"/>
              <w:rPr>
                <w:rFonts w:hint="default" w:ascii="Times New Roman" w:hAnsi="Times New Roman" w:cs="Times New Roman"/>
                <w:color w:val="auto"/>
                <w:szCs w:val="21"/>
              </w:rPr>
            </w:pPr>
            <w:r>
              <w:rPr>
                <w:rFonts w:hint="default" w:ascii="Times New Roman" w:hAnsi="Times New Roman" w:cs="Times New Roman"/>
                <w:color w:val="auto"/>
                <w:szCs w:val="21"/>
              </w:rPr>
              <w:t>㎡</w:t>
            </w:r>
            <w:r>
              <w:rPr>
                <w:rFonts w:hint="default" w:ascii="Times New Roman" w:hAnsi="Times New Roman" w:cs="Times New Roman"/>
                <w:color w:val="auto"/>
                <w:szCs w:val="21"/>
                <w:lang w:val="en-US" w:eastAsia="zh-CN"/>
              </w:rPr>
              <w:t>/a</w:t>
            </w:r>
          </w:p>
        </w:tc>
        <w:tc>
          <w:tcPr>
            <w:tcW w:w="2162" w:type="dxa"/>
            <w:tcBorders>
              <w:tl2br w:val="nil"/>
              <w:tr2bl w:val="nil"/>
            </w:tcBorders>
            <w:noWrap w:val="0"/>
            <w:vAlign w:val="center"/>
          </w:tcPr>
          <w:p>
            <w:pPr>
              <w:spacing w:line="240" w:lineRule="atLeast"/>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60万</w:t>
            </w:r>
          </w:p>
        </w:tc>
      </w:tr>
    </w:tbl>
    <w:p>
      <w:pPr>
        <w:pStyle w:val="5"/>
        <w:spacing w:before="0" w:after="0" w:line="520" w:lineRule="exact"/>
        <w:rPr>
          <w:color w:val="auto"/>
          <w:sz w:val="24"/>
          <w:szCs w:val="24"/>
        </w:rPr>
      </w:pPr>
      <w:r>
        <w:rPr>
          <w:color w:val="auto"/>
          <w:sz w:val="24"/>
          <w:szCs w:val="24"/>
        </w:rPr>
        <w:t>3.1.4 地面运输</w:t>
      </w:r>
    </w:p>
    <w:p>
      <w:pPr>
        <w:spacing w:line="540" w:lineRule="exact"/>
        <w:ind w:firstLine="482"/>
        <w:rPr>
          <w:color w:val="auto"/>
          <w:sz w:val="24"/>
        </w:rPr>
      </w:pPr>
      <w:r>
        <w:rPr>
          <w:color w:val="auto"/>
          <w:sz w:val="24"/>
        </w:rPr>
        <w:t>项目各原辅料及产品均采用陆运。</w:t>
      </w:r>
    </w:p>
    <w:p>
      <w:pPr>
        <w:pStyle w:val="5"/>
        <w:spacing w:before="0" w:after="0" w:line="520" w:lineRule="exact"/>
        <w:rPr>
          <w:color w:val="auto"/>
          <w:sz w:val="24"/>
          <w:szCs w:val="24"/>
        </w:rPr>
      </w:pPr>
      <w:r>
        <w:rPr>
          <w:color w:val="auto"/>
          <w:sz w:val="24"/>
          <w:szCs w:val="24"/>
        </w:rPr>
        <w:t>3.1.5 劳动定员、年运行时间及工作制度</w:t>
      </w:r>
    </w:p>
    <w:p>
      <w:pPr>
        <w:spacing w:line="520" w:lineRule="exact"/>
        <w:ind w:firstLine="480" w:firstLineChars="200"/>
        <w:rPr>
          <w:color w:val="auto"/>
          <w:sz w:val="24"/>
        </w:rPr>
      </w:pPr>
      <w:r>
        <w:rPr>
          <w:color w:val="auto"/>
          <w:sz w:val="24"/>
        </w:rPr>
        <w:t>项目劳动定员</w:t>
      </w:r>
      <w:r>
        <w:rPr>
          <w:rFonts w:hint="eastAsia"/>
          <w:color w:val="auto"/>
          <w:sz w:val="24"/>
          <w:lang w:val="en-US" w:eastAsia="zh-CN"/>
        </w:rPr>
        <w:t>5</w:t>
      </w:r>
      <w:r>
        <w:rPr>
          <w:color w:val="auto"/>
          <w:sz w:val="24"/>
        </w:rPr>
        <w:t>0人；年工作日300天，采用</w:t>
      </w:r>
      <w:r>
        <w:rPr>
          <w:rFonts w:hint="eastAsia"/>
          <w:color w:val="auto"/>
          <w:sz w:val="24"/>
          <w:lang w:val="en-US" w:eastAsia="zh-CN"/>
        </w:rPr>
        <w:t>1</w:t>
      </w:r>
      <w:r>
        <w:rPr>
          <w:color w:val="auto"/>
          <w:sz w:val="24"/>
        </w:rPr>
        <w:t>班制，每班工作8小时。</w:t>
      </w:r>
      <w:r>
        <w:rPr>
          <w:rFonts w:hint="eastAsia"/>
          <w:color w:val="auto"/>
          <w:sz w:val="24"/>
          <w:lang w:eastAsia="zh-CN"/>
        </w:rPr>
        <w:t>不</w:t>
      </w:r>
      <w:r>
        <w:rPr>
          <w:color w:val="auto"/>
          <w:sz w:val="24"/>
        </w:rPr>
        <w:t>提供</w:t>
      </w:r>
      <w:r>
        <w:rPr>
          <w:rFonts w:hint="eastAsia"/>
          <w:color w:val="auto"/>
          <w:sz w:val="24"/>
          <w:lang w:eastAsia="zh-CN"/>
        </w:rPr>
        <w:t>食宿</w:t>
      </w:r>
      <w:r>
        <w:rPr>
          <w:color w:val="auto"/>
          <w:sz w:val="24"/>
        </w:rPr>
        <w:t>。</w:t>
      </w:r>
    </w:p>
    <w:p>
      <w:pPr>
        <w:pStyle w:val="5"/>
        <w:spacing w:before="0" w:after="0" w:line="520" w:lineRule="exact"/>
        <w:rPr>
          <w:color w:val="auto"/>
          <w:sz w:val="24"/>
          <w:szCs w:val="24"/>
        </w:rPr>
      </w:pPr>
      <w:r>
        <w:rPr>
          <w:color w:val="auto"/>
          <w:sz w:val="24"/>
          <w:szCs w:val="24"/>
        </w:rPr>
        <w:t>3.1.6 公用工程</w:t>
      </w:r>
    </w:p>
    <w:p>
      <w:pPr>
        <w:spacing w:line="540" w:lineRule="exact"/>
        <w:ind w:firstLine="480" w:firstLineChars="200"/>
        <w:rPr>
          <w:rFonts w:hint="default" w:ascii="Times New Roman" w:hAnsi="Times New Roman" w:cs="Times New Roman"/>
          <w:color w:val="auto"/>
          <w:sz w:val="24"/>
        </w:rPr>
      </w:pPr>
      <w:r>
        <w:rPr>
          <w:rFonts w:hint="eastAsia"/>
          <w:color w:val="auto"/>
          <w:sz w:val="24"/>
          <w:lang w:val="en-US" w:eastAsia="zh-CN"/>
        </w:rPr>
        <w:t>1、</w:t>
      </w:r>
      <w:r>
        <w:rPr>
          <w:color w:val="auto"/>
          <w:sz w:val="24"/>
        </w:rPr>
        <w:t>供水</w:t>
      </w:r>
      <w:r>
        <w:rPr>
          <w:rFonts w:hint="eastAsia"/>
          <w:color w:val="auto"/>
          <w:sz w:val="24"/>
          <w:lang w:eastAsia="zh-CN"/>
        </w:rPr>
        <w:t>：</w:t>
      </w:r>
      <w:r>
        <w:rPr>
          <w:rFonts w:hint="default" w:ascii="Times New Roman" w:hAnsi="Times New Roman" w:cs="Times New Roman"/>
          <w:color w:val="auto"/>
          <w:sz w:val="24"/>
          <w:szCs w:val="24"/>
        </w:rPr>
        <w:t>项目用水依托</w:t>
      </w:r>
      <w:r>
        <w:rPr>
          <w:rFonts w:hint="eastAsia" w:ascii="Times New Roman" w:hAnsi="Times New Roman" w:cs="Times New Roman"/>
          <w:color w:val="auto"/>
          <w:sz w:val="24"/>
          <w:szCs w:val="24"/>
          <w:lang w:eastAsia="zh-CN"/>
        </w:rPr>
        <w:t>佳乐公司</w:t>
      </w:r>
      <w:r>
        <w:rPr>
          <w:rFonts w:hint="default" w:ascii="Times New Roman" w:hAnsi="Times New Roman" w:cs="Times New Roman"/>
          <w:color w:val="auto"/>
          <w:sz w:val="24"/>
          <w:szCs w:val="24"/>
        </w:rPr>
        <w:t>原有供水管网，由</w:t>
      </w:r>
      <w:r>
        <w:rPr>
          <w:rFonts w:hint="eastAsia" w:ascii="Times New Roman" w:hAnsi="Times New Roman" w:cs="Times New Roman"/>
          <w:color w:val="auto"/>
          <w:sz w:val="24"/>
          <w:szCs w:val="24"/>
          <w:lang w:eastAsia="zh-CN"/>
        </w:rPr>
        <w:t>河沥园区</w:t>
      </w:r>
      <w:r>
        <w:rPr>
          <w:rFonts w:hint="default" w:ascii="Times New Roman" w:hAnsi="Times New Roman" w:cs="Times New Roman"/>
          <w:color w:val="auto"/>
          <w:sz w:val="24"/>
          <w:szCs w:val="24"/>
        </w:rPr>
        <w:t>自来水厂供给，</w:t>
      </w:r>
      <w:r>
        <w:rPr>
          <w:rFonts w:hint="default" w:ascii="Times New Roman" w:hAnsi="Times New Roman" w:cs="Times New Roman"/>
          <w:color w:val="auto"/>
          <w:sz w:val="24"/>
        </w:rPr>
        <w:t>主要为</w:t>
      </w:r>
      <w:r>
        <w:rPr>
          <w:rFonts w:hint="default" w:ascii="Times New Roman" w:hAnsi="Times New Roman" w:cs="Times New Roman"/>
          <w:color w:val="auto"/>
          <w:sz w:val="24"/>
          <w:lang w:eastAsia="zh-CN"/>
        </w:rPr>
        <w:t>职工生活用水</w:t>
      </w:r>
      <w:r>
        <w:rPr>
          <w:rFonts w:hint="default" w:ascii="Times New Roman" w:hAnsi="Times New Roman" w:cs="Times New Roman"/>
          <w:color w:val="auto"/>
          <w:sz w:val="24"/>
          <w:szCs w:val="24"/>
        </w:rPr>
        <w:t>。</w:t>
      </w:r>
    </w:p>
    <w:p>
      <w:pPr>
        <w:numPr>
          <w:ilvl w:val="0"/>
          <w:numId w:val="2"/>
        </w:numPr>
        <w:adjustRightInd w:val="0"/>
        <w:snapToGrid w:val="0"/>
        <w:spacing w:line="520" w:lineRule="exact"/>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排水</w:t>
      </w:r>
      <w:r>
        <w:rPr>
          <w:rFonts w:hint="eastAsia" w:cs="Times New Roman"/>
          <w:color w:val="auto"/>
          <w:sz w:val="24"/>
          <w:lang w:eastAsia="zh-CN"/>
        </w:rPr>
        <w:t>：</w:t>
      </w:r>
      <w:r>
        <w:rPr>
          <w:rFonts w:hint="default" w:ascii="Times New Roman" w:hAnsi="Times New Roman" w:cs="Times New Roman"/>
          <w:color w:val="auto"/>
          <w:sz w:val="24"/>
        </w:rPr>
        <w:t>项目依托原有厂区内雨污管网分流系统，雨水收集后排入厂区雨水管网；</w:t>
      </w:r>
      <w:r>
        <w:rPr>
          <w:rFonts w:hint="default" w:ascii="Times New Roman" w:hAnsi="Times New Roman" w:cs="Times New Roman"/>
          <w:color w:val="auto"/>
          <w:sz w:val="24"/>
          <w:lang w:eastAsia="zh-CN"/>
        </w:rPr>
        <w:t>项目无生产</w:t>
      </w:r>
      <w:r>
        <w:rPr>
          <w:rFonts w:hint="eastAsia" w:ascii="Times New Roman" w:hAnsi="Times New Roman" w:cs="Times New Roman"/>
          <w:color w:val="auto"/>
          <w:sz w:val="24"/>
          <w:lang w:eastAsia="zh-CN"/>
        </w:rPr>
        <w:t>废水</w:t>
      </w:r>
      <w:r>
        <w:rPr>
          <w:rFonts w:hint="default" w:ascii="Times New Roman" w:hAnsi="Times New Roman" w:cs="Times New Roman"/>
          <w:color w:val="auto"/>
          <w:sz w:val="24"/>
          <w:lang w:eastAsia="zh-CN"/>
        </w:rPr>
        <w:t>排放，生活污水</w:t>
      </w:r>
      <w:r>
        <w:rPr>
          <w:rFonts w:hint="eastAsia" w:ascii="Times New Roman" w:hAnsi="Times New Roman" w:cs="Times New Roman"/>
          <w:color w:val="auto"/>
          <w:sz w:val="24"/>
          <w:lang w:eastAsia="zh-CN"/>
        </w:rPr>
        <w:t>依托佳乐公司</w:t>
      </w:r>
      <w:r>
        <w:rPr>
          <w:rFonts w:hint="default" w:ascii="Times New Roman" w:hAnsi="Times New Roman" w:cs="Times New Roman"/>
          <w:color w:val="auto"/>
          <w:sz w:val="24"/>
          <w:lang w:eastAsia="zh-CN"/>
        </w:rPr>
        <w:t>地埋式污水处理设施处理达标后，</w:t>
      </w:r>
      <w:r>
        <w:rPr>
          <w:rFonts w:hint="eastAsia" w:ascii="Times New Roman" w:hAnsi="Times New Roman" w:cs="Times New Roman"/>
          <w:color w:val="auto"/>
          <w:sz w:val="24"/>
          <w:lang w:eastAsia="zh-CN"/>
        </w:rPr>
        <w:t>通过园区污水管网</w:t>
      </w:r>
      <w:r>
        <w:rPr>
          <w:rFonts w:hint="default" w:ascii="Times New Roman" w:hAnsi="Times New Roman" w:cs="Times New Roman"/>
          <w:color w:val="auto"/>
          <w:sz w:val="24"/>
          <w:lang w:eastAsia="zh-CN"/>
        </w:rPr>
        <w:t>排入东津河</w:t>
      </w:r>
      <w:r>
        <w:rPr>
          <w:rFonts w:hint="default" w:ascii="Times New Roman" w:hAnsi="Times New Roman" w:cs="Times New Roman"/>
          <w:color w:val="auto"/>
          <w:sz w:val="24"/>
        </w:rPr>
        <w:t>。</w:t>
      </w:r>
    </w:p>
    <w:p>
      <w:pPr>
        <w:adjustRightInd w:val="0"/>
        <w:snapToGrid w:val="0"/>
        <w:spacing w:line="520" w:lineRule="exact"/>
        <w:ind w:firstLine="480" w:firstLineChars="200"/>
        <w:rPr>
          <w:rFonts w:hint="default" w:ascii="Times New Roman" w:hAnsi="Times New Roman" w:cs="Times New Roman"/>
          <w:color w:val="auto"/>
          <w:sz w:val="24"/>
          <w:szCs w:val="24"/>
        </w:rPr>
      </w:pPr>
      <w:r>
        <w:rPr>
          <w:rFonts w:hint="default" w:ascii="Times New Roman" w:hAnsi="Times New Roman" w:cs="Times New Roman"/>
          <w:color w:val="auto"/>
          <w:sz w:val="24"/>
        </w:rPr>
        <w:t>3、供电</w:t>
      </w:r>
      <w:r>
        <w:rPr>
          <w:rFonts w:hint="eastAsia" w:cs="Times New Roman"/>
          <w:color w:val="auto"/>
          <w:sz w:val="24"/>
          <w:lang w:eastAsia="zh-CN"/>
        </w:rPr>
        <w:t>：</w:t>
      </w:r>
      <w:r>
        <w:rPr>
          <w:rFonts w:hint="default" w:ascii="Times New Roman" w:hAnsi="Times New Roman" w:cs="Times New Roman"/>
          <w:bCs/>
          <w:color w:val="auto"/>
          <w:sz w:val="24"/>
          <w:szCs w:val="24"/>
        </w:rPr>
        <w:t>项目用电接自</w:t>
      </w:r>
      <w:r>
        <w:rPr>
          <w:rFonts w:hint="eastAsia" w:ascii="Times New Roman" w:hAnsi="Times New Roman" w:cs="Times New Roman"/>
          <w:bCs/>
          <w:color w:val="auto"/>
          <w:sz w:val="24"/>
          <w:szCs w:val="24"/>
          <w:lang w:eastAsia="zh-CN"/>
        </w:rPr>
        <w:t>河沥园区</w:t>
      </w:r>
      <w:r>
        <w:rPr>
          <w:rFonts w:hint="default" w:ascii="Times New Roman" w:hAnsi="Times New Roman" w:cs="Times New Roman"/>
          <w:bCs/>
          <w:color w:val="auto"/>
          <w:sz w:val="24"/>
          <w:szCs w:val="24"/>
        </w:rPr>
        <w:t>供电线路，项目新增变压器</w:t>
      </w:r>
      <w:r>
        <w:rPr>
          <w:rFonts w:hint="eastAsia" w:ascii="Times New Roman" w:hAnsi="Times New Roman" w:cs="Times New Roman"/>
          <w:bCs/>
          <w:color w:val="auto"/>
          <w:sz w:val="24"/>
          <w:szCs w:val="24"/>
          <w:lang w:val="en-US" w:eastAsia="zh-CN"/>
        </w:rPr>
        <w:t>1</w:t>
      </w:r>
      <w:r>
        <w:rPr>
          <w:rFonts w:hint="default" w:ascii="Times New Roman" w:hAnsi="Times New Roman" w:cs="Times New Roman"/>
          <w:bCs/>
          <w:color w:val="auto"/>
          <w:sz w:val="24"/>
          <w:szCs w:val="24"/>
        </w:rPr>
        <w:t>台</w:t>
      </w:r>
      <w:r>
        <w:rPr>
          <w:rFonts w:hint="default" w:ascii="Times New Roman" w:hAnsi="Times New Roman" w:cs="Times New Roman"/>
          <w:color w:val="auto"/>
          <w:sz w:val="24"/>
          <w:szCs w:val="24"/>
        </w:rPr>
        <w:t>，</w:t>
      </w:r>
      <w:r>
        <w:rPr>
          <w:rFonts w:hint="default" w:ascii="Times New Roman" w:hAnsi="Times New Roman" w:cs="Times New Roman"/>
          <w:color w:val="auto"/>
          <w:sz w:val="24"/>
          <w:szCs w:val="24"/>
          <w:lang w:eastAsia="zh-CN"/>
        </w:rPr>
        <w:t>总装机容量</w:t>
      </w:r>
      <w:r>
        <w:rPr>
          <w:rFonts w:hint="eastAsia" w:ascii="Times New Roman" w:hAnsi="Times New Roman" w:cs="Times New Roman"/>
          <w:color w:val="auto"/>
          <w:sz w:val="24"/>
          <w:szCs w:val="24"/>
          <w:lang w:val="en-US" w:eastAsia="zh-CN"/>
        </w:rPr>
        <w:t>200</w:t>
      </w:r>
      <w:r>
        <w:rPr>
          <w:rFonts w:hint="default" w:ascii="Times New Roman" w:hAnsi="Times New Roman" w:cs="Times New Roman"/>
          <w:color w:val="auto"/>
          <w:sz w:val="24"/>
          <w:szCs w:val="24"/>
          <w:lang w:val="en-US" w:eastAsia="zh-CN"/>
        </w:rPr>
        <w:t>KVA，</w:t>
      </w:r>
      <w:r>
        <w:rPr>
          <w:rFonts w:hint="default" w:ascii="Times New Roman" w:hAnsi="Times New Roman" w:cs="Times New Roman"/>
          <w:color w:val="auto"/>
          <w:sz w:val="24"/>
          <w:szCs w:val="24"/>
        </w:rPr>
        <w:t>项目年用电量约</w:t>
      </w:r>
      <w:r>
        <w:rPr>
          <w:rFonts w:hint="eastAsia" w:cs="Times New Roman"/>
          <w:color w:val="auto"/>
          <w:sz w:val="24"/>
          <w:szCs w:val="24"/>
          <w:lang w:val="en-US" w:eastAsia="zh-CN"/>
        </w:rPr>
        <w:t>3</w:t>
      </w:r>
      <w:r>
        <w:rPr>
          <w:rFonts w:hint="eastAsia" w:ascii="Times New Roman" w:hAnsi="Times New Roman" w:cs="Times New Roman"/>
          <w:color w:val="auto"/>
          <w:sz w:val="24"/>
          <w:szCs w:val="24"/>
          <w:lang w:val="en-US" w:eastAsia="zh-CN"/>
        </w:rPr>
        <w:t>0</w:t>
      </w:r>
      <w:r>
        <w:rPr>
          <w:rFonts w:hint="default" w:ascii="Times New Roman" w:hAnsi="Times New Roman" w:cs="Times New Roman"/>
          <w:color w:val="auto"/>
          <w:sz w:val="24"/>
          <w:szCs w:val="24"/>
        </w:rPr>
        <w:t>万kwh。</w:t>
      </w:r>
    </w:p>
    <w:p>
      <w:pPr>
        <w:pStyle w:val="5"/>
        <w:spacing w:before="0" w:after="0" w:line="520" w:lineRule="exact"/>
        <w:rPr>
          <w:color w:val="auto"/>
          <w:sz w:val="24"/>
          <w:szCs w:val="24"/>
        </w:rPr>
      </w:pPr>
      <w:r>
        <w:rPr>
          <w:color w:val="auto"/>
          <w:sz w:val="24"/>
          <w:szCs w:val="24"/>
        </w:rPr>
        <w:t>3.1.7 现有项目投产日期</w:t>
      </w:r>
    </w:p>
    <w:p>
      <w:pPr>
        <w:spacing w:line="520" w:lineRule="exact"/>
        <w:ind w:firstLine="480" w:firstLineChars="200"/>
        <w:rPr>
          <w:color w:val="auto"/>
          <w:sz w:val="24"/>
        </w:rPr>
      </w:pPr>
      <w:r>
        <w:rPr>
          <w:color w:val="auto"/>
          <w:sz w:val="24"/>
        </w:rPr>
        <w:t>现有项目于201</w:t>
      </w:r>
      <w:r>
        <w:rPr>
          <w:rFonts w:hint="eastAsia"/>
          <w:color w:val="auto"/>
          <w:sz w:val="24"/>
          <w:lang w:val="en-US" w:eastAsia="zh-CN"/>
        </w:rPr>
        <w:t>8</w:t>
      </w:r>
      <w:r>
        <w:rPr>
          <w:color w:val="auto"/>
          <w:sz w:val="24"/>
        </w:rPr>
        <w:t>年建成投产。</w:t>
      </w:r>
    </w:p>
    <w:p>
      <w:pPr>
        <w:pStyle w:val="5"/>
        <w:spacing w:before="0" w:after="0" w:line="520" w:lineRule="exact"/>
        <w:rPr>
          <w:color w:val="auto"/>
          <w:sz w:val="24"/>
        </w:rPr>
      </w:pPr>
      <w:bookmarkStart w:id="147" w:name="_Toc248133400"/>
      <w:bookmarkStart w:id="148" w:name="_Toc229889387"/>
      <w:bookmarkStart w:id="149" w:name="_Toc335291741"/>
      <w:bookmarkStart w:id="150" w:name="_Toc333177950"/>
      <w:bookmarkStart w:id="151" w:name="_Toc333388581"/>
      <w:bookmarkStart w:id="152" w:name="_Toc333178539"/>
      <w:bookmarkStart w:id="153" w:name="_Toc287813371"/>
      <w:bookmarkStart w:id="154" w:name="_Toc30238"/>
      <w:bookmarkStart w:id="155" w:name="_Toc366874102"/>
      <w:bookmarkStart w:id="156" w:name="_Toc367091861"/>
      <w:r>
        <w:rPr>
          <w:color w:val="auto"/>
          <w:sz w:val="24"/>
        </w:rPr>
        <w:t>3.1.8 现有项目物料原辅材料及能源消耗</w:t>
      </w:r>
    </w:p>
    <w:p>
      <w:pPr>
        <w:spacing w:line="520" w:lineRule="exact"/>
        <w:ind w:firstLine="480" w:firstLineChars="200"/>
        <w:rPr>
          <w:b/>
          <w:color w:val="auto"/>
          <w:sz w:val="24"/>
        </w:rPr>
      </w:pPr>
      <w:r>
        <w:rPr>
          <w:color w:val="auto"/>
          <w:sz w:val="24"/>
        </w:rPr>
        <w:t>主要原辅材料及能源消耗情况见下表。</w:t>
      </w:r>
    </w:p>
    <w:p>
      <w:pPr>
        <w:spacing w:line="440" w:lineRule="exact"/>
        <w:jc w:val="center"/>
        <w:rPr>
          <w:b/>
          <w:color w:val="auto"/>
          <w:sz w:val="24"/>
        </w:rPr>
      </w:pPr>
      <w:r>
        <w:rPr>
          <w:b/>
          <w:color w:val="auto"/>
          <w:sz w:val="24"/>
        </w:rPr>
        <w:t>表3-3  现有项目原辅材料消耗一览表</w:t>
      </w:r>
    </w:p>
    <w:tbl>
      <w:tblPr>
        <w:tblStyle w:val="5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89"/>
        <w:gridCol w:w="1898"/>
        <w:gridCol w:w="2582"/>
        <w:gridCol w:w="1485"/>
        <w:gridCol w:w="206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789" w:type="dxa"/>
            <w:tcBorders>
              <w:tl2br w:val="nil"/>
              <w:tr2bl w:val="nil"/>
            </w:tcBorders>
            <w:noWrap w:val="0"/>
            <w:vAlign w:val="center"/>
          </w:tcPr>
          <w:p>
            <w:pPr>
              <w:jc w:val="center"/>
              <w:rPr>
                <w:rFonts w:hint="default"/>
                <w:color w:val="auto"/>
                <w:szCs w:val="21"/>
              </w:rPr>
            </w:pPr>
            <w:r>
              <w:rPr>
                <w:rFonts w:hint="default"/>
                <w:color w:val="auto"/>
                <w:szCs w:val="21"/>
              </w:rPr>
              <w:t>序号</w:t>
            </w:r>
          </w:p>
        </w:tc>
        <w:tc>
          <w:tcPr>
            <w:tcW w:w="1898" w:type="dxa"/>
            <w:tcBorders>
              <w:tl2br w:val="nil"/>
              <w:tr2bl w:val="nil"/>
            </w:tcBorders>
            <w:noWrap w:val="0"/>
            <w:vAlign w:val="center"/>
          </w:tcPr>
          <w:p>
            <w:pPr>
              <w:jc w:val="center"/>
              <w:rPr>
                <w:rFonts w:hint="default"/>
                <w:color w:val="auto"/>
                <w:szCs w:val="21"/>
              </w:rPr>
            </w:pPr>
            <w:r>
              <w:rPr>
                <w:rFonts w:hint="default"/>
                <w:color w:val="auto"/>
                <w:szCs w:val="21"/>
              </w:rPr>
              <w:t>名称</w:t>
            </w:r>
          </w:p>
        </w:tc>
        <w:tc>
          <w:tcPr>
            <w:tcW w:w="2582" w:type="dxa"/>
            <w:tcBorders>
              <w:tl2br w:val="nil"/>
              <w:tr2bl w:val="nil"/>
            </w:tcBorders>
            <w:noWrap w:val="0"/>
            <w:vAlign w:val="center"/>
          </w:tcPr>
          <w:p>
            <w:pPr>
              <w:jc w:val="center"/>
              <w:rPr>
                <w:rFonts w:hint="default"/>
                <w:color w:val="auto"/>
                <w:szCs w:val="21"/>
              </w:rPr>
            </w:pPr>
            <w:r>
              <w:rPr>
                <w:rFonts w:hint="default"/>
                <w:color w:val="auto"/>
                <w:szCs w:val="21"/>
              </w:rPr>
              <w:t>规格/成分</w:t>
            </w:r>
          </w:p>
        </w:tc>
        <w:tc>
          <w:tcPr>
            <w:tcW w:w="1485" w:type="dxa"/>
            <w:tcBorders>
              <w:tl2br w:val="nil"/>
              <w:tr2bl w:val="nil"/>
            </w:tcBorders>
            <w:noWrap w:val="0"/>
            <w:vAlign w:val="center"/>
          </w:tcPr>
          <w:p>
            <w:pPr>
              <w:jc w:val="center"/>
              <w:rPr>
                <w:rFonts w:hint="default"/>
                <w:color w:val="auto"/>
                <w:szCs w:val="21"/>
              </w:rPr>
            </w:pPr>
            <w:r>
              <w:rPr>
                <w:rFonts w:hint="default"/>
                <w:color w:val="auto"/>
                <w:szCs w:val="21"/>
              </w:rPr>
              <w:t>单位</w:t>
            </w:r>
          </w:p>
        </w:tc>
        <w:tc>
          <w:tcPr>
            <w:tcW w:w="2066" w:type="dxa"/>
            <w:tcBorders>
              <w:tl2br w:val="nil"/>
              <w:tr2bl w:val="nil"/>
            </w:tcBorders>
            <w:noWrap w:val="0"/>
            <w:vAlign w:val="center"/>
          </w:tcPr>
          <w:p>
            <w:pPr>
              <w:jc w:val="center"/>
              <w:rPr>
                <w:rFonts w:hint="default"/>
                <w:color w:val="auto"/>
                <w:szCs w:val="21"/>
              </w:rPr>
            </w:pPr>
            <w:r>
              <w:rPr>
                <w:rFonts w:hint="default"/>
                <w:color w:val="auto"/>
                <w:szCs w:val="21"/>
              </w:rPr>
              <w:t>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789" w:type="dxa"/>
            <w:tcBorders>
              <w:tl2br w:val="nil"/>
              <w:tr2bl w:val="nil"/>
            </w:tcBorders>
            <w:noWrap w:val="0"/>
            <w:vAlign w:val="center"/>
          </w:tcPr>
          <w:p>
            <w:pPr>
              <w:jc w:val="center"/>
              <w:rPr>
                <w:rFonts w:hint="default"/>
                <w:color w:val="auto"/>
                <w:szCs w:val="21"/>
              </w:rPr>
            </w:pPr>
            <w:r>
              <w:rPr>
                <w:rFonts w:hint="default"/>
                <w:color w:val="auto"/>
                <w:szCs w:val="21"/>
              </w:rPr>
              <w:t>1</w:t>
            </w:r>
          </w:p>
        </w:tc>
        <w:tc>
          <w:tcPr>
            <w:tcW w:w="1898" w:type="dxa"/>
            <w:tcBorders>
              <w:tl2br w:val="nil"/>
              <w:tr2bl w:val="nil"/>
            </w:tcBorders>
            <w:noWrap w:val="0"/>
            <w:vAlign w:val="center"/>
          </w:tcPr>
          <w:p>
            <w:pPr>
              <w:jc w:val="center"/>
              <w:rPr>
                <w:rFonts w:hint="default"/>
                <w:color w:val="auto"/>
                <w:szCs w:val="21"/>
              </w:rPr>
            </w:pPr>
            <w:r>
              <w:rPr>
                <w:rFonts w:hint="default"/>
                <w:color w:val="auto"/>
                <w:szCs w:val="21"/>
              </w:rPr>
              <w:t>外购混炼胶</w:t>
            </w:r>
          </w:p>
        </w:tc>
        <w:tc>
          <w:tcPr>
            <w:tcW w:w="2582" w:type="dxa"/>
            <w:tcBorders>
              <w:tl2br w:val="nil"/>
              <w:tr2bl w:val="nil"/>
            </w:tcBorders>
            <w:noWrap w:val="0"/>
            <w:vAlign w:val="center"/>
          </w:tcPr>
          <w:p>
            <w:pPr>
              <w:jc w:val="center"/>
              <w:rPr>
                <w:rFonts w:hint="default"/>
                <w:color w:val="auto"/>
                <w:szCs w:val="21"/>
                <w:lang w:eastAsia="zh-CN"/>
              </w:rPr>
            </w:pPr>
            <w:r>
              <w:rPr>
                <w:color w:val="auto"/>
                <w:szCs w:val="21"/>
              </w:rPr>
              <w:t>丁晴</w:t>
            </w:r>
            <w:r>
              <w:rPr>
                <w:rFonts w:hint="eastAsia"/>
                <w:color w:val="auto"/>
                <w:szCs w:val="21"/>
                <w:lang w:eastAsia="zh-CN"/>
              </w:rPr>
              <w:t>混炼胶</w:t>
            </w:r>
          </w:p>
        </w:tc>
        <w:tc>
          <w:tcPr>
            <w:tcW w:w="1485" w:type="dxa"/>
            <w:tcBorders>
              <w:tl2br w:val="nil"/>
              <w:tr2bl w:val="nil"/>
            </w:tcBorders>
            <w:noWrap w:val="0"/>
            <w:vAlign w:val="center"/>
          </w:tcPr>
          <w:p>
            <w:pPr>
              <w:jc w:val="center"/>
              <w:rPr>
                <w:rFonts w:hint="default"/>
                <w:color w:val="auto"/>
                <w:szCs w:val="21"/>
                <w:lang w:eastAsia="zh-CN"/>
              </w:rPr>
            </w:pPr>
            <w:r>
              <w:rPr>
                <w:rFonts w:hint="default"/>
                <w:color w:val="auto"/>
                <w:szCs w:val="21"/>
                <w:lang w:val="en-US" w:eastAsia="zh-CN"/>
              </w:rPr>
              <w:t>t/a</w:t>
            </w:r>
          </w:p>
        </w:tc>
        <w:tc>
          <w:tcPr>
            <w:tcW w:w="2066" w:type="dxa"/>
            <w:tcBorders>
              <w:tl2br w:val="nil"/>
              <w:tr2bl w:val="nil"/>
            </w:tcBorders>
            <w:noWrap w:val="0"/>
            <w:vAlign w:val="center"/>
          </w:tcPr>
          <w:p>
            <w:pPr>
              <w:jc w:val="center"/>
              <w:rPr>
                <w:rFonts w:hint="default"/>
                <w:color w:val="auto"/>
                <w:szCs w:val="21"/>
                <w:lang w:val="en-US" w:eastAsia="zh-CN"/>
              </w:rPr>
            </w:pPr>
            <w:r>
              <w:rPr>
                <w:rFonts w:hint="default"/>
                <w:color w:val="auto"/>
                <w:szCs w:val="21"/>
                <w:lang w:val="en-US" w:eastAsia="zh-CN"/>
              </w:rPr>
              <w:t>190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89" w:type="dxa"/>
            <w:tcBorders>
              <w:tl2br w:val="nil"/>
              <w:tr2bl w:val="nil"/>
            </w:tcBorders>
            <w:noWrap w:val="0"/>
            <w:vAlign w:val="center"/>
          </w:tcPr>
          <w:p>
            <w:pPr>
              <w:jc w:val="center"/>
              <w:rPr>
                <w:rFonts w:hint="default"/>
                <w:color w:val="auto"/>
                <w:szCs w:val="21"/>
              </w:rPr>
            </w:pPr>
            <w:r>
              <w:rPr>
                <w:rFonts w:hint="default"/>
                <w:color w:val="auto"/>
                <w:szCs w:val="21"/>
              </w:rPr>
              <w:t>2</w:t>
            </w:r>
          </w:p>
        </w:tc>
        <w:tc>
          <w:tcPr>
            <w:tcW w:w="1898" w:type="dxa"/>
            <w:tcBorders>
              <w:tl2br w:val="nil"/>
              <w:tr2bl w:val="nil"/>
            </w:tcBorders>
            <w:noWrap w:val="0"/>
            <w:vAlign w:val="center"/>
          </w:tcPr>
          <w:p>
            <w:pPr>
              <w:jc w:val="center"/>
              <w:rPr>
                <w:rFonts w:hint="default"/>
                <w:color w:val="auto"/>
                <w:szCs w:val="21"/>
              </w:rPr>
            </w:pPr>
            <w:r>
              <w:rPr>
                <w:rFonts w:hint="default"/>
                <w:color w:val="auto"/>
                <w:szCs w:val="21"/>
              </w:rPr>
              <w:t>成品钢板</w:t>
            </w:r>
          </w:p>
        </w:tc>
        <w:tc>
          <w:tcPr>
            <w:tcW w:w="2582" w:type="dxa"/>
            <w:tcBorders>
              <w:tl2br w:val="nil"/>
              <w:tr2bl w:val="nil"/>
            </w:tcBorders>
            <w:noWrap w:val="0"/>
            <w:vAlign w:val="center"/>
          </w:tcPr>
          <w:p>
            <w:pPr>
              <w:jc w:val="center"/>
              <w:rPr>
                <w:rFonts w:hint="default"/>
                <w:color w:val="auto"/>
                <w:szCs w:val="21"/>
                <w:lang w:val="en-US" w:eastAsia="zh-CN"/>
              </w:rPr>
            </w:pPr>
            <w:r>
              <w:rPr>
                <w:rFonts w:hint="eastAsia"/>
                <w:color w:val="auto"/>
                <w:szCs w:val="21"/>
                <w:lang w:val="en-US" w:eastAsia="zh-CN"/>
              </w:rPr>
              <w:t>/</w:t>
            </w:r>
          </w:p>
        </w:tc>
        <w:tc>
          <w:tcPr>
            <w:tcW w:w="1485" w:type="dxa"/>
            <w:tcBorders>
              <w:tl2br w:val="nil"/>
              <w:tr2bl w:val="nil"/>
            </w:tcBorders>
            <w:noWrap w:val="0"/>
            <w:vAlign w:val="center"/>
          </w:tcPr>
          <w:p>
            <w:pPr>
              <w:jc w:val="center"/>
              <w:rPr>
                <w:rFonts w:hint="default"/>
                <w:color w:val="auto"/>
                <w:szCs w:val="21"/>
              </w:rPr>
            </w:pPr>
            <w:r>
              <w:rPr>
                <w:rFonts w:hint="default"/>
                <w:color w:val="auto"/>
                <w:szCs w:val="21"/>
                <w:lang w:val="en-US" w:eastAsia="zh-CN"/>
              </w:rPr>
              <w:t>t/a</w:t>
            </w:r>
          </w:p>
        </w:tc>
        <w:tc>
          <w:tcPr>
            <w:tcW w:w="2066" w:type="dxa"/>
            <w:tcBorders>
              <w:tl2br w:val="nil"/>
              <w:tr2bl w:val="nil"/>
            </w:tcBorders>
            <w:noWrap w:val="0"/>
            <w:vAlign w:val="center"/>
          </w:tcPr>
          <w:p>
            <w:pPr>
              <w:jc w:val="center"/>
              <w:rPr>
                <w:rFonts w:hint="default"/>
                <w:color w:val="auto"/>
                <w:szCs w:val="21"/>
                <w:lang w:val="en-US" w:eastAsia="zh-CN"/>
              </w:rPr>
            </w:pPr>
            <w:r>
              <w:rPr>
                <w:rFonts w:hint="default"/>
                <w:color w:val="auto"/>
                <w:szCs w:val="21"/>
                <w:lang w:val="en-US" w:eastAsia="zh-CN"/>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89" w:type="dxa"/>
            <w:tcBorders>
              <w:tl2br w:val="nil"/>
              <w:tr2bl w:val="nil"/>
            </w:tcBorders>
            <w:noWrap w:val="0"/>
            <w:vAlign w:val="center"/>
          </w:tcPr>
          <w:p>
            <w:pPr>
              <w:jc w:val="center"/>
              <w:rPr>
                <w:rFonts w:hint="default"/>
                <w:color w:val="auto"/>
                <w:szCs w:val="21"/>
                <w:lang w:eastAsia="zh-CN"/>
              </w:rPr>
            </w:pPr>
            <w:r>
              <w:rPr>
                <w:rFonts w:hint="default"/>
                <w:color w:val="auto"/>
                <w:szCs w:val="21"/>
                <w:lang w:val="en-US" w:eastAsia="zh-CN"/>
              </w:rPr>
              <w:t>3</w:t>
            </w:r>
          </w:p>
        </w:tc>
        <w:tc>
          <w:tcPr>
            <w:tcW w:w="1898" w:type="dxa"/>
            <w:tcBorders>
              <w:tl2br w:val="nil"/>
              <w:tr2bl w:val="nil"/>
            </w:tcBorders>
            <w:noWrap w:val="0"/>
            <w:vAlign w:val="center"/>
          </w:tcPr>
          <w:p>
            <w:pPr>
              <w:jc w:val="center"/>
              <w:rPr>
                <w:rFonts w:hint="default"/>
                <w:color w:val="auto"/>
                <w:szCs w:val="21"/>
                <w:lang w:eastAsia="zh-CN"/>
              </w:rPr>
            </w:pPr>
            <w:r>
              <w:rPr>
                <w:rFonts w:hint="default"/>
                <w:color w:val="auto"/>
                <w:szCs w:val="21"/>
              </w:rPr>
              <w:t>乙酸丁酯</w:t>
            </w:r>
          </w:p>
        </w:tc>
        <w:tc>
          <w:tcPr>
            <w:tcW w:w="2582" w:type="dxa"/>
            <w:tcBorders>
              <w:tl2br w:val="nil"/>
              <w:tr2bl w:val="nil"/>
            </w:tcBorders>
            <w:noWrap w:val="0"/>
            <w:vAlign w:val="center"/>
          </w:tcPr>
          <w:p>
            <w:pPr>
              <w:jc w:val="center"/>
              <w:rPr>
                <w:rFonts w:hint="default"/>
                <w:color w:val="auto"/>
                <w:szCs w:val="21"/>
                <w:lang w:val="en-US" w:eastAsia="zh-CN"/>
              </w:rPr>
            </w:pPr>
            <w:r>
              <w:rPr>
                <w:rFonts w:hint="eastAsia"/>
                <w:color w:val="auto"/>
                <w:szCs w:val="21"/>
                <w:lang w:val="en-US" w:eastAsia="zh-CN"/>
              </w:rPr>
              <w:t>/</w:t>
            </w:r>
          </w:p>
        </w:tc>
        <w:tc>
          <w:tcPr>
            <w:tcW w:w="1485" w:type="dxa"/>
            <w:tcBorders>
              <w:tl2br w:val="nil"/>
              <w:tr2bl w:val="nil"/>
            </w:tcBorders>
            <w:noWrap w:val="0"/>
            <w:vAlign w:val="center"/>
          </w:tcPr>
          <w:p>
            <w:pPr>
              <w:jc w:val="center"/>
              <w:rPr>
                <w:rFonts w:hint="default"/>
                <w:color w:val="auto"/>
                <w:szCs w:val="21"/>
              </w:rPr>
            </w:pPr>
            <w:r>
              <w:rPr>
                <w:rFonts w:hint="default"/>
                <w:color w:val="auto"/>
                <w:szCs w:val="21"/>
                <w:lang w:val="en-US" w:eastAsia="zh-CN"/>
              </w:rPr>
              <w:t>t/a</w:t>
            </w:r>
          </w:p>
        </w:tc>
        <w:tc>
          <w:tcPr>
            <w:tcW w:w="2066" w:type="dxa"/>
            <w:tcBorders>
              <w:tl2br w:val="nil"/>
              <w:tr2bl w:val="nil"/>
            </w:tcBorders>
            <w:noWrap w:val="0"/>
            <w:vAlign w:val="center"/>
          </w:tcPr>
          <w:p>
            <w:pPr>
              <w:jc w:val="center"/>
              <w:rPr>
                <w:rFonts w:hint="default"/>
                <w:color w:val="auto"/>
                <w:szCs w:val="21"/>
                <w:lang w:val="en-US" w:eastAsia="zh-CN"/>
              </w:rPr>
            </w:pPr>
            <w:r>
              <w:rPr>
                <w:rFonts w:hint="default"/>
                <w:color w:val="auto"/>
                <w:szCs w:val="21"/>
                <w:lang w:val="en-US" w:eastAsia="zh-CN"/>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789" w:type="dxa"/>
            <w:tcBorders>
              <w:tl2br w:val="nil"/>
              <w:tr2bl w:val="nil"/>
            </w:tcBorders>
            <w:noWrap w:val="0"/>
            <w:vAlign w:val="center"/>
          </w:tcPr>
          <w:p>
            <w:pPr>
              <w:jc w:val="center"/>
              <w:rPr>
                <w:rFonts w:hint="default"/>
                <w:color w:val="auto"/>
                <w:szCs w:val="21"/>
                <w:lang w:eastAsia="zh-CN"/>
              </w:rPr>
            </w:pPr>
            <w:r>
              <w:rPr>
                <w:rFonts w:hint="default"/>
                <w:color w:val="auto"/>
                <w:szCs w:val="21"/>
                <w:lang w:val="en-US" w:eastAsia="zh-CN"/>
              </w:rPr>
              <w:t>4</w:t>
            </w:r>
          </w:p>
        </w:tc>
        <w:tc>
          <w:tcPr>
            <w:tcW w:w="1898" w:type="dxa"/>
            <w:tcBorders>
              <w:tl2br w:val="nil"/>
              <w:tr2bl w:val="nil"/>
            </w:tcBorders>
            <w:noWrap w:val="0"/>
            <w:vAlign w:val="center"/>
          </w:tcPr>
          <w:p>
            <w:pPr>
              <w:jc w:val="center"/>
              <w:rPr>
                <w:rFonts w:hint="default"/>
                <w:color w:val="auto"/>
                <w:szCs w:val="21"/>
                <w:lang w:eastAsia="zh-CN"/>
              </w:rPr>
            </w:pPr>
            <w:r>
              <w:rPr>
                <w:rFonts w:hint="eastAsia"/>
                <w:color w:val="auto"/>
                <w:szCs w:val="21"/>
                <w:lang w:eastAsia="zh-CN"/>
              </w:rPr>
              <w:t>粘合</w:t>
            </w:r>
            <w:r>
              <w:rPr>
                <w:rFonts w:hint="default"/>
                <w:color w:val="auto"/>
                <w:szCs w:val="21"/>
              </w:rPr>
              <w:t>剂</w:t>
            </w:r>
          </w:p>
        </w:tc>
        <w:tc>
          <w:tcPr>
            <w:tcW w:w="2582" w:type="dxa"/>
            <w:tcBorders>
              <w:tl2br w:val="nil"/>
              <w:tr2bl w:val="nil"/>
            </w:tcBorders>
            <w:noWrap w:val="0"/>
            <w:vAlign w:val="center"/>
          </w:tcPr>
          <w:p>
            <w:pPr>
              <w:jc w:val="center"/>
              <w:rPr>
                <w:rFonts w:hint="default"/>
                <w:color w:val="auto"/>
                <w:szCs w:val="21"/>
                <w:lang w:val="en-US" w:eastAsia="zh-CN"/>
              </w:rPr>
            </w:pPr>
            <w:r>
              <w:rPr>
                <w:rFonts w:hint="eastAsia"/>
                <w:color w:val="auto"/>
                <w:szCs w:val="21"/>
                <w:lang w:val="en-US" w:eastAsia="zh-CN"/>
              </w:rPr>
              <w:t>胶水</w:t>
            </w:r>
          </w:p>
        </w:tc>
        <w:tc>
          <w:tcPr>
            <w:tcW w:w="1485" w:type="dxa"/>
            <w:tcBorders>
              <w:tl2br w:val="nil"/>
              <w:tr2bl w:val="nil"/>
            </w:tcBorders>
            <w:noWrap w:val="0"/>
            <w:vAlign w:val="center"/>
          </w:tcPr>
          <w:p>
            <w:pPr>
              <w:jc w:val="center"/>
              <w:rPr>
                <w:rFonts w:hint="default"/>
                <w:color w:val="auto"/>
                <w:szCs w:val="21"/>
              </w:rPr>
            </w:pPr>
            <w:r>
              <w:rPr>
                <w:rFonts w:hint="default"/>
                <w:color w:val="auto"/>
                <w:szCs w:val="21"/>
                <w:lang w:val="en-US" w:eastAsia="zh-CN"/>
              </w:rPr>
              <w:t>t/a</w:t>
            </w:r>
          </w:p>
        </w:tc>
        <w:tc>
          <w:tcPr>
            <w:tcW w:w="2066" w:type="dxa"/>
            <w:tcBorders>
              <w:tl2br w:val="nil"/>
              <w:tr2bl w:val="nil"/>
            </w:tcBorders>
            <w:noWrap w:val="0"/>
            <w:vAlign w:val="center"/>
          </w:tcPr>
          <w:p>
            <w:pPr>
              <w:jc w:val="center"/>
              <w:rPr>
                <w:rFonts w:hint="default"/>
                <w:color w:val="auto"/>
                <w:szCs w:val="21"/>
                <w:lang w:val="en-US" w:eastAsia="zh-CN"/>
              </w:rPr>
            </w:pPr>
            <w:r>
              <w:rPr>
                <w:rFonts w:hint="default"/>
                <w:color w:val="auto"/>
                <w:szCs w:val="21"/>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789" w:type="dxa"/>
            <w:tcBorders>
              <w:tl2br w:val="nil"/>
              <w:tr2bl w:val="nil"/>
            </w:tcBorders>
            <w:noWrap w:val="0"/>
            <w:vAlign w:val="center"/>
          </w:tcPr>
          <w:p>
            <w:pPr>
              <w:jc w:val="center"/>
              <w:rPr>
                <w:rFonts w:hint="default"/>
                <w:color w:val="auto"/>
                <w:szCs w:val="21"/>
                <w:lang w:val="en-US" w:eastAsia="zh-CN"/>
              </w:rPr>
            </w:pPr>
            <w:r>
              <w:rPr>
                <w:rFonts w:hint="eastAsia"/>
                <w:color w:val="auto"/>
                <w:szCs w:val="21"/>
                <w:lang w:val="en-US" w:eastAsia="zh-CN"/>
              </w:rPr>
              <w:t>5</w:t>
            </w:r>
          </w:p>
        </w:tc>
        <w:tc>
          <w:tcPr>
            <w:tcW w:w="1898" w:type="dxa"/>
            <w:tcBorders>
              <w:tl2br w:val="nil"/>
              <w:tr2bl w:val="nil"/>
            </w:tcBorders>
            <w:noWrap w:val="0"/>
            <w:vAlign w:val="center"/>
          </w:tcPr>
          <w:p>
            <w:pPr>
              <w:jc w:val="center"/>
              <w:rPr>
                <w:rFonts w:hint="eastAsia"/>
                <w:color w:val="auto"/>
                <w:szCs w:val="21"/>
                <w:lang w:eastAsia="zh-CN"/>
              </w:rPr>
            </w:pPr>
            <w:r>
              <w:rPr>
                <w:rFonts w:hint="eastAsia"/>
                <w:color w:val="auto"/>
                <w:szCs w:val="21"/>
                <w:lang w:val="en-US" w:eastAsia="zh-CN"/>
              </w:rPr>
              <w:t>丁腈橡胶</w:t>
            </w:r>
            <w:r>
              <w:rPr>
                <w:rFonts w:hint="eastAsia"/>
                <w:color w:val="auto"/>
                <w:szCs w:val="21"/>
                <w:lang w:eastAsia="zh-CN"/>
              </w:rPr>
              <w:t>发泡剂</w:t>
            </w:r>
          </w:p>
        </w:tc>
        <w:tc>
          <w:tcPr>
            <w:tcW w:w="2582" w:type="dxa"/>
            <w:tcBorders>
              <w:tl2br w:val="nil"/>
              <w:tr2bl w:val="nil"/>
            </w:tcBorders>
            <w:noWrap w:val="0"/>
            <w:vAlign w:val="center"/>
          </w:tcPr>
          <w:p>
            <w:pPr>
              <w:jc w:val="center"/>
              <w:rPr>
                <w:rFonts w:hint="eastAsia"/>
                <w:color w:val="auto"/>
                <w:szCs w:val="21"/>
                <w:lang w:val="en-US" w:eastAsia="zh-CN"/>
              </w:rPr>
            </w:pPr>
            <w:r>
              <w:rPr>
                <w:rFonts w:hint="eastAsia"/>
                <w:color w:val="auto"/>
                <w:szCs w:val="21"/>
                <w:lang w:val="en-US" w:eastAsia="zh-CN"/>
              </w:rPr>
              <w:t>/</w:t>
            </w:r>
          </w:p>
        </w:tc>
        <w:tc>
          <w:tcPr>
            <w:tcW w:w="1485" w:type="dxa"/>
            <w:tcBorders>
              <w:tl2br w:val="nil"/>
              <w:tr2bl w:val="nil"/>
            </w:tcBorders>
            <w:noWrap w:val="0"/>
            <w:vAlign w:val="center"/>
          </w:tcPr>
          <w:p>
            <w:pPr>
              <w:jc w:val="center"/>
              <w:rPr>
                <w:rFonts w:hint="default"/>
                <w:color w:val="auto"/>
                <w:szCs w:val="21"/>
                <w:lang w:val="en-US" w:eastAsia="zh-CN"/>
              </w:rPr>
            </w:pPr>
            <w:r>
              <w:rPr>
                <w:rFonts w:hint="default"/>
                <w:color w:val="auto"/>
                <w:szCs w:val="21"/>
                <w:lang w:val="en-US" w:eastAsia="zh-CN"/>
              </w:rPr>
              <w:t>t/a</w:t>
            </w:r>
          </w:p>
        </w:tc>
        <w:tc>
          <w:tcPr>
            <w:tcW w:w="2066" w:type="dxa"/>
            <w:tcBorders>
              <w:tl2br w:val="nil"/>
              <w:tr2bl w:val="nil"/>
            </w:tcBorders>
            <w:noWrap w:val="0"/>
            <w:vAlign w:val="center"/>
          </w:tcPr>
          <w:p>
            <w:pPr>
              <w:jc w:val="center"/>
              <w:rPr>
                <w:rFonts w:hint="default"/>
                <w:color w:val="auto"/>
                <w:szCs w:val="21"/>
                <w:lang w:val="en-US" w:eastAsia="zh-CN"/>
              </w:rPr>
            </w:pPr>
            <w:r>
              <w:rPr>
                <w:rFonts w:hint="eastAsia"/>
                <w:color w:val="auto"/>
                <w:szCs w:val="21"/>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trPr>
        <w:tc>
          <w:tcPr>
            <w:tcW w:w="789" w:type="dxa"/>
            <w:tcBorders>
              <w:tl2br w:val="nil"/>
              <w:tr2bl w:val="nil"/>
            </w:tcBorders>
            <w:noWrap w:val="0"/>
            <w:vAlign w:val="center"/>
          </w:tcPr>
          <w:p>
            <w:pPr>
              <w:jc w:val="center"/>
              <w:rPr>
                <w:rFonts w:hint="default"/>
                <w:color w:val="auto"/>
                <w:szCs w:val="21"/>
                <w:lang w:val="en-US" w:eastAsia="zh-CN"/>
              </w:rPr>
            </w:pPr>
            <w:r>
              <w:rPr>
                <w:rFonts w:hint="eastAsia"/>
                <w:color w:val="auto"/>
                <w:szCs w:val="21"/>
                <w:lang w:val="en-US" w:eastAsia="zh-CN"/>
              </w:rPr>
              <w:t>6</w:t>
            </w:r>
          </w:p>
        </w:tc>
        <w:tc>
          <w:tcPr>
            <w:tcW w:w="4480" w:type="dxa"/>
            <w:gridSpan w:val="2"/>
            <w:tcBorders>
              <w:tl2br w:val="nil"/>
              <w:tr2bl w:val="nil"/>
            </w:tcBorders>
            <w:noWrap w:val="0"/>
            <w:vAlign w:val="center"/>
          </w:tcPr>
          <w:p>
            <w:pPr>
              <w:jc w:val="center"/>
              <w:rPr>
                <w:rFonts w:hint="default"/>
                <w:color w:val="auto"/>
                <w:szCs w:val="21"/>
              </w:rPr>
            </w:pPr>
            <w:r>
              <w:rPr>
                <w:rFonts w:hint="default"/>
                <w:color w:val="auto"/>
                <w:szCs w:val="21"/>
                <w:lang w:eastAsia="zh-CN"/>
              </w:rPr>
              <w:t>新鲜</w:t>
            </w:r>
            <w:r>
              <w:rPr>
                <w:rFonts w:hint="default"/>
                <w:color w:val="auto"/>
                <w:szCs w:val="21"/>
              </w:rPr>
              <w:t>水</w:t>
            </w:r>
          </w:p>
        </w:tc>
        <w:tc>
          <w:tcPr>
            <w:tcW w:w="1485" w:type="dxa"/>
            <w:tcBorders>
              <w:tl2br w:val="nil"/>
              <w:tr2bl w:val="nil"/>
            </w:tcBorders>
            <w:noWrap w:val="0"/>
            <w:vAlign w:val="center"/>
          </w:tcPr>
          <w:p>
            <w:pPr>
              <w:jc w:val="center"/>
              <w:rPr>
                <w:rFonts w:hint="default"/>
                <w:color w:val="auto"/>
                <w:szCs w:val="21"/>
              </w:rPr>
            </w:pPr>
            <w:r>
              <w:rPr>
                <w:rFonts w:hint="default"/>
                <w:color w:val="auto"/>
                <w:szCs w:val="21"/>
              </w:rPr>
              <w:t>m</w:t>
            </w:r>
            <w:r>
              <w:rPr>
                <w:rFonts w:hint="default"/>
                <w:color w:val="auto"/>
                <w:szCs w:val="21"/>
                <w:vertAlign w:val="superscript"/>
              </w:rPr>
              <w:t>3</w:t>
            </w:r>
            <w:r>
              <w:rPr>
                <w:rFonts w:hint="default"/>
                <w:color w:val="auto"/>
                <w:szCs w:val="21"/>
              </w:rPr>
              <w:t>/a</w:t>
            </w:r>
          </w:p>
        </w:tc>
        <w:tc>
          <w:tcPr>
            <w:tcW w:w="2066" w:type="dxa"/>
            <w:tcBorders>
              <w:tl2br w:val="nil"/>
              <w:tr2bl w:val="nil"/>
            </w:tcBorders>
            <w:noWrap w:val="0"/>
            <w:vAlign w:val="center"/>
          </w:tcPr>
          <w:p>
            <w:pPr>
              <w:jc w:val="center"/>
              <w:rPr>
                <w:rFonts w:hint="default"/>
                <w:color w:val="auto"/>
                <w:szCs w:val="21"/>
                <w:lang w:eastAsia="zh-CN"/>
              </w:rPr>
            </w:pPr>
            <w:r>
              <w:rPr>
                <w:rFonts w:hint="eastAsia" w:hAnsi="宋体"/>
                <w:color w:val="auto"/>
                <w:kern w:val="0"/>
                <w:szCs w:val="21"/>
                <w:lang w:val="en-US" w:eastAsia="zh-CN"/>
              </w:rPr>
              <w:t>750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6" w:hRule="atLeast"/>
        </w:trPr>
        <w:tc>
          <w:tcPr>
            <w:tcW w:w="789" w:type="dxa"/>
            <w:tcBorders>
              <w:tl2br w:val="nil"/>
              <w:tr2bl w:val="nil"/>
            </w:tcBorders>
            <w:noWrap w:val="0"/>
            <w:vAlign w:val="center"/>
          </w:tcPr>
          <w:p>
            <w:pPr>
              <w:jc w:val="center"/>
              <w:rPr>
                <w:rFonts w:hint="default"/>
                <w:color w:val="auto"/>
                <w:szCs w:val="21"/>
                <w:lang w:val="en-US" w:eastAsia="zh-CN"/>
              </w:rPr>
            </w:pPr>
            <w:r>
              <w:rPr>
                <w:rFonts w:hint="eastAsia"/>
                <w:color w:val="auto"/>
                <w:szCs w:val="21"/>
                <w:lang w:val="en-US" w:eastAsia="zh-CN"/>
              </w:rPr>
              <w:t>7</w:t>
            </w:r>
          </w:p>
        </w:tc>
        <w:tc>
          <w:tcPr>
            <w:tcW w:w="4480" w:type="dxa"/>
            <w:gridSpan w:val="2"/>
            <w:tcBorders>
              <w:tl2br w:val="nil"/>
              <w:tr2bl w:val="nil"/>
            </w:tcBorders>
            <w:noWrap w:val="0"/>
            <w:vAlign w:val="center"/>
          </w:tcPr>
          <w:p>
            <w:pPr>
              <w:jc w:val="center"/>
              <w:rPr>
                <w:rFonts w:hint="default"/>
                <w:color w:val="auto"/>
                <w:szCs w:val="21"/>
              </w:rPr>
            </w:pPr>
            <w:r>
              <w:rPr>
                <w:rFonts w:hint="default"/>
                <w:color w:val="auto"/>
                <w:szCs w:val="21"/>
              </w:rPr>
              <w:t>电</w:t>
            </w:r>
          </w:p>
        </w:tc>
        <w:tc>
          <w:tcPr>
            <w:tcW w:w="1485" w:type="dxa"/>
            <w:tcBorders>
              <w:tl2br w:val="nil"/>
              <w:tr2bl w:val="nil"/>
            </w:tcBorders>
            <w:noWrap w:val="0"/>
            <w:vAlign w:val="center"/>
          </w:tcPr>
          <w:p>
            <w:pPr>
              <w:jc w:val="center"/>
              <w:rPr>
                <w:rFonts w:hint="default"/>
                <w:color w:val="auto"/>
                <w:szCs w:val="21"/>
              </w:rPr>
            </w:pPr>
            <w:r>
              <w:rPr>
                <w:rFonts w:hint="default"/>
                <w:color w:val="auto"/>
                <w:szCs w:val="21"/>
              </w:rPr>
              <w:t>万kwh/a</w:t>
            </w:r>
          </w:p>
        </w:tc>
        <w:tc>
          <w:tcPr>
            <w:tcW w:w="2066" w:type="dxa"/>
            <w:tcBorders>
              <w:tl2br w:val="nil"/>
              <w:tr2bl w:val="nil"/>
            </w:tcBorders>
            <w:noWrap w:val="0"/>
            <w:vAlign w:val="center"/>
          </w:tcPr>
          <w:p>
            <w:pPr>
              <w:jc w:val="center"/>
              <w:rPr>
                <w:rFonts w:hint="default"/>
                <w:color w:val="auto"/>
                <w:szCs w:val="21"/>
                <w:lang w:val="en-US" w:eastAsia="zh-CN"/>
              </w:rPr>
            </w:pPr>
            <w:r>
              <w:rPr>
                <w:rFonts w:hint="eastAsia"/>
                <w:color w:val="auto"/>
                <w:szCs w:val="21"/>
                <w:lang w:val="en-US" w:eastAsia="zh-CN"/>
              </w:rPr>
              <w:t>30</w:t>
            </w:r>
          </w:p>
        </w:tc>
      </w:tr>
    </w:tbl>
    <w:p>
      <w:pPr>
        <w:spacing w:line="520" w:lineRule="exact"/>
        <w:ind w:firstLine="480" w:firstLineChars="200"/>
        <w:rPr>
          <w:rFonts w:hint="eastAsia"/>
          <w:color w:val="auto"/>
          <w:sz w:val="24"/>
          <w:lang w:eastAsia="zh-CN"/>
        </w:rPr>
      </w:pPr>
      <w:r>
        <w:rPr>
          <w:color w:val="auto"/>
          <w:sz w:val="24"/>
        </w:rPr>
        <w:t>主要物料理化</w:t>
      </w:r>
      <w:r>
        <w:rPr>
          <w:rFonts w:hint="eastAsia"/>
          <w:color w:val="auto"/>
          <w:sz w:val="24"/>
          <w:lang w:eastAsia="zh-CN"/>
        </w:rPr>
        <w:t>性质见下表：</w:t>
      </w:r>
    </w:p>
    <w:p>
      <w:pPr>
        <w:pStyle w:val="406"/>
        <w:adjustRightInd w:val="0"/>
        <w:snapToGrid w:val="0"/>
        <w:spacing w:line="520" w:lineRule="exact"/>
        <w:ind w:firstLine="2882" w:firstLineChars="1196"/>
        <w:rPr>
          <w:b/>
          <w:bCs/>
          <w:color w:val="auto"/>
          <w:sz w:val="24"/>
        </w:rPr>
      </w:pPr>
      <w:r>
        <w:rPr>
          <w:b/>
          <w:bCs/>
          <w:color w:val="auto"/>
          <w:sz w:val="24"/>
        </w:rPr>
        <w:t>表</w:t>
      </w:r>
      <w:r>
        <w:rPr>
          <w:rFonts w:hint="eastAsia"/>
          <w:b/>
          <w:bCs/>
          <w:color w:val="auto"/>
          <w:sz w:val="24"/>
          <w:lang w:val="en-US" w:eastAsia="zh-CN"/>
        </w:rPr>
        <w:t>3</w:t>
      </w:r>
      <w:r>
        <w:rPr>
          <w:b/>
          <w:bCs/>
          <w:color w:val="auto"/>
          <w:sz w:val="24"/>
        </w:rPr>
        <w:t>-</w:t>
      </w:r>
      <w:r>
        <w:rPr>
          <w:rFonts w:hint="eastAsia"/>
          <w:b/>
          <w:bCs/>
          <w:color w:val="auto"/>
          <w:sz w:val="24"/>
          <w:lang w:val="en-US" w:eastAsia="zh-CN"/>
        </w:rPr>
        <w:t>4</w:t>
      </w:r>
      <w:r>
        <w:rPr>
          <w:b/>
          <w:bCs/>
          <w:color w:val="auto"/>
          <w:sz w:val="24"/>
        </w:rPr>
        <w:t xml:space="preserve">     主要物料理化性质</w:t>
      </w:r>
    </w:p>
    <w:tbl>
      <w:tblPr>
        <w:tblStyle w:val="53"/>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70"/>
        <w:gridCol w:w="1184"/>
        <w:gridCol w:w="4473"/>
        <w:gridCol w:w="1119"/>
        <w:gridCol w:w="140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5" w:hRule="exact"/>
          <w:jc w:val="center"/>
        </w:trPr>
        <w:tc>
          <w:tcPr>
            <w:tcW w:w="430" w:type="pct"/>
            <w:tcBorders>
              <w:top w:val="single" w:color="auto" w:sz="4" w:space="0"/>
              <w:left w:val="single" w:color="auto" w:sz="4" w:space="0"/>
            </w:tcBorders>
            <w:noWrap w:val="0"/>
            <w:vAlign w:val="center"/>
          </w:tcPr>
          <w:p>
            <w:pPr>
              <w:jc w:val="center"/>
              <w:rPr>
                <w:rFonts w:hint="default"/>
                <w:color w:val="auto"/>
                <w:szCs w:val="21"/>
                <w:lang w:eastAsia="zh-CN"/>
              </w:rPr>
            </w:pPr>
            <w:r>
              <w:rPr>
                <w:rFonts w:hint="default"/>
                <w:color w:val="auto"/>
                <w:szCs w:val="21"/>
                <w:lang w:eastAsia="zh-CN"/>
              </w:rPr>
              <w:t>名称</w:t>
            </w:r>
          </w:p>
        </w:tc>
        <w:tc>
          <w:tcPr>
            <w:tcW w:w="661" w:type="pct"/>
            <w:tcBorders>
              <w:top w:val="single" w:color="auto" w:sz="4" w:space="0"/>
            </w:tcBorders>
            <w:noWrap w:val="0"/>
            <w:vAlign w:val="center"/>
          </w:tcPr>
          <w:p>
            <w:pPr>
              <w:jc w:val="center"/>
              <w:rPr>
                <w:rFonts w:hint="eastAsia"/>
                <w:color w:val="auto"/>
                <w:szCs w:val="21"/>
                <w:lang w:eastAsia="zh-CN"/>
              </w:rPr>
            </w:pPr>
            <w:r>
              <w:rPr>
                <w:rFonts w:hint="eastAsia"/>
                <w:color w:val="auto"/>
                <w:szCs w:val="21"/>
                <w:lang w:eastAsia="zh-CN"/>
              </w:rPr>
              <w:t>主要成分</w:t>
            </w:r>
          </w:p>
        </w:tc>
        <w:tc>
          <w:tcPr>
            <w:tcW w:w="2498" w:type="pct"/>
            <w:tcBorders>
              <w:top w:val="single" w:color="auto" w:sz="4" w:space="0"/>
            </w:tcBorders>
            <w:noWrap w:val="0"/>
            <w:vAlign w:val="center"/>
          </w:tcPr>
          <w:p>
            <w:pPr>
              <w:jc w:val="center"/>
              <w:rPr>
                <w:rFonts w:hint="default"/>
                <w:color w:val="auto"/>
                <w:szCs w:val="21"/>
                <w:lang w:eastAsia="zh-CN"/>
              </w:rPr>
            </w:pPr>
            <w:r>
              <w:rPr>
                <w:rFonts w:hint="default"/>
                <w:color w:val="auto"/>
                <w:szCs w:val="21"/>
                <w:lang w:eastAsia="zh-CN"/>
              </w:rPr>
              <w:t>理化性质</w:t>
            </w:r>
          </w:p>
        </w:tc>
        <w:tc>
          <w:tcPr>
            <w:tcW w:w="625" w:type="pct"/>
            <w:tcBorders>
              <w:top w:val="single" w:color="auto" w:sz="4" w:space="0"/>
            </w:tcBorders>
            <w:noWrap w:val="0"/>
            <w:vAlign w:val="center"/>
          </w:tcPr>
          <w:p>
            <w:pPr>
              <w:jc w:val="center"/>
              <w:rPr>
                <w:rFonts w:hint="default"/>
                <w:color w:val="auto"/>
                <w:szCs w:val="21"/>
                <w:lang w:eastAsia="zh-CN"/>
              </w:rPr>
            </w:pPr>
            <w:r>
              <w:rPr>
                <w:rFonts w:hint="default"/>
                <w:color w:val="auto"/>
                <w:szCs w:val="21"/>
                <w:lang w:eastAsia="zh-CN"/>
              </w:rPr>
              <w:t>燃烧及爆炸特性</w:t>
            </w:r>
          </w:p>
        </w:tc>
        <w:tc>
          <w:tcPr>
            <w:tcW w:w="783" w:type="pct"/>
            <w:tcBorders>
              <w:top w:val="single" w:color="auto" w:sz="4" w:space="0"/>
              <w:right w:val="single" w:color="auto" w:sz="4" w:space="0"/>
            </w:tcBorders>
            <w:noWrap w:val="0"/>
            <w:vAlign w:val="center"/>
          </w:tcPr>
          <w:p>
            <w:pPr>
              <w:jc w:val="center"/>
              <w:rPr>
                <w:rFonts w:hint="default"/>
                <w:color w:val="auto"/>
                <w:szCs w:val="21"/>
                <w:lang w:eastAsia="zh-CN"/>
              </w:rPr>
            </w:pPr>
            <w:r>
              <w:rPr>
                <w:rFonts w:hint="default"/>
                <w:color w:val="auto"/>
                <w:szCs w:val="21"/>
                <w:lang w:eastAsia="zh-CN"/>
              </w:rPr>
              <w:t>毒性</w:t>
            </w:r>
          </w:p>
          <w:p>
            <w:pPr>
              <w:jc w:val="center"/>
              <w:rPr>
                <w:rFonts w:hint="default"/>
                <w:color w:val="auto"/>
                <w:szCs w:val="21"/>
                <w:lang w:eastAsia="zh-CN"/>
              </w:rPr>
            </w:pPr>
            <w:r>
              <w:rPr>
                <w:rFonts w:hint="default"/>
                <w:color w:val="auto"/>
                <w:szCs w:val="21"/>
                <w:lang w:eastAsia="zh-CN"/>
              </w:rPr>
              <w:t>毒理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53" w:hRule="exact"/>
          <w:jc w:val="center"/>
        </w:trPr>
        <w:tc>
          <w:tcPr>
            <w:tcW w:w="430" w:type="pct"/>
            <w:tcBorders>
              <w:left w:val="single" w:color="auto" w:sz="4" w:space="0"/>
            </w:tcBorders>
            <w:noWrap w:val="0"/>
            <w:vAlign w:val="center"/>
          </w:tcPr>
          <w:p>
            <w:pPr>
              <w:jc w:val="center"/>
              <w:rPr>
                <w:rFonts w:hint="eastAsia"/>
                <w:color w:val="auto"/>
                <w:szCs w:val="21"/>
                <w:lang w:eastAsia="zh-CN"/>
              </w:rPr>
            </w:pPr>
            <w:r>
              <w:rPr>
                <w:rFonts w:hint="default"/>
                <w:color w:val="auto"/>
                <w:szCs w:val="21"/>
                <w:lang w:eastAsia="zh-CN"/>
              </w:rPr>
              <w:t>乙酸丁酯</w:t>
            </w:r>
          </w:p>
        </w:tc>
        <w:tc>
          <w:tcPr>
            <w:tcW w:w="661" w:type="pct"/>
            <w:noWrap w:val="0"/>
            <w:vAlign w:val="center"/>
          </w:tcPr>
          <w:p>
            <w:pPr>
              <w:jc w:val="center"/>
              <w:rPr>
                <w:rFonts w:hint="eastAsia"/>
                <w:color w:val="auto"/>
                <w:szCs w:val="21"/>
                <w:lang w:eastAsia="zh-CN"/>
              </w:rPr>
            </w:pPr>
            <w:r>
              <w:rPr>
                <w:rFonts w:hint="default"/>
                <w:color w:val="auto"/>
                <w:szCs w:val="21"/>
                <w:lang w:eastAsia="zh-CN"/>
              </w:rPr>
              <w:t>乙酸丁酯</w:t>
            </w:r>
            <w:r>
              <w:rPr>
                <w:rFonts w:hint="eastAsia"/>
                <w:color w:val="auto"/>
                <w:szCs w:val="21"/>
                <w:lang w:val="en-US" w:eastAsia="zh-CN"/>
              </w:rPr>
              <w:t xml:space="preserve"> </w:t>
            </w:r>
          </w:p>
        </w:tc>
        <w:tc>
          <w:tcPr>
            <w:tcW w:w="2498" w:type="pct"/>
            <w:noWrap w:val="0"/>
            <w:vAlign w:val="center"/>
          </w:tcPr>
          <w:p>
            <w:pPr>
              <w:jc w:val="center"/>
              <w:rPr>
                <w:rFonts w:hint="eastAsia"/>
                <w:color w:val="auto"/>
                <w:szCs w:val="21"/>
                <w:lang w:val="en-US" w:eastAsia="zh-CN"/>
              </w:rPr>
            </w:pPr>
            <w:r>
              <w:rPr>
                <w:rFonts w:hint="eastAsia"/>
                <w:color w:val="auto"/>
                <w:szCs w:val="21"/>
                <w:lang w:val="en-US" w:eastAsia="zh-CN"/>
              </w:rPr>
              <w:t>为</w:t>
            </w:r>
            <w:r>
              <w:rPr>
                <w:rFonts w:hint="default"/>
                <w:color w:val="auto"/>
                <w:szCs w:val="21"/>
                <w:lang w:val="en-US" w:eastAsia="zh-CN"/>
              </w:rPr>
              <w:t>无色透明有愉快果香气味的液体。乙酸正丁酯是一种优良的有机溶剂，对</w:t>
            </w:r>
            <w:r>
              <w:rPr>
                <w:rFonts w:hint="default"/>
                <w:color w:val="auto"/>
                <w:szCs w:val="21"/>
                <w:lang w:val="en-US" w:eastAsia="zh-CN"/>
              </w:rPr>
              <w:fldChar w:fldCharType="begin"/>
            </w:r>
            <w:r>
              <w:rPr>
                <w:rFonts w:hint="default"/>
                <w:color w:val="auto"/>
                <w:szCs w:val="21"/>
                <w:lang w:val="en-US" w:eastAsia="zh-CN"/>
              </w:rPr>
              <w:instrText xml:space="preserve"> HYPERLINK "https://baike.baidu.com/item/%E4%B9%99%E5%9F%BA%E7%BA%A4%E7%BB%B4%E7%B4%A0" \t "https://baike.baidu.com/item/%E4%B9%99%E9%85%B8%E4%B8%81%E9%85%AF/_blank" </w:instrText>
            </w:r>
            <w:r>
              <w:rPr>
                <w:rFonts w:hint="default"/>
                <w:color w:val="auto"/>
                <w:szCs w:val="21"/>
                <w:lang w:val="en-US" w:eastAsia="zh-CN"/>
              </w:rPr>
              <w:fldChar w:fldCharType="separate"/>
            </w:r>
            <w:r>
              <w:rPr>
                <w:rFonts w:hint="default"/>
                <w:color w:val="auto"/>
                <w:szCs w:val="21"/>
                <w:lang w:val="en-US" w:eastAsia="zh-CN"/>
              </w:rPr>
              <w:t>乙基纤维素</w:t>
            </w:r>
            <w:r>
              <w:rPr>
                <w:rFonts w:hint="default"/>
                <w:color w:val="auto"/>
                <w:szCs w:val="21"/>
                <w:lang w:val="en-US" w:eastAsia="zh-CN"/>
              </w:rPr>
              <w:fldChar w:fldCharType="end"/>
            </w:r>
            <w:r>
              <w:rPr>
                <w:rFonts w:hint="default"/>
                <w:color w:val="auto"/>
                <w:szCs w:val="21"/>
                <w:lang w:val="en-US" w:eastAsia="zh-CN"/>
              </w:rPr>
              <w:t>、</w:t>
            </w:r>
            <w:r>
              <w:rPr>
                <w:rFonts w:hint="default"/>
                <w:color w:val="auto"/>
                <w:szCs w:val="21"/>
                <w:lang w:val="en-US" w:eastAsia="zh-CN"/>
              </w:rPr>
              <w:fldChar w:fldCharType="begin"/>
            </w:r>
            <w:r>
              <w:rPr>
                <w:rFonts w:hint="default"/>
                <w:color w:val="auto"/>
                <w:szCs w:val="21"/>
                <w:lang w:val="en-US" w:eastAsia="zh-CN"/>
              </w:rPr>
              <w:instrText xml:space="preserve"> HYPERLINK "https://baike.baidu.com/item/%E9%86%8B%E9%85%B8%E4%B8%81%E9%85%B8%E7%BA%A4%E7%BB%B4%E7%B4%A0" \t "https://baike.baidu.com/item/%E4%B9%99%E9%85%B8%E4%B8%81%E9%85%AF/_blank" </w:instrText>
            </w:r>
            <w:r>
              <w:rPr>
                <w:rFonts w:hint="default"/>
                <w:color w:val="auto"/>
                <w:szCs w:val="21"/>
                <w:lang w:val="en-US" w:eastAsia="zh-CN"/>
              </w:rPr>
              <w:fldChar w:fldCharType="separate"/>
            </w:r>
            <w:r>
              <w:rPr>
                <w:rFonts w:hint="default"/>
                <w:color w:val="auto"/>
                <w:szCs w:val="21"/>
                <w:lang w:val="en-US" w:eastAsia="zh-CN"/>
              </w:rPr>
              <w:t>醋酸丁酸纤维素</w:t>
            </w:r>
            <w:r>
              <w:rPr>
                <w:rFonts w:hint="default"/>
                <w:color w:val="auto"/>
                <w:szCs w:val="21"/>
                <w:lang w:val="en-US" w:eastAsia="zh-CN"/>
              </w:rPr>
              <w:fldChar w:fldCharType="end"/>
            </w:r>
            <w:r>
              <w:rPr>
                <w:rFonts w:hint="default"/>
                <w:color w:val="auto"/>
                <w:szCs w:val="21"/>
                <w:lang w:val="en-US" w:eastAsia="zh-CN"/>
              </w:rPr>
              <w:t>、聚苯乙烯、甲基丙烯酸树脂、</w:t>
            </w:r>
            <w:r>
              <w:rPr>
                <w:rFonts w:hint="default"/>
                <w:color w:val="auto"/>
                <w:szCs w:val="21"/>
                <w:lang w:val="en-US" w:eastAsia="zh-CN"/>
              </w:rPr>
              <w:fldChar w:fldCharType="begin"/>
            </w:r>
            <w:r>
              <w:rPr>
                <w:rFonts w:hint="default"/>
                <w:color w:val="auto"/>
                <w:szCs w:val="21"/>
                <w:lang w:val="en-US" w:eastAsia="zh-CN"/>
              </w:rPr>
              <w:instrText xml:space="preserve"> HYPERLINK "https://baike.baidu.com/item/%E6%B0%AF%E5%8C%96%E6%A9%A1%E8%83%B6" \t "https://baike.baidu.com/item/%E4%B9%99%E9%85%B8%E4%B8%81%E9%85%AF/_blank" </w:instrText>
            </w:r>
            <w:r>
              <w:rPr>
                <w:rFonts w:hint="default"/>
                <w:color w:val="auto"/>
                <w:szCs w:val="21"/>
                <w:lang w:val="en-US" w:eastAsia="zh-CN"/>
              </w:rPr>
              <w:fldChar w:fldCharType="separate"/>
            </w:r>
            <w:r>
              <w:rPr>
                <w:rFonts w:hint="default"/>
                <w:color w:val="auto"/>
                <w:szCs w:val="21"/>
                <w:lang w:val="en-US" w:eastAsia="zh-CN"/>
              </w:rPr>
              <w:t>氯化橡胶</w:t>
            </w:r>
            <w:r>
              <w:rPr>
                <w:rFonts w:hint="default"/>
                <w:color w:val="auto"/>
                <w:szCs w:val="21"/>
                <w:lang w:val="en-US" w:eastAsia="zh-CN"/>
              </w:rPr>
              <w:fldChar w:fldCharType="end"/>
            </w:r>
            <w:r>
              <w:rPr>
                <w:rFonts w:hint="default"/>
                <w:color w:val="auto"/>
                <w:szCs w:val="21"/>
                <w:lang w:val="en-US" w:eastAsia="zh-CN"/>
              </w:rPr>
              <w:t>以及多种天然树胶均有较好的</w:t>
            </w:r>
            <w:r>
              <w:rPr>
                <w:rFonts w:hint="default"/>
                <w:color w:val="auto"/>
                <w:szCs w:val="21"/>
                <w:lang w:val="en-US" w:eastAsia="zh-CN"/>
              </w:rPr>
              <w:fldChar w:fldCharType="begin"/>
            </w:r>
            <w:r>
              <w:rPr>
                <w:rFonts w:hint="default"/>
                <w:color w:val="auto"/>
                <w:szCs w:val="21"/>
                <w:lang w:val="en-US" w:eastAsia="zh-CN"/>
              </w:rPr>
              <w:instrText xml:space="preserve"> HYPERLINK "https://baike.baidu.com/item/%E6%BA%B6%E8%A7%A3%E6%80%A7" \t "https://baike.baidu.com/item/%E4%B9%99%E9%85%B8%E4%B8%81%E9%85%AF/_blank" </w:instrText>
            </w:r>
            <w:r>
              <w:rPr>
                <w:rFonts w:hint="default"/>
                <w:color w:val="auto"/>
                <w:szCs w:val="21"/>
                <w:lang w:val="en-US" w:eastAsia="zh-CN"/>
              </w:rPr>
              <w:fldChar w:fldCharType="separate"/>
            </w:r>
            <w:r>
              <w:rPr>
                <w:rFonts w:hint="default"/>
                <w:color w:val="auto"/>
                <w:szCs w:val="21"/>
                <w:lang w:val="en-US" w:eastAsia="zh-CN"/>
              </w:rPr>
              <w:t>溶解性</w:t>
            </w:r>
            <w:r>
              <w:rPr>
                <w:rFonts w:hint="default"/>
                <w:color w:val="auto"/>
                <w:szCs w:val="21"/>
                <w:lang w:val="en-US" w:eastAsia="zh-CN"/>
              </w:rPr>
              <w:fldChar w:fldCharType="end"/>
            </w:r>
            <w:r>
              <w:rPr>
                <w:rFonts w:hint="default"/>
                <w:color w:val="auto"/>
                <w:szCs w:val="21"/>
                <w:lang w:val="en-US" w:eastAsia="zh-CN"/>
              </w:rPr>
              <w:t>能；沸点 126.5℃；凝固点 -77.9℃；相对密度 0.8825；闪点 22℃；沸点126.5 ℃；燃点421℃；溶解度参数δ=8.5；比重0.872-0.885</w:t>
            </w:r>
            <w:r>
              <w:rPr>
                <w:rFonts w:hint="eastAsia"/>
                <w:color w:val="auto"/>
                <w:szCs w:val="21"/>
                <w:lang w:val="en-US" w:eastAsia="zh-CN"/>
              </w:rPr>
              <w:t>。</w:t>
            </w:r>
          </w:p>
        </w:tc>
        <w:tc>
          <w:tcPr>
            <w:tcW w:w="625" w:type="pct"/>
            <w:noWrap w:val="0"/>
            <w:vAlign w:val="center"/>
          </w:tcPr>
          <w:p>
            <w:pPr>
              <w:jc w:val="center"/>
              <w:rPr>
                <w:rFonts w:hint="default"/>
                <w:color w:val="auto"/>
                <w:szCs w:val="21"/>
                <w:lang w:val="en-US" w:eastAsia="zh-CN"/>
              </w:rPr>
            </w:pPr>
            <w:r>
              <w:rPr>
                <w:rFonts w:hint="default"/>
                <w:color w:val="auto"/>
                <w:szCs w:val="21"/>
                <w:lang w:val="en-US" w:eastAsia="zh-CN"/>
              </w:rPr>
              <w:t>易燃</w:t>
            </w:r>
            <w:r>
              <w:rPr>
                <w:rFonts w:hint="eastAsia"/>
                <w:color w:val="auto"/>
                <w:szCs w:val="21"/>
                <w:lang w:val="en-US" w:eastAsia="zh-CN"/>
              </w:rPr>
              <w:t>，</w:t>
            </w:r>
            <w:r>
              <w:rPr>
                <w:rFonts w:hint="default"/>
                <w:color w:val="auto"/>
                <w:szCs w:val="21"/>
                <w:lang w:val="en-US" w:eastAsia="zh-CN"/>
              </w:rPr>
              <w:t>闪点（℃）：22</w:t>
            </w:r>
            <w:r>
              <w:rPr>
                <w:rFonts w:hint="eastAsia"/>
                <w:color w:val="auto"/>
                <w:szCs w:val="21"/>
                <w:lang w:val="en-US" w:eastAsia="zh-CN"/>
              </w:rPr>
              <w:t>；</w:t>
            </w:r>
            <w:r>
              <w:rPr>
                <w:rFonts w:hint="default"/>
                <w:color w:val="auto"/>
                <w:szCs w:val="21"/>
                <w:lang w:val="en-US" w:eastAsia="zh-CN"/>
              </w:rPr>
              <w:t>爆炸下限（%）：1.2爆炸上限（%）：7.5</w:t>
            </w:r>
          </w:p>
          <w:p>
            <w:pPr>
              <w:jc w:val="center"/>
              <w:rPr>
                <w:rFonts w:hint="eastAsia"/>
                <w:color w:val="auto"/>
                <w:szCs w:val="21"/>
                <w:lang w:val="en-US" w:eastAsia="zh-CN"/>
              </w:rPr>
            </w:pPr>
          </w:p>
        </w:tc>
        <w:tc>
          <w:tcPr>
            <w:tcW w:w="783" w:type="pct"/>
            <w:tcBorders>
              <w:right w:val="single" w:color="auto" w:sz="4" w:space="0"/>
            </w:tcBorders>
            <w:noWrap w:val="0"/>
            <w:vAlign w:val="center"/>
          </w:tcPr>
          <w:p>
            <w:pPr>
              <w:jc w:val="center"/>
              <w:rPr>
                <w:rFonts w:hint="default"/>
                <w:color w:val="auto"/>
                <w:szCs w:val="21"/>
                <w:lang w:val="en-US" w:eastAsia="zh-CN"/>
              </w:rPr>
            </w:pPr>
            <w:r>
              <w:rPr>
                <w:rFonts w:hint="eastAsia"/>
                <w:color w:val="auto"/>
                <w:szCs w:val="21"/>
                <w:lang w:val="en-US" w:eastAsia="zh-CN"/>
              </w:rPr>
              <w:t>口服-大鼠 LD50:10768 mg/kg；口服-小鼠 LD50: 7076mg/kg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93" w:hRule="exact"/>
          <w:jc w:val="center"/>
        </w:trPr>
        <w:tc>
          <w:tcPr>
            <w:tcW w:w="430" w:type="pct"/>
            <w:tcBorders>
              <w:left w:val="single" w:color="auto" w:sz="4" w:space="0"/>
              <w:bottom w:val="single" w:color="auto" w:sz="4" w:space="0"/>
            </w:tcBorders>
            <w:noWrap w:val="0"/>
            <w:vAlign w:val="center"/>
          </w:tcPr>
          <w:p>
            <w:pPr>
              <w:jc w:val="center"/>
              <w:rPr>
                <w:rFonts w:hint="eastAsia"/>
                <w:color w:val="auto"/>
                <w:szCs w:val="21"/>
                <w:lang w:eastAsia="zh-CN"/>
              </w:rPr>
            </w:pPr>
            <w:r>
              <w:rPr>
                <w:rFonts w:hint="eastAsia"/>
                <w:color w:val="auto"/>
                <w:szCs w:val="21"/>
                <w:lang w:eastAsia="zh-CN"/>
              </w:rPr>
              <w:t>粘合剂</w:t>
            </w:r>
          </w:p>
        </w:tc>
        <w:tc>
          <w:tcPr>
            <w:tcW w:w="661" w:type="pct"/>
            <w:tcBorders>
              <w:bottom w:val="single" w:color="auto" w:sz="4" w:space="0"/>
            </w:tcBorders>
            <w:noWrap w:val="0"/>
            <w:vAlign w:val="center"/>
          </w:tcPr>
          <w:p>
            <w:pPr>
              <w:jc w:val="center"/>
              <w:rPr>
                <w:rFonts w:hint="eastAsia"/>
                <w:color w:val="auto"/>
                <w:szCs w:val="21"/>
                <w:lang w:val="en-US" w:eastAsia="zh-CN"/>
              </w:rPr>
            </w:pPr>
            <w:r>
              <w:rPr>
                <w:rFonts w:hint="eastAsia"/>
                <w:color w:val="auto"/>
                <w:szCs w:val="21"/>
                <w:lang w:val="en-US" w:eastAsia="zh-CN"/>
              </w:rPr>
              <w:t>--</w:t>
            </w:r>
          </w:p>
        </w:tc>
        <w:tc>
          <w:tcPr>
            <w:tcW w:w="2498" w:type="pct"/>
            <w:tcBorders>
              <w:bottom w:val="single" w:color="auto" w:sz="4" w:space="0"/>
            </w:tcBorders>
            <w:noWrap w:val="0"/>
            <w:vAlign w:val="center"/>
          </w:tcPr>
          <w:p>
            <w:pPr>
              <w:jc w:val="center"/>
              <w:rPr>
                <w:rFonts w:hint="eastAsia"/>
                <w:color w:val="auto"/>
                <w:szCs w:val="21"/>
                <w:lang w:val="en-US" w:eastAsia="zh-CN"/>
              </w:rPr>
            </w:pPr>
            <w:r>
              <w:rPr>
                <w:rFonts w:hint="eastAsia"/>
                <w:color w:val="auto"/>
                <w:szCs w:val="21"/>
                <w:lang w:eastAsia="zh-CN"/>
              </w:rPr>
              <w:t>酚醛树脂与六亚甲基四胺混合物，酚醛树脂占</w:t>
            </w:r>
            <w:r>
              <w:rPr>
                <w:rFonts w:hint="eastAsia"/>
                <w:color w:val="auto"/>
                <w:szCs w:val="21"/>
                <w:lang w:val="en-US" w:eastAsia="zh-CN"/>
              </w:rPr>
              <w:t>89~91%，</w:t>
            </w:r>
            <w:r>
              <w:rPr>
                <w:rFonts w:hint="eastAsia"/>
                <w:color w:val="auto"/>
                <w:szCs w:val="21"/>
                <w:lang w:eastAsia="zh-CN"/>
              </w:rPr>
              <w:t>六亚甲基四胺占</w:t>
            </w:r>
            <w:r>
              <w:rPr>
                <w:rFonts w:hint="eastAsia"/>
                <w:color w:val="auto"/>
                <w:szCs w:val="21"/>
                <w:lang w:val="en-US" w:eastAsia="zh-CN"/>
              </w:rPr>
              <w:t>9~11%；淡黄色粉末，不溶于水，可溶于醇</w:t>
            </w:r>
          </w:p>
        </w:tc>
        <w:tc>
          <w:tcPr>
            <w:tcW w:w="625" w:type="pct"/>
            <w:tcBorders>
              <w:bottom w:val="single" w:color="auto" w:sz="4" w:space="0"/>
            </w:tcBorders>
            <w:noWrap w:val="0"/>
            <w:vAlign w:val="center"/>
          </w:tcPr>
          <w:p>
            <w:pPr>
              <w:jc w:val="center"/>
              <w:rPr>
                <w:rFonts w:hint="eastAsia"/>
                <w:color w:val="auto"/>
                <w:szCs w:val="21"/>
                <w:lang w:val="en-US" w:eastAsia="zh-CN"/>
              </w:rPr>
            </w:pPr>
            <w:r>
              <w:rPr>
                <w:rFonts w:hint="eastAsia"/>
                <w:color w:val="auto"/>
                <w:szCs w:val="21"/>
                <w:lang w:val="en-US" w:eastAsia="zh-CN"/>
              </w:rPr>
              <w:t>/</w:t>
            </w:r>
          </w:p>
        </w:tc>
        <w:tc>
          <w:tcPr>
            <w:tcW w:w="783" w:type="pct"/>
            <w:tcBorders>
              <w:bottom w:val="single" w:color="auto" w:sz="4" w:space="0"/>
              <w:right w:val="single" w:color="auto" w:sz="4" w:space="0"/>
            </w:tcBorders>
            <w:noWrap w:val="0"/>
            <w:vAlign w:val="center"/>
          </w:tcPr>
          <w:p>
            <w:pPr>
              <w:jc w:val="center"/>
              <w:rPr>
                <w:rFonts w:hint="eastAsia"/>
                <w:color w:val="auto"/>
                <w:szCs w:val="21"/>
                <w:lang w:val="en-US" w:eastAsia="zh-CN"/>
              </w:rPr>
            </w:pPr>
            <w:r>
              <w:rPr>
                <w:rFonts w:hint="eastAsia"/>
                <w:color w:val="auto"/>
                <w:szCs w:val="21"/>
                <w:lang w:val="en-US" w:eastAsia="zh-CN"/>
              </w:rPr>
              <w:t>/</w:t>
            </w:r>
          </w:p>
        </w:tc>
      </w:tr>
    </w:tbl>
    <w:p>
      <w:pPr>
        <w:spacing w:line="240" w:lineRule="auto"/>
        <w:ind w:firstLine="360" w:firstLineChars="200"/>
        <w:jc w:val="left"/>
        <w:rPr>
          <w:rFonts w:hint="eastAsia" w:eastAsia="宋体"/>
          <w:b w:val="0"/>
          <w:bCs w:val="0"/>
          <w:color w:val="auto"/>
          <w:sz w:val="18"/>
          <w:szCs w:val="18"/>
          <w:lang w:eastAsia="zh-CN"/>
        </w:rPr>
      </w:pPr>
      <w:r>
        <w:rPr>
          <w:rFonts w:hint="eastAsia"/>
          <w:b w:val="0"/>
          <w:bCs w:val="0"/>
          <w:color w:val="auto"/>
          <w:sz w:val="18"/>
          <w:szCs w:val="18"/>
          <w:lang w:eastAsia="zh-CN"/>
        </w:rPr>
        <w:t>注：因发泡剂为企业技术保密部分，未提供相关参数。</w:t>
      </w:r>
    </w:p>
    <w:p>
      <w:pPr>
        <w:pStyle w:val="5"/>
        <w:spacing w:before="0" w:after="0" w:line="520" w:lineRule="exact"/>
        <w:rPr>
          <w:color w:val="auto"/>
          <w:sz w:val="24"/>
          <w:szCs w:val="24"/>
        </w:rPr>
      </w:pPr>
      <w:r>
        <w:rPr>
          <w:color w:val="auto"/>
          <w:sz w:val="24"/>
          <w:szCs w:val="24"/>
        </w:rPr>
        <w:t>3.1.9 现有项目</w:t>
      </w:r>
      <w:r>
        <w:rPr>
          <w:color w:val="auto"/>
          <w:sz w:val="24"/>
        </w:rPr>
        <w:t>主要生产设备</w:t>
      </w:r>
    </w:p>
    <w:p>
      <w:pPr>
        <w:spacing w:line="500" w:lineRule="exact"/>
        <w:ind w:firstLine="470" w:firstLineChars="196"/>
        <w:rPr>
          <w:color w:val="auto"/>
          <w:sz w:val="24"/>
        </w:rPr>
      </w:pPr>
      <w:r>
        <w:rPr>
          <w:color w:val="auto"/>
          <w:sz w:val="24"/>
        </w:rPr>
        <w:t>现有项目主要设备一览表如下所示：</w:t>
      </w:r>
    </w:p>
    <w:p>
      <w:pPr>
        <w:spacing w:line="440" w:lineRule="exact"/>
        <w:jc w:val="center"/>
        <w:rPr>
          <w:b/>
          <w:color w:val="auto"/>
          <w:sz w:val="24"/>
        </w:rPr>
      </w:pPr>
      <w:r>
        <w:rPr>
          <w:b/>
          <w:color w:val="auto"/>
          <w:sz w:val="24"/>
        </w:rPr>
        <w:t>表3-</w:t>
      </w:r>
      <w:r>
        <w:rPr>
          <w:rFonts w:hint="eastAsia"/>
          <w:b/>
          <w:color w:val="auto"/>
          <w:sz w:val="24"/>
          <w:lang w:val="en-US" w:eastAsia="zh-CN"/>
        </w:rPr>
        <w:t>5</w:t>
      </w:r>
      <w:r>
        <w:rPr>
          <w:b/>
          <w:color w:val="auto"/>
          <w:sz w:val="24"/>
        </w:rPr>
        <w:t xml:space="preserve">  现有项目主要生产设备一览表</w:t>
      </w:r>
    </w:p>
    <w:tbl>
      <w:tblPr>
        <w:tblStyle w:val="53"/>
        <w:tblW w:w="4998"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1578"/>
        <w:gridCol w:w="3234"/>
        <w:gridCol w:w="2296"/>
        <w:gridCol w:w="1841"/>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882" w:type="pct"/>
            <w:tcBorders>
              <w:tl2br w:val="nil"/>
              <w:tr2bl w:val="nil"/>
            </w:tcBorders>
            <w:noWrap w:val="0"/>
            <w:vAlign w:val="center"/>
          </w:tcPr>
          <w:p>
            <w:pPr>
              <w:jc w:val="center"/>
              <w:rPr>
                <w:rFonts w:hint="default"/>
                <w:color w:val="auto"/>
                <w:szCs w:val="21"/>
              </w:rPr>
            </w:pPr>
            <w:r>
              <w:rPr>
                <w:rFonts w:hint="default"/>
                <w:color w:val="auto"/>
                <w:szCs w:val="21"/>
              </w:rPr>
              <w:t>序号</w:t>
            </w:r>
          </w:p>
        </w:tc>
        <w:tc>
          <w:tcPr>
            <w:tcW w:w="1806" w:type="pct"/>
            <w:tcBorders>
              <w:tl2br w:val="nil"/>
              <w:tr2bl w:val="nil"/>
            </w:tcBorders>
            <w:noWrap w:val="0"/>
            <w:vAlign w:val="center"/>
          </w:tcPr>
          <w:p>
            <w:pPr>
              <w:jc w:val="center"/>
              <w:rPr>
                <w:rFonts w:hint="default"/>
                <w:color w:val="auto"/>
                <w:szCs w:val="21"/>
              </w:rPr>
            </w:pPr>
            <w:r>
              <w:rPr>
                <w:rFonts w:hint="default"/>
                <w:color w:val="auto"/>
                <w:szCs w:val="21"/>
              </w:rPr>
              <w:t>设备名称</w:t>
            </w:r>
          </w:p>
        </w:tc>
        <w:tc>
          <w:tcPr>
            <w:tcW w:w="1282" w:type="pct"/>
            <w:tcBorders>
              <w:tl2br w:val="nil"/>
              <w:tr2bl w:val="nil"/>
            </w:tcBorders>
            <w:noWrap w:val="0"/>
            <w:vAlign w:val="center"/>
          </w:tcPr>
          <w:p>
            <w:pPr>
              <w:jc w:val="center"/>
              <w:rPr>
                <w:rFonts w:hint="default"/>
                <w:color w:val="auto"/>
                <w:szCs w:val="21"/>
              </w:rPr>
            </w:pPr>
            <w:r>
              <w:rPr>
                <w:rFonts w:hint="default"/>
                <w:color w:val="auto"/>
                <w:szCs w:val="21"/>
                <w:lang w:eastAsia="zh-CN"/>
              </w:rPr>
              <w:t>规格</w:t>
            </w:r>
            <w:r>
              <w:rPr>
                <w:rFonts w:hint="default"/>
                <w:color w:val="auto"/>
                <w:szCs w:val="21"/>
              </w:rPr>
              <w:t>型号</w:t>
            </w:r>
          </w:p>
        </w:tc>
        <w:tc>
          <w:tcPr>
            <w:tcW w:w="1028" w:type="pct"/>
            <w:tcBorders>
              <w:tl2br w:val="nil"/>
              <w:tr2bl w:val="nil"/>
            </w:tcBorders>
            <w:noWrap w:val="0"/>
            <w:vAlign w:val="center"/>
          </w:tcPr>
          <w:p>
            <w:pPr>
              <w:jc w:val="center"/>
              <w:rPr>
                <w:rFonts w:hint="default"/>
                <w:color w:val="auto"/>
                <w:szCs w:val="21"/>
              </w:rPr>
            </w:pPr>
            <w:r>
              <w:rPr>
                <w:rFonts w:hint="default"/>
                <w:color w:val="auto"/>
                <w:szCs w:val="21"/>
              </w:rPr>
              <w:t>数量（台/套）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882" w:type="pct"/>
            <w:tcBorders>
              <w:tl2br w:val="nil"/>
              <w:tr2bl w:val="nil"/>
            </w:tcBorders>
            <w:noWrap w:val="0"/>
            <w:vAlign w:val="center"/>
          </w:tcPr>
          <w:p>
            <w:pPr>
              <w:jc w:val="center"/>
              <w:rPr>
                <w:rFonts w:hint="default"/>
                <w:color w:val="auto"/>
                <w:szCs w:val="21"/>
                <w:lang w:val="en-US" w:eastAsia="zh-CN"/>
              </w:rPr>
            </w:pPr>
            <w:r>
              <w:rPr>
                <w:rFonts w:hint="default"/>
                <w:color w:val="auto"/>
                <w:szCs w:val="21"/>
                <w:lang w:val="en-US" w:eastAsia="zh-CN"/>
              </w:rPr>
              <w:t>1</w:t>
            </w:r>
          </w:p>
        </w:tc>
        <w:tc>
          <w:tcPr>
            <w:tcW w:w="1806" w:type="pct"/>
            <w:tcBorders>
              <w:tl2br w:val="nil"/>
              <w:tr2bl w:val="nil"/>
            </w:tcBorders>
            <w:noWrap w:val="0"/>
            <w:vAlign w:val="center"/>
          </w:tcPr>
          <w:p>
            <w:pPr>
              <w:jc w:val="center"/>
              <w:rPr>
                <w:rFonts w:hint="default"/>
                <w:color w:val="auto"/>
                <w:szCs w:val="21"/>
                <w:lang w:eastAsia="zh-CN"/>
              </w:rPr>
            </w:pPr>
            <w:r>
              <w:rPr>
                <w:rFonts w:hint="default"/>
                <w:color w:val="auto"/>
                <w:szCs w:val="21"/>
              </w:rPr>
              <w:t>搅拌机</w:t>
            </w:r>
          </w:p>
        </w:tc>
        <w:tc>
          <w:tcPr>
            <w:tcW w:w="1282" w:type="pct"/>
            <w:tcBorders>
              <w:tl2br w:val="nil"/>
              <w:tr2bl w:val="nil"/>
            </w:tcBorders>
            <w:noWrap w:val="0"/>
            <w:vAlign w:val="center"/>
          </w:tcPr>
          <w:p>
            <w:pPr>
              <w:jc w:val="center"/>
              <w:rPr>
                <w:rFonts w:hint="default"/>
                <w:color w:val="auto"/>
                <w:szCs w:val="21"/>
                <w:lang w:val="en-US" w:eastAsia="zh-CN"/>
              </w:rPr>
            </w:pPr>
            <w:r>
              <w:rPr>
                <w:rFonts w:hint="default"/>
                <w:color w:val="auto"/>
                <w:szCs w:val="21"/>
              </w:rPr>
              <w:t>100L</w:t>
            </w:r>
          </w:p>
        </w:tc>
        <w:tc>
          <w:tcPr>
            <w:tcW w:w="1028" w:type="pct"/>
            <w:tcBorders>
              <w:tl2br w:val="nil"/>
              <w:tr2bl w:val="nil"/>
            </w:tcBorders>
            <w:noWrap w:val="0"/>
            <w:vAlign w:val="center"/>
          </w:tcPr>
          <w:p>
            <w:pPr>
              <w:jc w:val="center"/>
              <w:rPr>
                <w:rFonts w:hint="default"/>
                <w:color w:val="auto"/>
                <w:szCs w:val="21"/>
                <w:lang w:val="en-US" w:eastAsia="zh-CN"/>
              </w:rPr>
            </w:pPr>
            <w:r>
              <w:rPr>
                <w:rFonts w:hint="default"/>
                <w:color w:val="auto"/>
                <w:szCs w:val="21"/>
              </w:rPr>
              <w:t>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882" w:type="pct"/>
            <w:tcBorders>
              <w:tl2br w:val="nil"/>
              <w:tr2bl w:val="nil"/>
            </w:tcBorders>
            <w:noWrap w:val="0"/>
            <w:vAlign w:val="center"/>
          </w:tcPr>
          <w:p>
            <w:pPr>
              <w:jc w:val="center"/>
              <w:rPr>
                <w:rFonts w:hint="default"/>
                <w:color w:val="auto"/>
                <w:szCs w:val="21"/>
                <w:lang w:val="en-US" w:eastAsia="zh-CN"/>
              </w:rPr>
            </w:pPr>
            <w:r>
              <w:rPr>
                <w:rFonts w:hint="default"/>
                <w:color w:val="auto"/>
                <w:szCs w:val="21"/>
                <w:lang w:val="en-US" w:eastAsia="zh-CN"/>
              </w:rPr>
              <w:t>2</w:t>
            </w:r>
          </w:p>
        </w:tc>
        <w:tc>
          <w:tcPr>
            <w:tcW w:w="1806" w:type="pct"/>
            <w:tcBorders>
              <w:tl2br w:val="nil"/>
              <w:tr2bl w:val="nil"/>
            </w:tcBorders>
            <w:noWrap w:val="0"/>
            <w:vAlign w:val="center"/>
          </w:tcPr>
          <w:p>
            <w:pPr>
              <w:jc w:val="center"/>
              <w:rPr>
                <w:rFonts w:hint="default"/>
                <w:color w:val="auto"/>
                <w:szCs w:val="21"/>
                <w:lang w:eastAsia="zh-CN"/>
              </w:rPr>
            </w:pPr>
            <w:r>
              <w:rPr>
                <w:rFonts w:hint="default"/>
                <w:color w:val="auto"/>
                <w:szCs w:val="21"/>
              </w:rPr>
              <w:t>出片机</w:t>
            </w:r>
          </w:p>
        </w:tc>
        <w:tc>
          <w:tcPr>
            <w:tcW w:w="1282" w:type="pct"/>
            <w:tcBorders>
              <w:tl2br w:val="nil"/>
              <w:tr2bl w:val="nil"/>
            </w:tcBorders>
            <w:noWrap w:val="0"/>
            <w:vAlign w:val="center"/>
          </w:tcPr>
          <w:p>
            <w:pPr>
              <w:jc w:val="center"/>
              <w:rPr>
                <w:rFonts w:hint="default"/>
                <w:color w:val="auto"/>
                <w:szCs w:val="21"/>
                <w:lang w:val="en-US" w:eastAsia="zh-CN"/>
              </w:rPr>
            </w:pPr>
            <w:r>
              <w:rPr>
                <w:rFonts w:hint="default"/>
                <w:color w:val="auto"/>
                <w:szCs w:val="21"/>
              </w:rPr>
              <w:t>9#</w:t>
            </w:r>
          </w:p>
        </w:tc>
        <w:tc>
          <w:tcPr>
            <w:tcW w:w="1028" w:type="pct"/>
            <w:tcBorders>
              <w:tl2br w:val="nil"/>
              <w:tr2bl w:val="nil"/>
            </w:tcBorders>
            <w:noWrap w:val="0"/>
            <w:vAlign w:val="center"/>
          </w:tcPr>
          <w:p>
            <w:pPr>
              <w:jc w:val="center"/>
              <w:rPr>
                <w:rFonts w:hint="default"/>
                <w:color w:val="auto"/>
                <w:szCs w:val="21"/>
                <w:lang w:val="en-US" w:eastAsia="zh-CN"/>
              </w:rPr>
            </w:pPr>
            <w:r>
              <w:rPr>
                <w:rFonts w:hint="default"/>
                <w:color w:val="auto"/>
                <w:szCs w:val="21"/>
              </w:rP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882" w:type="pct"/>
            <w:tcBorders>
              <w:tl2br w:val="nil"/>
              <w:tr2bl w:val="nil"/>
            </w:tcBorders>
            <w:noWrap w:val="0"/>
            <w:vAlign w:val="center"/>
          </w:tcPr>
          <w:p>
            <w:pPr>
              <w:jc w:val="center"/>
              <w:rPr>
                <w:rFonts w:hint="default"/>
                <w:color w:val="auto"/>
                <w:szCs w:val="21"/>
                <w:lang w:val="en-US" w:eastAsia="zh-CN"/>
              </w:rPr>
            </w:pPr>
            <w:r>
              <w:rPr>
                <w:rFonts w:hint="default"/>
                <w:color w:val="auto"/>
                <w:szCs w:val="21"/>
                <w:lang w:val="en-US" w:eastAsia="zh-CN"/>
              </w:rPr>
              <w:t>3</w:t>
            </w:r>
          </w:p>
        </w:tc>
        <w:tc>
          <w:tcPr>
            <w:tcW w:w="1806" w:type="pct"/>
            <w:tcBorders>
              <w:tl2br w:val="nil"/>
              <w:tr2bl w:val="nil"/>
            </w:tcBorders>
            <w:noWrap w:val="0"/>
            <w:vAlign w:val="center"/>
          </w:tcPr>
          <w:p>
            <w:pPr>
              <w:jc w:val="center"/>
              <w:rPr>
                <w:rFonts w:hint="default"/>
                <w:color w:val="auto"/>
                <w:szCs w:val="21"/>
                <w:lang w:eastAsia="zh-CN"/>
              </w:rPr>
            </w:pPr>
            <w:r>
              <w:rPr>
                <w:rFonts w:hint="default"/>
                <w:color w:val="auto"/>
                <w:szCs w:val="21"/>
              </w:rPr>
              <w:t>晾干线</w:t>
            </w:r>
          </w:p>
        </w:tc>
        <w:tc>
          <w:tcPr>
            <w:tcW w:w="1282" w:type="pct"/>
            <w:tcBorders>
              <w:tl2br w:val="nil"/>
              <w:tr2bl w:val="nil"/>
            </w:tcBorders>
            <w:noWrap w:val="0"/>
            <w:vAlign w:val="center"/>
          </w:tcPr>
          <w:p>
            <w:pPr>
              <w:jc w:val="center"/>
              <w:rPr>
                <w:rFonts w:hint="default"/>
                <w:color w:val="auto"/>
                <w:szCs w:val="21"/>
                <w:lang w:val="en-US" w:eastAsia="zh-CN"/>
              </w:rPr>
            </w:pPr>
            <w:r>
              <w:rPr>
                <w:rFonts w:hint="default"/>
                <w:color w:val="auto"/>
                <w:szCs w:val="21"/>
              </w:rPr>
              <w:t>100#</w:t>
            </w:r>
          </w:p>
        </w:tc>
        <w:tc>
          <w:tcPr>
            <w:tcW w:w="1028" w:type="pct"/>
            <w:tcBorders>
              <w:tl2br w:val="nil"/>
              <w:tr2bl w:val="nil"/>
            </w:tcBorders>
            <w:noWrap w:val="0"/>
            <w:vAlign w:val="center"/>
          </w:tcPr>
          <w:p>
            <w:pPr>
              <w:jc w:val="center"/>
              <w:rPr>
                <w:rFonts w:hint="default"/>
                <w:color w:val="auto"/>
                <w:szCs w:val="21"/>
                <w:lang w:val="en-US" w:eastAsia="zh-CN"/>
              </w:rPr>
            </w:pPr>
            <w:r>
              <w:rPr>
                <w:rFonts w:hint="default"/>
                <w:color w:val="auto"/>
                <w:szCs w:val="21"/>
              </w:rPr>
              <w:t>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882" w:type="pct"/>
            <w:tcBorders>
              <w:tl2br w:val="nil"/>
              <w:tr2bl w:val="nil"/>
            </w:tcBorders>
            <w:noWrap w:val="0"/>
            <w:vAlign w:val="center"/>
          </w:tcPr>
          <w:p>
            <w:pPr>
              <w:jc w:val="center"/>
              <w:rPr>
                <w:rFonts w:hint="default"/>
                <w:color w:val="auto"/>
                <w:szCs w:val="21"/>
                <w:lang w:val="en-US" w:eastAsia="zh-CN"/>
              </w:rPr>
            </w:pPr>
            <w:r>
              <w:rPr>
                <w:rFonts w:hint="default"/>
                <w:color w:val="auto"/>
                <w:szCs w:val="21"/>
                <w:lang w:val="en-US" w:eastAsia="zh-CN"/>
              </w:rPr>
              <w:t>4</w:t>
            </w:r>
          </w:p>
        </w:tc>
        <w:tc>
          <w:tcPr>
            <w:tcW w:w="1806" w:type="pct"/>
            <w:tcBorders>
              <w:tl2br w:val="nil"/>
              <w:tr2bl w:val="nil"/>
            </w:tcBorders>
            <w:noWrap w:val="0"/>
            <w:vAlign w:val="center"/>
          </w:tcPr>
          <w:p>
            <w:pPr>
              <w:jc w:val="center"/>
              <w:rPr>
                <w:rFonts w:hint="default"/>
                <w:color w:val="auto"/>
                <w:szCs w:val="21"/>
                <w:lang w:eastAsia="zh-CN"/>
              </w:rPr>
            </w:pPr>
            <w:r>
              <w:rPr>
                <w:rFonts w:hint="default"/>
                <w:color w:val="auto"/>
                <w:szCs w:val="21"/>
              </w:rPr>
              <w:t>烘干隧道线</w:t>
            </w:r>
          </w:p>
        </w:tc>
        <w:tc>
          <w:tcPr>
            <w:tcW w:w="1282" w:type="pct"/>
            <w:tcBorders>
              <w:tl2br w:val="nil"/>
              <w:tr2bl w:val="nil"/>
            </w:tcBorders>
            <w:noWrap w:val="0"/>
            <w:vAlign w:val="center"/>
          </w:tcPr>
          <w:p>
            <w:pPr>
              <w:jc w:val="center"/>
              <w:rPr>
                <w:rFonts w:hint="default"/>
                <w:color w:val="auto"/>
                <w:szCs w:val="21"/>
                <w:lang w:val="en-US" w:eastAsia="zh-CN"/>
              </w:rPr>
            </w:pPr>
            <w:r>
              <w:rPr>
                <w:rFonts w:hint="default"/>
                <w:color w:val="auto"/>
                <w:szCs w:val="21"/>
              </w:rPr>
              <w:t>1000#</w:t>
            </w:r>
            <w:r>
              <w:rPr>
                <w:rFonts w:hint="eastAsia"/>
                <w:color w:val="auto"/>
                <w:szCs w:val="21"/>
                <w:lang w:eastAsia="zh-CN"/>
              </w:rPr>
              <w:t>，电加热</w:t>
            </w:r>
          </w:p>
        </w:tc>
        <w:tc>
          <w:tcPr>
            <w:tcW w:w="1028" w:type="pct"/>
            <w:tcBorders>
              <w:tl2br w:val="nil"/>
              <w:tr2bl w:val="nil"/>
            </w:tcBorders>
            <w:noWrap w:val="0"/>
            <w:vAlign w:val="center"/>
          </w:tcPr>
          <w:p>
            <w:pPr>
              <w:jc w:val="center"/>
              <w:rPr>
                <w:rFonts w:hint="default"/>
                <w:color w:val="auto"/>
                <w:szCs w:val="21"/>
                <w:lang w:val="en-US" w:eastAsia="zh-CN"/>
              </w:rPr>
            </w:pPr>
            <w:r>
              <w:rPr>
                <w:rFonts w:hint="default"/>
                <w:color w:val="auto"/>
                <w:szCs w:val="21"/>
              </w:rP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882" w:type="pct"/>
            <w:tcBorders>
              <w:tl2br w:val="nil"/>
              <w:tr2bl w:val="nil"/>
            </w:tcBorders>
            <w:noWrap w:val="0"/>
            <w:vAlign w:val="center"/>
          </w:tcPr>
          <w:p>
            <w:pPr>
              <w:jc w:val="center"/>
              <w:rPr>
                <w:rFonts w:hint="default"/>
                <w:color w:val="auto"/>
                <w:szCs w:val="21"/>
                <w:lang w:val="en-US" w:eastAsia="zh-CN"/>
              </w:rPr>
            </w:pPr>
            <w:r>
              <w:rPr>
                <w:rFonts w:hint="default"/>
                <w:color w:val="auto"/>
                <w:szCs w:val="21"/>
                <w:lang w:val="en-US" w:eastAsia="zh-CN"/>
              </w:rPr>
              <w:t>5</w:t>
            </w:r>
          </w:p>
        </w:tc>
        <w:tc>
          <w:tcPr>
            <w:tcW w:w="1806" w:type="pct"/>
            <w:tcBorders>
              <w:tl2br w:val="nil"/>
              <w:tr2bl w:val="nil"/>
            </w:tcBorders>
            <w:noWrap w:val="0"/>
            <w:vAlign w:val="center"/>
          </w:tcPr>
          <w:p>
            <w:pPr>
              <w:jc w:val="center"/>
              <w:rPr>
                <w:rFonts w:hint="default"/>
                <w:color w:val="auto"/>
                <w:szCs w:val="21"/>
                <w:lang w:eastAsia="zh-CN"/>
              </w:rPr>
            </w:pPr>
            <w:r>
              <w:rPr>
                <w:rFonts w:hint="default"/>
                <w:color w:val="auto"/>
                <w:szCs w:val="21"/>
              </w:rPr>
              <w:t>辊涂机</w:t>
            </w:r>
          </w:p>
        </w:tc>
        <w:tc>
          <w:tcPr>
            <w:tcW w:w="1282" w:type="pct"/>
            <w:tcBorders>
              <w:tl2br w:val="nil"/>
              <w:tr2bl w:val="nil"/>
            </w:tcBorders>
            <w:noWrap w:val="0"/>
            <w:vAlign w:val="center"/>
          </w:tcPr>
          <w:p>
            <w:pPr>
              <w:jc w:val="center"/>
              <w:rPr>
                <w:rFonts w:hint="default"/>
                <w:color w:val="auto"/>
                <w:szCs w:val="21"/>
                <w:lang w:val="en-US" w:eastAsia="zh-CN"/>
              </w:rPr>
            </w:pPr>
            <w:r>
              <w:rPr>
                <w:rFonts w:hint="default"/>
                <w:color w:val="auto"/>
                <w:szCs w:val="21"/>
              </w:rPr>
              <w:t>600#</w:t>
            </w:r>
          </w:p>
        </w:tc>
        <w:tc>
          <w:tcPr>
            <w:tcW w:w="1028" w:type="pct"/>
            <w:tcBorders>
              <w:tl2br w:val="nil"/>
              <w:tr2bl w:val="nil"/>
            </w:tcBorders>
            <w:noWrap w:val="0"/>
            <w:vAlign w:val="center"/>
          </w:tcPr>
          <w:p>
            <w:pPr>
              <w:jc w:val="center"/>
              <w:rPr>
                <w:rFonts w:hint="default"/>
                <w:color w:val="auto"/>
                <w:szCs w:val="21"/>
                <w:lang w:val="en-US" w:eastAsia="zh-CN"/>
              </w:rPr>
            </w:pPr>
            <w:r>
              <w:rPr>
                <w:rFonts w:hint="default"/>
                <w:color w:val="auto"/>
                <w:szCs w:val="21"/>
              </w:rPr>
              <w:t>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882" w:type="pct"/>
            <w:tcBorders>
              <w:tl2br w:val="nil"/>
              <w:tr2bl w:val="nil"/>
            </w:tcBorders>
            <w:noWrap w:val="0"/>
            <w:vAlign w:val="center"/>
          </w:tcPr>
          <w:p>
            <w:pPr>
              <w:jc w:val="center"/>
              <w:rPr>
                <w:rFonts w:hint="default"/>
                <w:color w:val="auto"/>
                <w:szCs w:val="21"/>
                <w:lang w:val="en-US" w:eastAsia="zh-CN"/>
              </w:rPr>
            </w:pPr>
            <w:r>
              <w:rPr>
                <w:rFonts w:hint="default"/>
                <w:color w:val="auto"/>
                <w:szCs w:val="21"/>
                <w:lang w:val="en-US" w:eastAsia="zh-CN"/>
              </w:rPr>
              <w:t>6</w:t>
            </w:r>
          </w:p>
        </w:tc>
        <w:tc>
          <w:tcPr>
            <w:tcW w:w="1806" w:type="pct"/>
            <w:tcBorders>
              <w:tl2br w:val="nil"/>
              <w:tr2bl w:val="nil"/>
            </w:tcBorders>
            <w:noWrap w:val="0"/>
            <w:vAlign w:val="center"/>
          </w:tcPr>
          <w:p>
            <w:pPr>
              <w:jc w:val="center"/>
              <w:rPr>
                <w:rFonts w:hint="default"/>
                <w:color w:val="auto"/>
                <w:szCs w:val="21"/>
                <w:lang w:eastAsia="zh-CN"/>
              </w:rPr>
            </w:pPr>
            <w:r>
              <w:rPr>
                <w:rFonts w:hint="default"/>
                <w:color w:val="auto"/>
                <w:szCs w:val="21"/>
              </w:rPr>
              <w:t>辊涂机</w:t>
            </w:r>
          </w:p>
        </w:tc>
        <w:tc>
          <w:tcPr>
            <w:tcW w:w="1282" w:type="pct"/>
            <w:tcBorders>
              <w:tl2br w:val="nil"/>
              <w:tr2bl w:val="nil"/>
            </w:tcBorders>
            <w:noWrap w:val="0"/>
            <w:vAlign w:val="center"/>
          </w:tcPr>
          <w:p>
            <w:pPr>
              <w:jc w:val="center"/>
              <w:rPr>
                <w:rFonts w:hint="default"/>
                <w:color w:val="auto"/>
                <w:szCs w:val="21"/>
                <w:lang w:val="en-US" w:eastAsia="zh-CN"/>
              </w:rPr>
            </w:pPr>
            <w:r>
              <w:rPr>
                <w:rFonts w:hint="default"/>
                <w:color w:val="auto"/>
                <w:szCs w:val="21"/>
              </w:rPr>
              <w:t>700#</w:t>
            </w:r>
          </w:p>
        </w:tc>
        <w:tc>
          <w:tcPr>
            <w:tcW w:w="1028" w:type="pct"/>
            <w:tcBorders>
              <w:tl2br w:val="nil"/>
              <w:tr2bl w:val="nil"/>
            </w:tcBorders>
            <w:noWrap w:val="0"/>
            <w:vAlign w:val="center"/>
          </w:tcPr>
          <w:p>
            <w:pPr>
              <w:jc w:val="center"/>
              <w:rPr>
                <w:rFonts w:hint="default"/>
                <w:color w:val="auto"/>
                <w:szCs w:val="21"/>
                <w:lang w:val="en-US" w:eastAsia="zh-CN"/>
              </w:rPr>
            </w:pPr>
            <w:r>
              <w:rPr>
                <w:rFonts w:hint="default"/>
                <w:color w:val="auto"/>
                <w:szCs w:val="21"/>
              </w:rPr>
              <w:t>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882" w:type="pct"/>
            <w:tcBorders>
              <w:tl2br w:val="nil"/>
              <w:tr2bl w:val="nil"/>
            </w:tcBorders>
            <w:noWrap w:val="0"/>
            <w:vAlign w:val="center"/>
          </w:tcPr>
          <w:p>
            <w:pPr>
              <w:jc w:val="center"/>
              <w:rPr>
                <w:rFonts w:hint="default"/>
                <w:color w:val="auto"/>
                <w:szCs w:val="21"/>
                <w:lang w:val="en-US" w:eastAsia="zh-CN"/>
              </w:rPr>
            </w:pPr>
            <w:r>
              <w:rPr>
                <w:rFonts w:hint="default"/>
                <w:color w:val="auto"/>
                <w:szCs w:val="21"/>
                <w:lang w:val="en-US" w:eastAsia="zh-CN"/>
              </w:rPr>
              <w:t>7</w:t>
            </w:r>
          </w:p>
        </w:tc>
        <w:tc>
          <w:tcPr>
            <w:tcW w:w="1806" w:type="pct"/>
            <w:tcBorders>
              <w:tl2br w:val="nil"/>
              <w:tr2bl w:val="nil"/>
            </w:tcBorders>
            <w:noWrap w:val="0"/>
            <w:vAlign w:val="center"/>
          </w:tcPr>
          <w:p>
            <w:pPr>
              <w:jc w:val="center"/>
              <w:rPr>
                <w:rFonts w:hint="default"/>
                <w:color w:val="auto"/>
                <w:szCs w:val="21"/>
                <w:lang w:eastAsia="zh-CN"/>
              </w:rPr>
            </w:pPr>
            <w:r>
              <w:rPr>
                <w:rFonts w:hint="default"/>
                <w:color w:val="auto"/>
                <w:szCs w:val="21"/>
              </w:rPr>
              <w:t>切条机</w:t>
            </w:r>
          </w:p>
        </w:tc>
        <w:tc>
          <w:tcPr>
            <w:tcW w:w="1282" w:type="pct"/>
            <w:tcBorders>
              <w:tl2br w:val="nil"/>
              <w:tr2bl w:val="nil"/>
            </w:tcBorders>
            <w:noWrap w:val="0"/>
            <w:vAlign w:val="center"/>
          </w:tcPr>
          <w:p>
            <w:pPr>
              <w:jc w:val="center"/>
              <w:rPr>
                <w:rFonts w:hint="default"/>
                <w:color w:val="auto"/>
                <w:szCs w:val="21"/>
                <w:lang w:val="en-US" w:eastAsia="zh-CN"/>
              </w:rPr>
            </w:pPr>
            <w:r>
              <w:rPr>
                <w:rFonts w:hint="default"/>
                <w:color w:val="auto"/>
                <w:szCs w:val="21"/>
              </w:rPr>
              <w:t>550/350</w:t>
            </w:r>
          </w:p>
        </w:tc>
        <w:tc>
          <w:tcPr>
            <w:tcW w:w="1028" w:type="pct"/>
            <w:tcBorders>
              <w:tl2br w:val="nil"/>
              <w:tr2bl w:val="nil"/>
            </w:tcBorders>
            <w:noWrap w:val="0"/>
            <w:vAlign w:val="center"/>
          </w:tcPr>
          <w:p>
            <w:pPr>
              <w:jc w:val="center"/>
              <w:rPr>
                <w:rFonts w:hint="default"/>
                <w:color w:val="auto"/>
                <w:szCs w:val="21"/>
                <w:lang w:val="en-US" w:eastAsia="zh-CN"/>
              </w:rPr>
            </w:pPr>
            <w:r>
              <w:rPr>
                <w:rFonts w:hint="default"/>
                <w:color w:val="auto"/>
                <w:szCs w:val="21"/>
              </w:rP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882" w:type="pct"/>
            <w:tcBorders>
              <w:tl2br w:val="nil"/>
              <w:tr2bl w:val="nil"/>
            </w:tcBorders>
            <w:noWrap w:val="0"/>
            <w:vAlign w:val="center"/>
          </w:tcPr>
          <w:p>
            <w:pPr>
              <w:jc w:val="center"/>
              <w:rPr>
                <w:rFonts w:hint="default"/>
                <w:color w:val="auto"/>
                <w:szCs w:val="21"/>
                <w:lang w:val="en-US" w:eastAsia="zh-CN"/>
              </w:rPr>
            </w:pPr>
            <w:r>
              <w:rPr>
                <w:rFonts w:hint="default"/>
                <w:color w:val="auto"/>
                <w:szCs w:val="21"/>
                <w:lang w:val="en-US" w:eastAsia="zh-CN"/>
              </w:rPr>
              <w:t>8</w:t>
            </w:r>
          </w:p>
        </w:tc>
        <w:tc>
          <w:tcPr>
            <w:tcW w:w="1806" w:type="pct"/>
            <w:tcBorders>
              <w:tl2br w:val="nil"/>
              <w:tr2bl w:val="nil"/>
            </w:tcBorders>
            <w:noWrap w:val="0"/>
            <w:vAlign w:val="center"/>
          </w:tcPr>
          <w:p>
            <w:pPr>
              <w:jc w:val="center"/>
              <w:rPr>
                <w:rFonts w:hint="default"/>
                <w:color w:val="auto"/>
                <w:szCs w:val="21"/>
              </w:rPr>
            </w:pPr>
            <w:r>
              <w:rPr>
                <w:rFonts w:hint="default"/>
                <w:color w:val="auto"/>
                <w:szCs w:val="21"/>
              </w:rPr>
              <w:t>电动剪板机</w:t>
            </w:r>
          </w:p>
        </w:tc>
        <w:tc>
          <w:tcPr>
            <w:tcW w:w="1282" w:type="pct"/>
            <w:tcBorders>
              <w:tl2br w:val="nil"/>
              <w:tr2bl w:val="nil"/>
            </w:tcBorders>
            <w:noWrap w:val="0"/>
            <w:vAlign w:val="center"/>
          </w:tcPr>
          <w:p>
            <w:pPr>
              <w:jc w:val="center"/>
              <w:rPr>
                <w:rFonts w:hint="default"/>
                <w:color w:val="auto"/>
                <w:szCs w:val="21"/>
                <w:lang w:val="en-US" w:eastAsia="zh-CN"/>
              </w:rPr>
            </w:pPr>
            <w:r>
              <w:rPr>
                <w:rFonts w:hint="default"/>
                <w:color w:val="auto"/>
                <w:szCs w:val="21"/>
              </w:rPr>
              <w:t>1200</w:t>
            </w:r>
          </w:p>
        </w:tc>
        <w:tc>
          <w:tcPr>
            <w:tcW w:w="1028" w:type="pct"/>
            <w:tcBorders>
              <w:tl2br w:val="nil"/>
              <w:tr2bl w:val="nil"/>
            </w:tcBorders>
            <w:noWrap w:val="0"/>
            <w:vAlign w:val="center"/>
          </w:tcPr>
          <w:p>
            <w:pPr>
              <w:jc w:val="center"/>
              <w:rPr>
                <w:rFonts w:hint="default"/>
                <w:color w:val="auto"/>
                <w:szCs w:val="21"/>
              </w:rPr>
            </w:pPr>
            <w:r>
              <w:rPr>
                <w:rFonts w:hint="default"/>
                <w:color w:val="auto"/>
                <w:szCs w:val="21"/>
              </w:rP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882" w:type="pct"/>
            <w:tcBorders>
              <w:tl2br w:val="nil"/>
              <w:tr2bl w:val="nil"/>
            </w:tcBorders>
            <w:noWrap w:val="0"/>
            <w:vAlign w:val="center"/>
          </w:tcPr>
          <w:p>
            <w:pPr>
              <w:jc w:val="center"/>
              <w:rPr>
                <w:rFonts w:hint="default"/>
                <w:color w:val="auto"/>
                <w:szCs w:val="21"/>
                <w:lang w:val="en-US" w:eastAsia="zh-CN"/>
              </w:rPr>
            </w:pPr>
            <w:r>
              <w:rPr>
                <w:rFonts w:hint="default"/>
                <w:color w:val="auto"/>
                <w:szCs w:val="21"/>
                <w:lang w:val="en-US" w:eastAsia="zh-CN"/>
              </w:rPr>
              <w:t>9</w:t>
            </w:r>
          </w:p>
        </w:tc>
        <w:tc>
          <w:tcPr>
            <w:tcW w:w="1806" w:type="pct"/>
            <w:tcBorders>
              <w:tl2br w:val="nil"/>
              <w:tr2bl w:val="nil"/>
            </w:tcBorders>
            <w:noWrap w:val="0"/>
            <w:vAlign w:val="center"/>
          </w:tcPr>
          <w:p>
            <w:pPr>
              <w:jc w:val="center"/>
              <w:rPr>
                <w:rFonts w:hint="eastAsia"/>
                <w:color w:val="auto"/>
                <w:szCs w:val="21"/>
                <w:lang w:val="en-US" w:eastAsia="zh-CN"/>
              </w:rPr>
            </w:pPr>
            <w:r>
              <w:rPr>
                <w:rFonts w:hint="default"/>
                <w:color w:val="auto"/>
                <w:szCs w:val="21"/>
              </w:rPr>
              <w:t>实验恒温烤箱</w:t>
            </w:r>
          </w:p>
        </w:tc>
        <w:tc>
          <w:tcPr>
            <w:tcW w:w="1282" w:type="pct"/>
            <w:tcBorders>
              <w:tl2br w:val="nil"/>
              <w:tr2bl w:val="nil"/>
            </w:tcBorders>
            <w:noWrap w:val="0"/>
            <w:vAlign w:val="center"/>
          </w:tcPr>
          <w:p>
            <w:pPr>
              <w:jc w:val="center"/>
              <w:rPr>
                <w:rFonts w:hint="default"/>
                <w:color w:val="auto"/>
                <w:szCs w:val="21"/>
                <w:lang w:val="en-US" w:eastAsia="zh-CN"/>
              </w:rPr>
            </w:pPr>
            <w:r>
              <w:rPr>
                <w:rFonts w:hint="eastAsia"/>
                <w:color w:val="auto"/>
                <w:szCs w:val="21"/>
                <w:lang w:val="en-US" w:eastAsia="zh-CN"/>
              </w:rPr>
              <w:t>/</w:t>
            </w:r>
          </w:p>
        </w:tc>
        <w:tc>
          <w:tcPr>
            <w:tcW w:w="1028" w:type="pct"/>
            <w:tcBorders>
              <w:tl2br w:val="nil"/>
              <w:tr2bl w:val="nil"/>
            </w:tcBorders>
            <w:noWrap w:val="0"/>
            <w:vAlign w:val="center"/>
          </w:tcPr>
          <w:p>
            <w:pPr>
              <w:jc w:val="center"/>
              <w:rPr>
                <w:rFonts w:hint="default"/>
                <w:color w:val="auto"/>
                <w:szCs w:val="21"/>
                <w:lang w:val="en-US" w:eastAsia="zh-CN"/>
              </w:rPr>
            </w:pPr>
            <w:r>
              <w:rPr>
                <w:rFonts w:hint="eastAsia"/>
                <w:color w:val="auto"/>
                <w:szCs w:val="21"/>
                <w:lang w:val="en-US" w:eastAsia="zh-CN"/>
              </w:rP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882" w:type="pct"/>
            <w:tcBorders>
              <w:tl2br w:val="nil"/>
              <w:tr2bl w:val="nil"/>
            </w:tcBorders>
            <w:noWrap w:val="0"/>
            <w:vAlign w:val="center"/>
          </w:tcPr>
          <w:p>
            <w:pPr>
              <w:jc w:val="center"/>
              <w:rPr>
                <w:rFonts w:hint="default"/>
                <w:color w:val="auto"/>
                <w:szCs w:val="21"/>
                <w:lang w:val="en-US" w:eastAsia="zh-CN"/>
              </w:rPr>
            </w:pPr>
            <w:r>
              <w:rPr>
                <w:rFonts w:hint="eastAsia"/>
                <w:color w:val="auto"/>
                <w:szCs w:val="21"/>
                <w:lang w:val="en-US" w:eastAsia="zh-CN"/>
              </w:rPr>
              <w:t>10</w:t>
            </w:r>
          </w:p>
        </w:tc>
        <w:tc>
          <w:tcPr>
            <w:tcW w:w="1806" w:type="pct"/>
            <w:tcBorders>
              <w:tl2br w:val="nil"/>
              <w:tr2bl w:val="nil"/>
            </w:tcBorders>
            <w:noWrap w:val="0"/>
            <w:vAlign w:val="center"/>
          </w:tcPr>
          <w:p>
            <w:pPr>
              <w:jc w:val="center"/>
              <w:rPr>
                <w:rFonts w:hint="default"/>
                <w:color w:val="auto"/>
                <w:szCs w:val="21"/>
                <w:lang w:eastAsia="zh-CN"/>
              </w:rPr>
            </w:pPr>
            <w:r>
              <w:rPr>
                <w:rFonts w:hint="default"/>
                <w:color w:val="auto"/>
                <w:szCs w:val="21"/>
              </w:rPr>
              <w:t>黏度测试仪</w:t>
            </w:r>
          </w:p>
        </w:tc>
        <w:tc>
          <w:tcPr>
            <w:tcW w:w="1282" w:type="pct"/>
            <w:tcBorders>
              <w:tl2br w:val="nil"/>
              <w:tr2bl w:val="nil"/>
            </w:tcBorders>
            <w:noWrap w:val="0"/>
            <w:vAlign w:val="center"/>
          </w:tcPr>
          <w:p>
            <w:pPr>
              <w:jc w:val="center"/>
              <w:rPr>
                <w:rFonts w:hint="default"/>
                <w:color w:val="auto"/>
                <w:szCs w:val="21"/>
                <w:lang w:val="en-US" w:eastAsia="zh-CN"/>
              </w:rPr>
            </w:pPr>
            <w:r>
              <w:rPr>
                <w:rFonts w:hint="default"/>
                <w:color w:val="auto"/>
                <w:szCs w:val="21"/>
              </w:rPr>
              <w:t>/</w:t>
            </w:r>
          </w:p>
        </w:tc>
        <w:tc>
          <w:tcPr>
            <w:tcW w:w="1028" w:type="pct"/>
            <w:tcBorders>
              <w:tl2br w:val="nil"/>
              <w:tr2bl w:val="nil"/>
            </w:tcBorders>
            <w:noWrap w:val="0"/>
            <w:vAlign w:val="center"/>
          </w:tcPr>
          <w:p>
            <w:pPr>
              <w:jc w:val="center"/>
              <w:rPr>
                <w:rFonts w:hint="eastAsia"/>
                <w:color w:val="auto"/>
                <w:szCs w:val="21"/>
                <w:lang w:val="en-US" w:eastAsia="zh-CN"/>
              </w:rPr>
            </w:pPr>
            <w:r>
              <w:rPr>
                <w:rFonts w:hint="default"/>
                <w:color w:val="auto"/>
                <w:szCs w:val="21"/>
              </w:rP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882" w:type="pct"/>
            <w:tcBorders>
              <w:tl2br w:val="nil"/>
              <w:tr2bl w:val="nil"/>
            </w:tcBorders>
            <w:noWrap w:val="0"/>
            <w:vAlign w:val="center"/>
          </w:tcPr>
          <w:p>
            <w:pPr>
              <w:jc w:val="center"/>
              <w:rPr>
                <w:rFonts w:hint="default"/>
                <w:color w:val="auto"/>
                <w:szCs w:val="21"/>
                <w:lang w:val="en-US" w:eastAsia="zh-CN"/>
              </w:rPr>
            </w:pPr>
            <w:r>
              <w:rPr>
                <w:rFonts w:hint="eastAsia"/>
                <w:color w:val="auto"/>
                <w:szCs w:val="21"/>
                <w:lang w:val="en-US" w:eastAsia="zh-CN"/>
              </w:rPr>
              <w:t>11</w:t>
            </w:r>
          </w:p>
        </w:tc>
        <w:tc>
          <w:tcPr>
            <w:tcW w:w="1806" w:type="pct"/>
            <w:tcBorders>
              <w:tl2br w:val="nil"/>
              <w:tr2bl w:val="nil"/>
            </w:tcBorders>
            <w:noWrap w:val="0"/>
            <w:vAlign w:val="center"/>
          </w:tcPr>
          <w:p>
            <w:pPr>
              <w:jc w:val="center"/>
              <w:rPr>
                <w:rFonts w:hint="default"/>
                <w:color w:val="auto"/>
                <w:szCs w:val="21"/>
                <w:lang w:eastAsia="zh-CN"/>
              </w:rPr>
            </w:pPr>
            <w:r>
              <w:rPr>
                <w:rFonts w:hint="default"/>
                <w:color w:val="auto"/>
                <w:szCs w:val="21"/>
              </w:rPr>
              <w:t>废气净化系统</w:t>
            </w:r>
          </w:p>
        </w:tc>
        <w:tc>
          <w:tcPr>
            <w:tcW w:w="1282" w:type="pct"/>
            <w:tcBorders>
              <w:tl2br w:val="nil"/>
              <w:tr2bl w:val="nil"/>
            </w:tcBorders>
            <w:noWrap w:val="0"/>
            <w:vAlign w:val="center"/>
          </w:tcPr>
          <w:p>
            <w:pPr>
              <w:jc w:val="center"/>
              <w:rPr>
                <w:rFonts w:hint="default"/>
                <w:color w:val="auto"/>
                <w:szCs w:val="21"/>
                <w:lang w:val="en-US" w:eastAsia="zh-CN"/>
              </w:rPr>
            </w:pPr>
            <w:r>
              <w:rPr>
                <w:rFonts w:hint="eastAsia"/>
                <w:color w:val="auto"/>
                <w:szCs w:val="21"/>
                <w:lang w:val="en-US" w:eastAsia="zh-CN"/>
              </w:rPr>
              <w:t>/</w:t>
            </w:r>
          </w:p>
        </w:tc>
        <w:tc>
          <w:tcPr>
            <w:tcW w:w="1028" w:type="pct"/>
            <w:tcBorders>
              <w:tl2br w:val="nil"/>
              <w:tr2bl w:val="nil"/>
            </w:tcBorders>
            <w:noWrap w:val="0"/>
            <w:vAlign w:val="center"/>
          </w:tcPr>
          <w:p>
            <w:pPr>
              <w:jc w:val="center"/>
              <w:rPr>
                <w:rFonts w:hint="default"/>
                <w:color w:val="auto"/>
                <w:szCs w:val="21"/>
                <w:lang w:val="en-US" w:eastAsia="zh-CN"/>
              </w:rPr>
            </w:pPr>
            <w:r>
              <w:rPr>
                <w:rFonts w:hint="default"/>
                <w:color w:val="auto"/>
                <w:szCs w:val="21"/>
              </w:rP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2688" w:type="pct"/>
            <w:gridSpan w:val="2"/>
            <w:tcBorders>
              <w:tl2br w:val="nil"/>
              <w:tr2bl w:val="nil"/>
            </w:tcBorders>
            <w:noWrap w:val="0"/>
            <w:vAlign w:val="center"/>
          </w:tcPr>
          <w:p>
            <w:pPr>
              <w:jc w:val="center"/>
              <w:rPr>
                <w:rFonts w:hint="default"/>
                <w:color w:val="auto"/>
                <w:szCs w:val="21"/>
                <w:lang w:eastAsia="zh-CN"/>
              </w:rPr>
            </w:pPr>
            <w:r>
              <w:rPr>
                <w:rFonts w:hint="default"/>
                <w:color w:val="auto"/>
                <w:szCs w:val="21"/>
              </w:rPr>
              <w:t>合计</w:t>
            </w:r>
          </w:p>
        </w:tc>
        <w:tc>
          <w:tcPr>
            <w:tcW w:w="1282" w:type="pct"/>
            <w:tcBorders>
              <w:tl2br w:val="nil"/>
              <w:tr2bl w:val="nil"/>
            </w:tcBorders>
            <w:noWrap w:val="0"/>
            <w:vAlign w:val="center"/>
          </w:tcPr>
          <w:p>
            <w:pPr>
              <w:jc w:val="center"/>
              <w:rPr>
                <w:rFonts w:hint="default"/>
                <w:color w:val="auto"/>
                <w:szCs w:val="21"/>
                <w:lang w:val="en-US" w:eastAsia="zh-CN"/>
              </w:rPr>
            </w:pPr>
            <w:r>
              <w:rPr>
                <w:rFonts w:hint="default"/>
                <w:color w:val="auto"/>
                <w:szCs w:val="21"/>
              </w:rPr>
              <w:t>/</w:t>
            </w:r>
          </w:p>
        </w:tc>
        <w:tc>
          <w:tcPr>
            <w:tcW w:w="1028" w:type="pct"/>
            <w:tcBorders>
              <w:tl2br w:val="nil"/>
              <w:tr2bl w:val="nil"/>
            </w:tcBorders>
            <w:noWrap w:val="0"/>
            <w:vAlign w:val="center"/>
          </w:tcPr>
          <w:p>
            <w:pPr>
              <w:jc w:val="center"/>
              <w:rPr>
                <w:rFonts w:hint="default"/>
                <w:color w:val="auto"/>
                <w:szCs w:val="21"/>
                <w:lang w:val="en-US" w:eastAsia="zh-CN"/>
              </w:rPr>
            </w:pPr>
            <w:r>
              <w:rPr>
                <w:rFonts w:hint="eastAsia"/>
                <w:color w:val="auto"/>
                <w:szCs w:val="21"/>
                <w:lang w:val="en-US" w:eastAsia="zh-CN"/>
              </w:rPr>
              <w:t>29</w:t>
            </w:r>
          </w:p>
        </w:tc>
      </w:tr>
    </w:tbl>
    <w:p>
      <w:pPr>
        <w:pStyle w:val="2"/>
        <w:rPr>
          <w:color w:val="auto"/>
        </w:rPr>
      </w:pPr>
    </w:p>
    <w:p>
      <w:pPr>
        <w:pStyle w:val="4"/>
        <w:spacing w:line="520" w:lineRule="exact"/>
        <w:rPr>
          <w:rFonts w:ascii="Times New Roman" w:hAnsi="Times New Roman"/>
          <w:b/>
          <w:color w:val="auto"/>
          <w:szCs w:val="28"/>
        </w:rPr>
      </w:pPr>
      <w:bookmarkStart w:id="157" w:name="_Toc18294"/>
      <w:r>
        <w:rPr>
          <w:rFonts w:ascii="Times New Roman" w:hAnsi="Times New Roman"/>
          <w:b/>
          <w:color w:val="auto"/>
          <w:szCs w:val="28"/>
        </w:rPr>
        <w:t>3.</w:t>
      </w:r>
      <w:bookmarkEnd w:id="147"/>
      <w:bookmarkEnd w:id="148"/>
      <w:r>
        <w:rPr>
          <w:rFonts w:ascii="Times New Roman" w:hAnsi="Times New Roman"/>
          <w:b/>
          <w:color w:val="auto"/>
          <w:szCs w:val="28"/>
        </w:rPr>
        <w:t>2现有</w:t>
      </w:r>
      <w:bookmarkEnd w:id="149"/>
      <w:bookmarkEnd w:id="150"/>
      <w:bookmarkEnd w:id="151"/>
      <w:bookmarkEnd w:id="152"/>
      <w:bookmarkEnd w:id="153"/>
      <w:r>
        <w:rPr>
          <w:rFonts w:ascii="Times New Roman" w:hAnsi="Times New Roman"/>
          <w:b/>
          <w:color w:val="auto"/>
          <w:szCs w:val="28"/>
        </w:rPr>
        <w:t>项目生产工艺流程及产污环节</w:t>
      </w:r>
      <w:bookmarkEnd w:id="154"/>
      <w:bookmarkEnd w:id="155"/>
      <w:bookmarkEnd w:id="156"/>
      <w:bookmarkEnd w:id="157"/>
    </w:p>
    <w:p>
      <w:pPr>
        <w:pStyle w:val="5"/>
        <w:spacing w:before="0" w:after="0" w:line="520" w:lineRule="exact"/>
        <w:ind w:firstLine="482" w:firstLineChars="200"/>
        <w:rPr>
          <w:color w:val="auto"/>
        </w:rPr>
      </w:pPr>
      <w:r>
        <w:rPr>
          <w:rFonts w:hint="eastAsia"/>
          <w:color w:val="auto"/>
          <w:sz w:val="24"/>
          <w:szCs w:val="24"/>
          <w:lang w:val="en-US" w:eastAsia="zh-CN"/>
        </w:rPr>
        <w:t>1、</w:t>
      </w:r>
      <w:r>
        <w:rPr>
          <w:color w:val="auto"/>
          <w:sz w:val="24"/>
          <w:szCs w:val="24"/>
        </w:rPr>
        <w:t>生产工艺流程</w:t>
      </w:r>
    </w:p>
    <w:p>
      <w:pPr>
        <w:keepNext w:val="0"/>
        <w:keepLines w:val="0"/>
        <w:pageBreakBefore w:val="0"/>
        <w:widowControl w:val="0"/>
        <w:kinsoku/>
        <w:wordWrap/>
        <w:overflowPunct/>
        <w:topLinePunct w:val="0"/>
        <w:autoSpaceDE/>
        <w:autoSpaceDN/>
        <w:bidi w:val="0"/>
        <w:adjustRightInd w:val="0"/>
        <w:snapToGrid w:val="0"/>
        <w:spacing w:line="520" w:lineRule="exact"/>
        <w:ind w:left="0" w:leftChars="0" w:right="0" w:rightChars="0" w:firstLine="480" w:firstLineChars="200"/>
        <w:jc w:val="both"/>
        <w:textAlignment w:val="auto"/>
        <w:outlineLvl w:val="9"/>
        <w:rPr>
          <w:rFonts w:hint="eastAsia"/>
          <w:color w:val="auto"/>
          <w:sz w:val="24"/>
        </w:rPr>
      </w:pPr>
      <w:bookmarkStart w:id="158" w:name="_Toc20617"/>
      <w:r>
        <w:rPr>
          <w:rFonts w:hint="eastAsia" w:hAnsi="宋体"/>
          <w:color w:val="auto"/>
          <w:sz w:val="24"/>
        </w:rPr>
        <w:t xml:space="preserve">  </w:t>
      </w:r>
      <w:r>
        <w:rPr>
          <w:rFonts w:hint="eastAsia"/>
          <w:color w:val="auto"/>
          <w:sz w:val="24"/>
          <w:lang w:eastAsia="zh-CN"/>
        </w:rPr>
        <w:t>本项目生产的</w:t>
      </w:r>
      <w:r>
        <w:rPr>
          <w:rFonts w:hint="eastAsia" w:ascii="Times New Roman" w:hAnsi="Times New Roman" w:eastAsia="宋体" w:cs="Times New Roman"/>
          <w:color w:val="auto"/>
          <w:sz w:val="24"/>
          <w:lang w:eastAsia="zh-CN"/>
        </w:rPr>
        <w:t>金属橡胶发泡板及涂层板</w:t>
      </w:r>
      <w:r>
        <w:rPr>
          <w:rFonts w:hint="eastAsia"/>
          <w:color w:val="auto"/>
          <w:sz w:val="24"/>
          <w:lang w:eastAsia="zh-CN"/>
        </w:rPr>
        <w:t>两类产品，只是烘干过程中温度不一样，生产工艺一致。</w:t>
      </w:r>
      <w:r>
        <w:rPr>
          <w:rFonts w:hint="eastAsia" w:ascii="Times New Roman" w:hAnsi="Times New Roman" w:eastAsia="宋体" w:cs="Times New Roman"/>
          <w:color w:val="auto"/>
          <w:sz w:val="24"/>
          <w:lang w:eastAsia="zh-CN"/>
        </w:rPr>
        <w:t>金属橡胶发泡板及涂层板</w:t>
      </w:r>
      <w:r>
        <w:rPr>
          <w:rFonts w:hint="eastAsia"/>
          <w:color w:val="auto"/>
          <w:sz w:val="24"/>
          <w:szCs w:val="24"/>
        </w:rPr>
        <w:t>生产</w:t>
      </w:r>
      <w:r>
        <w:rPr>
          <w:color w:val="auto"/>
          <w:sz w:val="24"/>
          <w:szCs w:val="24"/>
        </w:rPr>
        <w:t>工艺流程及产污环节如</w:t>
      </w:r>
      <w:r>
        <w:rPr>
          <w:rFonts w:hint="eastAsia"/>
          <w:color w:val="auto"/>
          <w:sz w:val="24"/>
          <w:szCs w:val="24"/>
          <w:lang w:eastAsia="zh-CN"/>
        </w:rPr>
        <w:t>下图</w:t>
      </w:r>
      <w:r>
        <w:rPr>
          <w:color w:val="auto"/>
          <w:sz w:val="24"/>
          <w:szCs w:val="24"/>
        </w:rPr>
        <w:t>所示：</w:t>
      </w:r>
      <w:r>
        <w:rPr>
          <w:b/>
          <w:color w:val="auto"/>
          <w:szCs w:val="21"/>
        </w:rPr>
        <w:t xml:space="preserve"> </w:t>
      </w:r>
    </w:p>
    <w:p>
      <w:pPr>
        <w:spacing w:line="360" w:lineRule="auto"/>
        <w:ind w:firstLine="480" w:firstLineChars="200"/>
        <w:jc w:val="center"/>
        <w:rPr>
          <w:rFonts w:hint="eastAsia"/>
          <w:color w:val="auto"/>
          <w:sz w:val="24"/>
        </w:rPr>
      </w:pPr>
      <w:r>
        <w:rPr>
          <w:color w:val="auto"/>
          <w:sz w:val="24"/>
        </w:rPr>
        <mc:AlternateContent>
          <mc:Choice Requires="wps">
            <w:drawing>
              <wp:anchor distT="0" distB="0" distL="114300" distR="114300" simplePos="0" relativeHeight="251747328" behindDoc="0" locked="0" layoutInCell="1" allowOverlap="1">
                <wp:simplePos x="0" y="0"/>
                <wp:positionH relativeFrom="column">
                  <wp:posOffset>2994025</wp:posOffset>
                </wp:positionH>
                <wp:positionV relativeFrom="paragraph">
                  <wp:posOffset>76835</wp:posOffset>
                </wp:positionV>
                <wp:extent cx="896620" cy="322580"/>
                <wp:effectExtent l="7620" t="7620" r="10160" b="12700"/>
                <wp:wrapNone/>
                <wp:docPr id="64" name="文本框 64"/>
                <wp:cNvGraphicFramePr/>
                <a:graphic xmlns:a="http://schemas.openxmlformats.org/drawingml/2006/main">
                  <a:graphicData uri="http://schemas.microsoft.com/office/word/2010/wordprocessingShape">
                    <wps:wsp>
                      <wps:cNvSpPr txBox="1"/>
                      <wps:spPr>
                        <a:xfrm>
                          <a:off x="0" y="0"/>
                          <a:ext cx="896620" cy="322580"/>
                        </a:xfrm>
                        <a:prstGeom prst="rect">
                          <a:avLst/>
                        </a:prstGeom>
                        <a:noFill/>
                        <a:ln w="15875" cap="sq" cmpd="sng">
                          <a:solidFill>
                            <a:srgbClr val="444444"/>
                          </a:solidFill>
                          <a:prstDash val="sysDot"/>
                          <a:miter/>
                          <a:headEnd type="none" w="med" len="med"/>
                          <a:tailEnd type="none" w="med" len="med"/>
                        </a:ln>
                      </wps:spPr>
                      <wps:txbx>
                        <w:txbxContent>
                          <w:p>
                            <w:pPr>
                              <w:jc w:val="center"/>
                              <w:rPr>
                                <w:rFonts w:hint="eastAsia" w:eastAsia="宋体"/>
                                <w:lang w:eastAsia="zh-CN"/>
                              </w:rPr>
                            </w:pPr>
                            <w:r>
                              <w:rPr>
                                <w:rFonts w:hint="eastAsia"/>
                                <w:lang w:eastAsia="zh-CN"/>
                              </w:rPr>
                              <w:t>成品混炼胶</w:t>
                            </w:r>
                          </w:p>
                        </w:txbxContent>
                      </wps:txbx>
                      <wps:bodyPr upright="1"/>
                    </wps:wsp>
                  </a:graphicData>
                </a:graphic>
              </wp:anchor>
            </w:drawing>
          </mc:Choice>
          <mc:Fallback>
            <w:pict>
              <v:shape id="_x0000_s1026" o:spid="_x0000_s1026" o:spt="202" type="#_x0000_t202" style="position:absolute;left:0pt;margin-left:235.75pt;margin-top:6.05pt;height:25.4pt;width:70.6pt;z-index:251747328;mso-width-relative:page;mso-height-relative:page;" filled="f" stroked="t" coordsize="21600,21600" o:gfxdata="UEsDBAoAAAAAAIdO4kAAAAAAAAAAAAAAAAAEAAAAZHJzL1BLAwQUAAAACACHTuJAecbfQNgAAAAJ&#10;AQAADwAAAGRycy9kb3ducmV2LnhtbE2PTU/DMAyG70j8h8hI3Fiaat2gNN0BwQkJaR0gjlnjfkDj&#10;VE3ajX+POcHN1vvo9eNid3aDWHAKvScNapWAQKq97anV8Hp4urkFEaIhawZPqOEbA+zKy4vC5Naf&#10;aI9LFVvBJRRyo6GLccylDHWHzoSVH5E4a/zkTOR1aqWdzInL3SDTJNlIZ3riC50Z8aHD+quanYYx&#10;y5rP/Xp5m9+r8PL4PMsPPDRaX1+p5B5ExHP8g+FXn9WhZKejn8kGMWhYb1XGKAepAsHARqVbEEce&#10;0juQZSH/f1D+AFBLAwQUAAAACACHTuJAvnxoP/EBAADAAwAADgAAAGRycy9lMm9Eb2MueG1srVNL&#10;jhMxEN0jcQfLe9KZMAkhSmckCMMGAdLAAZy2u9uSf7g86c4F4Aas2LCfc805eHZmMnw2CNELd3XV&#10;86uqV9Xri9EatleRtHc1P5tMOVOu8VK7ruYfP1w+WXJGSTgpjHeq5gdF/GLz+NF6CCs18703UkUG&#10;EkerIdS8TymsqoqaXllBEx+UQ7D10YqEz9hVMooB7NZUs+l0UQ0+yhB9o4jg3R6DfFP421Y16V3b&#10;kkrM1By1pXLGcu7yWW3WYtVFEXrd3JUh/qEKK7RD0hPVViTBrqP+g8rqJnrybZo03la+bXWjSg/o&#10;5mz6WzdXvQiq9AJxKJxkov9H27zdv49My5ovzjlzwmJGt1+/3H67uf3+mcEHgYZAK+CuApBpfOFH&#10;DPreT3Dmvsc22vxGRwxxSH04yavGxBo4l88XixkiDUJPZ7P5sshfPVwOkdJr5S3LRs0jpldEFfs3&#10;lFAIoPeQnMv5S21MmaBxbEBV8+WzOfgFFok+wbABjZHrCgt5o2W+ke9S7HYvTWR7gcU4L09uCRl+&#10;geV0W0H9EUcH2vp03Bmrk4old6+EfOUkS4cA8RzWnOdirJKcGYW/IlsFmYQ2f4NEFcahmCz8UeBs&#10;pXE3giabOy8PGMZ1iLrroVQZR4FjTUoXdyud9/Dn70L68ONtfgB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B5xt9A2AAAAAkBAAAPAAAAAAAAAAEAIAAAACIAAABkcnMvZG93bnJldi54bWxQSwECFAAU&#10;AAAACACHTuJAvnxoP/EBAADAAwAADgAAAAAAAAABACAAAAAnAQAAZHJzL2Uyb0RvYy54bWxQSwUG&#10;AAAAAAYABgBZAQAAigUAAAAA&#10;">
                <v:fill on="f" focussize="0,0"/>
                <v:stroke weight="1.25pt" color="#444444" joinstyle="miter" dashstyle="1 1" endcap="square"/>
                <v:imagedata o:title=""/>
                <o:lock v:ext="edit" aspectratio="f"/>
                <v:textbox>
                  <w:txbxContent>
                    <w:p>
                      <w:pPr>
                        <w:jc w:val="center"/>
                        <w:rPr>
                          <w:rFonts w:hint="eastAsia" w:eastAsia="宋体"/>
                          <w:lang w:eastAsia="zh-CN"/>
                        </w:rPr>
                      </w:pPr>
                      <w:r>
                        <w:rPr>
                          <w:rFonts w:hint="eastAsia"/>
                          <w:lang w:eastAsia="zh-CN"/>
                        </w:rPr>
                        <w:t>成品混炼胶</w:t>
                      </w:r>
                    </w:p>
                  </w:txbxContent>
                </v:textbox>
              </v:shape>
            </w:pict>
          </mc:Fallback>
        </mc:AlternateContent>
      </w:r>
      <w:r>
        <w:rPr>
          <w:color w:val="auto"/>
          <w:sz w:val="24"/>
        </w:rPr>
        <mc:AlternateContent>
          <mc:Choice Requires="wps">
            <w:drawing>
              <wp:anchor distT="0" distB="0" distL="114300" distR="114300" simplePos="0" relativeHeight="251744256" behindDoc="0" locked="0" layoutInCell="1" allowOverlap="1">
                <wp:simplePos x="0" y="0"/>
                <wp:positionH relativeFrom="column">
                  <wp:posOffset>918845</wp:posOffset>
                </wp:positionH>
                <wp:positionV relativeFrom="paragraph">
                  <wp:posOffset>101600</wp:posOffset>
                </wp:positionV>
                <wp:extent cx="838200" cy="322580"/>
                <wp:effectExtent l="7620" t="7620" r="11430" b="12700"/>
                <wp:wrapNone/>
                <wp:docPr id="48" name="文本框 48"/>
                <wp:cNvGraphicFramePr/>
                <a:graphic xmlns:a="http://schemas.openxmlformats.org/drawingml/2006/main">
                  <a:graphicData uri="http://schemas.microsoft.com/office/word/2010/wordprocessingShape">
                    <wps:wsp>
                      <wps:cNvSpPr txBox="1"/>
                      <wps:spPr>
                        <a:xfrm>
                          <a:off x="0" y="0"/>
                          <a:ext cx="838200" cy="322580"/>
                        </a:xfrm>
                        <a:prstGeom prst="rect">
                          <a:avLst/>
                        </a:prstGeom>
                        <a:noFill/>
                        <a:ln w="15875" cap="sq" cmpd="sng">
                          <a:solidFill>
                            <a:srgbClr val="444444"/>
                          </a:solidFill>
                          <a:prstDash val="sysDot"/>
                          <a:miter/>
                          <a:headEnd type="none" w="med" len="med"/>
                          <a:tailEnd type="none" w="med" len="med"/>
                        </a:ln>
                      </wps:spPr>
                      <wps:txbx>
                        <w:txbxContent>
                          <w:p>
                            <w:pPr>
                              <w:jc w:val="center"/>
                              <w:rPr>
                                <w:rFonts w:hint="eastAsia" w:eastAsia="宋体"/>
                                <w:lang w:eastAsia="zh-CN"/>
                              </w:rPr>
                            </w:pPr>
                            <w:r>
                              <w:rPr>
                                <w:rFonts w:hint="eastAsia"/>
                                <w:lang w:eastAsia="zh-CN"/>
                              </w:rPr>
                              <w:t>钢板</w:t>
                            </w:r>
                          </w:p>
                        </w:txbxContent>
                      </wps:txbx>
                      <wps:bodyPr upright="1"/>
                    </wps:wsp>
                  </a:graphicData>
                </a:graphic>
              </wp:anchor>
            </w:drawing>
          </mc:Choice>
          <mc:Fallback>
            <w:pict>
              <v:shape id="_x0000_s1026" o:spid="_x0000_s1026" o:spt="202" type="#_x0000_t202" style="position:absolute;left:0pt;margin-left:72.35pt;margin-top:8pt;height:25.4pt;width:66pt;z-index:251744256;mso-width-relative:page;mso-height-relative:page;" filled="f" stroked="t" coordsize="21600,21600" o:gfxdata="UEsDBAoAAAAAAIdO4kAAAAAAAAAAAAAAAAAEAAAAZHJzL1BLAwQUAAAACACHTuJA4fh9x9cAAAAJ&#10;AQAADwAAAGRycy9kb3ducmV2LnhtbE2PzU7DMBCE70i8g7VI3KjTKnWrNE4PCE5ISE0BcXTjzU+J&#10;11HspOXtWU5w29kdzX6T76+uFzOOofOkYblIQCBV3nbUaHg7Pj9sQYRoyJreE2r4xgD74vYmN5n1&#10;FzrgXMZGcAiFzGhoYxwyKUPVojNh4QckvtV+dCayHBtpR3PhcNfLVZIo6UxH/KE1Az62WH2Vk9Mw&#10;rNf1+ZDO79NHGV6fXib5icda6/u7ZbIDEfEa/8zwi8/oUDDTyU9kg+hZp+mGrTwo7sSG1Ubx4qRB&#10;qS3IIpf/GxQ/UEsDBBQAAAAIAIdO4kD0Gxs48AEAAMADAAAOAAAAZHJzL2Uyb0RvYy54bWytU81u&#10;EzEQviPxDpbvZNO0gSjKphKEckGAVHgAx+vdteQ/PG528wLwBpy4cOe58hx8dtqUlgtC7ME7Hn/+&#10;Zuab8epytIbtVCTtXc3PJlPOlJO+0a6r+aePV88WnFESrhHGO1XzvSJ+uX76ZDWEpZr53ptGRQYS&#10;R8sh1LxPKSyrimSvrKCJD8rhsPXRioRt7KomigHs1lSz6fR5NfjYhOilIoJ3czzk68Lftkqm921L&#10;KjFTc+SWyhrLus1rtV6JZRdF6LW8TUP8QxZWaIegJ6qNSILdRP0HldUyevJtmkhvK9+2WqpSA6o5&#10;mz6q5roXQZVaIA6Fk0z0/2jlu92HyHRT8wt0ygmLHh2+fT18/3n48YXBB4GGQEvgrgOQaXzpRzT6&#10;zk9w5rrHNtr8R0UM55B6f5JXjYlJOBfnC7SMM4mj89lsvijyV/eXQ6T0RnnLslHziO4VUcXuLSUk&#10;AugdJMdy/kobUzpoHBuQ1XzxYg5+gUGizzBsQGHkusJC3ugm38h3KXbbVyayncBgXJQvl4QID2A5&#10;3EZQf8TRnjY+HWfG6qRiid0r0bx2DUv7APEcxpznZKxqODMKryJbBZmENn+DRBbGIZks/FHgbKVx&#10;O4Imm1vf7NGMmxB110Op0o4Cx5iUKm5HOs/h7/tCev/w1r8A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4fh9x9cAAAAJAQAADwAAAAAAAAABACAAAAAiAAAAZHJzL2Rvd25yZXYueG1sUEsBAhQAFAAA&#10;AAgAh07iQPQbGzjwAQAAwAMAAA4AAAAAAAAAAQAgAAAAJgEAAGRycy9lMm9Eb2MueG1sUEsFBgAA&#10;AAAGAAYAWQEAAIgFAAAAAA==&#10;">
                <v:fill on="f" focussize="0,0"/>
                <v:stroke weight="1.25pt" color="#444444" joinstyle="miter" dashstyle="1 1" endcap="square"/>
                <v:imagedata o:title=""/>
                <o:lock v:ext="edit" aspectratio="f"/>
                <v:textbox>
                  <w:txbxContent>
                    <w:p>
                      <w:pPr>
                        <w:jc w:val="center"/>
                        <w:rPr>
                          <w:rFonts w:hint="eastAsia" w:eastAsia="宋体"/>
                          <w:lang w:eastAsia="zh-CN"/>
                        </w:rPr>
                      </w:pPr>
                      <w:r>
                        <w:rPr>
                          <w:rFonts w:hint="eastAsia"/>
                          <w:lang w:eastAsia="zh-CN"/>
                        </w:rPr>
                        <w:t>钢板</w:t>
                      </w:r>
                    </w:p>
                  </w:txbxContent>
                </v:textbox>
              </v:shape>
            </w:pict>
          </mc:Fallback>
        </mc:AlternateContent>
      </w:r>
    </w:p>
    <w:p>
      <w:pPr>
        <w:spacing w:line="360" w:lineRule="auto"/>
        <w:ind w:firstLine="480" w:firstLineChars="200"/>
        <w:jc w:val="center"/>
        <w:rPr>
          <w:rFonts w:hint="eastAsia"/>
          <w:color w:val="auto"/>
          <w:sz w:val="24"/>
        </w:rPr>
      </w:pPr>
      <w:r>
        <w:rPr>
          <w:color w:val="auto"/>
          <w:sz w:val="24"/>
        </w:rPr>
        <mc:AlternateContent>
          <mc:Choice Requires="wps">
            <w:drawing>
              <wp:anchor distT="0" distB="0" distL="114300" distR="114300" simplePos="0" relativeHeight="251748352" behindDoc="0" locked="0" layoutInCell="1" allowOverlap="1">
                <wp:simplePos x="0" y="0"/>
                <wp:positionH relativeFrom="column">
                  <wp:posOffset>3475355</wp:posOffset>
                </wp:positionH>
                <wp:positionV relativeFrom="paragraph">
                  <wp:posOffset>100965</wp:posOffset>
                </wp:positionV>
                <wp:extent cx="635" cy="372745"/>
                <wp:effectExtent l="37465" t="0" r="38100" b="8255"/>
                <wp:wrapNone/>
                <wp:docPr id="49" name="直接连接符 49"/>
                <wp:cNvGraphicFramePr/>
                <a:graphic xmlns:a="http://schemas.openxmlformats.org/drawingml/2006/main">
                  <a:graphicData uri="http://schemas.microsoft.com/office/word/2010/wordprocessingShape">
                    <wps:wsp>
                      <wps:cNvCnPr/>
                      <wps:spPr>
                        <a:xfrm>
                          <a:off x="0" y="0"/>
                          <a:ext cx="635" cy="372745"/>
                        </a:xfrm>
                        <a:prstGeom prst="line">
                          <a:avLst/>
                        </a:prstGeom>
                        <a:ln w="15875" cap="flat" cmpd="sng">
                          <a:solidFill>
                            <a:srgbClr val="444444"/>
                          </a:solidFill>
                          <a:prstDash val="solid"/>
                          <a:headEnd type="none" w="med" len="med"/>
                          <a:tailEnd type="triangle" w="med" len="med"/>
                        </a:ln>
                      </wps:spPr>
                      <wps:bodyPr upright="1"/>
                    </wps:wsp>
                  </a:graphicData>
                </a:graphic>
              </wp:anchor>
            </w:drawing>
          </mc:Choice>
          <mc:Fallback>
            <w:pict>
              <v:line id="_x0000_s1026" o:spid="_x0000_s1026" o:spt="20" style="position:absolute;left:0pt;margin-left:273.65pt;margin-top:7.95pt;height:29.35pt;width:0.05pt;z-index:251748352;mso-width-relative:page;mso-height-relative:page;" filled="f" stroked="t" coordsize="21600,21600" o:gfxdata="UEsDBAoAAAAAAIdO4kAAAAAAAAAAAAAAAAAEAAAAZHJzL1BLAwQUAAAACACHTuJA2W+fedcAAAAJ&#10;AQAADwAAAGRycy9kb3ducmV2LnhtbE2PTU/CQBCG7yb+h82YeDGyBQto7ZaDxoMJIQrE89Ad2sb9&#10;srvl4987nPQ48z55P8rFyRpxoD523ikYjzIQ5GqvO9co2G7e7h9BxIROo/GOFJwpwqK6viqx0P7o&#10;PumwTo1gExcLVNCmFAopY92SxTjygRxre99bTHz2jdQ9HtncGjnJspm02DlOaDHQS0v193qwnGuM&#10;WeXh43WC59X7fhmGn6/lnVK3N+PsGUSiU/qD4VKfq0PFnXZ+cDoKo2Cazx8YZWH6BIIBfuQgdgrm&#10;+QxkVcr/C6pfUEsDBBQAAAAIAIdO4kDDMriR5QEAAJ4DAAAOAAAAZHJzL2Uyb0RvYy54bWytU81u&#10;EzEQviPxDpbvZJM0adpVNj00lAuCSMADTPyza8l/st1s8hK8ABI3OHHk3rehPAZjJ02gqBfEHmbH&#10;ns+fZ779dn61NZpsRIjK2YaOBkNKhGWOK9s29MP7mxcXlMQEloN2VjR0JyK9Wjx/Nu99Lcauc5qL&#10;QJDExrr3De1S8nVVRdYJA3HgvLBYlC4YSLgMbcUD9MhudDUeDs+r3gXug2MiRtxd7ot0UfilFCy9&#10;lTKKRHRDsbdUYihxnWO1mEPdBvCdYoc24B+6MKAsXnqkWkICchvUX1RGseCik2nAnKmclIqJMgNO&#10;Mxo+muZdB16UWVCc6I8yxf9Hy95sVoEo3tDJJSUWDH6j+0/ff3z88vPuM8b7b18JVlCm3sca0dd2&#10;FQ6r6Fchz7yVweQ3TkO2RdrdUVqxTYTh5vnZlBKG+2ez8WwyzYTV6aQPMb0SzpCcNFQrm8eGGjav&#10;Y9pDHyB5W1vSo9mmF7NMCmgbqSFhajwOEm1bDkenFb9RWucjMbTrax3IBtAIk/IcevgDlm9ZQuz2&#10;uFLKMKg7Afyl5STtPCpk0cs092AEp0QLtH7OCjKB0idkCgpsq59AowTaohJZ272aOVs7vsOPcuuD&#10;ajuUY1Q6zRU0QdHtYNjsst/Xhen0Wy1+A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FUEAABbQ29udGVudF9UeXBlc10ueG1sUEsBAhQACgAAAAAA&#10;h07iQAAAAAAAAAAAAAAAAAYAAAAAAAAAAAAQAAAANwMAAF9yZWxzL1BLAQIUABQAAAAIAIdO4kCK&#10;FGY80QAAAJQBAAALAAAAAAAAAAEAIAAAAFsDAABfcmVscy8ucmVsc1BLAQIUAAoAAAAAAIdO4kAA&#10;AAAAAAAAAAAAAAAEAAAAAAAAAAAAEAAAAAAAAABkcnMvUEsBAhQAFAAAAAgAh07iQNlvn3nXAAAA&#10;CQEAAA8AAAAAAAAAAQAgAAAAIgAAAGRycy9kb3ducmV2LnhtbFBLAQIUABQAAAAIAIdO4kDDMriR&#10;5QEAAJ4DAAAOAAAAAAAAAAEAIAAAACYBAABkcnMvZTJvRG9jLnhtbFBLBQYAAAAABgAGAFkBAAB9&#10;BQAAAAA=&#10;">
                <v:fill on="f" focussize="0,0"/>
                <v:stroke weight="1.25pt" color="#444444" joinstyle="round" endarrow="block"/>
                <v:imagedata o:title=""/>
                <o:lock v:ext="edit" aspectratio="f"/>
              </v:line>
            </w:pict>
          </mc:Fallback>
        </mc:AlternateContent>
      </w:r>
      <w:r>
        <w:rPr>
          <w:color w:val="auto"/>
          <w:sz w:val="24"/>
        </w:rPr>
        <mc:AlternateContent>
          <mc:Choice Requires="wps">
            <w:drawing>
              <wp:anchor distT="0" distB="0" distL="114300" distR="114300" simplePos="0" relativeHeight="251745280" behindDoc="0" locked="0" layoutInCell="1" allowOverlap="1">
                <wp:simplePos x="0" y="0"/>
                <wp:positionH relativeFrom="column">
                  <wp:posOffset>1334135</wp:posOffset>
                </wp:positionH>
                <wp:positionV relativeFrom="paragraph">
                  <wp:posOffset>135255</wp:posOffset>
                </wp:positionV>
                <wp:extent cx="635" cy="372745"/>
                <wp:effectExtent l="37465" t="0" r="38100" b="8255"/>
                <wp:wrapNone/>
                <wp:docPr id="47" name="直接连接符 47"/>
                <wp:cNvGraphicFramePr/>
                <a:graphic xmlns:a="http://schemas.openxmlformats.org/drawingml/2006/main">
                  <a:graphicData uri="http://schemas.microsoft.com/office/word/2010/wordprocessingShape">
                    <wps:wsp>
                      <wps:cNvCnPr/>
                      <wps:spPr>
                        <a:xfrm>
                          <a:off x="0" y="0"/>
                          <a:ext cx="635" cy="372745"/>
                        </a:xfrm>
                        <a:prstGeom prst="line">
                          <a:avLst/>
                        </a:prstGeom>
                        <a:ln w="15875" cap="flat" cmpd="sng">
                          <a:solidFill>
                            <a:srgbClr val="444444"/>
                          </a:solidFill>
                          <a:prstDash val="solid"/>
                          <a:headEnd type="none" w="med" len="med"/>
                          <a:tailEnd type="triangle" w="med" len="med"/>
                        </a:ln>
                      </wps:spPr>
                      <wps:bodyPr upright="1"/>
                    </wps:wsp>
                  </a:graphicData>
                </a:graphic>
              </wp:anchor>
            </w:drawing>
          </mc:Choice>
          <mc:Fallback>
            <w:pict>
              <v:line id="_x0000_s1026" o:spid="_x0000_s1026" o:spt="20" style="position:absolute;left:0pt;margin-left:105.05pt;margin-top:10.65pt;height:29.35pt;width:0.05pt;z-index:251745280;mso-width-relative:page;mso-height-relative:page;" filled="f" stroked="t" coordsize="21600,21600" o:gfxdata="UEsDBAoAAAAAAIdO4kAAAAAAAAAAAAAAAAAEAAAAZHJzL1BLAwQUAAAACACHTuJAP5T7a9cAAAAJ&#10;AQAADwAAAGRycy9kb3ducmV2LnhtbE2PS0/DMBCE70j8B2uRuCBqJyBUpXF6AHFAqiooiPM23iZR&#10;/SJ2+vj3bE9w290ZzXxbL0/OigONaQheQzFTIMi3wQy+0/D1+Xo/B5EyeoM2eNJwpgTL5vqqxsqE&#10;o/+gwyZ3gkN8qlBDn3OspExtTw7TLETyrO3C6DDzOnbSjHjkcGdlqdSTdDh4bugx0nNP7X4zOe61&#10;1q4f4/tLief1224Vp5/v1Z3WtzeFWoDIdMp/ZrjgMzo0zLQNkzdJWA1loQq2XoYHEGzgQwliq2Gu&#10;FMimlv8/aH4BUEsDBBQAAAAIAIdO4kBKiv5B5AEAAJ4DAAAOAAAAZHJzL2Uyb0RvYy54bWytU0uO&#10;EzEQ3SNxB8t70kkmmYxa6cxiwrBBMBJwgIrt7rbkn1yedHIJLoDEDlYs2XMbhmNQdkLCR2wQvagu&#10;u56fq16/Xl7vrGFbFVF71/DJaMyZcsJL7bqGv3l9++SKM0zgJBjvVMP3Cvn16vGj5RBqNfW9N1JF&#10;RiQO6yE0vE8p1FWFolcWcOSDclRsfbSQaBm7SkYYiN2aajoeX1aDjzJELxQi7a4PRb4q/G2rRHrZ&#10;tqgSMw2n3lKJscRNjtVqCXUXIfRaHNuAf+jCgnZ06YlqDQnYfdR/UFktokffppHwtvJtq4UqM9A0&#10;k/Fv07zqIagyC4mD4SQT/j9a8WJ7F5mWDZ8tOHNg6Rs9vPv89e2Hb1/eU3z49JFRhWQaAtaEvnF3&#10;8bjCcBfzzLs22vymadiuSLs/Sat2iQnavLyYcyZo/2IxXczmmbA6nwwR0zPlLctJw412eWyoYfsc&#10;0wH6A5K3jWMDmW1+tcikQLZpDSRKbaBB0HXlMHqj5a02Jh/B2G1uTGRbICPMynPs4RdYvmUN2B9w&#10;pZRhUPcK5FMnWdoHUsiRl3nuwSrJmVFk/ZwVZAJtzsgUNbjO/AVNEhhHSmRtD2rmbOPlnj7KfYi6&#10;60mOSek0V8gERbejYbPLfl4XpvNvtfoO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P5T7a9cAAAAJ&#10;AQAADwAAAAAAAAABACAAAAAiAAAAZHJzL2Rvd25yZXYueG1sUEsBAhQAFAAAAAgAh07iQEqK/kHk&#10;AQAAngMAAA4AAAAAAAAAAQAgAAAAJgEAAGRycy9lMm9Eb2MueG1sUEsFBgAAAAAGAAYAWQEAAHwF&#10;AAAAAA==&#10;">
                <v:fill on="f" focussize="0,0"/>
                <v:stroke weight="1.25pt" color="#444444" joinstyle="round" endarrow="block"/>
                <v:imagedata o:title=""/>
                <o:lock v:ext="edit" aspectratio="f"/>
              </v:line>
            </w:pict>
          </mc:Fallback>
        </mc:AlternateContent>
      </w:r>
    </w:p>
    <w:p>
      <w:pPr>
        <w:spacing w:line="360" w:lineRule="auto"/>
        <w:ind w:firstLine="480" w:firstLineChars="200"/>
        <w:jc w:val="center"/>
        <w:rPr>
          <w:rFonts w:hint="eastAsia"/>
          <w:color w:val="auto"/>
          <w:sz w:val="24"/>
        </w:rPr>
      </w:pPr>
      <w:r>
        <w:rPr>
          <w:color w:val="auto"/>
          <w:sz w:val="24"/>
        </w:rPr>
        <mc:AlternateContent>
          <mc:Choice Requires="wps">
            <w:drawing>
              <wp:anchor distT="0" distB="0" distL="114300" distR="114300" simplePos="0" relativeHeight="251771904" behindDoc="0" locked="0" layoutInCell="1" allowOverlap="1">
                <wp:simplePos x="0" y="0"/>
                <wp:positionH relativeFrom="column">
                  <wp:posOffset>153035</wp:posOffset>
                </wp:positionH>
                <wp:positionV relativeFrom="paragraph">
                  <wp:posOffset>211455</wp:posOffset>
                </wp:positionV>
                <wp:extent cx="499110" cy="322580"/>
                <wp:effectExtent l="0" t="0" r="0" b="0"/>
                <wp:wrapNone/>
                <wp:docPr id="59" name="文本框 59"/>
                <wp:cNvGraphicFramePr/>
                <a:graphic xmlns:a="http://schemas.openxmlformats.org/drawingml/2006/main">
                  <a:graphicData uri="http://schemas.microsoft.com/office/word/2010/wordprocessingShape">
                    <wps:wsp>
                      <wps:cNvSpPr txBox="1"/>
                      <wps:spPr>
                        <a:xfrm>
                          <a:off x="0" y="0"/>
                          <a:ext cx="499110" cy="322580"/>
                        </a:xfrm>
                        <a:prstGeom prst="rect">
                          <a:avLst/>
                        </a:prstGeom>
                        <a:noFill/>
                        <a:ln w="15875">
                          <a:noFill/>
                        </a:ln>
                      </wps:spPr>
                      <wps:txbx>
                        <w:txbxContent>
                          <w:p>
                            <w:pPr>
                              <w:jc w:val="left"/>
                              <w:rPr>
                                <w:rFonts w:hint="eastAsia" w:eastAsia="宋体"/>
                                <w:lang w:val="en-US" w:eastAsia="zh-CN"/>
                              </w:rPr>
                            </w:pPr>
                            <w:r>
                              <w:rPr>
                                <w:rFonts w:hint="eastAsia"/>
                                <w:lang w:val="en-US" w:eastAsia="zh-CN"/>
                              </w:rPr>
                              <w:t>N、S1</w:t>
                            </w:r>
                          </w:p>
                        </w:txbxContent>
                      </wps:txbx>
                      <wps:bodyPr upright="1"/>
                    </wps:wsp>
                  </a:graphicData>
                </a:graphic>
              </wp:anchor>
            </w:drawing>
          </mc:Choice>
          <mc:Fallback>
            <w:pict>
              <v:shape id="_x0000_s1026" o:spid="_x0000_s1026" o:spt="202" type="#_x0000_t202" style="position:absolute;left:0pt;margin-left:12.05pt;margin-top:16.65pt;height:25.4pt;width:39.3pt;z-index:251771904;mso-width-relative:page;mso-height-relative:page;" filled="f" stroked="f" coordsize="21600,21600" o:gfxdata="UEsDBAoAAAAAAIdO4kAAAAAAAAAAAAAAAAAEAAAAZHJzL1BLAwQUAAAACACHTuJAZaY4SdkAAAAI&#10;AQAADwAAAGRycy9kb3ducmV2LnhtbE2PQU+DQBCF7yb+h82YeDF2F2iUIEMPNj0YNY3VqMctjEBk&#10;Zwm7QOuvd3vS4+R7ee+bfHUwnZhocK1lhGihQBCXtmq5Rnh73VynIJzXXOnOMiEcycGqOD/LdVbZ&#10;mV9o2vlahBJ2mUZovO8zKV3ZkNFuYXviwL7sYLQP51DLatBzKDedjJW6kUa3HBYa3dN9Q+X3bjQI&#10;07Navj+VH8fxarP+fEi3a/c4/yBeXkTqDoSng/8Lw0k/qEMRnPZ25MqJDiFeRiGJkCQJiBNX8S2I&#10;PUIagCxy+f+B4hdQSwMEFAAAAAgAh07iQElqh06YAQAACwMAAA4AAABkcnMvZTJvRG9jLnhtbK1S&#10;S07DMBDdI3EHy3uatFBoo6ZICJUNAiTgAK5jN5Zsj2W7TXoBuAErNuw5V8/BxC0FwQ6xGdvzeTPv&#10;jSfnrdFkJXxQYEva7+WUCMuhUnZR0seH2dGIkhCZrZgGK0q6FoGeTw8PJo0rxABq0JXwBEFsKBpX&#10;0jpGV2RZ4LUwLPTACYtBCd6wiE+/yCrPGkQ3Ohvk+WnWgK+cBy5CQO/lNkinCV9KweOtlEFEokuK&#10;s8VkfbLzzmbTCSsWnrla8d0Y7A9TGKYsNt1DXbLIyNKrX1BGcQ8BZOxxMBlIqbhIHJBNP//B5r5m&#10;TiQuKE5we5nC/8Hym9WdJ6oq6XBMiWUGd7R5ed68vm/engj6UKDGhQLz7h1mxvYCWlz0pz+gs+Pd&#10;Sm+6ExkRjKPU6728oo2Eo/NkPO73McIxdDwYDEdJ/uyr2PkQrwQY0l1K6nF7SVS2ug4RB8HUz5Su&#10;l4WZ0jptUFvS4FTD0dkwVexDWKItVnYctrN2t9jO2x2xOVRr5LV0Xi1qbJqYpXRUPLXc/Y5upd/f&#10;CfTrD08/AF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AoEAABbQ29udGVudF9UeXBlc10ueG1sUEsBAhQACgAAAAAAh07iQAAAAAAAAAAAAAAAAAYA&#10;AAAAAAAAAAAQAAAA7AIAAF9yZWxzL1BLAQIUABQAAAAIAIdO4kCKFGY80QAAAJQBAAALAAAAAAAA&#10;AAEAIAAAABADAABfcmVscy8ucmVsc1BLAQIUAAoAAAAAAIdO4kAAAAAAAAAAAAAAAAAEAAAAAAAA&#10;AAAAEAAAAAAAAABkcnMvUEsBAhQAFAAAAAgAh07iQGWmOEnZAAAACAEAAA8AAAAAAAAAAQAgAAAA&#10;IgAAAGRycy9kb3ducmV2LnhtbFBLAQIUABQAAAAIAIdO4kBJaodOmAEAAAsDAAAOAAAAAAAAAAEA&#10;IAAAACgBAABkcnMvZTJvRG9jLnhtbFBLBQYAAAAABgAGAFkBAAAyBQAAAAA=&#10;">
                <v:fill on="f" focussize="0,0"/>
                <v:stroke on="f" weight="1.25pt"/>
                <v:imagedata o:title=""/>
                <o:lock v:ext="edit" aspectratio="f"/>
                <v:textbox>
                  <w:txbxContent>
                    <w:p>
                      <w:pPr>
                        <w:jc w:val="left"/>
                        <w:rPr>
                          <w:rFonts w:hint="eastAsia" w:eastAsia="宋体"/>
                          <w:lang w:val="en-US" w:eastAsia="zh-CN"/>
                        </w:rPr>
                      </w:pPr>
                      <w:r>
                        <w:rPr>
                          <w:rFonts w:hint="eastAsia"/>
                          <w:lang w:val="en-US" w:eastAsia="zh-CN"/>
                        </w:rPr>
                        <w:t>N、S1</w:t>
                      </w:r>
                    </w:p>
                  </w:txbxContent>
                </v:textbox>
              </v:shape>
            </w:pict>
          </mc:Fallback>
        </mc:AlternateContent>
      </w:r>
      <w:r>
        <w:rPr>
          <w:color w:val="auto"/>
          <w:sz w:val="24"/>
        </w:rPr>
        <mc:AlternateContent>
          <mc:Choice Requires="wps">
            <w:drawing>
              <wp:anchor distT="0" distB="0" distL="114300" distR="114300" simplePos="0" relativeHeight="251746304" behindDoc="0" locked="0" layoutInCell="1" allowOverlap="1">
                <wp:simplePos x="0" y="0"/>
                <wp:positionH relativeFrom="column">
                  <wp:posOffset>911225</wp:posOffset>
                </wp:positionH>
                <wp:positionV relativeFrom="paragraph">
                  <wp:posOffset>202565</wp:posOffset>
                </wp:positionV>
                <wp:extent cx="838200" cy="322580"/>
                <wp:effectExtent l="7620" t="7620" r="11430" b="12700"/>
                <wp:wrapNone/>
                <wp:docPr id="55" name="文本框 55"/>
                <wp:cNvGraphicFramePr/>
                <a:graphic xmlns:a="http://schemas.openxmlformats.org/drawingml/2006/main">
                  <a:graphicData uri="http://schemas.microsoft.com/office/word/2010/wordprocessingShape">
                    <wps:wsp>
                      <wps:cNvSpPr txBox="1"/>
                      <wps:spPr>
                        <a:xfrm>
                          <a:off x="0" y="0"/>
                          <a:ext cx="838200" cy="322580"/>
                        </a:xfrm>
                        <a:prstGeom prst="rect">
                          <a:avLst/>
                        </a:prstGeom>
                        <a:noFill/>
                        <a:ln w="15875" cap="flat" cmpd="sng">
                          <a:solidFill>
                            <a:srgbClr val="444444"/>
                          </a:solidFill>
                          <a:prstDash val="solid"/>
                          <a:miter/>
                          <a:headEnd type="none" w="med" len="med"/>
                          <a:tailEnd type="none" w="med" len="med"/>
                        </a:ln>
                      </wps:spPr>
                      <wps:txbx>
                        <w:txbxContent>
                          <w:p>
                            <w:pPr>
                              <w:jc w:val="center"/>
                              <w:rPr>
                                <w:rFonts w:hint="eastAsia" w:eastAsia="宋体"/>
                                <w:lang w:eastAsia="zh-CN"/>
                              </w:rPr>
                            </w:pPr>
                            <w:r>
                              <w:rPr>
                                <w:rFonts w:hint="eastAsia"/>
                                <w:lang w:eastAsia="zh-CN"/>
                              </w:rPr>
                              <w:t>剪板</w:t>
                            </w:r>
                          </w:p>
                        </w:txbxContent>
                      </wps:txbx>
                      <wps:bodyPr upright="1"/>
                    </wps:wsp>
                  </a:graphicData>
                </a:graphic>
              </wp:anchor>
            </w:drawing>
          </mc:Choice>
          <mc:Fallback>
            <w:pict>
              <v:shape id="_x0000_s1026" o:spid="_x0000_s1026" o:spt="202" type="#_x0000_t202" style="position:absolute;left:0pt;margin-left:71.75pt;margin-top:15.95pt;height:25.4pt;width:66pt;z-index:251746304;mso-width-relative:page;mso-height-relative:page;" filled="f" stroked="t" coordsize="21600,21600" o:gfxdata="UEsDBAoAAAAAAIdO4kAAAAAAAAAAAAAAAAAEAAAAZHJzL1BLAwQUAAAACACHTuJALUjtaNoAAAAJ&#10;AQAADwAAAGRycy9kb3ducmV2LnhtbE2PTUvDQBCG74L/YRnBi9jNhzU1ZlNQ8FKhYFNKjtvsmASz&#10;syG7aeu/dzzp8Z15eOeZYn2xgzjh5HtHCuJFBAKpcaanVsG+ertfgfBBk9GDI1TwjR7W5fVVoXPj&#10;zvSBp11oBZeQz7WCLoQxl9I3HVrtF25E4t2nm6wOHKdWmkmfudwOMomiR2l1T3yh0yO+dth87War&#10;YN4nL+8Ss/TuUFeHbTZv6qreKHV7E0fPIAJewh8Mv/qsDiU7Hd1MxouB80O6ZFRBGj+BYCDJljw4&#10;KlglGciykP8/KH8AUEsDBBQAAAAIAIdO4kAnU9Jo7QEAAMEDAAAOAAAAZHJzL2Uyb0RvYy54bWyt&#10;U0uOEzEQ3SNxB8t70pkMgVaUzkgQhg0CpIEDOP50W/JPtifduQDcgBUb9pwr5+DZmcnw2SBEL9zV&#10;Vc9V9V5Vr68ma8hexqS96+jFbE6JdNwL7fqOfvxw/aSlJGXmBDPeyY4eZKJXm8eP1mNYyYUfvBEy&#10;EiRxaTWGjg45h1XTJD5Iy9LMB+kQVD5alvEZ+0ZENiK7Nc1iPn/WjD6KED2XKcG7PQXppuZXSvL8&#10;TqkkMzEdRW+5nrGeu3I2mzVb9ZGFQfO7Ntg/dGGZdih6TrVlmZHbqP9IZTWPPnmVZ9zbxiuluawc&#10;wOZi/hubm4EFWblAnBTOMqX/l5a/3b+PRIuOLpeUOGYxo+OXz8ev34/fPhH4INAY0gq4mwBknl74&#10;CYO+9yc4C+9JRVveYEQQh9SHs7xyyoTD2V62GBklHKHLxWLZVvmbh8shpvxaekuK0dGI6VVR2f5N&#10;ymgE0HtIqeX8tTamTtA4MqKrZfscLDjDIinDMkwbQC25vuZJ3mhR7pTbKfa7lyaSPcNqPK1PIYUa&#10;v8BKwS1LwwlXQ6elsTrLWIsPkolXTpB8CFDPYc9p6cZKQYmR+C2KVZGZafM3SDRhHHopyp8ULlae&#10;dhPSFHPnxQHTuA1R9wOkqvOocOxJJXG302URf/6uSR/+vM0P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LUjtaNoAAAAJAQAADwAAAAAAAAABACAAAAAiAAAAZHJzL2Rvd25yZXYueG1sUEsBAhQAFAAA&#10;AAgAh07iQCdT0mjtAQAAwQMAAA4AAAAAAAAAAQAgAAAAKQEAAGRycy9lMm9Eb2MueG1sUEsFBgAA&#10;AAAGAAYAWQEAAIgFAAAAAA==&#10;">
                <v:fill on="f" focussize="0,0"/>
                <v:stroke weight="1.25pt" color="#444444" joinstyle="miter"/>
                <v:imagedata o:title=""/>
                <o:lock v:ext="edit" aspectratio="f"/>
                <v:textbox>
                  <w:txbxContent>
                    <w:p>
                      <w:pPr>
                        <w:jc w:val="center"/>
                        <w:rPr>
                          <w:rFonts w:hint="eastAsia" w:eastAsia="宋体"/>
                          <w:lang w:eastAsia="zh-CN"/>
                        </w:rPr>
                      </w:pPr>
                      <w:r>
                        <w:rPr>
                          <w:rFonts w:hint="eastAsia"/>
                          <w:lang w:eastAsia="zh-CN"/>
                        </w:rPr>
                        <w:t>剪板</w:t>
                      </w:r>
                    </w:p>
                  </w:txbxContent>
                </v:textbox>
              </v:shape>
            </w:pict>
          </mc:Fallback>
        </mc:AlternateContent>
      </w:r>
      <w:r>
        <w:rPr>
          <w:color w:val="auto"/>
          <w:sz w:val="24"/>
        </w:rPr>
        <mc:AlternateContent>
          <mc:Choice Requires="wps">
            <w:drawing>
              <wp:anchor distT="0" distB="0" distL="114300" distR="114300" simplePos="0" relativeHeight="251749376" behindDoc="0" locked="0" layoutInCell="1" allowOverlap="1">
                <wp:simplePos x="0" y="0"/>
                <wp:positionH relativeFrom="column">
                  <wp:posOffset>3020060</wp:posOffset>
                </wp:positionH>
                <wp:positionV relativeFrom="paragraph">
                  <wp:posOffset>175260</wp:posOffset>
                </wp:positionV>
                <wp:extent cx="896620" cy="322580"/>
                <wp:effectExtent l="7620" t="7620" r="10160" b="12700"/>
                <wp:wrapNone/>
                <wp:docPr id="54" name="文本框 54"/>
                <wp:cNvGraphicFramePr/>
                <a:graphic xmlns:a="http://schemas.openxmlformats.org/drawingml/2006/main">
                  <a:graphicData uri="http://schemas.microsoft.com/office/word/2010/wordprocessingShape">
                    <wps:wsp>
                      <wps:cNvSpPr txBox="1"/>
                      <wps:spPr>
                        <a:xfrm>
                          <a:off x="0" y="0"/>
                          <a:ext cx="896620" cy="322580"/>
                        </a:xfrm>
                        <a:prstGeom prst="rect">
                          <a:avLst/>
                        </a:prstGeom>
                        <a:noFill/>
                        <a:ln w="15875" cap="flat" cmpd="sng">
                          <a:solidFill>
                            <a:srgbClr val="444444"/>
                          </a:solidFill>
                          <a:prstDash val="solid"/>
                          <a:miter/>
                          <a:headEnd type="none" w="med" len="med"/>
                          <a:tailEnd type="none" w="med" len="med"/>
                        </a:ln>
                      </wps:spPr>
                      <wps:txbx>
                        <w:txbxContent>
                          <w:p>
                            <w:pPr>
                              <w:jc w:val="center"/>
                              <w:rPr>
                                <w:rFonts w:hint="eastAsia" w:eastAsia="宋体"/>
                                <w:lang w:eastAsia="zh-CN"/>
                              </w:rPr>
                            </w:pPr>
                            <w:r>
                              <w:rPr>
                                <w:rFonts w:hint="eastAsia"/>
                                <w:lang w:eastAsia="zh-CN"/>
                              </w:rPr>
                              <w:t>出片、切块</w:t>
                            </w:r>
                          </w:p>
                        </w:txbxContent>
                      </wps:txbx>
                      <wps:bodyPr upright="1"/>
                    </wps:wsp>
                  </a:graphicData>
                </a:graphic>
              </wp:anchor>
            </w:drawing>
          </mc:Choice>
          <mc:Fallback>
            <w:pict>
              <v:shape id="_x0000_s1026" o:spid="_x0000_s1026" o:spt="202" type="#_x0000_t202" style="position:absolute;left:0pt;margin-left:237.8pt;margin-top:13.8pt;height:25.4pt;width:70.6pt;z-index:251749376;mso-width-relative:page;mso-height-relative:page;" filled="f" stroked="t" coordsize="21600,21600" o:gfxdata="UEsDBAoAAAAAAIdO4kAAAAAAAAAAAAAAAAAEAAAAZHJzL1BLAwQUAAAACACHTuJAaDTK/NoAAAAJ&#10;AQAADwAAAGRycy9kb3ducmV2LnhtbE2PwUrDQBCG74LvsIzgRewmsWZLzKSg4KUFwaaUHLfJmASz&#10;uyG7aevbOz3paRjm45/vz9cXM4gTTb53FiFeRCDI1q7pbYuwL98fVyB80LbRg7OE8EMe1sXtTa6z&#10;xp3tJ512oRUcYn2mEboQxkxKX3dktF+4kSzfvtxkdOB1amUz6TOHm0EmUZRKo3vLHzo90ltH9fdu&#10;NgjzPnndSlJPD4eqPHyoeVOV1Qbx/i6OXkAEuoQ/GK76rA4FOx3dbBsvBoSlek4ZRUgUTwbSOOUu&#10;RwS1WoIscvm/QfELUEsDBBQAAAAIAIdO4kBhPhgC7gEAAMEDAAAOAAAAZHJzL2Uyb0RvYy54bWyt&#10;U82O0zAQviPxDpbvNN2wLSVquhKU5YIAaeEBXNtJLPlPtrdJXwDegBMX7jxXn4PP7m6XnwtC5OBM&#10;ZsbfzPfNZH01GU32MkTlbEsvZnNKpOVOKNu39OOH6ycrSmJiVjDtrGzpQUZ6tXn8aD36RtZucFrI&#10;QABiYzP6lg4p+aaqIh+kYXHmvLQIdi4YlvAZ+koENgLd6Kqez5fV6ILwwXEZI7zbU5BuCn7XSZ7e&#10;dV2UieiWordUzlDOXT6rzZo1fWB+UPyuDfYPXRimLIqeobYsMXIb1B9QRvHgouvSjDtTua5TXBYO&#10;YHMx/43NzcC8LFwgTvRnmeL/g+Vv9+8DUaKli0tKLDOY0fHL5+PX78dvnwh8EGj0sUHejUdmml64&#10;CYO+90c4M++pCya/wYggDqkPZ3nllAiHc/V8uawR4Qg9revFqshfPVz2IabX0hmSjZYGTK+IyvZv&#10;YkIjSL1PybWsu1ZalwlqS0Z0tVg9WwCfYZE6zRJM40Et2r7gRKeVyHfy7Rj63UsdyJ5hNS7Lk0mh&#10;xi9pueCWxeGUV0KnpTEqyVCKD5KJV1aQdPBQz2LPae7GSEGJlvgtslUyE1P6bzLRhLboJSt/Ujhb&#10;adpNgMnmzokDpnHrg+oHSFXmUdKxJ4XE3U7nRfz5u4A+/HmbH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Gg0yvzaAAAACQEAAA8AAAAAAAAAAQAgAAAAIgAAAGRycy9kb3ducmV2LnhtbFBLAQIUABQA&#10;AAAIAIdO4kBhPhgC7gEAAMEDAAAOAAAAAAAAAAEAIAAAACkBAABkcnMvZTJvRG9jLnhtbFBLBQYA&#10;AAAABgAGAFkBAACJBQAAAAA=&#10;">
                <v:fill on="f" focussize="0,0"/>
                <v:stroke weight="1.25pt" color="#444444" joinstyle="miter"/>
                <v:imagedata o:title=""/>
                <o:lock v:ext="edit" aspectratio="f"/>
                <v:textbox>
                  <w:txbxContent>
                    <w:p>
                      <w:pPr>
                        <w:jc w:val="center"/>
                        <w:rPr>
                          <w:rFonts w:hint="eastAsia" w:eastAsia="宋体"/>
                          <w:lang w:eastAsia="zh-CN"/>
                        </w:rPr>
                      </w:pPr>
                      <w:r>
                        <w:rPr>
                          <w:rFonts w:hint="eastAsia"/>
                          <w:lang w:eastAsia="zh-CN"/>
                        </w:rPr>
                        <w:t>出片、切块</w:t>
                      </w:r>
                    </w:p>
                  </w:txbxContent>
                </v:textbox>
              </v:shape>
            </w:pict>
          </mc:Fallback>
        </mc:AlternateContent>
      </w:r>
    </w:p>
    <w:p>
      <w:pPr>
        <w:spacing w:line="360" w:lineRule="auto"/>
        <w:ind w:firstLine="480" w:firstLineChars="200"/>
        <w:jc w:val="center"/>
        <w:rPr>
          <w:rFonts w:hint="eastAsia"/>
          <w:color w:val="auto"/>
          <w:sz w:val="24"/>
        </w:rPr>
      </w:pPr>
      <w:r>
        <w:rPr>
          <w:color w:val="auto"/>
          <w:sz w:val="24"/>
        </w:rPr>
        <mc:AlternateContent>
          <mc:Choice Requires="wps">
            <w:drawing>
              <wp:anchor distT="0" distB="0" distL="114300" distR="114300" simplePos="0" relativeHeight="251770880" behindDoc="0" locked="0" layoutInCell="1" allowOverlap="1">
                <wp:simplePos x="0" y="0"/>
                <wp:positionH relativeFrom="column">
                  <wp:posOffset>582295</wp:posOffset>
                </wp:positionH>
                <wp:positionV relativeFrom="paragraph">
                  <wp:posOffset>69215</wp:posOffset>
                </wp:positionV>
                <wp:extent cx="336550" cy="635"/>
                <wp:effectExtent l="0" t="37465" r="6350" b="38100"/>
                <wp:wrapNone/>
                <wp:docPr id="56" name="直接连接符 56"/>
                <wp:cNvGraphicFramePr/>
                <a:graphic xmlns:a="http://schemas.openxmlformats.org/drawingml/2006/main">
                  <a:graphicData uri="http://schemas.microsoft.com/office/word/2010/wordprocessingShape">
                    <wps:wsp>
                      <wps:cNvCnPr/>
                      <wps:spPr>
                        <a:xfrm flipH="1">
                          <a:off x="0" y="0"/>
                          <a:ext cx="336550" cy="635"/>
                        </a:xfrm>
                        <a:prstGeom prst="line">
                          <a:avLst/>
                        </a:prstGeom>
                        <a:ln w="9525" cap="flat" cmpd="sng">
                          <a:solidFill>
                            <a:srgbClr val="444444"/>
                          </a:solidFill>
                          <a:prstDash val="dash"/>
                          <a:headEnd type="none" w="med" len="med"/>
                          <a:tailEnd type="stealth" w="med" len="med"/>
                        </a:ln>
                      </wps:spPr>
                      <wps:bodyPr upright="1"/>
                    </wps:wsp>
                  </a:graphicData>
                </a:graphic>
              </wp:anchor>
            </w:drawing>
          </mc:Choice>
          <mc:Fallback>
            <w:pict>
              <v:line id="_x0000_s1026" o:spid="_x0000_s1026" o:spt="20" style="position:absolute;left:0pt;flip:x;margin-left:45.85pt;margin-top:5.45pt;height:0.05pt;width:26.5pt;z-index:251770880;mso-width-relative:page;mso-height-relative:page;" filled="f" stroked="t" coordsize="21600,21600" o:gfxdata="UEsDBAoAAAAAAIdO4kAAAAAAAAAAAAAAAAAEAAAAZHJzL1BLAwQUAAAACACHTuJAPsjut9cAAAAI&#10;AQAADwAAAGRycy9kb3ducmV2LnhtbE2PzU7DMBCE70h9B2srcUGtHVSFJsSp1ErthRMFSo9OvCQR&#10;8TqK3R/enu0Jbrszo9lvi9XV9eKMY+g8aUjmCgRS7W1HjYb3t+1sCSJEQ9b0nlDDDwZYlZO7wuTW&#10;X+gVz/vYCC6hkBsNbYxDLmWoW3QmzP2AxN6XH52JvI6NtKO5cLnr5aNSqXSmI77QmgE3Ldbf+5PT&#10;8HDcHdPDED+rj83uZZ0d6tTKoPX9NFHPICJe418YbviMDiUzVf5ENoheQ5Y8cZJ1lYG4+YsFCxUP&#10;iQJZFvL/A+UvUEsDBBQAAAAIAIdO4kB5PeIv6gEAAKUDAAAOAAAAZHJzL2Uyb0RvYy54bWytU0uO&#10;EzEQ3SNxB8t70vnQEbTSmcWEgQWCSDAHqPjTbck/2Z50cgkugMQOVizZcxuGY0zZHTL8VohelMqu&#10;59f1nsuri4PRZC9CVM62dDaZUiIsc1zZrqXXb68ePaEkJrActLOipUcR6cX64YPV4Bsxd73TXASC&#10;JDY2g29pn5JvqiqyXhiIE+eFxaJ0wUDCZegqHmBAdqOr+XS6rAYXuA+OiRhxdzMW6brwSylYei1l&#10;FInolmJvqcRQ4i7Har2Cpgvge8VObcA/dGFAWfzpmWoDCchNUH9QGcWCi06mCXOmclIqJooGVDOb&#10;/qbmTQ9eFC1oTvRnm+L/o2Wv9ttAFG9pvaTEgsE7un3/5du7j9+/fsB4+/kTwQraNPjYIPrSbsNp&#10;Ff02ZM0HGQyRWvkXOAHFBdRFDsXk49lkcUiE4eZisaxrvAqGpeWiztTVyJG5fIjpuXCG5KSlWtls&#10;ADSwfxnTCP0BydvakqGlT+t5jYSA8yM1JEyNR0XRduVsdFrxK6V1PhFDt7vUgewBJ+Jx+U4t/ALL&#10;P9lA7EccxyyjoOkF8GeWk3T06JTFmaa5AyM4JVrgE8hZQSZQ+h4ZkwCd+r+DUb+2aEO2eDQ1ZzvH&#10;j3g3Nz6orkcvZqXPXMFZKKad5jYP28/rwnT/utZ3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Psju&#10;t9cAAAAIAQAADwAAAAAAAAABACAAAAAiAAAAZHJzL2Rvd25yZXYueG1sUEsBAhQAFAAAAAgAh07i&#10;QHk94i/qAQAApQMAAA4AAAAAAAAAAQAgAAAAJgEAAGRycy9lMm9Eb2MueG1sUEsFBgAAAAAGAAYA&#10;WQEAAIIFAAAAAA==&#10;">
                <v:fill on="f" focussize="0,0"/>
                <v:stroke color="#444444" joinstyle="round" dashstyle="dash" endarrow="classic"/>
                <v:imagedata o:title=""/>
                <o:lock v:ext="edit" aspectratio="f"/>
              </v:line>
            </w:pict>
          </mc:Fallback>
        </mc:AlternateContent>
      </w:r>
      <w:r>
        <w:rPr>
          <w:color w:val="auto"/>
          <w:sz w:val="24"/>
        </w:rPr>
        <mc:AlternateContent>
          <mc:Choice Requires="wps">
            <w:drawing>
              <wp:anchor distT="0" distB="0" distL="114300" distR="114300" simplePos="0" relativeHeight="251750400" behindDoc="0" locked="0" layoutInCell="1" allowOverlap="1">
                <wp:simplePos x="0" y="0"/>
                <wp:positionH relativeFrom="column">
                  <wp:posOffset>3475990</wp:posOffset>
                </wp:positionH>
                <wp:positionV relativeFrom="paragraph">
                  <wp:posOffset>200025</wp:posOffset>
                </wp:positionV>
                <wp:extent cx="635" cy="372745"/>
                <wp:effectExtent l="37465" t="0" r="38100" b="8255"/>
                <wp:wrapNone/>
                <wp:docPr id="41" name="直接连接符 41"/>
                <wp:cNvGraphicFramePr/>
                <a:graphic xmlns:a="http://schemas.openxmlformats.org/drawingml/2006/main">
                  <a:graphicData uri="http://schemas.microsoft.com/office/word/2010/wordprocessingShape">
                    <wps:wsp>
                      <wps:cNvCnPr/>
                      <wps:spPr>
                        <a:xfrm>
                          <a:off x="0" y="0"/>
                          <a:ext cx="635" cy="372745"/>
                        </a:xfrm>
                        <a:prstGeom prst="line">
                          <a:avLst/>
                        </a:prstGeom>
                        <a:ln w="15875" cap="flat" cmpd="sng">
                          <a:solidFill>
                            <a:srgbClr val="444444"/>
                          </a:solidFill>
                          <a:prstDash val="solid"/>
                          <a:headEnd type="none" w="med" len="med"/>
                          <a:tailEnd type="triangle" w="med" len="med"/>
                        </a:ln>
                      </wps:spPr>
                      <wps:bodyPr upright="1"/>
                    </wps:wsp>
                  </a:graphicData>
                </a:graphic>
              </wp:anchor>
            </w:drawing>
          </mc:Choice>
          <mc:Fallback>
            <w:pict>
              <v:line id="_x0000_s1026" o:spid="_x0000_s1026" o:spt="20" style="position:absolute;left:0pt;margin-left:273.7pt;margin-top:15.75pt;height:29.35pt;width:0.05pt;z-index:251750400;mso-width-relative:page;mso-height-relative:page;" filled="f" stroked="t" coordsize="21600,21600" o:gfxdata="UEsDBAoAAAAAAIdO4kAAAAAAAAAAAAAAAAAEAAAAZHJzL1BLAwQUAAAACACHTuJAPnVCU9kAAAAJ&#10;AQAADwAAAGRycy9kb3ducmV2LnhtbE2PS0/DMBCE70j8B2uRuCBqJ6Q8QpweQByQqgoK4ryN3STC&#10;XofY6ePfsz3BbXdnNPNttTh4J3Z2jH0gDdlMgbDUBNNTq+Hz4+X6HkRMSAZdIKvhaCMs6vOzCksT&#10;9vRud+vUCg6hWKKGLqWhlDI2nfUYZ2GwxNo2jB4Tr2MrzYh7DvdO5krdSo89cUOHg33qbPO9njz3&#10;OudWxfD2nONx9bpdDtPP1/JK68uLTD2CSPaQ/sxwwmd0qJlpEyYyUTgN8+KuYKuGm2wOgg184GGj&#10;4UHlIOtK/v+g/gVQSwMEFAAAAAgAh07iQNR+dnnjAQAAngMAAA4AAABkcnMvZTJvRG9jLnhtbK1T&#10;S44TMRDdI3EHy3vSSSaZGbXSmcWEYYMgEnCAiu3utuSfXJ50cgkugMQOVizZcxuGY1B2QsJHbBC9&#10;qC6Xn5/rva5e3OysYVsVUXvX8MlozJlywkvtuoa/eX335JozTOAkGO9Uw/cK+c3y8aPFEGo19b03&#10;UkVGJA7rITS8TynUVYWiVxZw5INytNn6aCHRMnaVjDAQuzXVdDy+rAYfZYheKESqrg6bfFn421aJ&#10;9LJtUSVmGk69pRJjiZscq+UC6i5C6LU4tgH/0IUF7ejSE9UKErD7qP+gslpEj75NI+Ft5dtWC1U0&#10;kJrJ+Dc1r3oIqmghczCcbML/RytebNeRadnw2YQzB5a+0cO7z1/ffvj25T3Fh08fGe2QTUPAmtC3&#10;bh2PKwzrmDXv2mjzm9SwXbF2f7JW7RITVLy8mHMmqH5xNb2azTNhdT4ZIqZnyluWk4Yb7bJsqGH7&#10;HNMB+gOSy8axgYZtfn2VSYHGpjWQKLWBhKDrymH0Rss7bUw+grHb3JrItkCDMCvPsYdfYPmWFWB/&#10;wJWtDIO6VyCfOsnSPpBDjmaZ5x6skpwZRaOfs4JMoM0ZmaIG15m/oMkC48iJ7O3BzZxtvNzTR7kP&#10;UXc92VHsLxgaguLbcWDzlP28Lkzn32r5H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FUEAABbQ29udGVudF9UeXBlc10ueG1sUEsBAhQACgAAAAAA&#10;h07iQAAAAAAAAAAAAAAAAAYAAAAAAAAAAAAQAAAANwMAAF9yZWxzL1BLAQIUABQAAAAIAIdO4kCK&#10;FGY80QAAAJQBAAALAAAAAAAAAAEAIAAAAFsDAABfcmVscy8ucmVsc1BLAQIUAAoAAAAAAIdO4kAA&#10;AAAAAAAAAAAAAAAEAAAAAAAAAAAAEAAAAAAAAABkcnMvUEsBAhQAFAAAAAgAh07iQD51QlPZAAAA&#10;CQEAAA8AAAAAAAAAAQAgAAAAIgAAAGRycy9kb3ducmV2LnhtbFBLAQIUABQAAAAIAIdO4kDUfnZ5&#10;4wEAAJ4DAAAOAAAAAAAAAAEAIAAAACgBAABkcnMvZTJvRG9jLnhtbFBLBQYAAAAABgAGAFkBAAB9&#10;BQAAAAA=&#10;">
                <v:fill on="f" focussize="0,0"/>
                <v:stroke weight="1.25pt" color="#444444" joinstyle="round" endarrow="block"/>
                <v:imagedata o:title=""/>
                <o:lock v:ext="edit" aspectratio="f"/>
              </v:line>
            </w:pict>
          </mc:Fallback>
        </mc:AlternateContent>
      </w:r>
      <w:r>
        <w:rPr>
          <w:color w:val="auto"/>
          <w:sz w:val="24"/>
        </w:rPr>
        <mc:AlternateContent>
          <mc:Choice Requires="wps">
            <w:drawing>
              <wp:anchor distT="0" distB="0" distL="114300" distR="114300" simplePos="0" relativeHeight="251754496" behindDoc="0" locked="0" layoutInCell="1" allowOverlap="1">
                <wp:simplePos x="0" y="0"/>
                <wp:positionH relativeFrom="column">
                  <wp:posOffset>1325880</wp:posOffset>
                </wp:positionH>
                <wp:positionV relativeFrom="paragraph">
                  <wp:posOffset>234315</wp:posOffset>
                </wp:positionV>
                <wp:extent cx="635" cy="372745"/>
                <wp:effectExtent l="37465" t="0" r="38100" b="8255"/>
                <wp:wrapNone/>
                <wp:docPr id="51" name="直接连接符 51"/>
                <wp:cNvGraphicFramePr/>
                <a:graphic xmlns:a="http://schemas.openxmlformats.org/drawingml/2006/main">
                  <a:graphicData uri="http://schemas.microsoft.com/office/word/2010/wordprocessingShape">
                    <wps:wsp>
                      <wps:cNvCnPr/>
                      <wps:spPr>
                        <a:xfrm>
                          <a:off x="0" y="0"/>
                          <a:ext cx="635" cy="372745"/>
                        </a:xfrm>
                        <a:prstGeom prst="line">
                          <a:avLst/>
                        </a:prstGeom>
                        <a:ln w="15875" cap="flat" cmpd="sng">
                          <a:solidFill>
                            <a:srgbClr val="444444"/>
                          </a:solidFill>
                          <a:prstDash val="solid"/>
                          <a:headEnd type="none" w="med" len="med"/>
                          <a:tailEnd type="triangle" w="med" len="med"/>
                        </a:ln>
                      </wps:spPr>
                      <wps:bodyPr upright="1"/>
                    </wps:wsp>
                  </a:graphicData>
                </a:graphic>
              </wp:anchor>
            </w:drawing>
          </mc:Choice>
          <mc:Fallback>
            <w:pict>
              <v:line id="_x0000_s1026" o:spid="_x0000_s1026" o:spt="20" style="position:absolute;left:0pt;margin-left:104.4pt;margin-top:18.45pt;height:29.35pt;width:0.05pt;z-index:251754496;mso-width-relative:page;mso-height-relative:page;" filled="f" stroked="t" coordsize="21600,21600" o:gfxdata="UEsDBAoAAAAAAIdO4kAAAAAAAAAAAAAAAAAEAAAAZHJzL1BLAwQUAAAACACHTuJAV7t0ptgAAAAJ&#10;AQAADwAAAGRycy9kb3ducmV2LnhtbE2PS0/DQAyE70j8h5WRuCC62wBRG7LpAcQBqapKqXp2EzeJ&#10;2BfZTR//HnOCm+0ZzXwuF2drxJGG2HunYTpRIMjVvuldq2H7+XY/AxETugaNd6ThQhEW1fVViUXj&#10;T+6DjpvUCg5xsUANXUqhkDLWHVmMEx/IsXbwg8XE69DKZsATh1sjM6VyabF33NBhoJeO6q/NaLnX&#10;GLN6DOvXDC+r98MyjN+75Z3WtzdT9Qwi0Tn9meEXn9GhYqa9H10ThdGQqRmjJw0P+RwEG/jAw17D&#10;/CkHWZXy/wfVD1BLAwQUAAAACACHTuJA/XajJOMBAACeAwAADgAAAGRycy9lMm9Eb2MueG1srVNL&#10;jhMxEN0jcQfLe9JJZjIZtdKZxYRhgyAScICK7e625J/KnnRyCS6AxA5WLNlzG4ZjUHZCwkdsEL2o&#10;Lpefn+u9rl7c7KxhW4VRe9fwyWjMmXLCS+26hr95fffkmrOYwEkw3qmG71XkN8vHjxZDqNXU995I&#10;hYxIXKyH0PA+pVBXVRS9shBHPihHm61HC4mW2FUSYSB2a6rpeHxVDR5lQC9UjFRdHTb5svC3rRLp&#10;ZdtGlZhpOPWWSsQSNzlWywXUHULotTi2Af/QhQXt6NIT1QoSsHvUf1BZLdBH36aR8LbybauFKhpI&#10;zWT8m5pXPQRVtJA5MZxsiv+PVrzYrpFp2fDZhDMHlr7Rw7vPX99++PblPcWHTx8Z7ZBNQ4g1oW/d&#10;Go+rGNaYNe9atPlNatiuWLs/Wat2iQkqXl3MOBNUv5hP55ezTFidTwaM6ZnyluWk4Ua7LBtq2D6P&#10;6QD9Acll49hAwza7nmdSoLFpDSRKbSAh0XXlcPRGyzttTD4SsdvcGmRboEG4LM+xh19g+ZYVxP6A&#10;K1sZBnWvQD51kqV9IIcczTLPPVglOTOKRj9nBZlAmzMyoQbXmb+gyQLjyIns7cHNnG283NNHuQ+o&#10;u57sKPYXDA1B8e04sHnKfl4XpvNvtfwO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V7t0ptgAAAAJ&#10;AQAADwAAAAAAAAABACAAAAAiAAAAZHJzL2Rvd25yZXYueG1sUEsBAhQAFAAAAAgAh07iQP12oyTj&#10;AQAAngMAAA4AAAAAAAAAAQAgAAAAJwEAAGRycy9lMm9Eb2MueG1sUEsFBgAAAAAGAAYAWQEAAHwF&#10;AAAAAA==&#10;">
                <v:fill on="f" focussize="0,0"/>
                <v:stroke weight="1.25pt" color="#444444" joinstyle="round" endarrow="block"/>
                <v:imagedata o:title=""/>
                <o:lock v:ext="edit" aspectratio="f"/>
              </v:line>
            </w:pict>
          </mc:Fallback>
        </mc:AlternateContent>
      </w:r>
    </w:p>
    <w:p>
      <w:pPr>
        <w:spacing w:line="360" w:lineRule="auto"/>
        <w:ind w:firstLine="480" w:firstLineChars="200"/>
        <w:jc w:val="center"/>
        <w:rPr>
          <w:rFonts w:hint="eastAsia"/>
          <w:color w:val="auto"/>
          <w:sz w:val="24"/>
        </w:rPr>
      </w:pPr>
      <w:r>
        <w:rPr>
          <w:color w:val="auto"/>
          <w:sz w:val="24"/>
        </w:rPr>
        <mc:AlternateContent>
          <mc:Choice Requires="wps">
            <w:drawing>
              <wp:anchor distT="0" distB="0" distL="114300" distR="114300" simplePos="0" relativeHeight="251752448" behindDoc="0" locked="0" layoutInCell="1" allowOverlap="1">
                <wp:simplePos x="0" y="0"/>
                <wp:positionH relativeFrom="column">
                  <wp:posOffset>2106930</wp:posOffset>
                </wp:positionH>
                <wp:positionV relativeFrom="paragraph">
                  <wp:posOffset>267970</wp:posOffset>
                </wp:positionV>
                <wp:extent cx="736600" cy="322580"/>
                <wp:effectExtent l="7620" t="7620" r="17780" b="12700"/>
                <wp:wrapNone/>
                <wp:docPr id="42" name="文本框 42"/>
                <wp:cNvGraphicFramePr/>
                <a:graphic xmlns:a="http://schemas.openxmlformats.org/drawingml/2006/main">
                  <a:graphicData uri="http://schemas.microsoft.com/office/word/2010/wordprocessingShape">
                    <wps:wsp>
                      <wps:cNvSpPr txBox="1"/>
                      <wps:spPr>
                        <a:xfrm>
                          <a:off x="0" y="0"/>
                          <a:ext cx="736600" cy="322580"/>
                        </a:xfrm>
                        <a:prstGeom prst="rect">
                          <a:avLst/>
                        </a:prstGeom>
                        <a:noFill/>
                        <a:ln w="15875" cap="sq" cmpd="sng">
                          <a:solidFill>
                            <a:srgbClr val="444444"/>
                          </a:solidFill>
                          <a:prstDash val="sysDot"/>
                          <a:miter/>
                          <a:headEnd type="none" w="med" len="med"/>
                          <a:tailEnd type="none" w="med" len="med"/>
                        </a:ln>
                      </wps:spPr>
                      <wps:txbx>
                        <w:txbxContent>
                          <w:p>
                            <w:pPr>
                              <w:jc w:val="center"/>
                              <w:rPr>
                                <w:rFonts w:hint="eastAsia" w:eastAsia="宋体"/>
                                <w:lang w:eastAsia="zh-CN"/>
                              </w:rPr>
                            </w:pPr>
                            <w:r>
                              <w:rPr>
                                <w:rFonts w:hint="eastAsia"/>
                                <w:lang w:eastAsia="zh-CN"/>
                              </w:rPr>
                              <w:t>乙酸丁酯</w:t>
                            </w:r>
                          </w:p>
                        </w:txbxContent>
                      </wps:txbx>
                      <wps:bodyPr upright="1"/>
                    </wps:wsp>
                  </a:graphicData>
                </a:graphic>
              </wp:anchor>
            </w:drawing>
          </mc:Choice>
          <mc:Fallback>
            <w:pict>
              <v:shape id="_x0000_s1026" o:spid="_x0000_s1026" o:spt="202" type="#_x0000_t202" style="position:absolute;left:0pt;margin-left:165.9pt;margin-top:21.1pt;height:25.4pt;width:58pt;z-index:251752448;mso-width-relative:page;mso-height-relative:page;" filled="f" stroked="t" coordsize="21600,21600" o:gfxdata="UEsDBAoAAAAAAIdO4kAAAAAAAAAAAAAAAAAEAAAAZHJzL1BLAwQUAAAACACHTuJA1zJat9gAAAAJ&#10;AQAADwAAAGRycy9kb3ducmV2LnhtbE2PS0/DMBCE70j8B2uRuFHnVR4hTg8ITkhITaHq0Y03D4jX&#10;Ueyk5d+znOC4s6OZb4rN2Q5iwcn3jhTEqwgEUu1MT62C993LzT0IHzQZPThCBd/oYVNeXhQ6N+5E&#10;W1yq0AoOIZ9rBV0IYy6lrzu02q/ciMS/xk1WBz6nVppJnzjcDjKJoltpdU/c0OkRnzqsv6rZKhjX&#10;6+Zzmy0f877yb8+vszzgrlHq+iqOHkEEPIc/M/ziMzqUzHR0MxkvBgVpGjN6UJAlCQg2ZNkdC0cF&#10;D2kEsizk/wXlD1BLAwQUAAAACACHTuJAxu6TZfEBAADAAwAADgAAAGRycy9lMm9Eb2MueG1srVNL&#10;jhMxEN0jcQfLe9KZzCQTRdMZCcKwQYA0cACn7e625B8uT7pzAbgBKzbsOVfOwbMzk+GzQYheuKur&#10;nl9Vvaq+uh6tYTsVSXtX87PJlDPlGi+162r+4f3NsyVnlISTwninar5XxK/XT59cDWGlZr73RqrI&#10;QOJoNYSa9ymFVVVR0ysraOKDcgi2PlqR8Bm7SkYxgN2aajadLqrBRxmibxQRvJtjkK8Lf9uqJr1t&#10;W1KJmZqjtlTOWM5tPqv1lVh1UYReN/dliH+owgrtkPREtRFJsLuo/6CyuomefJsmjbeVb1vdqNID&#10;ujmb/tbNbS+CKr1AHAonmej/0TZvdu8i07LmFzPOnLCY0eHL58PX74dvnxh8EGgItALuNgCZxud+&#10;xKAf/ARn7ntso81vdMQQh9T7k7xqTKyB8/J8sZgi0iB0PpvNl0X+6vFyiJReKW9ZNmoeMb0iqti9&#10;poRCAH2A5FzO32hjygSNYwOqmi8v5+AXWCT6CMMGNEauKyzkjZb5Rr5Lsdu+MJHtBBbjojy5JWT4&#10;BZbTbQT1RxztaePTcWesTiqW3L0S8qWTLO0DxHNYc56LsUpyZhT+imwVZBLa/A0SVRiHYrLwR4Gz&#10;lcbtCJpsbr3cYxh3Iequh1JlHAWONSld3K903sOfvwvp44+3/g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DXMlq32AAAAAkBAAAPAAAAAAAAAAEAIAAAACIAAABkcnMvZG93bnJldi54bWxQSwECFAAU&#10;AAAACACHTuJAxu6TZfEBAADAAwAADgAAAAAAAAABACAAAAAnAQAAZHJzL2Uyb0RvYy54bWxQSwUG&#10;AAAAAAYABgBZAQAAigUAAAAA&#10;">
                <v:fill on="f" focussize="0,0"/>
                <v:stroke weight="1.25pt" color="#444444" joinstyle="miter" dashstyle="1 1" endcap="square"/>
                <v:imagedata o:title=""/>
                <o:lock v:ext="edit" aspectratio="f"/>
                <v:textbox>
                  <w:txbxContent>
                    <w:p>
                      <w:pPr>
                        <w:jc w:val="center"/>
                        <w:rPr>
                          <w:rFonts w:hint="eastAsia" w:eastAsia="宋体"/>
                          <w:lang w:eastAsia="zh-CN"/>
                        </w:rPr>
                      </w:pPr>
                      <w:r>
                        <w:rPr>
                          <w:rFonts w:hint="eastAsia"/>
                          <w:lang w:eastAsia="zh-CN"/>
                        </w:rPr>
                        <w:t>乙酸丁酯</w:t>
                      </w:r>
                    </w:p>
                  </w:txbxContent>
                </v:textbox>
              </v:shape>
            </w:pict>
          </mc:Fallback>
        </mc:AlternateContent>
      </w:r>
      <w:r>
        <w:rPr>
          <w:color w:val="auto"/>
          <w:sz w:val="24"/>
        </w:rPr>
        <mc:AlternateContent>
          <mc:Choice Requires="wps">
            <w:drawing>
              <wp:anchor distT="0" distB="0" distL="114300" distR="114300" simplePos="0" relativeHeight="251767808" behindDoc="0" locked="0" layoutInCell="1" allowOverlap="1">
                <wp:simplePos x="0" y="0"/>
                <wp:positionH relativeFrom="column">
                  <wp:posOffset>4216400</wp:posOffset>
                </wp:positionH>
                <wp:positionV relativeFrom="paragraph">
                  <wp:posOffset>269875</wp:posOffset>
                </wp:positionV>
                <wp:extent cx="499110" cy="322580"/>
                <wp:effectExtent l="0" t="0" r="0" b="0"/>
                <wp:wrapNone/>
                <wp:docPr id="52" name="文本框 52"/>
                <wp:cNvGraphicFramePr/>
                <a:graphic xmlns:a="http://schemas.openxmlformats.org/drawingml/2006/main">
                  <a:graphicData uri="http://schemas.microsoft.com/office/word/2010/wordprocessingShape">
                    <wps:wsp>
                      <wps:cNvSpPr txBox="1"/>
                      <wps:spPr>
                        <a:xfrm>
                          <a:off x="0" y="0"/>
                          <a:ext cx="499110" cy="322580"/>
                        </a:xfrm>
                        <a:prstGeom prst="rect">
                          <a:avLst/>
                        </a:prstGeom>
                        <a:noFill/>
                        <a:ln w="15875">
                          <a:noFill/>
                        </a:ln>
                      </wps:spPr>
                      <wps:txbx>
                        <w:txbxContent>
                          <w:p>
                            <w:pPr>
                              <w:jc w:val="left"/>
                              <w:rPr>
                                <w:rFonts w:hint="eastAsia" w:eastAsia="宋体"/>
                                <w:lang w:val="en-US" w:eastAsia="zh-CN"/>
                              </w:rPr>
                            </w:pPr>
                            <w:r>
                              <w:rPr>
                                <w:rFonts w:hint="eastAsia"/>
                                <w:lang w:val="en-US" w:eastAsia="zh-CN"/>
                              </w:rPr>
                              <w:t>G1</w:t>
                            </w:r>
                          </w:p>
                        </w:txbxContent>
                      </wps:txbx>
                      <wps:bodyPr upright="1"/>
                    </wps:wsp>
                  </a:graphicData>
                </a:graphic>
              </wp:anchor>
            </w:drawing>
          </mc:Choice>
          <mc:Fallback>
            <w:pict>
              <v:shape id="_x0000_s1026" o:spid="_x0000_s1026" o:spt="202" type="#_x0000_t202" style="position:absolute;left:0pt;margin-left:332pt;margin-top:21.25pt;height:25.4pt;width:39.3pt;z-index:251767808;mso-width-relative:page;mso-height-relative:page;" filled="f" stroked="f" coordsize="21600,21600" o:gfxdata="UEsDBAoAAAAAAIdO4kAAAAAAAAAAAAAAAAAEAAAAZHJzL1BLAwQUAAAACACHTuJAEqdKONwAAAAJ&#10;AQAADwAAAGRycy9kb3ducmV2LnhtbE2PQU+DQBSE7yb+h80z8WLsbiliRR492PRgrDFWox638AQi&#10;+5awC7T+eteTHiczmfkmWx1MK0bqXWMZYT5TIIgLWzZcIby+bC6XIJzXXOrWMiEcycEqPz3JdFra&#10;iZ9p3PlKhBJ2qUaove9SKV1Rk9FuZjvi4H3a3mgfZF/JstdTKDetjJRKpNENh4Vad3RXU/G1GwzC&#10;+Kjit23xfhwuNuuP++XT2j1M34jnZ3N1C8LTwf+F4Rc/oEMemPZ24NKJFiFJ4vDFI8TRFYgQuI6j&#10;BMQe4WaxAJln8v+D/AdQSwMEFAAAAAgAh07iQCahEIKXAQAACwMAAA4AAABkcnMvZTJvRG9jLnht&#10;bK1SS07DMBDdI3EHy3uaNlAoUVMkhMoGARJwANexG0u2x7LdJr0A3IAVG/acq+dg4n5AsENsxvZ8&#10;3sx74/FFazRZCh8U2JIOen1KhOVQKTsv6dPj9GhESYjMVkyDFSVdiUAvJocH48YVIocadCU8QRAb&#10;isaVtI7RFVkWeC0MCz1wwmJQgjcs4tPPs8qzBtGNzvJ+/zRrwFfOAxchoPdqE6SThC+l4PFOyiAi&#10;0SXF2WKyPtlZZ7PJmBVzz1yt+HYM9ocpDFMWm+6hrlhkZOHVLyijuIcAMvY4mAykVFwkDshm0P/B&#10;5qFmTiQuKE5we5nC/8Hy2+W9J6oq6TCnxDKDO1q/vqzfPtbvzwR9KFDjQoF5Dw4zY3sJLS565w/o&#10;7Hi30pvuREYE4yj1ai+vaCPh6Dw5Px8MMMIxdJznw1GSP/sqdj7EawGGdJeSetxeEpUtb0LEQTB1&#10;l9L1sjBVWqcNaksanGo4Ohumin0IS7TFyo7DZtbuFttZuyU2g2qFvBbOq3mNTROzlI6Kp5bb39Gt&#10;9Ps7gX794ckn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DAQAAFtDb250ZW50X1R5cGVzXS54bWxQSwECFAAKAAAAAACHTuJAAAAAAAAAAAAAAAAA&#10;BgAAAAAAAAAAABAAAADuAgAAX3JlbHMvUEsBAhQAFAAAAAgAh07iQIoUZjzRAAAAlAEAAAsAAAAA&#10;AAAAAQAgAAAAEgMAAF9yZWxzLy5yZWxzUEsBAhQACgAAAAAAh07iQAAAAAAAAAAAAAAAAAQAAAAA&#10;AAAAAAAQAAAAAAAAAGRycy9QSwECFAAUAAAACACHTuJAEqdKONwAAAAJAQAADwAAAAAAAAABACAA&#10;AAAiAAAAZHJzL2Rvd25yZXYueG1sUEsBAhQAFAAAAAgAh07iQCahEIKXAQAACwMAAA4AAAAAAAAA&#10;AQAgAAAAKwEAAGRycy9lMm9Eb2MueG1sUEsFBgAAAAAGAAYAWQEAADQFAAAAAA==&#10;">
                <v:fill on="f" focussize="0,0"/>
                <v:stroke on="f" weight="1.25pt"/>
                <v:imagedata o:title=""/>
                <o:lock v:ext="edit" aspectratio="f"/>
                <v:textbox>
                  <w:txbxContent>
                    <w:p>
                      <w:pPr>
                        <w:jc w:val="left"/>
                        <w:rPr>
                          <w:rFonts w:hint="eastAsia" w:eastAsia="宋体"/>
                          <w:lang w:val="en-US" w:eastAsia="zh-CN"/>
                        </w:rPr>
                      </w:pPr>
                      <w:r>
                        <w:rPr>
                          <w:rFonts w:hint="eastAsia"/>
                          <w:lang w:val="en-US" w:eastAsia="zh-CN"/>
                        </w:rPr>
                        <w:t>G1</w:t>
                      </w:r>
                    </w:p>
                  </w:txbxContent>
                </v:textbox>
              </v:shape>
            </w:pict>
          </mc:Fallback>
        </mc:AlternateContent>
      </w:r>
      <w:r>
        <w:rPr>
          <w:color w:val="auto"/>
          <w:sz w:val="24"/>
        </w:rPr>
        <mc:AlternateContent>
          <mc:Choice Requires="wps">
            <w:drawing>
              <wp:anchor distT="0" distB="0" distL="114300" distR="114300" simplePos="0" relativeHeight="251751424" behindDoc="0" locked="0" layoutInCell="1" allowOverlap="1">
                <wp:simplePos x="0" y="0"/>
                <wp:positionH relativeFrom="column">
                  <wp:posOffset>3093720</wp:posOffset>
                </wp:positionH>
                <wp:positionV relativeFrom="paragraph">
                  <wp:posOffset>275590</wp:posOffset>
                </wp:positionV>
                <wp:extent cx="792480" cy="322580"/>
                <wp:effectExtent l="7620" t="8255" r="19050" b="12065"/>
                <wp:wrapNone/>
                <wp:docPr id="53" name="文本框 53"/>
                <wp:cNvGraphicFramePr/>
                <a:graphic xmlns:a="http://schemas.openxmlformats.org/drawingml/2006/main">
                  <a:graphicData uri="http://schemas.microsoft.com/office/word/2010/wordprocessingShape">
                    <wps:wsp>
                      <wps:cNvSpPr txBox="1"/>
                      <wps:spPr>
                        <a:xfrm>
                          <a:off x="0" y="0"/>
                          <a:ext cx="792480" cy="322580"/>
                        </a:xfrm>
                        <a:prstGeom prst="rect">
                          <a:avLst/>
                        </a:prstGeom>
                        <a:noFill/>
                        <a:ln w="15875" cap="flat" cmpd="sng">
                          <a:solidFill>
                            <a:srgbClr val="444444"/>
                          </a:solidFill>
                          <a:prstDash val="solid"/>
                          <a:miter/>
                          <a:headEnd type="none" w="med" len="med"/>
                          <a:tailEnd type="none" w="med" len="med"/>
                        </a:ln>
                      </wps:spPr>
                      <wps:txbx>
                        <w:txbxContent>
                          <w:p>
                            <w:pPr>
                              <w:jc w:val="center"/>
                              <w:rPr>
                                <w:rFonts w:hint="eastAsia" w:eastAsia="宋体"/>
                                <w:lang w:eastAsia="zh-CN"/>
                              </w:rPr>
                            </w:pPr>
                            <w:r>
                              <w:rPr>
                                <w:rFonts w:hint="eastAsia"/>
                                <w:lang w:eastAsia="zh-CN"/>
                              </w:rPr>
                              <w:t>溶解</w:t>
                            </w:r>
                          </w:p>
                        </w:txbxContent>
                      </wps:txbx>
                      <wps:bodyPr upright="1"/>
                    </wps:wsp>
                  </a:graphicData>
                </a:graphic>
              </wp:anchor>
            </w:drawing>
          </mc:Choice>
          <mc:Fallback>
            <w:pict>
              <v:shape id="_x0000_s1026" o:spid="_x0000_s1026" o:spt="202" type="#_x0000_t202" style="position:absolute;left:0pt;margin-left:243.6pt;margin-top:21.7pt;height:25.4pt;width:62.4pt;z-index:251751424;mso-width-relative:page;mso-height-relative:page;" filled="f" stroked="t" coordsize="21600,21600" o:gfxdata="UEsDBAoAAAAAAIdO4kAAAAAAAAAAAAAAAAAEAAAAZHJzL1BLAwQUAAAACACHTuJAN3b3edoAAAAJ&#10;AQAADwAAAGRycy9kb3ducmV2LnhtbE2PwUrDQBCG74LvsIzgRewmaWhqzKag4KWCYFNKjtvsmASz&#10;syG7aevbO57sbYb5+Of7i83FDuKEk+8dKYgXEQikxpmeWgX76u1xDcIHTUYPjlDBD3rYlLc3hc6N&#10;O9MnnnahFRxCPtcKuhDGXErfdGi1X7gRiW9fbrI68Dq10kz6zOF2kEkUraTVPfGHTo/42mHzvZut&#10;gnmfvLxLzJYPh7o6fGTztq7qrVL3d3H0DCLgJfzD8KfP6lCy09HNZLwYFKTrLGGUh2UKgoFVnHC5&#10;o4KnNAFZFvK6QfkLUEsDBBQAAAAIAIdO4kD0LFj57AEAAMEDAAAOAAAAZHJzL2Uyb0RvYy54bWyt&#10;U81uEzEQviPxDpbvZNO0oWGVTSUI5YIAqfAAE9u7a8l/8rjZzQvAG3Diwp3nynN07KRpCxeE2IN3&#10;PPP588w34+XVaA3bqojau4afTaacKSe81K5r+JfP1y8WnGECJ8F4pxq+U8ivVs+fLYdQq5nvvZEq&#10;MiJxWA+h4X1Koa4qFL2ygBMflKNg66OFRNvYVTLCQOzWVLPp9GU1+ChD9EIhknd9CPJV4W9bJdLH&#10;tkWVmGk45ZbKGsu6yWu1WkLdRQi9Fsc04B+ysKAdXXqiWkMCdhv1H1RWi+jRt2kivK1822qhSg1U&#10;zdn0t2puegiq1ELiYDjJhP+PVnzYfopMy4bPzzlzYKlH++/f9j9+7X9+ZeQjgYaANeFuAiHT+NqP&#10;1Oh7P5Iz1z220eY/VcQoTlLvTvKqMTFBzstXs4sFRQSFzmezOdnEXj0cDhHTO+Uty0bDI3WviArb&#10;95gO0HtIvsv5a21M6aBxbKCs5ovLOfEDDVJrIJFpA5WGris86I2W+Uw+jbHbvDGRbYFG46J8x3Se&#10;wPKFa8D+gCuhDIPa6qRisXoF8q2TLO0CqedoznnOxirJmVH0LLJVkAm0+RskaWIcSZOVPyicrTRu&#10;RqLJ5sbLHXXjNkTd9SRV6UeB05wUTY8znQfx8b6QPry81R1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A3dvd52gAAAAkBAAAPAAAAAAAAAAEAIAAAACIAAABkcnMvZG93bnJldi54bWxQSwECFAAUAAAA&#10;CACHTuJA9CxY+ewBAADBAwAADgAAAAAAAAABACAAAAApAQAAZHJzL2Uyb0RvYy54bWxQSwUGAAAA&#10;AAYABgBZAQAAhwUAAAAA&#10;">
                <v:fill on="f" focussize="0,0"/>
                <v:stroke weight="1.25pt" color="#444444" joinstyle="miter"/>
                <v:imagedata o:title=""/>
                <o:lock v:ext="edit" aspectratio="f"/>
                <v:textbox>
                  <w:txbxContent>
                    <w:p>
                      <w:pPr>
                        <w:jc w:val="center"/>
                        <w:rPr>
                          <w:rFonts w:hint="eastAsia" w:eastAsia="宋体"/>
                          <w:lang w:eastAsia="zh-CN"/>
                        </w:rPr>
                      </w:pPr>
                      <w:r>
                        <w:rPr>
                          <w:rFonts w:hint="eastAsia"/>
                          <w:lang w:eastAsia="zh-CN"/>
                        </w:rPr>
                        <w:t>溶解</w:t>
                      </w:r>
                    </w:p>
                  </w:txbxContent>
                </v:textbox>
              </v:shape>
            </w:pict>
          </mc:Fallback>
        </mc:AlternateContent>
      </w:r>
    </w:p>
    <w:p>
      <w:pPr>
        <w:spacing w:line="360" w:lineRule="auto"/>
        <w:ind w:firstLine="480" w:firstLineChars="200"/>
        <w:jc w:val="center"/>
        <w:rPr>
          <w:rFonts w:hint="eastAsia"/>
          <w:color w:val="auto"/>
          <w:sz w:val="24"/>
        </w:rPr>
      </w:pPr>
      <w:r>
        <w:rPr>
          <w:color w:val="auto"/>
          <w:sz w:val="24"/>
        </w:rPr>
        <mc:AlternateContent>
          <mc:Choice Requires="wps">
            <w:drawing>
              <wp:anchor distT="0" distB="0" distL="114300" distR="114300" simplePos="0" relativeHeight="251753472" behindDoc="0" locked="0" layoutInCell="1" allowOverlap="1">
                <wp:simplePos x="0" y="0"/>
                <wp:positionH relativeFrom="column">
                  <wp:posOffset>2842895</wp:posOffset>
                </wp:positionH>
                <wp:positionV relativeFrom="paragraph">
                  <wp:posOffset>134620</wp:posOffset>
                </wp:positionV>
                <wp:extent cx="258445" cy="635"/>
                <wp:effectExtent l="0" t="37465" r="8255" b="38100"/>
                <wp:wrapNone/>
                <wp:docPr id="61" name="直接连接符 61"/>
                <wp:cNvGraphicFramePr/>
                <a:graphic xmlns:a="http://schemas.openxmlformats.org/drawingml/2006/main">
                  <a:graphicData uri="http://schemas.microsoft.com/office/word/2010/wordprocessingShape">
                    <wps:wsp>
                      <wps:cNvCnPr/>
                      <wps:spPr>
                        <a:xfrm>
                          <a:off x="0" y="0"/>
                          <a:ext cx="258445" cy="635"/>
                        </a:xfrm>
                        <a:prstGeom prst="line">
                          <a:avLst/>
                        </a:prstGeom>
                        <a:ln w="15875" cap="flat" cmpd="sng">
                          <a:solidFill>
                            <a:srgbClr val="444444"/>
                          </a:solidFill>
                          <a:prstDash val="solid"/>
                          <a:headEnd type="none" w="med" len="med"/>
                          <a:tailEnd type="triangle" w="med" len="med"/>
                        </a:ln>
                      </wps:spPr>
                      <wps:bodyPr upright="1"/>
                    </wps:wsp>
                  </a:graphicData>
                </a:graphic>
              </wp:anchor>
            </w:drawing>
          </mc:Choice>
          <mc:Fallback>
            <w:pict>
              <v:line id="_x0000_s1026" o:spid="_x0000_s1026" o:spt="20" style="position:absolute;left:0pt;margin-left:223.85pt;margin-top:10.6pt;height:0.05pt;width:20.35pt;z-index:251753472;mso-width-relative:page;mso-height-relative:page;" filled="f" stroked="t" coordsize="21600,21600" o:gfxdata="UEsDBAoAAAAAAIdO4kAAAAAAAAAAAAAAAAAEAAAAZHJzL1BLAwQUAAAACACHTuJAfJzq29kAAAAJ&#10;AQAADwAAAGRycy9kb3ducmV2LnhtbE2Py07DMBBF90j8gzVIbBB1EiwapXG6ALFAqipaUNduPE0i&#10;7LGJnT7+HncFy5k5uvdMvTxbw444hsGRhHyWAUNqnR6ok/D1+fZYAgtRkVbGEUq4YIBlc3tTq0q7&#10;E23wuI0dSyEUKiWhj9FXnIe2R6vCzHmkdDu40aqYxrHjelSnFG4NL7LsmVs1UGrolceXHtvv7WRT&#10;rzFmLfzHa6Eu6/fDyk8/u9WDlPd3ebYAFvEc/2C46id1aJLT3k2kAzMShJjPEyqhyAtgCRBlKYDt&#10;r4sn4E3N/3/Q/AJQSwMEFAAAAAgAh07iQNAx5NPiAQAAngMAAA4AAABkcnMvZTJvRG9jLnhtbK1T&#10;S44TMRDdI3EHy3vSSUhC1EpnFhOGDYKRgANUbHe3Jf9U9qSTS3ABJHawYsme2zAcg7ITEj5ig+hF&#10;ddn1/FzvdfXqam8N2ymM2ruGT0ZjzpQTXmrXNfzN65tHS85iAifBeKcaflCRX60fPlgNoVZT33sj&#10;FTIicbEeQsP7lEJdVVH0ykIc+aAcFVuPFhItsaskwkDs1lTT8XhRDR5lQC9UjLS7ORb5uvC3rRLp&#10;ZdtGlZhpOPWWSsQStzlW6xXUHULotTi1Af/QhQXt6NIz1QYSsDvUf1BZLdBH36aR8LbybauFKhpI&#10;zWT8m5pXPQRVtJA5MZxtiv+PVrzY3SLTsuGLCWcOLH2j+3efv7798O3Le4r3nz4yqpBNQ4g1oa/d&#10;LZ5WMdxi1rxv0eY3qWH7Yu3hbK3aJyZoczpfzmZzzgSVFo/nmbC6nAwY0zPlLctJw412WTbUsHse&#10;0xH6A5K3jWMDDdt8+SQzAo1NayBRagMJia4rh6M3Wt5oY/KRiN322iDbAQ3CrDynHn6B5Vs2EPsj&#10;rpQyDOpegXzqJEuHQA45mmWee7BKcmYUjX7OCjKBNhdkQg2uM39BkwXGkRPZ26ObOdt6eaCPchdQ&#10;dz3ZUewvGBqC4ttpYPOU/bwuTJffav0d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fJzq29kAAAAJ&#10;AQAADwAAAAAAAAABACAAAAAiAAAAZHJzL2Rvd25yZXYueG1sUEsBAhQAFAAAAAgAh07iQNAx5NPi&#10;AQAAngMAAA4AAAAAAAAAAQAgAAAAKAEAAGRycy9lMm9Eb2MueG1sUEsFBgAAAAAGAAYAWQEAAHwF&#10;AAAAAA==&#10;">
                <v:fill on="f" focussize="0,0"/>
                <v:stroke weight="1.25pt" color="#444444" joinstyle="round" endarrow="block"/>
                <v:imagedata o:title=""/>
                <o:lock v:ext="edit" aspectratio="f"/>
              </v:line>
            </w:pict>
          </mc:Fallback>
        </mc:AlternateContent>
      </w:r>
      <w:r>
        <w:rPr>
          <w:color w:val="auto"/>
          <w:sz w:val="24"/>
        </w:rPr>
        <mc:AlternateContent>
          <mc:Choice Requires="wps">
            <w:drawing>
              <wp:anchor distT="0" distB="0" distL="114300" distR="114300" simplePos="0" relativeHeight="251765760" behindDoc="0" locked="0" layoutInCell="1" allowOverlap="1">
                <wp:simplePos x="0" y="0"/>
                <wp:positionH relativeFrom="column">
                  <wp:posOffset>3902075</wp:posOffset>
                </wp:positionH>
                <wp:positionV relativeFrom="paragraph">
                  <wp:posOffset>130175</wp:posOffset>
                </wp:positionV>
                <wp:extent cx="357505" cy="635"/>
                <wp:effectExtent l="0" t="37465" r="4445" b="38100"/>
                <wp:wrapNone/>
                <wp:docPr id="46" name="直接连接符 46"/>
                <wp:cNvGraphicFramePr/>
                <a:graphic xmlns:a="http://schemas.openxmlformats.org/drawingml/2006/main">
                  <a:graphicData uri="http://schemas.microsoft.com/office/word/2010/wordprocessingShape">
                    <wps:wsp>
                      <wps:cNvCnPr/>
                      <wps:spPr>
                        <a:xfrm>
                          <a:off x="0" y="0"/>
                          <a:ext cx="357505" cy="635"/>
                        </a:xfrm>
                        <a:prstGeom prst="line">
                          <a:avLst/>
                        </a:prstGeom>
                        <a:ln w="9525" cap="flat" cmpd="sng">
                          <a:solidFill>
                            <a:srgbClr val="444444"/>
                          </a:solidFill>
                          <a:prstDash val="dash"/>
                          <a:headEnd type="none" w="med" len="med"/>
                          <a:tailEnd type="stealth" w="med" len="med"/>
                        </a:ln>
                      </wps:spPr>
                      <wps:bodyPr upright="1"/>
                    </wps:wsp>
                  </a:graphicData>
                </a:graphic>
              </wp:anchor>
            </w:drawing>
          </mc:Choice>
          <mc:Fallback>
            <w:pict>
              <v:line id="_x0000_s1026" o:spid="_x0000_s1026" o:spt="20" style="position:absolute;left:0pt;margin-left:307.25pt;margin-top:10.25pt;height:0.05pt;width:28.15pt;z-index:251765760;mso-width-relative:page;mso-height-relative:page;" filled="f" stroked="t" coordsize="21600,21600" o:gfxdata="UEsDBAoAAAAAAIdO4kAAAAAAAAAAAAAAAAAEAAAAZHJzL1BLAwQUAAAACACHTuJA3CZhy9UAAAAJ&#10;AQAADwAAAGRycy9kb3ducmV2LnhtbE2PzU7DMBCE70i8g7VI3KidAqYKcSqBBCcq0Z8HcOLFCfgn&#10;it20vD2bEz2tdmc0+021PnvHJhxTH4OCYiGAYWij6YNVcNi/3a2ApayD0S4GVPCLCdb19VWlSxNP&#10;YYvTLltGISGVWkGX81ByntoOvU6LOGAg7SuOXmdaR8vNqE8U7h1fCiG5132gD50e8LXD9md39Apk&#10;kb7lZuXc1L/Yd9lsP+8/Nlap25tCPAPLeM7/ZpjxCR1qYmriMZjE3Jzx8EhWBUtBkwzySVCXZj5I&#10;4HXFLxvUf1BLAwQUAAAACACHTuJAZSDJguIBAACbAwAADgAAAGRycy9lMm9Eb2MueG1srVNLjhMx&#10;EN0jcQfLe9JJZhKglc4sJgwbBJGAA1Rsd7cl/+TypJNLcAEkdrBiyX5uw3AMyk5I+K0Qvaguu56f&#10;672uXlztrGFbFVF71/DJaMyZcsJL7bqGv31z8+gJZ5jASTDeqYbvFfKr5cMHiyHUaup7b6SKjEgc&#10;1kNoeJ9SqKsKRa8s4MgH5ajY+mgh0TJ2lYwwELs11XQ8nleDjzJELxQi7a4ORb4s/G2rRHrVtqgS&#10;Mw2n3lKJscRNjtVyAXUXIfRaHNuAf+jCgnZ06YlqBQnYbdR/UFktokffppHwtvJtq4UqGkjNZPyb&#10;mtc9BFW0kDkYTjbh/6MVL7fryLRs+OWcMweWvtH9+y9f3338dveB4v3nT4wqZNMQsCb0tVvH4wrD&#10;OmbNuzba/CY1bFes3Z+sVbvEBG1ezB7PxjPOBJXmF7NMWJ1PhojpufKW5aThRrssG2rYvsB0gP6A&#10;5G3j2NDwp7NpJgSamtZAotQG0oGuK2fRGy1vtDH5BMZuc20i2wLNwWV5ji38AsuXrAD7A05SllFQ&#10;9wrkMydZ2gfyx9Ek89yBVZIzo2jwc1aQCbQ5IzEpMKn/O5j0G0c2ZGMPVuZs4+WevshtiLrryYtJ&#10;6TNXaAKKacdpzSP287ownf+p5Xd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QBAAAW0NvbnRlbnRfVHlwZXNdLnhtbFBLAQIUAAoAAAAAAIdO4kAA&#10;AAAAAAAAAAAAAAAGAAAAAAAAAAAAEAAAADIDAABfcmVscy9QSwECFAAUAAAACACHTuJAihRmPNEA&#10;AACUAQAACwAAAAAAAAABACAAAABWAwAAX3JlbHMvLnJlbHNQSwECFAAKAAAAAACHTuJAAAAAAAAA&#10;AAAAAAAABAAAAAAAAAAAABAAAAAAAAAAZHJzL1BLAQIUABQAAAAIAIdO4kDcJmHL1QAAAAkBAAAP&#10;AAAAAAAAAAEAIAAAACIAAABkcnMvZG93bnJldi54bWxQSwECFAAUAAAACACHTuJAZSDJguIBAACb&#10;AwAADgAAAAAAAAABACAAAAAkAQAAZHJzL2Uyb0RvYy54bWxQSwUGAAAAAAYABgBZAQAAeAUAAAAA&#10;">
                <v:fill on="f" focussize="0,0"/>
                <v:stroke color="#444444" joinstyle="round" dashstyle="dash" endarrow="classic"/>
                <v:imagedata o:title=""/>
                <o:lock v:ext="edit" aspectratio="f"/>
              </v:line>
            </w:pict>
          </mc:Fallback>
        </mc:AlternateContent>
      </w:r>
      <w:r>
        <w:rPr>
          <w:color w:val="auto"/>
          <w:sz w:val="24"/>
        </w:rPr>
        <mc:AlternateContent>
          <mc:Choice Requires="wps">
            <w:drawing>
              <wp:anchor distT="0" distB="0" distL="114300" distR="114300" simplePos="0" relativeHeight="251766784" behindDoc="0" locked="0" layoutInCell="1" allowOverlap="1">
                <wp:simplePos x="0" y="0"/>
                <wp:positionH relativeFrom="column">
                  <wp:posOffset>3486150</wp:posOffset>
                </wp:positionH>
                <wp:positionV relativeFrom="paragraph">
                  <wp:posOffset>296545</wp:posOffset>
                </wp:positionV>
                <wp:extent cx="635" cy="453390"/>
                <wp:effectExtent l="7620" t="0" r="10795" b="3810"/>
                <wp:wrapNone/>
                <wp:docPr id="63" name="直接连接符 63"/>
                <wp:cNvGraphicFramePr/>
                <a:graphic xmlns:a="http://schemas.openxmlformats.org/drawingml/2006/main">
                  <a:graphicData uri="http://schemas.microsoft.com/office/word/2010/wordprocessingShape">
                    <wps:wsp>
                      <wps:cNvCnPr/>
                      <wps:spPr>
                        <a:xfrm>
                          <a:off x="0" y="0"/>
                          <a:ext cx="635" cy="453390"/>
                        </a:xfrm>
                        <a:prstGeom prst="line">
                          <a:avLst/>
                        </a:prstGeom>
                        <a:ln w="15875" cap="flat" cmpd="sng">
                          <a:solidFill>
                            <a:srgbClr val="444444"/>
                          </a:solidFill>
                          <a:prstDash val="solid"/>
                          <a:headEnd type="none" w="med" len="med"/>
                          <a:tailEnd type="none" w="med" len="med"/>
                        </a:ln>
                      </wps:spPr>
                      <wps:bodyPr upright="1"/>
                    </wps:wsp>
                  </a:graphicData>
                </a:graphic>
              </wp:anchor>
            </w:drawing>
          </mc:Choice>
          <mc:Fallback>
            <w:pict>
              <v:line id="_x0000_s1026" o:spid="_x0000_s1026" o:spt="20" style="position:absolute;left:0pt;margin-left:274.5pt;margin-top:23.35pt;height:35.7pt;width:0.05pt;z-index:251766784;mso-width-relative:page;mso-height-relative:page;" filled="f" stroked="t" coordsize="21600,21600" o:gfxdata="UEsDBAoAAAAAAIdO4kAAAAAAAAAAAAAAAAAEAAAAZHJzL1BLAwQUAAAACACHTuJAQhyyjdkAAAAK&#10;AQAADwAAAGRycy9kb3ducmV2LnhtbE2PwU7DMAyG70i8Q2QkbiwNjLF1TScxqUKCA9pA2jVrsqaQ&#10;OCXJuvH2mBMcbX/6/f3V6uwdG01MfUAJYlIAM9gG3WMn4f2tuZkDS1mhVi6gkfBtEqzqy4tKlTqc&#10;cGPGbe4YhWAqlQSb81BynlprvEqTMBik2yFErzKNseM6qhOFe8dvi2LGveqRPlg1mLU17ef26CU8&#10;3R3cphnx2b7E9dh8Pe66j9edlNdXolgCy+ac/2D41Sd1qMlpH46oE3MS7qcL6pIlTGcPwAighQC2&#10;J1LMBfC64v8r1D9QSwMEFAAAAAgAh07iQCebuRvhAQAAmgMAAA4AAABkcnMvZTJvRG9jLnhtbK1T&#10;S44TMRDdI3EHy3vSyWQSZlrpzGLCsEEQCeYAFdvdbck/uTzp5BJcAIkdrFiy5zYMx6DshAyfDUL0&#10;wm1XlV/Ve/16cbWzhm1VRO1dwyejMWfKCS+16xp+++bmyQVnmMBJMN6phu8V8qvl40eLIdTqzPfe&#10;SBUZgTish9DwPqVQVxWKXlnAkQ/KUbL10UKiY+wqGWEgdGuqs/F4Xg0+yhC9UIgUXR2SfFnw21aJ&#10;9KptUSVmGk6zpbLGsm7yWi0XUHcRQq/FcQz4hyksaEdNT1ArSMDuov4DymoRPfo2jYS3lW9bLVTh&#10;QGwm49/YvO4hqMKFxMFwkgn/H6x4uV1HpmXD51POHFj6RvfvPn99++Hbl/e03n/6yChDMg0Ba6q+&#10;dut4PGFYx8x510ab38SG7Yq0+5O0apeYoOB8OuNMUPx8Np1eFt2rh5shYnquvGV503CjXaYNNWxf&#10;YKJuVPqjJIeNYwOZbXbxNIMC2aY1kGhrAxFB15XL6I2WN9qYfAVjt7k2kW2BjHBenkyKgH8py11W&#10;gP2hrqQOFukVyGdOsrQPpJAjL/M8g1WSM6PI+nlHgFAn0OZvKqm1cTRB1vWgZN5tvNzTB7kLUXc9&#10;STEpU+YMGaDMezRrdtjP54L08EstvwN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BCHLKN2QAAAAoB&#10;AAAPAAAAAAAAAAEAIAAAACIAAABkcnMvZG93bnJldi54bWxQSwECFAAUAAAACACHTuJAJ5u5G+EB&#10;AACaAwAADgAAAAAAAAABACAAAAAoAQAAZHJzL2Uyb0RvYy54bWxQSwUGAAAAAAYABgBZAQAAewUA&#10;AAAA&#10;">
                <v:fill on="f" focussize="0,0"/>
                <v:stroke weight="1.25pt" color="#444444" joinstyle="round"/>
                <v:imagedata o:title=""/>
                <o:lock v:ext="edit" aspectratio="f"/>
              </v:line>
            </w:pict>
          </mc:Fallback>
        </mc:AlternateContent>
      </w:r>
      <w:r>
        <w:rPr>
          <w:color w:val="auto"/>
          <w:sz w:val="24"/>
        </w:rPr>
        <mc:AlternateContent>
          <mc:Choice Requires="wps">
            <w:drawing>
              <wp:anchor distT="0" distB="0" distL="114300" distR="114300" simplePos="0" relativeHeight="251758592" behindDoc="0" locked="0" layoutInCell="1" allowOverlap="1">
                <wp:simplePos x="0" y="0"/>
                <wp:positionH relativeFrom="column">
                  <wp:posOffset>902335</wp:posOffset>
                </wp:positionH>
                <wp:positionV relativeFrom="paragraph">
                  <wp:posOffset>13970</wp:posOffset>
                </wp:positionV>
                <wp:extent cx="838200" cy="322580"/>
                <wp:effectExtent l="7620" t="7620" r="11430" b="12700"/>
                <wp:wrapNone/>
                <wp:docPr id="57" name="文本框 57"/>
                <wp:cNvGraphicFramePr/>
                <a:graphic xmlns:a="http://schemas.openxmlformats.org/drawingml/2006/main">
                  <a:graphicData uri="http://schemas.microsoft.com/office/word/2010/wordprocessingShape">
                    <wps:wsp>
                      <wps:cNvSpPr txBox="1"/>
                      <wps:spPr>
                        <a:xfrm>
                          <a:off x="0" y="0"/>
                          <a:ext cx="838200" cy="322580"/>
                        </a:xfrm>
                        <a:prstGeom prst="rect">
                          <a:avLst/>
                        </a:prstGeom>
                        <a:noFill/>
                        <a:ln w="15875" cap="flat" cmpd="sng">
                          <a:solidFill>
                            <a:srgbClr val="444444"/>
                          </a:solidFill>
                          <a:prstDash val="solid"/>
                          <a:miter/>
                          <a:headEnd type="none" w="med" len="med"/>
                          <a:tailEnd type="none" w="med" len="med"/>
                        </a:ln>
                      </wps:spPr>
                      <wps:txbx>
                        <w:txbxContent>
                          <w:p>
                            <w:pPr>
                              <w:jc w:val="center"/>
                              <w:rPr>
                                <w:rFonts w:hint="eastAsia" w:eastAsia="宋体"/>
                                <w:lang w:eastAsia="zh-CN"/>
                              </w:rPr>
                            </w:pPr>
                            <w:r>
                              <w:rPr>
                                <w:rFonts w:hint="eastAsia"/>
                                <w:lang w:eastAsia="zh-CN"/>
                              </w:rPr>
                              <w:t>底涂</w:t>
                            </w:r>
                          </w:p>
                        </w:txbxContent>
                      </wps:txbx>
                      <wps:bodyPr upright="1"/>
                    </wps:wsp>
                  </a:graphicData>
                </a:graphic>
              </wp:anchor>
            </w:drawing>
          </mc:Choice>
          <mc:Fallback>
            <w:pict>
              <v:shape id="_x0000_s1026" o:spid="_x0000_s1026" o:spt="202" type="#_x0000_t202" style="position:absolute;left:0pt;margin-left:71.05pt;margin-top:1.1pt;height:25.4pt;width:66pt;z-index:251758592;mso-width-relative:page;mso-height-relative:page;" filled="f" stroked="t" coordsize="21600,21600" o:gfxdata="UEsDBAoAAAAAAIdO4kAAAAAAAAAAAAAAAAAEAAAAZHJzL1BLAwQUAAAACACHTuJARPLm1NcAAAAI&#10;AQAADwAAAGRycy9kb3ducmV2LnhtbE2PQUvDQBCF74L/YRnBi9hNttVIzKag4KWC0KaUHLfZMQlm&#10;Z0N209Z/73jS48d7vPmmWF/cIE44hd6ThnSRgEBqvO2p1bCv3u6fQIRoyJrBE2r4xgDr8vqqMLn1&#10;Z9riaRdbwSMUcqOhi3HMpQxNh86EhR+ROPv0kzORcWqlncyZx90gVZI8Smd64gudGfG1w+ZrNzsN&#10;8169vEvMlneHujp8ZPOmruqN1rc3afIMIuIl/pXhV5/VoWSno5/JBjEwr1TKVQ1KgeBcZSvmo4aH&#10;ZQKyLOT/B8ofUEsDBBQAAAAIAIdO4kDSC59K7wEAAMEDAAAOAAAAZHJzL2Uyb0RvYy54bWytU82O&#10;0zAQviPxDpbvNN0uZaOo6UpQlgsCpIUHcG0nseQ/2d4mfQF4A05cuPNcfY797O52YfeCEDk4k5nP&#10;38x8M1ldTkaTnQxROdvSs9mcEmm5E8r2Lf3y+epFTUlMzAqmnZUt3ctIL9fPn61G38iFG5wWMhCQ&#10;2NiMvqVDSr6pqsgHaVicOS8tgp0LhiV8hr4SgY1gN7pazOevqtEF4YPjMkZ4N8cgXRf+rpM8fey6&#10;KBPRLUVtqZyhnNt8VusVa/rA/KD4XRnsH6owTFkkPVFtWGLkJqgnVEbx4KLr0ow7U7muU1yWHtDN&#10;2fxRN9cD87L0AnGiP8kU/x8t/7D7FIgSLV1eUGKZwYwO378dfvw6/PxK4INAo48NcNceyDS9dhMG&#10;fe+PcOa+py6Y/EZHBHFIvT/JK6dEOJz1eY2RUcIROl8slnWRv3q47ENM76QzJBstDZheEZXt3seE&#10;QgC9h+Rc1l0prcsEtSUjqlrWF0vwMyxSp1mCaTxai7YvPNFpJfKdfDuGfvtGB7JjWI2X5clNIccf&#10;sJxww+JwxJXQcWmMSjKU5INk4q0VJO091LPYc5qrMVJQoiV+i2wVZGJK/w0SRWiLWrLyR4Wzlabt&#10;BJpsbp3YYxo3Pqh+gFRlHgWOPSlN3O10XsTfvwvpw5+3vgV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BE8ubU1wAAAAgBAAAPAAAAAAAAAAEAIAAAACIAAABkcnMvZG93bnJldi54bWxQSwECFAAUAAAA&#10;CACHTuJA0gufSu8BAADBAwAADgAAAAAAAAABACAAAAAmAQAAZHJzL2Uyb0RvYy54bWxQSwUGAAAA&#10;AAYABgBZAQAAhwUAAAAA&#10;">
                <v:fill on="f" focussize="0,0"/>
                <v:stroke weight="1.25pt" color="#444444" joinstyle="miter"/>
                <v:imagedata o:title=""/>
                <o:lock v:ext="edit" aspectratio="f"/>
                <v:textbox>
                  <w:txbxContent>
                    <w:p>
                      <w:pPr>
                        <w:jc w:val="center"/>
                        <w:rPr>
                          <w:rFonts w:hint="eastAsia" w:eastAsia="宋体"/>
                          <w:lang w:eastAsia="zh-CN"/>
                        </w:rPr>
                      </w:pPr>
                      <w:r>
                        <w:rPr>
                          <w:rFonts w:hint="eastAsia"/>
                          <w:lang w:eastAsia="zh-CN"/>
                        </w:rPr>
                        <w:t>底涂</w:t>
                      </w:r>
                    </w:p>
                  </w:txbxContent>
                </v:textbox>
              </v:shape>
            </w:pict>
          </mc:Fallback>
        </mc:AlternateContent>
      </w:r>
    </w:p>
    <w:p>
      <w:pPr>
        <w:spacing w:line="360" w:lineRule="auto"/>
        <w:ind w:firstLine="480" w:firstLineChars="200"/>
        <w:jc w:val="center"/>
        <w:rPr>
          <w:rFonts w:hint="eastAsia"/>
          <w:color w:val="auto"/>
          <w:sz w:val="24"/>
        </w:rPr>
      </w:pPr>
      <w:r>
        <w:rPr>
          <w:color w:val="auto"/>
          <w:sz w:val="24"/>
        </w:rPr>
        <mc:AlternateContent>
          <mc:Choice Requires="wps">
            <w:drawing>
              <wp:anchor distT="0" distB="0" distL="114300" distR="114300" simplePos="0" relativeHeight="251772928" behindDoc="0" locked="0" layoutInCell="1" allowOverlap="1">
                <wp:simplePos x="0" y="0"/>
                <wp:positionH relativeFrom="column">
                  <wp:posOffset>1329690</wp:posOffset>
                </wp:positionH>
                <wp:positionV relativeFrom="paragraph">
                  <wp:posOffset>42545</wp:posOffset>
                </wp:positionV>
                <wp:extent cx="635" cy="422910"/>
                <wp:effectExtent l="7620" t="0" r="10795" b="15240"/>
                <wp:wrapNone/>
                <wp:docPr id="38" name="直接连接符 38"/>
                <wp:cNvGraphicFramePr/>
                <a:graphic xmlns:a="http://schemas.openxmlformats.org/drawingml/2006/main">
                  <a:graphicData uri="http://schemas.microsoft.com/office/word/2010/wordprocessingShape">
                    <wps:wsp>
                      <wps:cNvCnPr/>
                      <wps:spPr>
                        <a:xfrm>
                          <a:off x="0" y="0"/>
                          <a:ext cx="635" cy="422910"/>
                        </a:xfrm>
                        <a:prstGeom prst="line">
                          <a:avLst/>
                        </a:prstGeom>
                        <a:ln w="15875" cap="flat" cmpd="sng">
                          <a:solidFill>
                            <a:srgbClr val="444444"/>
                          </a:solidFill>
                          <a:prstDash val="solid"/>
                          <a:headEnd type="none" w="med" len="med"/>
                          <a:tailEnd type="none" w="med" len="med"/>
                        </a:ln>
                      </wps:spPr>
                      <wps:bodyPr upright="1"/>
                    </wps:wsp>
                  </a:graphicData>
                </a:graphic>
              </wp:anchor>
            </w:drawing>
          </mc:Choice>
          <mc:Fallback>
            <w:pict>
              <v:line id="_x0000_s1026" o:spid="_x0000_s1026" o:spt="20" style="position:absolute;left:0pt;margin-left:104.7pt;margin-top:3.35pt;height:33.3pt;width:0.05pt;z-index:251772928;mso-width-relative:page;mso-height-relative:page;" filled="f" stroked="t" coordsize="21600,21600" o:gfxdata="UEsDBAoAAAAAAIdO4kAAAAAAAAAAAAAAAAAEAAAAZHJzL1BLAwQUAAAACACHTuJAIeCUZdgAAAAI&#10;AQAADwAAAGRycy9kb3ducmV2LnhtbE2PQUsDMRSE74L/ITzBm03a1VbXzRYsLIIeSqvQa7pJN6vJ&#10;y5qk2/rvfZ70OMww8021PHvHRhNTH1DCdCKAGWyD7rGT8P7W3NwDS1mhVi6gkfBtEizry4tKlTqc&#10;cGPGbe4YlWAqlQSb81BynlprvEqTMBgk7xCiV5lk7LiO6kTl3vGZEHPuVY+0YNVgVta0n9ujl/Bc&#10;HNymGfHFvsbV2Hw97bqP9U7K66upeASWzTn/heEXn9ChJqZ9OKJOzEmYiYdbikqYL4CRT/oO2F7C&#10;oiiA1xX/f6D+AVBLAwQUAAAACACHTuJAUuh1r98BAACaAwAADgAAAGRycy9lMm9Eb2MueG1srVNL&#10;jhMxEN0jcQfLe9JJ5sPQSmcWE4YNgpGAA1T86bbkn1yedHIJLoDEDlYs2XMbhmNQdkKGzwYhsnDs&#10;qvKres+vF5dbZ9lGJTTBd3w2mXKmvAjS+L7jb15fP7rgDDN4CTZ41fGdQn65fPhgMcZWzcMQrFSJ&#10;EYjHdowdH3KObdOgGJQDnISoPCV1SA4yHVPfyAQjoTvbzKfT82YMScYUhEKk6Gqf5MuKr7US+aXW&#10;qDKzHafZcl1TXddlbZYLaPsEcTDiMAb8wxQOjKemR6gVZGC3yfwB5YxIAYPOExFcE7Q2QlUOxGY2&#10;/Y3NqwGiqlxIHIxHmfD/wYoXm5vEjOz4Cb2UB0dvdPfu89e3H759eU/r3aePjDIk0xixpeorf5MO&#10;J4w3qXDe6uTKP7Fh2yrt7iit2mYmKHh+csaZoPjpfP5kVnVv7m/GhPmZCo6VTcet8YU2tLB5jpm6&#10;UemPkhK2no1ktrOLxwUUyDbaQqati0QEfV8vY7BGXhtryxVM/frKJrYBMsJp/RVSBPxLWemyAhz2&#10;dTW1t8igQD71kuVdJIU8eZmXGZySnFlF1i87AoQ2g7F/U0mtracJiq57JctuHeSOHuQ2JtMPJMWs&#10;TlkyZIA678GsxWE/nyvS/Se1/A5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QBAAAW0NvbnRlbnRfVHlwZXNdLnhtbFBLAQIUAAoAAAAAAIdO4kAA&#10;AAAAAAAAAAAAAAAGAAAAAAAAAAAAEAAAADIDAABfcmVscy9QSwECFAAUAAAACACHTuJAihRmPNEA&#10;AACUAQAACwAAAAAAAAABACAAAABWAwAAX3JlbHMvLnJlbHNQSwECFAAKAAAAAACHTuJAAAAAAAAA&#10;AAAAAAAABAAAAAAAAAAAABAAAAAAAAAAZHJzL1BLAQIUABQAAAAIAIdO4kAh4JRl2AAAAAgBAAAP&#10;AAAAAAAAAAEAIAAAACIAAABkcnMvZG93bnJldi54bWxQSwECFAAUAAAACACHTuJAUuh1r98BAACa&#10;AwAADgAAAAAAAAABACAAAAAnAQAAZHJzL2Uyb0RvYy54bWxQSwUGAAAAAAYABgBZAQAAeAUAAAAA&#10;">
                <v:fill on="f" focussize="0,0"/>
                <v:stroke weight="1.25pt" color="#444444" joinstyle="round"/>
                <v:imagedata o:title=""/>
                <o:lock v:ext="edit" aspectratio="f"/>
              </v:line>
            </w:pict>
          </mc:Fallback>
        </mc:AlternateContent>
      </w:r>
    </w:p>
    <w:p>
      <w:pPr>
        <w:spacing w:line="360" w:lineRule="auto"/>
        <w:ind w:firstLine="480" w:firstLineChars="200"/>
        <w:jc w:val="center"/>
        <w:rPr>
          <w:rFonts w:hint="eastAsia"/>
          <w:color w:val="auto"/>
          <w:sz w:val="24"/>
        </w:rPr>
      </w:pPr>
      <w:r>
        <w:rPr>
          <w:color w:val="auto"/>
          <w:sz w:val="24"/>
        </w:rPr>
        <mc:AlternateContent>
          <mc:Choice Requires="wps">
            <w:drawing>
              <wp:anchor distT="0" distB="0" distL="114300" distR="114300" simplePos="0" relativeHeight="251755520" behindDoc="0" locked="0" layoutInCell="1" allowOverlap="1">
                <wp:simplePos x="0" y="0"/>
                <wp:positionH relativeFrom="column">
                  <wp:posOffset>1329690</wp:posOffset>
                </wp:positionH>
                <wp:positionV relativeFrom="paragraph">
                  <wp:posOffset>163195</wp:posOffset>
                </wp:positionV>
                <wp:extent cx="2157095" cy="635"/>
                <wp:effectExtent l="0" t="0" r="0" b="0"/>
                <wp:wrapNone/>
                <wp:docPr id="45" name="直接连接符 45"/>
                <wp:cNvGraphicFramePr/>
                <a:graphic xmlns:a="http://schemas.openxmlformats.org/drawingml/2006/main">
                  <a:graphicData uri="http://schemas.microsoft.com/office/word/2010/wordprocessingShape">
                    <wps:wsp>
                      <wps:cNvCnPr/>
                      <wps:spPr>
                        <a:xfrm>
                          <a:off x="0" y="0"/>
                          <a:ext cx="2157095" cy="635"/>
                        </a:xfrm>
                        <a:prstGeom prst="line">
                          <a:avLst/>
                        </a:prstGeom>
                        <a:ln w="15875" cap="flat" cmpd="sng">
                          <a:solidFill>
                            <a:srgbClr val="444444"/>
                          </a:solidFill>
                          <a:prstDash val="solid"/>
                          <a:headEnd type="none" w="med" len="med"/>
                          <a:tailEnd type="none" w="med" len="med"/>
                        </a:ln>
                      </wps:spPr>
                      <wps:bodyPr upright="1"/>
                    </wps:wsp>
                  </a:graphicData>
                </a:graphic>
              </wp:anchor>
            </w:drawing>
          </mc:Choice>
          <mc:Fallback>
            <w:pict>
              <v:line id="_x0000_s1026" o:spid="_x0000_s1026" o:spt="20" style="position:absolute;left:0pt;margin-left:104.7pt;margin-top:12.85pt;height:0.05pt;width:169.85pt;z-index:251755520;mso-width-relative:page;mso-height-relative:page;" filled="f" stroked="t" coordsize="21600,21600" o:gfxdata="UEsDBAoAAAAAAIdO4kAAAAAAAAAAAAAAAAAEAAAAZHJzL1BLAwQUAAAACACHTuJAwh1dANkAAAAJ&#10;AQAADwAAAGRycy9kb3ducmV2LnhtbE2PTU8CMRCG7yb+h2ZMvEm7CArLdkkk2ZjogYAkXMu2bFfb&#10;6botC/57h5Pe5uPJO88Uy4t3bDB9bANKyEYCmME66BYbCbuP6mEGLCaFWrmARsKPibAsb28Kletw&#10;xo0ZtqlhFIIxVxJsSl3Oeayt8SqOQmeQdsfQe5Wo7Ruue3WmcO/4WIgn7lWLdMGqzqysqb+2Jy/h&#10;9fHoNtWAb/a9Xw3V98u++Vzvpby/y8QCWDKX9AfDVZ/UoSSnQzihjsxJGIv5hFAqps/ACJhO5hmw&#10;w3UwA14W/P8H5S9QSwMEFAAAAAgAh07iQIKbXo/gAQAAmwMAAA4AAABkcnMvZTJvRG9jLnhtbK1T&#10;S44TMRDdI3EHy3vSnTCZGVrpzGLCsEEQCThAxXZ3W/JPLk86uQQXQGIHK5bsuQ3DMSg7IcNngxC9&#10;cJdd5Vf1Xr9eXO2sYVsVUXvX8umk5kw54aV2fcvfvL55dMkZJnASjHeq5XuF/Gr58MFiDI2a+cEb&#10;qSIjEIfNGFo+pBSaqkIxKAs48UE5SnY+Wki0jX0lI4yEbk01q+vzavRRhuiFQqTT1SHJlwW/65RI&#10;L7sOVWKm5TRbKmss6yav1XIBTR8hDFocx4B/mMKCdtT0BLWCBOw26j+grBbRo+/SRHhb+a7TQhUO&#10;xGZa/8bm1QBBFS4kDoaTTPj/YMWL7ToyLVt+NufMgaVvdPfu89e3H759eU/r3aePjDIk0xiwoepr&#10;t47HHYZ1zJx3XbT5TWzYrki7P0mrdokJOpxN5xf1E2ohKHf+uCBW91dDxPRMecty0HKjXeYNDWyf&#10;Y6J2VPqjJB8bx0Zy2/zyIiMC+aYzkCi0gZig68tl9EbLG21MvoKx31ybyLZATjgrT2ZFwL+U5S4r&#10;wOFQV1IHjwwK5FMnWdoHksiRmXmewSrJmVHk/RwRIDQJtPmbSmptHE2QhT1ImaONl3v6Irch6n4g&#10;KaZlypwhB5R5j27NFvt5X5Du/6nld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MIdXQDZAAAACQEA&#10;AA8AAAAAAAAAAQAgAAAAIgAAAGRycy9kb3ducmV2LnhtbFBLAQIUABQAAAAIAIdO4kCCm16P4AEA&#10;AJsDAAAOAAAAAAAAAAEAIAAAACgBAABkcnMvZTJvRG9jLnhtbFBLBQYAAAAABgAGAFkBAAB6BQAA&#10;AAA=&#10;">
                <v:fill on="f" focussize="0,0"/>
                <v:stroke weight="1.25pt" color="#444444" joinstyle="round"/>
                <v:imagedata o:title=""/>
                <o:lock v:ext="edit" aspectratio="f"/>
              </v:line>
            </w:pict>
          </mc:Fallback>
        </mc:AlternateContent>
      </w:r>
      <w:r>
        <w:rPr>
          <w:color w:val="auto"/>
          <w:sz w:val="24"/>
        </w:rPr>
        <mc:AlternateContent>
          <mc:Choice Requires="wps">
            <w:drawing>
              <wp:anchor distT="0" distB="0" distL="114300" distR="114300" simplePos="0" relativeHeight="251756544" behindDoc="0" locked="0" layoutInCell="1" allowOverlap="1">
                <wp:simplePos x="0" y="0"/>
                <wp:positionH relativeFrom="column">
                  <wp:posOffset>2477135</wp:posOffset>
                </wp:positionH>
                <wp:positionV relativeFrom="paragraph">
                  <wp:posOffset>169545</wp:posOffset>
                </wp:positionV>
                <wp:extent cx="635" cy="372745"/>
                <wp:effectExtent l="37465" t="0" r="38100" b="8255"/>
                <wp:wrapNone/>
                <wp:docPr id="60" name="直接连接符 60"/>
                <wp:cNvGraphicFramePr/>
                <a:graphic xmlns:a="http://schemas.openxmlformats.org/drawingml/2006/main">
                  <a:graphicData uri="http://schemas.microsoft.com/office/word/2010/wordprocessingShape">
                    <wps:wsp>
                      <wps:cNvCnPr/>
                      <wps:spPr>
                        <a:xfrm>
                          <a:off x="0" y="0"/>
                          <a:ext cx="635" cy="372745"/>
                        </a:xfrm>
                        <a:prstGeom prst="line">
                          <a:avLst/>
                        </a:prstGeom>
                        <a:ln w="15875" cap="flat" cmpd="sng">
                          <a:solidFill>
                            <a:srgbClr val="444444"/>
                          </a:solidFill>
                          <a:prstDash val="solid"/>
                          <a:headEnd type="none" w="med" len="med"/>
                          <a:tailEnd type="triangle" w="med" len="med"/>
                        </a:ln>
                      </wps:spPr>
                      <wps:bodyPr upright="1"/>
                    </wps:wsp>
                  </a:graphicData>
                </a:graphic>
              </wp:anchor>
            </w:drawing>
          </mc:Choice>
          <mc:Fallback>
            <w:pict>
              <v:line id="_x0000_s1026" o:spid="_x0000_s1026" o:spt="20" style="position:absolute;left:0pt;margin-left:195.05pt;margin-top:13.35pt;height:29.35pt;width:0.05pt;z-index:251756544;mso-width-relative:page;mso-height-relative:page;" filled="f" stroked="t" coordsize="21600,21600" o:gfxdata="UEsDBAoAAAAAAIdO4kAAAAAAAAAAAAAAAAAEAAAAZHJzL1BLAwQUAAAACACHTuJAX4UQFtkAAAAJ&#10;AQAADwAAAGRycy9kb3ducmV2LnhtbE2PTU/DMAyG70j8h8hIXBBLWsY2StMdQByQpgnGxDlrvbYi&#10;cUKT7uPfY05wtP3ofR+Xy5Oz4oBD7D1pyCYKBFLtm55aDduPl9sFiJgMNcZ6Qg1njLCsLi9KUzT+&#10;SO942KRWcAjFwmjoUgqFlLHu0Jk48QGJb3s/OJN4HFrZDObI4c7KXKmZdKYnbuhMwKcO66/N6LjX&#10;Wruehrfn3JzXr/tVGL8/VzdaX19l6hFEwlP6g+FXn9WhYqedH6mJwmq4e1AZoxry2RwEA7zIQew0&#10;LO6nIKtS/v+g+gFQSwMEFAAAAAgAh07iQHxFz3/kAQAAngMAAA4AAABkcnMvZTJvRG9jLnhtbK1T&#10;S44TMRDdI3EHy3vSSWaSGbXSmcWEYYMgEnCAiu3utuSfXJ50cgkugMQOVizZcxuGY1B2QsJHbBC9&#10;qC67np+rXr9e3OysYVsVUXvX8MlozJlywkvtuoa/eX335JozTOAkGO9Uw/cK+c3y8aPFEGo19b03&#10;UkVGJA7rITS8TynUVYWiVxZw5INyVGx9tJBoGbtKRhiI3ZpqOh7Pq8FHGaIXCpF2V4ciXxb+tlUi&#10;vWxbVImZhlNvqcRY4ibHarmAuosQei2ObcA/dGFBO7r0RLWCBOw+6j+orBbRo2/TSHhb+bbVQpUZ&#10;aJrJ+LdpXvUQVJmFxMFwkgn/H614sV1HpmXD5ySPA0vf6OHd569vP3z78p7iw6ePjCok0xCwJvSt&#10;W8fjCsM65pl3bbT5TdOwXZF2f5JW7RITtDm/mHEmaP/ianp1OcuE1flkiJieKW9ZThputMtjQw3b&#10;55gO0B+QvG0cG8hss+urTApkm9ZAotQGGgRdVw6jN1reaWPyEYzd5tZEtgUywmV5jj38Asu3rAD7&#10;A66UMgzqXoF86iRL+0AKOfIyzz1YJTkziqyfs4JMoM0ZmaIG15m/oEkC40iJrO1BzZxtvNzTR7kP&#10;UXc9yTEpneYKmaDodjRsdtnP68J0/q2W3wF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AAAAAZHJzL1BLAQIUABQAAAAIAIdO4kBfhRAW2QAA&#10;AAkBAAAPAAAAAAAAAAEAIAAAACIAAABkcnMvZG93bnJldi54bWxQSwECFAAUAAAACACHTuJAfEXP&#10;f+QBAACeAwAADgAAAAAAAAABACAAAAAoAQAAZHJzL2Uyb0RvYy54bWxQSwUGAAAAAAYABgBZAQAA&#10;fgUAAAAA&#10;">
                <v:fill on="f" focussize="0,0"/>
                <v:stroke weight="1.25pt" color="#444444" joinstyle="round" endarrow="block"/>
                <v:imagedata o:title=""/>
                <o:lock v:ext="edit" aspectratio="f"/>
              </v:line>
            </w:pict>
          </mc:Fallback>
        </mc:AlternateContent>
      </w:r>
    </w:p>
    <w:p>
      <w:pPr>
        <w:spacing w:line="360" w:lineRule="auto"/>
        <w:ind w:firstLine="480" w:firstLineChars="200"/>
        <w:jc w:val="center"/>
        <w:rPr>
          <w:rFonts w:hint="eastAsia"/>
          <w:color w:val="auto"/>
          <w:sz w:val="24"/>
        </w:rPr>
      </w:pPr>
      <w:r>
        <w:rPr>
          <w:color w:val="auto"/>
          <w:sz w:val="24"/>
        </w:rPr>
        <mc:AlternateContent>
          <mc:Choice Requires="wps">
            <w:drawing>
              <wp:anchor distT="0" distB="0" distL="114300" distR="114300" simplePos="0" relativeHeight="251768832" behindDoc="0" locked="0" layoutInCell="1" allowOverlap="1">
                <wp:simplePos x="0" y="0"/>
                <wp:positionH relativeFrom="column">
                  <wp:posOffset>3198495</wp:posOffset>
                </wp:positionH>
                <wp:positionV relativeFrom="paragraph">
                  <wp:posOffset>256540</wp:posOffset>
                </wp:positionV>
                <wp:extent cx="499110" cy="322580"/>
                <wp:effectExtent l="0" t="0" r="0" b="0"/>
                <wp:wrapNone/>
                <wp:docPr id="44" name="文本框 44"/>
                <wp:cNvGraphicFramePr/>
                <a:graphic xmlns:a="http://schemas.openxmlformats.org/drawingml/2006/main">
                  <a:graphicData uri="http://schemas.microsoft.com/office/word/2010/wordprocessingShape">
                    <wps:wsp>
                      <wps:cNvSpPr txBox="1"/>
                      <wps:spPr>
                        <a:xfrm>
                          <a:off x="0" y="0"/>
                          <a:ext cx="499110" cy="322580"/>
                        </a:xfrm>
                        <a:prstGeom prst="rect">
                          <a:avLst/>
                        </a:prstGeom>
                        <a:noFill/>
                        <a:ln w="15875">
                          <a:noFill/>
                        </a:ln>
                      </wps:spPr>
                      <wps:txbx>
                        <w:txbxContent>
                          <w:p>
                            <w:pPr>
                              <w:jc w:val="left"/>
                              <w:rPr>
                                <w:rFonts w:hint="eastAsia" w:eastAsia="宋体"/>
                                <w:lang w:val="en-US" w:eastAsia="zh-CN"/>
                              </w:rPr>
                            </w:pPr>
                            <w:r>
                              <w:rPr>
                                <w:rFonts w:hint="eastAsia"/>
                                <w:lang w:val="en-US" w:eastAsia="zh-CN"/>
                              </w:rPr>
                              <w:t>G2</w:t>
                            </w:r>
                          </w:p>
                        </w:txbxContent>
                      </wps:txbx>
                      <wps:bodyPr upright="1"/>
                    </wps:wsp>
                  </a:graphicData>
                </a:graphic>
              </wp:anchor>
            </w:drawing>
          </mc:Choice>
          <mc:Fallback>
            <w:pict>
              <v:shape id="_x0000_s1026" o:spid="_x0000_s1026" o:spt="202" type="#_x0000_t202" style="position:absolute;left:0pt;margin-left:251.85pt;margin-top:20.2pt;height:25.4pt;width:39.3pt;z-index:251768832;mso-width-relative:page;mso-height-relative:page;" filled="f" stroked="f" coordsize="21600,21600" o:gfxdata="UEsDBAoAAAAAAIdO4kAAAAAAAAAAAAAAAAAEAAAAZHJzL1BLAwQUAAAACACHTuJAh4KujtwAAAAJ&#10;AQAADwAAAGRycy9kb3ducmV2LnhtbE2PwU7DMBBE70j8g7VIXFBrJ01LCNn0QNUDoghREHB0Y5NE&#10;xOsodpKWr8ec4Liap5m3+fpoWjbq3jWWEKK5AKaptKqhCuH1ZTtLgTkvScnWkkY4aQfr4vwsl5my&#10;Ez3rce8rFkrIZRKh9r7LOHdlrY10c9tpCtmn7Y304ewrrno5hXLT8liIFTeyobBQy07f1br82g8G&#10;YXwUyduufD8NV9vNx336tHEP0zfi5UUkboF5ffR/MPzqB3UogtPBDqQcaxGWYnEdUIREJMACsEzj&#10;BbADwk0UAy9y/v+D4gdQSwMEFAAAAAgAh07iQFHa6eOXAQAACwMAAA4AAABkcnMvZTJvRG9jLnht&#10;bK1SO04DMRDtkbiD5Z5sEhIIq2yQEAoNAqTAARyvnbVkeyzbZDcXgBtQ0dBzrpyDWeeHoEM0Y3s+&#10;b+a98fiyMZoshQ8KbEF7nS4lwnIolV0U9OlxejKiJERmS6bBioKuRKCXk+Ojce1y0YcKdCk8QRAb&#10;8toVtIrR5VkWeCUMCx1wwmJQgjcs4tMvstKzGtGNzvrd7llWgy+dBy5CQO/1JkgnCV9KweO9lEFE&#10;oguKs8VkfbLz1maTMcsXnrlK8e0Y7A9TGKYsNt1DXbPIyLNXv6CM4h4CyNjhYDKQUnGROCCbXvcH&#10;m1nFnEhcUJzg9jKF/4Pld8sHT1RZ0MGAEssM7mj99rp+/1x/vBD0oUC1CznmzRxmxuYKGlz0zh/Q&#10;2fJupDftiYwIxlHq1V5e0UTC0Tm4uOj1MMIxdNrvD0dJ/uxQ7HyINwIMaS8F9bi9JCpb3oaIg2Dq&#10;LqXtZWGqtE4b1JbUONVwdD5MFfsQlmiLlS2HzaztLTbzZktsDuUKeT07rxYVNk3MUjoqnlpuf0e7&#10;0u/vBHr4w5Mv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DAQAAFtDb250ZW50X1R5cGVzXS54bWxQSwECFAAKAAAAAACHTuJAAAAAAAAAAAAAAAAA&#10;BgAAAAAAAAAAABAAAADuAgAAX3JlbHMvUEsBAhQAFAAAAAgAh07iQIoUZjzRAAAAlAEAAAsAAAAA&#10;AAAAAQAgAAAAEgMAAF9yZWxzLy5yZWxzUEsBAhQACgAAAAAAh07iQAAAAAAAAAAAAAAAAAQAAAAA&#10;AAAAAAAQAAAAAAAAAGRycy9QSwECFAAUAAAACACHTuJAh4KujtwAAAAJAQAADwAAAAAAAAABACAA&#10;AAAiAAAAZHJzL2Rvd25yZXYueG1sUEsBAhQAFAAAAAgAh07iQFHa6eOXAQAACwMAAA4AAAAAAAAA&#10;AQAgAAAAKwEAAGRycy9lMm9Eb2MueG1sUEsFBgAAAAAGAAYAWQEAADQFAAAAAA==&#10;">
                <v:fill on="f" focussize="0,0"/>
                <v:stroke on="f" weight="1.25pt"/>
                <v:imagedata o:title=""/>
                <o:lock v:ext="edit" aspectratio="f"/>
                <v:textbox>
                  <w:txbxContent>
                    <w:p>
                      <w:pPr>
                        <w:jc w:val="left"/>
                        <w:rPr>
                          <w:rFonts w:hint="eastAsia" w:eastAsia="宋体"/>
                          <w:lang w:val="en-US" w:eastAsia="zh-CN"/>
                        </w:rPr>
                      </w:pPr>
                      <w:r>
                        <w:rPr>
                          <w:rFonts w:hint="eastAsia"/>
                          <w:lang w:val="en-US" w:eastAsia="zh-CN"/>
                        </w:rPr>
                        <w:t>G2</w:t>
                      </w:r>
                    </w:p>
                  </w:txbxContent>
                </v:textbox>
              </v:shape>
            </w:pict>
          </mc:Fallback>
        </mc:AlternateContent>
      </w:r>
      <w:r>
        <w:rPr>
          <w:color w:val="auto"/>
          <w:sz w:val="24"/>
        </w:rPr>
        <mc:AlternateContent>
          <mc:Choice Requires="wps">
            <w:drawing>
              <wp:anchor distT="0" distB="0" distL="114300" distR="114300" simplePos="0" relativeHeight="251757568" behindDoc="0" locked="0" layoutInCell="1" allowOverlap="1">
                <wp:simplePos x="0" y="0"/>
                <wp:positionH relativeFrom="column">
                  <wp:posOffset>2063750</wp:posOffset>
                </wp:positionH>
                <wp:positionV relativeFrom="paragraph">
                  <wp:posOffset>245110</wp:posOffset>
                </wp:positionV>
                <wp:extent cx="838200" cy="322580"/>
                <wp:effectExtent l="7620" t="7620" r="11430" b="12700"/>
                <wp:wrapNone/>
                <wp:docPr id="50" name="文本框 50"/>
                <wp:cNvGraphicFramePr/>
                <a:graphic xmlns:a="http://schemas.openxmlformats.org/drawingml/2006/main">
                  <a:graphicData uri="http://schemas.microsoft.com/office/word/2010/wordprocessingShape">
                    <wps:wsp>
                      <wps:cNvSpPr txBox="1"/>
                      <wps:spPr>
                        <a:xfrm>
                          <a:off x="0" y="0"/>
                          <a:ext cx="838200" cy="322580"/>
                        </a:xfrm>
                        <a:prstGeom prst="rect">
                          <a:avLst/>
                        </a:prstGeom>
                        <a:noFill/>
                        <a:ln w="15875" cap="flat" cmpd="sng">
                          <a:solidFill>
                            <a:srgbClr val="444444"/>
                          </a:solidFill>
                          <a:prstDash val="solid"/>
                          <a:miter/>
                          <a:headEnd type="none" w="med" len="med"/>
                          <a:tailEnd type="none" w="med" len="med"/>
                        </a:ln>
                      </wps:spPr>
                      <wps:txbx>
                        <w:txbxContent>
                          <w:p>
                            <w:pPr>
                              <w:jc w:val="center"/>
                              <w:rPr>
                                <w:rFonts w:hint="eastAsia" w:eastAsia="宋体"/>
                                <w:lang w:eastAsia="zh-CN"/>
                              </w:rPr>
                            </w:pPr>
                            <w:r>
                              <w:rPr>
                                <w:rFonts w:hint="eastAsia"/>
                                <w:lang w:eastAsia="zh-CN"/>
                              </w:rPr>
                              <w:t>涂覆</w:t>
                            </w:r>
                          </w:p>
                        </w:txbxContent>
                      </wps:txbx>
                      <wps:bodyPr upright="1"/>
                    </wps:wsp>
                  </a:graphicData>
                </a:graphic>
              </wp:anchor>
            </w:drawing>
          </mc:Choice>
          <mc:Fallback>
            <w:pict>
              <v:shape id="_x0000_s1026" o:spid="_x0000_s1026" o:spt="202" type="#_x0000_t202" style="position:absolute;left:0pt;margin-left:162.5pt;margin-top:19.3pt;height:25.4pt;width:66pt;z-index:251757568;mso-width-relative:page;mso-height-relative:page;" filled="f" stroked="t" coordsize="21600,21600" o:gfxdata="UEsDBAoAAAAAAIdO4kAAAAAAAAAAAAAAAAAEAAAAZHJzL1BLAwQUAAAACACHTuJAvWJMPtsAAAAJ&#10;AQAADwAAAGRycy9kb3ducmV2LnhtbE2PT0vDQBDF74LfYRnBi9hN0z+JMZuCgpcKBZtSctxmxySY&#10;nQ3ZTVu/veNJbzPzHm9+L99cbS/OOPrOkYL5LAKBVDvTUaPgUL49piB80GR07wgVfKOHTXF7k+vM&#10;uAt94HkfGsEh5DOtoA1hyKT0dYtW+5kbkFj7dKPVgdexkWbUFw63vYyjaC2t7og/tHrA1xbrr/1k&#10;FUyH+OVdYrJ4OFblcZdM26qstkrd382jZxABr+HPDL/4jA4FM53cRMaLXsEiXnGXwEO6BsGG5Srh&#10;w0lB+rQEWeTyf4PiB1BLAwQUAAAACACHTuJAl83W0OwBAADBAwAADgAAAGRycy9lMm9Eb2MueG1s&#10;rVNLjhMxEN0jcQfLe9KZDIFWlM5IEIYNAqSBAzj+dFvyT7Yn3bkA3IAVG/acK+fg2ZnJ8NkgRC/c&#10;1VXPr6peVa+vJmvIXsakvevoxWxOiXTcC+36jn78cP2kpSRl5gQz3smOHmSiV5vHj9ZjWMmFH7wR&#10;MhKQuLQaQ0eHnMOqaRIfpGVp5oN0CCofLcv4jH0jIhvBbk2zmM+fNaOPIkTPZUrwbk9Buqn8Skme&#10;3ymVZCamo6gt1zPWc1fOZrNmqz6yMGh+Vwb7hyos0w5Jz1Rblhm5jfoPKqt59MmrPOPeNl4pzWXt&#10;Ad1czH/r5mZgQdZeIE4KZ5nS/6Plb/fvI9Gio0vI45jFjI5fPh+/fj9++0Tgg0BjSCvgbgKQeXrh&#10;Jwz63p/gLH1PKtryRkcEcXAdzvLKKRMOZ3vZYmSUcIQuF4tlW9mbh8shpvxaekuK0dGI6VVR2f5N&#10;yigE0HtIyeX8tTamTtA4MqKqZft8CX6GRVKGZZg2oLXk+sqTvNGi3Cm3U+x3L00ke4bVeFqf0hRy&#10;/AIrCbcsDSdcDZ2WxuosY00+SCZeOUHyIUA9hz2npRorBSVG4rcoVkVmps3fIFGEcailKH9SuFh5&#10;2k2gKebOiwOmcRui7gdIVedR4diT2sTdTpdF/Pm7kj78eZsf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vWJMPtsAAAAJAQAADwAAAAAAAAABACAAAAAiAAAAZHJzL2Rvd25yZXYueG1sUEsBAhQAFAAA&#10;AAgAh07iQJfN1tDsAQAAwQMAAA4AAAAAAAAAAQAgAAAAKgEAAGRycy9lMm9Eb2MueG1sUEsFBgAA&#10;AAAGAAYAWQEAAIgFAAAAAA==&#10;">
                <v:fill on="f" focussize="0,0"/>
                <v:stroke weight="1.25pt" color="#444444" joinstyle="miter"/>
                <v:imagedata o:title=""/>
                <o:lock v:ext="edit" aspectratio="f"/>
                <v:textbox>
                  <w:txbxContent>
                    <w:p>
                      <w:pPr>
                        <w:jc w:val="center"/>
                        <w:rPr>
                          <w:rFonts w:hint="eastAsia" w:eastAsia="宋体"/>
                          <w:lang w:eastAsia="zh-CN"/>
                        </w:rPr>
                      </w:pPr>
                      <w:r>
                        <w:rPr>
                          <w:rFonts w:hint="eastAsia"/>
                          <w:lang w:eastAsia="zh-CN"/>
                        </w:rPr>
                        <w:t>涂覆</w:t>
                      </w:r>
                    </w:p>
                  </w:txbxContent>
                </v:textbox>
              </v:shape>
            </w:pict>
          </mc:Fallback>
        </mc:AlternateContent>
      </w:r>
    </w:p>
    <w:p>
      <w:pPr>
        <w:spacing w:line="360" w:lineRule="auto"/>
        <w:ind w:firstLine="480" w:firstLineChars="200"/>
        <w:jc w:val="center"/>
        <w:rPr>
          <w:rFonts w:hint="eastAsia"/>
          <w:color w:val="auto"/>
          <w:sz w:val="24"/>
        </w:rPr>
      </w:pPr>
      <w:r>
        <w:rPr>
          <w:color w:val="auto"/>
          <w:sz w:val="24"/>
        </w:rPr>
        <mc:AlternateContent>
          <mc:Choice Requires="wps">
            <w:drawing>
              <wp:anchor distT="0" distB="0" distL="114300" distR="114300" simplePos="0" relativeHeight="251773952" behindDoc="0" locked="0" layoutInCell="1" allowOverlap="1">
                <wp:simplePos x="0" y="0"/>
                <wp:positionH relativeFrom="column">
                  <wp:posOffset>2911475</wp:posOffset>
                </wp:positionH>
                <wp:positionV relativeFrom="paragraph">
                  <wp:posOffset>112395</wp:posOffset>
                </wp:positionV>
                <wp:extent cx="357505" cy="635"/>
                <wp:effectExtent l="0" t="37465" r="4445" b="38100"/>
                <wp:wrapNone/>
                <wp:docPr id="40" name="直接连接符 40"/>
                <wp:cNvGraphicFramePr/>
                <a:graphic xmlns:a="http://schemas.openxmlformats.org/drawingml/2006/main">
                  <a:graphicData uri="http://schemas.microsoft.com/office/word/2010/wordprocessingShape">
                    <wps:wsp>
                      <wps:cNvCnPr/>
                      <wps:spPr>
                        <a:xfrm>
                          <a:off x="0" y="0"/>
                          <a:ext cx="357505" cy="635"/>
                        </a:xfrm>
                        <a:prstGeom prst="line">
                          <a:avLst/>
                        </a:prstGeom>
                        <a:ln w="9525" cap="flat" cmpd="sng">
                          <a:solidFill>
                            <a:srgbClr val="444444"/>
                          </a:solidFill>
                          <a:prstDash val="dash"/>
                          <a:headEnd type="none" w="med" len="med"/>
                          <a:tailEnd type="stealth" w="med" len="med"/>
                        </a:ln>
                      </wps:spPr>
                      <wps:bodyPr upright="1"/>
                    </wps:wsp>
                  </a:graphicData>
                </a:graphic>
              </wp:anchor>
            </w:drawing>
          </mc:Choice>
          <mc:Fallback>
            <w:pict>
              <v:line id="_x0000_s1026" o:spid="_x0000_s1026" o:spt="20" style="position:absolute;left:0pt;margin-left:229.25pt;margin-top:8.85pt;height:0.05pt;width:28.15pt;z-index:251773952;mso-width-relative:page;mso-height-relative:page;" filled="f" stroked="t" coordsize="21600,21600" o:gfxdata="UEsDBAoAAAAAAIdO4kAAAAAAAAAAAAAAAAAEAAAAZHJzL1BLAwQUAAAACACHTuJAj1eTl9cAAAAJ&#10;AQAADwAAAGRycy9kb3ducmV2LnhtbE2PzU7DMBCE70i8g7VI3KgTaNIoxKkEEpyoRH8ewImXJGCv&#10;o9hNy9uzPdHjznyananWZ2fFjFMYPClIFwkIpNabgToFh/3bQwEiRE1GW0+o4BcDrOvbm0qXxp9o&#10;i/MudoJDKJRaQR/jWEoZ2h6dDgs/IrH35SenI59TJ82kTxzurHxMklw6PRB/6PWIrz22P7ujU5Cn&#10;4TvfFNbOw0v3njfbz6ePTafU/V2aPIOIeI7/MFzqc3WouVPjj2SCsAqWWZExysZqBYKBLF3yluYi&#10;FCDrSl4vqP8AUEsDBBQAAAAIAIdO4kAItUqq4wEAAJsDAAAOAAAAZHJzL2Uyb0RvYy54bWytU0uO&#10;EzEQ3SNxB8t70klmMgytdGYxYdggiAQcoGK7uy35J5cnnVyCCyCxgxVL9nMbhmNM2QkJvxWiF9Vl&#10;1/NzvdfV86utNWyjImrvGj4ZjTlTTnipXdfwd29vnlxyhgmcBOOdavhOIb9aPH40H0Ktpr73RqrI&#10;iMRhPYSG9ymFuqpQ9MoCjnxQjoqtjxYSLWNXyQgDsVtTTcfji2rwUYbohUKk3eW+yBeFv22VSK/b&#10;FlVipuHUWyoxlrjOsVrMoe4ihF6LQxvwD11Y0I4uPVItIQG7jfoPKqtF9OjbNBLeVr5ttVBFA6mZ&#10;jH9T86aHoIoWMgfD0Sb8f7Ti1WYVmZYNPyd7HFj6Rvcfvn57/+n73UeK918+M6qQTUPAmtDXbhUP&#10;KwyrmDVv22jzm9SwbbF2d7RWbRMTtHk2ezobzzgTVLo4m2XC6nQyREwvlLcsJw032mXZUMPmJaY9&#10;9AckbxvHhoY/m00zIdDUtAYSpTaQDnRdOYveaHmjjcknMHbraxPZBmgOzstzaOEXWL5kCdjvcZKy&#10;jIK6VyCfO8nSLpA/jiaZ5w6skpwZRYOfs4JMoM0JiUmBSf3fwaTfOLIhG7u3MmdrL3f0RW5D1F1P&#10;XkxKn7lCE1BMO0xrHrGf14Xp9E8tHgB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CPV5OX1wAAAAkB&#10;AAAPAAAAAAAAAAEAIAAAACIAAABkcnMvZG93bnJldi54bWxQSwECFAAUAAAACACHTuJACLVKquMB&#10;AACbAwAADgAAAAAAAAABACAAAAAmAQAAZHJzL2Uyb0RvYy54bWxQSwUGAAAAAAYABgBZAQAAewUA&#10;AAAA&#10;">
                <v:fill on="f" focussize="0,0"/>
                <v:stroke color="#444444" joinstyle="round" dashstyle="dash" endarrow="classic"/>
                <v:imagedata o:title=""/>
                <o:lock v:ext="edit" aspectratio="f"/>
              </v:line>
            </w:pict>
          </mc:Fallback>
        </mc:AlternateContent>
      </w:r>
      <w:r>
        <w:rPr>
          <w:color w:val="auto"/>
          <w:sz w:val="24"/>
        </w:rPr>
        <mc:AlternateContent>
          <mc:Choice Requires="wps">
            <w:drawing>
              <wp:anchor distT="0" distB="0" distL="114300" distR="114300" simplePos="0" relativeHeight="251759616" behindDoc="0" locked="0" layoutInCell="1" allowOverlap="1">
                <wp:simplePos x="0" y="0"/>
                <wp:positionH relativeFrom="column">
                  <wp:posOffset>2485390</wp:posOffset>
                </wp:positionH>
                <wp:positionV relativeFrom="paragraph">
                  <wp:posOffset>276225</wp:posOffset>
                </wp:positionV>
                <wp:extent cx="635" cy="372745"/>
                <wp:effectExtent l="37465" t="0" r="38100" b="8255"/>
                <wp:wrapNone/>
                <wp:docPr id="58" name="直接连接符 58"/>
                <wp:cNvGraphicFramePr/>
                <a:graphic xmlns:a="http://schemas.openxmlformats.org/drawingml/2006/main">
                  <a:graphicData uri="http://schemas.microsoft.com/office/word/2010/wordprocessingShape">
                    <wps:wsp>
                      <wps:cNvCnPr/>
                      <wps:spPr>
                        <a:xfrm>
                          <a:off x="0" y="0"/>
                          <a:ext cx="635" cy="372745"/>
                        </a:xfrm>
                        <a:prstGeom prst="line">
                          <a:avLst/>
                        </a:prstGeom>
                        <a:ln w="15875" cap="flat" cmpd="sng">
                          <a:solidFill>
                            <a:srgbClr val="444444"/>
                          </a:solidFill>
                          <a:prstDash val="solid"/>
                          <a:headEnd type="none" w="med" len="med"/>
                          <a:tailEnd type="triangle" w="med" len="med"/>
                        </a:ln>
                      </wps:spPr>
                      <wps:bodyPr upright="1"/>
                    </wps:wsp>
                  </a:graphicData>
                </a:graphic>
              </wp:anchor>
            </w:drawing>
          </mc:Choice>
          <mc:Fallback>
            <w:pict>
              <v:line id="_x0000_s1026" o:spid="_x0000_s1026" o:spt="20" style="position:absolute;left:0pt;margin-left:195.7pt;margin-top:21.75pt;height:29.35pt;width:0.05pt;z-index:251759616;mso-width-relative:page;mso-height-relative:page;" filled="f" stroked="t" coordsize="21600,21600" o:gfxdata="UEsDBAoAAAAAAIdO4kAAAAAAAAAAAAAAAAAEAAAAZHJzL1BLAwQUAAAACACHTuJAmdU2GNgAAAAK&#10;AQAADwAAAGRycy9kb3ducmV2LnhtbE2PS0/DQAyE70j8h5WRuCC6SRoQhGx6AHFAqiooVc9u1k0i&#10;9kV208e/x5zgZns+zYzrxckacaAxDt4pyGcZCHKt14PrFGw+X28fQMSETqPxjhScKcKiubyosdL+&#10;6D7osE6dYBMXK1TQpxQqKWPbk8U484Eca3s/Wky8jp3UIx7Z3BpZZNm9tDg4Tugx0HNP7dd6spxr&#10;jFmV4f2lwPPqbb8M0/d2eaPU9VWePYFIdEp/MPzW5+rQcKedn5yOwiiYP+YlowrK+R0IBvjAw47J&#10;rChANrX8/0LzA1BLAwQUAAAACACHTuJAEBF+ceQBAACeAwAADgAAAGRycy9lMm9Eb2MueG1srVNL&#10;jhMxEN0jcQfLe9JJZjIZtdKZxYRhgyAScICK7e625J/KnnRyCS6AxA5WLNlzG4ZjUHZCwkdsEL2o&#10;LrueX1c9v17c7KxhW4VRe9fwyWjMmXLCS+26hr95fffkmrOYwEkw3qmG71XkN8vHjxZDqNXU995I&#10;hYxIXKyH0PA+pVBXVRS9shBHPihHxdajhURL7CqJMBC7NdV0PL6qBo8yoBcqRtpdHYp8WfjbVon0&#10;sm2jSsw0nHpLJWKJmxyr5QLqDiH0WhzbgH/owoJ29NET1QoSsHvUf1BZLdBH36aR8LbybauFKjPQ&#10;NJPxb9O86iGoMguJE8NJpvj/aMWL7RqZlg2f0U05sHRHD+8+f3374duX9xQfPn1kVCGZhhBrQt+6&#10;NR5XMawxz7xr0eY3TcN2Rdr9SVq1S0zQ5tXFjDNB+xfz6fxylgmr88mAMT1T3rKcNNxol8eGGrbP&#10;YzpAf0DytnFsILPNrueZFMg2rYFEqQ00SHRdORy90fJOG5OPROw2twbZFsgIl+U59vALLH9lBbE/&#10;4Eopw6DuFcinTrK0D6SQIy/z3INVkjOjyPo5K8gE2pyRCTW4zvwFTRIYR0pkbQ9q5mzj5Z4u5T6g&#10;7nqSY1I6zRUyQdHtaNjssp/Xhen8Wy2/A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FUEAABbQ29udGVudF9UeXBlc10ueG1sUEsBAhQACgAAAAAA&#10;h07iQAAAAAAAAAAAAAAAAAYAAAAAAAAAAAAQAAAANwMAAF9yZWxzL1BLAQIUABQAAAAIAIdO4kCK&#10;FGY80QAAAJQBAAALAAAAAAAAAAEAIAAAAFsDAABfcmVscy8ucmVsc1BLAQIUAAoAAAAAAIdO4kAA&#10;AAAAAAAAAAAAAAAEAAAAAAAAAAAAEAAAAAAAAABkcnMvUEsBAhQAFAAAAAgAh07iQJnVNhjYAAAA&#10;CgEAAA8AAAAAAAAAAQAgAAAAIgAAAGRycy9kb3ducmV2LnhtbFBLAQIUABQAAAAIAIdO4kAQEX5x&#10;5AEAAJ4DAAAOAAAAAAAAAAEAIAAAACcBAABkcnMvZTJvRG9jLnhtbFBLBQYAAAAABgAGAFkBAAB9&#10;BQAAAAA=&#10;">
                <v:fill on="f" focussize="0,0"/>
                <v:stroke weight="1.25pt" color="#444444" joinstyle="round" endarrow="block"/>
                <v:imagedata o:title=""/>
                <o:lock v:ext="edit" aspectratio="f"/>
              </v:line>
            </w:pict>
          </mc:Fallback>
        </mc:AlternateContent>
      </w:r>
    </w:p>
    <w:p>
      <w:pPr>
        <w:spacing w:line="360" w:lineRule="auto"/>
        <w:ind w:firstLine="480" w:firstLineChars="200"/>
        <w:jc w:val="center"/>
        <w:rPr>
          <w:rFonts w:hint="eastAsia"/>
          <w:color w:val="auto"/>
          <w:sz w:val="24"/>
        </w:rPr>
      </w:pPr>
    </w:p>
    <w:p>
      <w:pPr>
        <w:spacing w:line="360" w:lineRule="auto"/>
        <w:ind w:firstLine="480" w:firstLineChars="200"/>
        <w:jc w:val="center"/>
        <w:rPr>
          <w:rFonts w:hint="eastAsia"/>
          <w:color w:val="auto"/>
          <w:sz w:val="24"/>
        </w:rPr>
      </w:pPr>
      <w:r>
        <w:rPr>
          <w:color w:val="auto"/>
          <w:sz w:val="24"/>
        </w:rPr>
        <mc:AlternateContent>
          <mc:Choice Requires="wps">
            <w:drawing>
              <wp:anchor distT="0" distB="0" distL="114300" distR="114300" simplePos="0" relativeHeight="251769856" behindDoc="0" locked="0" layoutInCell="1" allowOverlap="1">
                <wp:simplePos x="0" y="0"/>
                <wp:positionH relativeFrom="column">
                  <wp:posOffset>3211830</wp:posOffset>
                </wp:positionH>
                <wp:positionV relativeFrom="paragraph">
                  <wp:posOffset>36195</wp:posOffset>
                </wp:positionV>
                <wp:extent cx="499110" cy="322580"/>
                <wp:effectExtent l="0" t="0" r="0" b="0"/>
                <wp:wrapNone/>
                <wp:docPr id="62" name="文本框 62"/>
                <wp:cNvGraphicFramePr/>
                <a:graphic xmlns:a="http://schemas.openxmlformats.org/drawingml/2006/main">
                  <a:graphicData uri="http://schemas.microsoft.com/office/word/2010/wordprocessingShape">
                    <wps:wsp>
                      <wps:cNvSpPr txBox="1"/>
                      <wps:spPr>
                        <a:xfrm>
                          <a:off x="0" y="0"/>
                          <a:ext cx="499110" cy="322580"/>
                        </a:xfrm>
                        <a:prstGeom prst="rect">
                          <a:avLst/>
                        </a:prstGeom>
                        <a:noFill/>
                        <a:ln w="15875">
                          <a:noFill/>
                        </a:ln>
                      </wps:spPr>
                      <wps:txbx>
                        <w:txbxContent>
                          <w:p>
                            <w:pPr>
                              <w:jc w:val="left"/>
                              <w:rPr>
                                <w:rFonts w:hint="eastAsia" w:eastAsia="宋体"/>
                                <w:lang w:val="en-US" w:eastAsia="zh-CN"/>
                              </w:rPr>
                            </w:pPr>
                            <w:r>
                              <w:rPr>
                                <w:rFonts w:hint="eastAsia"/>
                                <w:lang w:val="en-US" w:eastAsia="zh-CN"/>
                              </w:rPr>
                              <w:t>G3</w:t>
                            </w:r>
                          </w:p>
                        </w:txbxContent>
                      </wps:txbx>
                      <wps:bodyPr upright="1"/>
                    </wps:wsp>
                  </a:graphicData>
                </a:graphic>
              </wp:anchor>
            </w:drawing>
          </mc:Choice>
          <mc:Fallback>
            <w:pict>
              <v:shape id="_x0000_s1026" o:spid="_x0000_s1026" o:spt="202" type="#_x0000_t202" style="position:absolute;left:0pt;margin-left:252.9pt;margin-top:2.85pt;height:25.4pt;width:39.3pt;z-index:251769856;mso-width-relative:page;mso-height-relative:page;" filled="f" stroked="f" coordsize="21600,21600" o:gfxdata="UEsDBAoAAAAAAIdO4kAAAAAAAAAAAAAAAAAEAAAAZHJzL1BLAwQUAAAACACHTuJAdPbUzNkAAAAI&#10;AQAADwAAAGRycy9kb3ducmV2LnhtbE2PwU7DMBBE70j8g7VIXBC1i5IShTg9UPWAACEKAo5uvCQR&#10;8TqKnaTl61lOcJvVrGbeFOuD68SEQ2g9aVguFAikytuWag2vL9vLDESIhqzpPKGGIwZYl6cnhcmt&#10;n+kZp12sBYdQyI2GJsY+lzJUDToTFr5HYu/TD85EPoda2sHMHO46eaXUSjrTEjc0psfbBquv3eg0&#10;TI8qeXuo3o/jxXbzcZc9bcL9/K31+dlS3YCIeIh/z/CLz+hQMtPej2SD6DSkKmX0yOIaBPtpliQg&#10;9ixWKciykP8HlD9QSwMEFAAAAAgAh07iQK0f6/GXAQAACwMAAA4AAABkcnMvZTJvRG9jLnhtbK1S&#10;S07DMBDdI3EHy3uaNtBSoqZICMEGAVLhAK5jN5Zsj2WbJr0A3IAVG/acq+dg4n5AsENsxvZ83sx7&#10;48l5azRZCh8U2JIOen1KhOVQKbso6ePD1dGYkhCZrZgGK0q6EoGeTw8PJo0rRA416Ep4giA2FI0r&#10;aR2jK7Is8FoYFnrghMWgBG9YxKdfZJVnDaIbneX9/ihrwFfOAxchoPdyE6TThC+l4PFOyiAi0SXF&#10;2WKyPtl5Z7PphBULz1yt+HYM9ocpDFMWm+6hLllk5MmrX1BGcQ8BZOxxMBlIqbhIHJDNoP+Dzaxm&#10;TiQuKE5we5nC/8Hy2+W9J6oq6SinxDKDO1q/vqzfPtbvzwR9KFDjQoF5M4eZsb2AFhe98wd0drxb&#10;6U13IiOCcZR6tZdXtJFwdJ6cnQ0GGOEYOs7z4TjJn30VOx/itQBDuktJPW4vicqWNyHiIJi6S+l6&#10;WbhSWqcNaksanGo4Ph2min0IS7TFyo7DZtbuFtt5uyU2h2qFvJ6cV4samyZmKR0VTy23v6Nb6fd3&#10;Av36w9NP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CQQAAFtDb250ZW50X1R5cGVzXS54bWxQSwECFAAKAAAAAACHTuJAAAAAAAAAAAAAAAAABgAA&#10;AAAAAAAAABAAAADrAgAAX3JlbHMvUEsBAhQAFAAAAAgAh07iQIoUZjzRAAAAlAEAAAsAAAAAAAAA&#10;AQAgAAAADwMAAF9yZWxzLy5yZWxzUEsBAhQACgAAAAAAh07iQAAAAAAAAAAAAAAAAAQAAAAAAAAA&#10;AAAQAAAAAAAAAGRycy9QSwECFAAUAAAACACHTuJAdPbUzNkAAAAIAQAADwAAAAAAAAABACAAAAAi&#10;AAAAZHJzL2Rvd25yZXYueG1sUEsBAhQAFAAAAAgAh07iQK0f6/GXAQAACwMAAA4AAAAAAAAAAQAg&#10;AAAAKAEAAGRycy9lMm9Eb2MueG1sUEsFBgAAAAAGAAYAWQEAADEFAAAAAA==&#10;">
                <v:fill on="f" focussize="0,0"/>
                <v:stroke on="f" weight="1.25pt"/>
                <v:imagedata o:title=""/>
                <o:lock v:ext="edit" aspectratio="f"/>
                <v:textbox>
                  <w:txbxContent>
                    <w:p>
                      <w:pPr>
                        <w:jc w:val="left"/>
                        <w:rPr>
                          <w:rFonts w:hint="eastAsia" w:eastAsia="宋体"/>
                          <w:lang w:val="en-US" w:eastAsia="zh-CN"/>
                        </w:rPr>
                      </w:pPr>
                      <w:r>
                        <w:rPr>
                          <w:rFonts w:hint="eastAsia"/>
                          <w:lang w:val="en-US" w:eastAsia="zh-CN"/>
                        </w:rPr>
                        <w:t>G3</w:t>
                      </w:r>
                    </w:p>
                  </w:txbxContent>
                </v:textbox>
              </v:shape>
            </w:pict>
          </mc:Fallback>
        </mc:AlternateContent>
      </w:r>
      <w:r>
        <w:rPr>
          <w:color w:val="auto"/>
          <w:sz w:val="24"/>
        </w:rPr>
        <mc:AlternateContent>
          <mc:Choice Requires="wps">
            <w:drawing>
              <wp:anchor distT="0" distB="0" distL="114300" distR="114300" simplePos="0" relativeHeight="251774976" behindDoc="0" locked="0" layoutInCell="1" allowOverlap="1">
                <wp:simplePos x="0" y="0"/>
                <wp:positionH relativeFrom="column">
                  <wp:posOffset>2919095</wp:posOffset>
                </wp:positionH>
                <wp:positionV relativeFrom="paragraph">
                  <wp:posOffset>203835</wp:posOffset>
                </wp:positionV>
                <wp:extent cx="357505" cy="635"/>
                <wp:effectExtent l="0" t="37465" r="4445" b="38100"/>
                <wp:wrapNone/>
                <wp:docPr id="43" name="直接连接符 43"/>
                <wp:cNvGraphicFramePr/>
                <a:graphic xmlns:a="http://schemas.openxmlformats.org/drawingml/2006/main">
                  <a:graphicData uri="http://schemas.microsoft.com/office/word/2010/wordprocessingShape">
                    <wps:wsp>
                      <wps:cNvCnPr/>
                      <wps:spPr>
                        <a:xfrm>
                          <a:off x="0" y="0"/>
                          <a:ext cx="357505" cy="635"/>
                        </a:xfrm>
                        <a:prstGeom prst="line">
                          <a:avLst/>
                        </a:prstGeom>
                        <a:ln w="9525" cap="flat" cmpd="sng">
                          <a:solidFill>
                            <a:srgbClr val="444444"/>
                          </a:solidFill>
                          <a:prstDash val="dash"/>
                          <a:headEnd type="none" w="med" len="med"/>
                          <a:tailEnd type="stealth" w="med" len="med"/>
                        </a:ln>
                      </wps:spPr>
                      <wps:bodyPr upright="1"/>
                    </wps:wsp>
                  </a:graphicData>
                </a:graphic>
              </wp:anchor>
            </w:drawing>
          </mc:Choice>
          <mc:Fallback>
            <w:pict>
              <v:line id="_x0000_s1026" o:spid="_x0000_s1026" o:spt="20" style="position:absolute;left:0pt;margin-left:229.85pt;margin-top:16.05pt;height:0.05pt;width:28.15pt;z-index:251774976;mso-width-relative:page;mso-height-relative:page;" filled="f" stroked="t" coordsize="21600,21600" o:gfxdata="UEsDBAoAAAAAAIdO4kAAAAAAAAAAAAAAAAAEAAAAZHJzL1BLAwQUAAAACACHTuJAeKLk9NcAAAAJ&#10;AQAADwAAAGRycy9kb3ducmV2LnhtbE2PQU7DMBBF90jcwRokdtRxSk0JcSqBBCsq0cIBnNg4AXsc&#10;xW5abs90BcuZefrzfr05Bc9mO6UhogKxKIBZ7KIZ0Cn4eH++WQNLWaPRPqJV8GMTbJrLi1pXJh5x&#10;Z+d9doxCMFVaQZ/zWHGeut4GnRZxtEi3zzgFnWmcHDeTPlJ48LwsCsmDHpA+9Hq0T73tvveHoECK&#10;9CW3a+/n4dG9yHb3tnzdOqWur0TxACzbU/6D4axP6tCQUxsPaBLzCm5X93eEKliWAhgBKyGpXHte&#10;lMCbmv9v0PwCUEsDBBQAAAAIAIdO4kCe/LNT4gEAAJsDAAAOAAAAZHJzL2Uyb0RvYy54bWytU0uO&#10;EzEQ3SNxB8t70vlMBmilM4sJwwZBJOAAFdvdbck/uTzp5BJcAIkdrFiyn9swHIOyExJ+K0Qvqsuu&#10;5+d6r6sXVztr2FZF1N41fDIac6ac8FK7ruFv39w8esIZJnASjHeq4XuF/Gr58MFiCLWa+t4bqSIj&#10;Eof1EBrepxTqqkLRKws48kE5KrY+Wki0jF0lIwzEbk01HY8vq8FHGaIXCpF2V4ciXxb+tlUivWpb&#10;VImZhlNvqcRY4ibHarmAuosQei2ObcA/dGFBO7r0RLWCBOw26j+orBbRo2/TSHhb+bbVQhUNpGYy&#10;/k3N6x6CKlrIHAwnm/D/0YqX23VkWjb8YsaZA0vf6P79l6/vPn67+0Dx/vMnRhWyaQhYE/rareNx&#10;hWEds+ZdG21+kxq2K9buT9aqXWKCNmfzx/PxnDNBpcvZPBNW55MhYnquvGU5abjRLsuGGrYvMB2g&#10;PyB52zg2NPzpfJoJgaamNZAotYF0oOvKWfRGyxttTD6Bsdtcm8i2QHNwUZ5jC7/A8iUrwP6Ak5Rl&#10;FNS9AvnMSZb2gfxxNMk8d2CV5MwoGvycFWQCbc5ITApM6v8OJv3GkQ3Z2IOVOdt4uacvchui7nry&#10;YlL6zBWagGLacVrziP28Lkznf2r5H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Hii5PTXAAAACQEA&#10;AA8AAAAAAAAAAQAgAAAAIgAAAGRycy9kb3ducmV2LnhtbFBLAQIUABQAAAAIAIdO4kCe/LNT4gEA&#10;AJsDAAAOAAAAAAAAAAEAIAAAACYBAABkcnMvZTJvRG9jLnhtbFBLBQYAAAAABgAGAFkBAAB6BQAA&#10;AAA=&#10;">
                <v:fill on="f" focussize="0,0"/>
                <v:stroke color="#444444" joinstyle="round" dashstyle="dash" endarrow="classic"/>
                <v:imagedata o:title=""/>
                <o:lock v:ext="edit" aspectratio="f"/>
              </v:line>
            </w:pict>
          </mc:Fallback>
        </mc:AlternateContent>
      </w:r>
      <w:r>
        <w:rPr>
          <w:color w:val="auto"/>
          <w:sz w:val="24"/>
        </w:rPr>
        <mc:AlternateContent>
          <mc:Choice Requires="wps">
            <w:drawing>
              <wp:anchor distT="0" distB="0" distL="114300" distR="114300" simplePos="0" relativeHeight="251760640" behindDoc="0" locked="0" layoutInCell="1" allowOverlap="1">
                <wp:simplePos x="0" y="0"/>
                <wp:positionH relativeFrom="column">
                  <wp:posOffset>2072640</wp:posOffset>
                </wp:positionH>
                <wp:positionV relativeFrom="paragraph">
                  <wp:posOffset>54610</wp:posOffset>
                </wp:positionV>
                <wp:extent cx="838200" cy="322580"/>
                <wp:effectExtent l="7620" t="7620" r="11430" b="12700"/>
                <wp:wrapNone/>
                <wp:docPr id="36" name="文本框 36"/>
                <wp:cNvGraphicFramePr/>
                <a:graphic xmlns:a="http://schemas.openxmlformats.org/drawingml/2006/main">
                  <a:graphicData uri="http://schemas.microsoft.com/office/word/2010/wordprocessingShape">
                    <wps:wsp>
                      <wps:cNvSpPr txBox="1"/>
                      <wps:spPr>
                        <a:xfrm>
                          <a:off x="0" y="0"/>
                          <a:ext cx="838200" cy="322580"/>
                        </a:xfrm>
                        <a:prstGeom prst="rect">
                          <a:avLst/>
                        </a:prstGeom>
                        <a:noFill/>
                        <a:ln w="15875" cap="flat" cmpd="sng">
                          <a:solidFill>
                            <a:srgbClr val="444444"/>
                          </a:solidFill>
                          <a:prstDash val="solid"/>
                          <a:miter/>
                          <a:headEnd type="none" w="med" len="med"/>
                          <a:tailEnd type="none" w="med" len="med"/>
                        </a:ln>
                      </wps:spPr>
                      <wps:txbx>
                        <w:txbxContent>
                          <w:p>
                            <w:pPr>
                              <w:jc w:val="center"/>
                              <w:rPr>
                                <w:rFonts w:hint="eastAsia" w:eastAsia="宋体"/>
                                <w:lang w:eastAsia="zh-CN"/>
                              </w:rPr>
                            </w:pPr>
                            <w:r>
                              <w:rPr>
                                <w:rFonts w:hint="eastAsia"/>
                                <w:lang w:eastAsia="zh-CN"/>
                              </w:rPr>
                              <w:t>晾干</w:t>
                            </w:r>
                          </w:p>
                        </w:txbxContent>
                      </wps:txbx>
                      <wps:bodyPr upright="1"/>
                    </wps:wsp>
                  </a:graphicData>
                </a:graphic>
              </wp:anchor>
            </w:drawing>
          </mc:Choice>
          <mc:Fallback>
            <w:pict>
              <v:shape id="_x0000_s1026" o:spid="_x0000_s1026" o:spt="202" type="#_x0000_t202" style="position:absolute;left:0pt;margin-left:163.2pt;margin-top:4.3pt;height:25.4pt;width:66pt;z-index:251760640;mso-width-relative:page;mso-height-relative:page;" filled="f" stroked="t" coordsize="21600,21600" o:gfxdata="UEsDBAoAAAAAAIdO4kAAAAAAAAAAAAAAAAAEAAAAZHJzL1BLAwQUAAAACACHTuJAPBaMt9kAAAAI&#10;AQAADwAAAGRycy9kb3ducmV2LnhtbE2PQWuDQBSE74X+h+UVeinNGmOMNT4DLfSSQqAxBI8bfVGp&#10;uyvumqT/vq+n9jjMMPNNtrnpXlxodJ01CPNZAIJMZevONAiH4v05AeG8MrXqrSGEb3Kwye/vMpXW&#10;9mo+6bL3jeAS41KF0Ho/pFK6qiWt3MwOZNg721Erz3JsZD2qK5frXoZBEEutOsMLrRroraXqaz9p&#10;hOkQvn5IWi2ejmVx3K2mbVmUW8THh3mwBuHp5v/C8IvP6JAz08lOpnaiR1iEccRRhCQGwX60TFif&#10;EJYvEcg8k/8P5D9QSwMEFAAAAAgAh07iQJT+bzvuAQAAwQMAAA4AAABkcnMvZTJvRG9jLnhtbK1T&#10;zY7TMBC+I/EOlu803ZYuUdR0JSjLBQHSwgO4tpNY8p9sb5O+ALwBJy7cea4+x352d7v8XBAiB2cy&#10;8/mbmW8m66vJaLKXISpnW3oxm1MiLXdC2b6lnz5eP6spiYlZwbSzsqUHGenV5umT9egbuXCD00IG&#10;AhIbm9G3dEjJN1UV+SANizPnpUWwc8GwhM/QVyKwEexGV4v5/LIaXRA+OC5jhHd7CtJN4e86ydP7&#10;rosyEd1S1JbKGcq5y2e1WbOmD8wPit+Xwf6hCsOURdIz1ZYlRm6D+oPKKB5cdF2acWcq13WKy9ID&#10;urmY/9bNzcC8LL1AnOjPMsX/R8vf7T8EokRLl5eUWGYwo+PXL8dvP47fPxP4INDoYwPcjQcyTS/d&#10;hEE/+COcue+pCya/0RFBHFIfzvLKKREOZ72sMTJKOELLxWJVF/mrx8s+xPRGOkOy0dKA6RVR2f5t&#10;TCgE0AdIzmXdtdK6TFBbMqKqVf1iBX6GReo0SzCNR2vR9oUnOq1EvpNvx9DvXulA9gyr8bw8uSnk&#10;+AWWE25ZHE64EjotjVFJhpJ8kEy8toKkg4d6FntOczVGCkq0xG+RrYJMTOm/QaIIbVFLVv6kcLbS&#10;tJtAk82dEwdM49YH1Q+QqsyjwLEnpYn7nc6L+PN3IX388zZ3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PBaMt9kAAAAIAQAADwAAAAAAAAABACAAAAAiAAAAZHJzL2Rvd25yZXYueG1sUEsBAhQAFAAA&#10;AAgAh07iQJT+bzvuAQAAwQMAAA4AAAAAAAAAAQAgAAAAKAEAAGRycy9lMm9Eb2MueG1sUEsFBgAA&#10;AAAGAAYAWQEAAIgFAAAAAA==&#10;">
                <v:fill on="f" focussize="0,0"/>
                <v:stroke weight="1.25pt" color="#444444" joinstyle="miter"/>
                <v:imagedata o:title=""/>
                <o:lock v:ext="edit" aspectratio="f"/>
                <v:textbox>
                  <w:txbxContent>
                    <w:p>
                      <w:pPr>
                        <w:jc w:val="center"/>
                        <w:rPr>
                          <w:rFonts w:hint="eastAsia" w:eastAsia="宋体"/>
                          <w:lang w:eastAsia="zh-CN"/>
                        </w:rPr>
                      </w:pPr>
                      <w:r>
                        <w:rPr>
                          <w:rFonts w:hint="eastAsia"/>
                          <w:lang w:eastAsia="zh-CN"/>
                        </w:rPr>
                        <w:t>晾干</w:t>
                      </w:r>
                    </w:p>
                  </w:txbxContent>
                </v:textbox>
              </v:shape>
            </w:pict>
          </mc:Fallback>
        </mc:AlternateContent>
      </w:r>
    </w:p>
    <w:p>
      <w:pPr>
        <w:spacing w:line="360" w:lineRule="auto"/>
        <w:ind w:firstLine="480" w:firstLineChars="200"/>
        <w:jc w:val="center"/>
        <w:rPr>
          <w:rFonts w:hint="eastAsia"/>
          <w:color w:val="auto"/>
          <w:sz w:val="24"/>
        </w:rPr>
      </w:pPr>
      <w:r>
        <w:rPr>
          <w:color w:val="auto"/>
          <w:sz w:val="24"/>
        </w:rPr>
        <mc:AlternateContent>
          <mc:Choice Requires="wps">
            <w:drawing>
              <wp:anchor distT="0" distB="0" distL="114300" distR="114300" simplePos="0" relativeHeight="251761664" behindDoc="0" locked="0" layoutInCell="1" allowOverlap="1">
                <wp:simplePos x="0" y="0"/>
                <wp:positionH relativeFrom="column">
                  <wp:posOffset>2485390</wp:posOffset>
                </wp:positionH>
                <wp:positionV relativeFrom="paragraph">
                  <wp:posOffset>86360</wp:posOffset>
                </wp:positionV>
                <wp:extent cx="635" cy="372745"/>
                <wp:effectExtent l="37465" t="0" r="38100" b="8255"/>
                <wp:wrapNone/>
                <wp:docPr id="17" name="直接连接符 17"/>
                <wp:cNvGraphicFramePr/>
                <a:graphic xmlns:a="http://schemas.openxmlformats.org/drawingml/2006/main">
                  <a:graphicData uri="http://schemas.microsoft.com/office/word/2010/wordprocessingShape">
                    <wps:wsp>
                      <wps:cNvCnPr/>
                      <wps:spPr>
                        <a:xfrm>
                          <a:off x="0" y="0"/>
                          <a:ext cx="635" cy="372745"/>
                        </a:xfrm>
                        <a:prstGeom prst="line">
                          <a:avLst/>
                        </a:prstGeom>
                        <a:ln w="15875" cap="flat" cmpd="sng">
                          <a:solidFill>
                            <a:srgbClr val="444444"/>
                          </a:solidFill>
                          <a:prstDash val="solid"/>
                          <a:headEnd type="none" w="med" len="med"/>
                          <a:tailEnd type="triangle" w="med" len="med"/>
                        </a:ln>
                      </wps:spPr>
                      <wps:bodyPr upright="1"/>
                    </wps:wsp>
                  </a:graphicData>
                </a:graphic>
              </wp:anchor>
            </w:drawing>
          </mc:Choice>
          <mc:Fallback>
            <w:pict>
              <v:line id="_x0000_s1026" o:spid="_x0000_s1026" o:spt="20" style="position:absolute;left:0pt;margin-left:195.7pt;margin-top:6.8pt;height:29.35pt;width:0.05pt;z-index:251761664;mso-width-relative:page;mso-height-relative:page;" filled="f" stroked="t" coordsize="21600,21600" o:gfxdata="UEsDBAoAAAAAAIdO4kAAAAAAAAAAAAAAAAAEAAAAZHJzL1BLAwQUAAAACACHTuJAxvg6NdYAAAAJ&#10;AQAADwAAAGRycy9kb3ducmV2LnhtbE2PuU7DQBCGeyTeYTVINIisjxDAeJ0CRIEURRAQ9cQ7sS32&#10;wrvO8fYMFZQz/6f/qJdHa8Sexjh4pyCfZSDItV4PrlPw8f58fQciJnQajXek4EQRls35WY2V9gf3&#10;RvtN6gSbuFihgj6lUEkZ254sxpkP5Fjb+dFi4nPspB7xwObWyCLLFtLi4Dihx0CPPbVfm8lyrjFm&#10;PQ+vTwWe1i+7VZi+P1dXSl1e5NkDiETH9AfDb32uDg132vrJ6SiMgvI+nzPKQrkAwQA/bkBsFdwW&#10;Jcimlv8XND9QSwMEFAAAAAgAh07iQIakDrDjAQAAngMAAA4AAABkcnMvZTJvRG9jLnhtbK1TS44T&#10;MRDdI3EHy3vSSWYyGbXSmcWEYYMgEnCAiu3utuSfyp50cgkugMQOVizZcxuGY1B2QsJHbBC9qC67&#10;nl/Xe65e3OysYVuFUXvX8MlozJlywkvtuoa/eX335JqzmMBJMN6phu9V5DfLx48WQ6jV1PfeSIWM&#10;SFysh9DwPqVQV1UUvbIQRz4oR8XWo4VES+wqiTAQuzXVdDy+qgaPMqAXKkbaXR2KfFn421aJ9LJt&#10;o0rMNJx6SyViiZscq+UC6g4h9Foc24B/6MKCdvTRE9UKErB71H9QWS3QR9+mkfC28m2rhSoaSM1k&#10;/JuaVz0EVbSQOTGcbIr/j1a82K6RaUl3N+fMgaU7enj3+evbD9++vKf48OkjowrZNIRYE/rWrfG4&#10;imGNWfOuRZvfpIbtirX7k7Vql5igzauLGWeC9i/m0/nlLBNW55MBY3qmvGU5abjRLsuGGrbPYzpA&#10;f0DytnFsoIZn1/NMCjQ2rYFEqQ0kJLquHI7eaHmnjclHInabW4NsCzQIl+U59vALLH9lBbE/4Eop&#10;w6DuFcinTrK0D+SQo1nmuQerJGdG0ejnrCATaHNGJtTgOvMXNFlgHDmRvT24mbONl3u6lPuAuuvJ&#10;jknpNFdoCIpvx4HNU/bzujCdf6vld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Mb4OjXWAAAACQEA&#10;AA8AAAAAAAAAAQAgAAAAIgAAAGRycy9kb3ducmV2LnhtbFBLAQIUABQAAAAIAIdO4kCGpA6w4wEA&#10;AJ4DAAAOAAAAAAAAAAEAIAAAACUBAABkcnMvZTJvRG9jLnhtbFBLBQYAAAAABgAGAFkBAAB6BQAA&#10;AAA=&#10;">
                <v:fill on="f" focussize="0,0"/>
                <v:stroke weight="1.25pt" color="#444444" joinstyle="round" endarrow="block"/>
                <v:imagedata o:title=""/>
                <o:lock v:ext="edit" aspectratio="f"/>
              </v:line>
            </w:pict>
          </mc:Fallback>
        </mc:AlternateContent>
      </w:r>
    </w:p>
    <w:p>
      <w:pPr>
        <w:spacing w:line="360" w:lineRule="auto"/>
        <w:ind w:firstLine="480" w:firstLineChars="200"/>
        <w:jc w:val="center"/>
        <w:rPr>
          <w:rFonts w:hint="eastAsia"/>
          <w:color w:val="auto"/>
          <w:sz w:val="24"/>
        </w:rPr>
      </w:pPr>
      <w:r>
        <w:rPr>
          <w:color w:val="auto"/>
          <w:sz w:val="24"/>
        </w:rPr>
        <mc:AlternateContent>
          <mc:Choice Requires="wps">
            <w:drawing>
              <wp:anchor distT="0" distB="0" distL="114300" distR="114300" simplePos="0" relativeHeight="251777024" behindDoc="0" locked="0" layoutInCell="1" allowOverlap="1">
                <wp:simplePos x="0" y="0"/>
                <wp:positionH relativeFrom="column">
                  <wp:posOffset>3234690</wp:posOffset>
                </wp:positionH>
                <wp:positionV relativeFrom="paragraph">
                  <wp:posOffset>158115</wp:posOffset>
                </wp:positionV>
                <wp:extent cx="499110" cy="322580"/>
                <wp:effectExtent l="0" t="0" r="0" b="0"/>
                <wp:wrapNone/>
                <wp:docPr id="39" name="文本框 39"/>
                <wp:cNvGraphicFramePr/>
                <a:graphic xmlns:a="http://schemas.openxmlformats.org/drawingml/2006/main">
                  <a:graphicData uri="http://schemas.microsoft.com/office/word/2010/wordprocessingShape">
                    <wps:wsp>
                      <wps:cNvSpPr txBox="1"/>
                      <wps:spPr>
                        <a:xfrm>
                          <a:off x="0" y="0"/>
                          <a:ext cx="499110" cy="322580"/>
                        </a:xfrm>
                        <a:prstGeom prst="rect">
                          <a:avLst/>
                        </a:prstGeom>
                        <a:noFill/>
                        <a:ln w="15875">
                          <a:noFill/>
                        </a:ln>
                      </wps:spPr>
                      <wps:txbx>
                        <w:txbxContent>
                          <w:p>
                            <w:pPr>
                              <w:jc w:val="left"/>
                              <w:rPr>
                                <w:rFonts w:hint="eastAsia" w:eastAsia="宋体"/>
                                <w:lang w:val="en-US" w:eastAsia="zh-CN"/>
                              </w:rPr>
                            </w:pPr>
                            <w:r>
                              <w:rPr>
                                <w:rFonts w:hint="eastAsia"/>
                                <w:lang w:val="en-US" w:eastAsia="zh-CN"/>
                              </w:rPr>
                              <w:t>G4</w:t>
                            </w:r>
                          </w:p>
                        </w:txbxContent>
                      </wps:txbx>
                      <wps:bodyPr upright="1"/>
                    </wps:wsp>
                  </a:graphicData>
                </a:graphic>
              </wp:anchor>
            </w:drawing>
          </mc:Choice>
          <mc:Fallback>
            <w:pict>
              <v:shape id="_x0000_s1026" o:spid="_x0000_s1026" o:spt="202" type="#_x0000_t202" style="position:absolute;left:0pt;margin-left:254.7pt;margin-top:12.45pt;height:25.4pt;width:39.3pt;z-index:251777024;mso-width-relative:page;mso-height-relative:page;" filled="f" stroked="f" coordsize="21600,21600" o:gfxdata="UEsDBAoAAAAAAIdO4kAAAAAAAAAAAAAAAAAEAAAAZHJzL1BLAwQUAAAACACHTuJAQPOWRtwAAAAJ&#10;AQAADwAAAGRycy9kb3ducmV2LnhtbE2PQU+DQBCF7yb+h82YeDF2tw1Yigw92PRgtDFWox63MAKR&#10;3SXsAq2/3vGkx8l8ee972fpoWjFS7xtnEeYzBYJs4crGVgivL9vrBIQP2pa6dZYQTuRhnZ+fZTot&#10;3WSfadyHSnCI9alGqEPoUil9UZPRfuY6svz7dL3Rgc++kmWvJw43rVwodSONbiw31Lqju5qKr/1g&#10;EMadit4ei/fTcLXdfNwnTxv/MH0jXl7M1S2IQMfwB8OvPqtDzk4HN9jSixYhVquIUYRFtALBQJwk&#10;PO6AsIyXIPNM/l+Q/wBQSwMEFAAAAAgAh07iQF8XcKmXAQAACwMAAA4AAABkcnMvZTJvRG9jLnht&#10;bK1SO04DMRDtkbiD5Z5sEggkq2yQEAoNAqTAARyvnbVkeyzbZDcXgBtQ0dBzrpyDWeeHoEM0Y3s+&#10;b+a98fiyMZoshQ8KbEF7nS4lwnIolV0U9OlxejKkJERmS6bBioKuRKCXk+Ojce1y0YcKdCk8QRAb&#10;8toVtIrR5VkWeCUMCx1wwmJQgjcs4tMvstKzGtGNzvrd7nlWgy+dBy5CQO/1JkgnCV9KweO9lEFE&#10;oguKs8VkfbLz1maTMcsXnrlK8e0Y7A9TGKYsNt1DXbPIyLNXv6CM4h4CyNjhYDKQUnGROCCbXvcH&#10;m1nFnEhcUJzg9jKF/4Pld8sHT1RZ0NMRJZYZ3NH67XX9/rn+eCHoQ4FqF3LMmznMjM0VNLjonT+g&#10;s+XdSG/aExkRjKPUq728oomEo/NsNOr1MMIxdNrvD4ZJ/uxQ7HyINwIMaS8F9bi9JCpb3oaIg2Dq&#10;LqXtZWGqtE4b1JbUONVgeDFIFfsQlmiLlS2HzaztLTbzZktsDuUKeT07rxYVNk3MUjoqnlpuf0e7&#10;0u/vBHr4w5Mv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DAQAAFtDb250ZW50X1R5cGVzXS54bWxQSwECFAAKAAAAAACHTuJAAAAAAAAAAAAAAAAA&#10;BgAAAAAAAAAAABAAAADuAgAAX3JlbHMvUEsBAhQAFAAAAAgAh07iQIoUZjzRAAAAlAEAAAsAAAAA&#10;AAAAAQAgAAAAEgMAAF9yZWxzLy5yZWxzUEsBAhQACgAAAAAAh07iQAAAAAAAAAAAAAAAAAQAAAAA&#10;AAAAAAAQAAAAAAAAAGRycy9QSwECFAAUAAAACACHTuJAQPOWRtwAAAAJAQAADwAAAAAAAAABACAA&#10;AAAiAAAAZHJzL2Rvd25yZXYueG1sUEsBAhQAFAAAAAgAh07iQF8XcKmXAQAACwMAAA4AAAAAAAAA&#10;AQAgAAAAKwEAAGRycy9lMm9Eb2MueG1sUEsFBgAAAAAGAAYAWQEAADQFAAAAAA==&#10;">
                <v:fill on="f" focussize="0,0"/>
                <v:stroke on="f" weight="1.25pt"/>
                <v:imagedata o:title=""/>
                <o:lock v:ext="edit" aspectratio="f"/>
                <v:textbox>
                  <w:txbxContent>
                    <w:p>
                      <w:pPr>
                        <w:jc w:val="left"/>
                        <w:rPr>
                          <w:rFonts w:hint="eastAsia" w:eastAsia="宋体"/>
                          <w:lang w:val="en-US" w:eastAsia="zh-CN"/>
                        </w:rPr>
                      </w:pPr>
                      <w:r>
                        <w:rPr>
                          <w:rFonts w:hint="eastAsia"/>
                          <w:lang w:val="en-US" w:eastAsia="zh-CN"/>
                        </w:rPr>
                        <w:t>G4</w:t>
                      </w:r>
                    </w:p>
                  </w:txbxContent>
                </v:textbox>
              </v:shape>
            </w:pict>
          </mc:Fallback>
        </mc:AlternateContent>
      </w:r>
      <w:r>
        <w:rPr>
          <w:color w:val="auto"/>
          <w:sz w:val="24"/>
        </w:rPr>
        <mc:AlternateContent>
          <mc:Choice Requires="wps">
            <w:drawing>
              <wp:anchor distT="0" distB="0" distL="114300" distR="114300" simplePos="0" relativeHeight="251762688" behindDoc="0" locked="0" layoutInCell="1" allowOverlap="1">
                <wp:simplePos x="0" y="0"/>
                <wp:positionH relativeFrom="column">
                  <wp:posOffset>2062480</wp:posOffset>
                </wp:positionH>
                <wp:positionV relativeFrom="paragraph">
                  <wp:posOffset>170815</wp:posOffset>
                </wp:positionV>
                <wp:extent cx="838200" cy="322580"/>
                <wp:effectExtent l="7620" t="7620" r="11430" b="12700"/>
                <wp:wrapNone/>
                <wp:docPr id="37" name="文本框 37"/>
                <wp:cNvGraphicFramePr/>
                <a:graphic xmlns:a="http://schemas.openxmlformats.org/drawingml/2006/main">
                  <a:graphicData uri="http://schemas.microsoft.com/office/word/2010/wordprocessingShape">
                    <wps:wsp>
                      <wps:cNvSpPr txBox="1"/>
                      <wps:spPr>
                        <a:xfrm>
                          <a:off x="0" y="0"/>
                          <a:ext cx="838200" cy="322580"/>
                        </a:xfrm>
                        <a:prstGeom prst="rect">
                          <a:avLst/>
                        </a:prstGeom>
                        <a:noFill/>
                        <a:ln w="15875" cap="flat" cmpd="sng">
                          <a:solidFill>
                            <a:srgbClr val="444444"/>
                          </a:solidFill>
                          <a:prstDash val="solid"/>
                          <a:miter/>
                          <a:headEnd type="none" w="med" len="med"/>
                          <a:tailEnd type="none" w="med" len="med"/>
                        </a:ln>
                      </wps:spPr>
                      <wps:txbx>
                        <w:txbxContent>
                          <w:p>
                            <w:pPr>
                              <w:jc w:val="center"/>
                              <w:rPr>
                                <w:rFonts w:hint="eastAsia" w:eastAsia="宋体"/>
                                <w:lang w:eastAsia="zh-CN"/>
                              </w:rPr>
                            </w:pPr>
                            <w:r>
                              <w:rPr>
                                <w:rFonts w:hint="eastAsia"/>
                                <w:lang w:eastAsia="zh-CN"/>
                              </w:rPr>
                              <w:t>烘干</w:t>
                            </w:r>
                          </w:p>
                        </w:txbxContent>
                      </wps:txbx>
                      <wps:bodyPr upright="1"/>
                    </wps:wsp>
                  </a:graphicData>
                </a:graphic>
              </wp:anchor>
            </w:drawing>
          </mc:Choice>
          <mc:Fallback>
            <w:pict>
              <v:shape id="_x0000_s1026" o:spid="_x0000_s1026" o:spt="202" type="#_x0000_t202" style="position:absolute;left:0pt;margin-left:162.4pt;margin-top:13.45pt;height:25.4pt;width:66pt;z-index:251762688;mso-width-relative:page;mso-height-relative:page;" filled="f" stroked="t" coordsize="21600,21600" o:gfxdata="UEsDBAoAAAAAAIdO4kAAAAAAAAAAAAAAAAAEAAAAZHJzL1BLAwQUAAAACACHTuJAzFqa69sAAAAJ&#10;AQAADwAAAGRycy9kb3ducmV2LnhtbE2PQUvDQBCF74L/YRnBi9hN05q1MZuCgpcKBZtSctwm0ySY&#10;nQ3ZTVv/veNJj/Pm8d73svXV9uKMo+8caZjPIhBIlas7ajTsi/fHZxA+GKpN7wg1fKOHdX57k5m0&#10;dhf6xPMuNIJDyKdGQxvCkErpqxat8TM3IPHv5EZrAp9jI+vRXDjc9jKOokRa0xE3tGbAtxarr91k&#10;NUz7+PVDolo8HMrisFXTpizKjdb3d/PoBUTAa/gzwy8+o0POTEc3Ue1Fr2ERLxk9aIiTFQg2LJ8S&#10;Fo4alFIg80z+X5D/AFBLAwQUAAAACACHTuJAztHxx+4BAADBAwAADgAAAGRycy9lMm9Eb2MueG1s&#10;rVPNjtMwEL4j8Q6W7zTdlrJR1HQlKMsFAdLCA7i2k1jyn2xvk74AvAEnLtx5rj7HfnZ3u/xcECIH&#10;ZzLz+ZuZbybrq8lospchKmdbejGbUyItd0LZvqWfPl4/qymJiVnBtLOypQcZ6dXm6ZP16Bu5cIPT&#10;QgYCEhub0bd0SMk3VRX5IA2LM+elRbBzwbCEz9BXIrAR7EZXi/n8RTW6IHxwXMYI7/YUpJvC33WS&#10;p/ddF2UiuqWoLZUzlHOXz2qzZk0fmB8Uvy+D/UMVhimLpGeqLUuM3Ab1B5VRPLjoujTjzlSu6xSX&#10;pQd0czH/rZubgXlZeoE40Z9liv+Plr/bfwhEiZYuLymxzGBGx69fjt9+HL9/JvBBoNHHBrgbD2Sa&#10;XroJg37wRzhz31MXTH6jI4I4pD6c5ZVTIhzOelljZJRwhJaLxaou8lePl32I6Y10hmSjpQHTK6Ky&#10;/duYUAigD5Ccy7prpXWZoLZkRFWr+nIFfoZF6jRLMI1Ha9H2hSc6rUS+k2/H0O9e6UD2DKvxvDy5&#10;KeT4BZYTblkcTrgSOi2NUUmGknyQTLy2gqSDh3oWe05zNUYKSrTEb5GtgkxM6b9BoghtUUtW/qRw&#10;ttK0m0CTzZ0TB0zj1gfVD5CqzKPAsSelifudzov483chffzzNnd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DMWprr2wAAAAkBAAAPAAAAAAAAAAEAIAAAACIAAABkcnMvZG93bnJldi54bWxQSwECFAAU&#10;AAAACACHTuJAztHxx+4BAADBAwAADgAAAAAAAAABACAAAAAqAQAAZHJzL2Uyb0RvYy54bWxQSwUG&#10;AAAAAAYABgBZAQAAigUAAAAA&#10;">
                <v:fill on="f" focussize="0,0"/>
                <v:stroke weight="1.25pt" color="#444444" joinstyle="miter"/>
                <v:imagedata o:title=""/>
                <o:lock v:ext="edit" aspectratio="f"/>
                <v:textbox>
                  <w:txbxContent>
                    <w:p>
                      <w:pPr>
                        <w:jc w:val="center"/>
                        <w:rPr>
                          <w:rFonts w:hint="eastAsia" w:eastAsia="宋体"/>
                          <w:lang w:eastAsia="zh-CN"/>
                        </w:rPr>
                      </w:pPr>
                      <w:r>
                        <w:rPr>
                          <w:rFonts w:hint="eastAsia"/>
                          <w:lang w:eastAsia="zh-CN"/>
                        </w:rPr>
                        <w:t>烘干</w:t>
                      </w:r>
                    </w:p>
                  </w:txbxContent>
                </v:textbox>
              </v:shape>
            </w:pict>
          </mc:Fallback>
        </mc:AlternateContent>
      </w:r>
    </w:p>
    <w:p>
      <w:pPr>
        <w:spacing w:line="360" w:lineRule="auto"/>
        <w:ind w:firstLine="480" w:firstLineChars="200"/>
        <w:jc w:val="center"/>
        <w:rPr>
          <w:rFonts w:hint="eastAsia"/>
          <w:color w:val="auto"/>
          <w:sz w:val="24"/>
        </w:rPr>
      </w:pPr>
      <w:r>
        <w:rPr>
          <w:color w:val="auto"/>
          <w:sz w:val="24"/>
        </w:rPr>
        <mc:AlternateContent>
          <mc:Choice Requires="wps">
            <w:drawing>
              <wp:anchor distT="0" distB="0" distL="114300" distR="114300" simplePos="0" relativeHeight="251763712" behindDoc="0" locked="0" layoutInCell="1" allowOverlap="1">
                <wp:simplePos x="0" y="0"/>
                <wp:positionH relativeFrom="column">
                  <wp:posOffset>2492375</wp:posOffset>
                </wp:positionH>
                <wp:positionV relativeFrom="paragraph">
                  <wp:posOffset>196215</wp:posOffset>
                </wp:positionV>
                <wp:extent cx="635" cy="387985"/>
                <wp:effectExtent l="37465" t="0" r="38100" b="12065"/>
                <wp:wrapNone/>
                <wp:docPr id="3" name="直接连接符 3"/>
                <wp:cNvGraphicFramePr/>
                <a:graphic xmlns:a="http://schemas.openxmlformats.org/drawingml/2006/main">
                  <a:graphicData uri="http://schemas.microsoft.com/office/word/2010/wordprocessingShape">
                    <wps:wsp>
                      <wps:cNvCnPr/>
                      <wps:spPr>
                        <a:xfrm>
                          <a:off x="0" y="0"/>
                          <a:ext cx="635" cy="387985"/>
                        </a:xfrm>
                        <a:prstGeom prst="line">
                          <a:avLst/>
                        </a:prstGeom>
                        <a:ln w="15875" cap="flat" cmpd="sng">
                          <a:solidFill>
                            <a:srgbClr val="444444"/>
                          </a:solidFill>
                          <a:prstDash val="solid"/>
                          <a:headEnd type="none" w="med" len="med"/>
                          <a:tailEnd type="triangle" w="med" len="med"/>
                        </a:ln>
                      </wps:spPr>
                      <wps:bodyPr upright="1"/>
                    </wps:wsp>
                  </a:graphicData>
                </a:graphic>
              </wp:anchor>
            </w:drawing>
          </mc:Choice>
          <mc:Fallback>
            <w:pict>
              <v:line id="_x0000_s1026" o:spid="_x0000_s1026" o:spt="20" style="position:absolute;left:0pt;margin-left:196.25pt;margin-top:15.45pt;height:30.55pt;width:0.05pt;z-index:251763712;mso-width-relative:page;mso-height-relative:page;" filled="f" stroked="t" coordsize="21600,21600" o:gfxdata="UEsDBAoAAAAAAIdO4kAAAAAAAAAAAAAAAAAEAAAAZHJzL1BLAwQUAAAACACHTuJAbk4bV9gAAAAJ&#10;AQAADwAAAGRycy9kb3ducmV2LnhtbE2PzU7DMBCE70i8g7VIXBC1G6AiIU4PIA5IVQUFcd7GbhJh&#10;r03s9OftWU5w290ZzXxbL4/eib0d0xBIw3ymQFhqgxmo0/Dx/nx9DyJlJIMukNVwsgmWzflZjZUJ&#10;B3qz+03uBIdQqlBDn3OspExtbz2mWYiWWNuF0WPmdeykGfHA4d7JQqmF9DgQN/QY7WNv26/N5LnX&#10;Obe+ja9PBZ7WL7tVnL4/V1daX17M1QOIbI/5zwy/+IwODTNtw0QmCafhpizu2MqDKkGwgQ8LEFsN&#10;ZaFANrX8/0HzA1BLAwQUAAAACACHTuJAe++qY+IBAACcAwAADgAAAGRycy9lMm9Eb2MueG1srVNL&#10;jhMxEN0jcQfLe9LJhMyEVjqzmDBsEEQCDlCx3d2W/FPZk04uwQWQ2MGKJXtuw3AMyk5I+IgNohfV&#10;5fLzc73X1YvrnTVsqzBq7xo+GY05U054qV3X8Devbx/NOYsJnATjnWr4XkV+vXz4YDGEWl343hup&#10;kBGJi/UQGt6nFOqqiqJXFuLIB+Vos/VoIdESu0oiDMRuTXUxHl9Wg0cZ0AsVI1VXh02+LPxtq0R6&#10;2bZRJWYaTr2lErHETY7VcgF1hxB6LY5twD90YUE7uvREtYIE7A71H1RWC/TRt2kkvK1822qhigZS&#10;Mxn/puZVD0EVLWRODCeb4v+jFS+2a2RaNnzKmQNLn+j+3eevbz98+/Ke4v2nj2yaTRpCrAl749Z4&#10;XMWwxqx416LNb9LCdsXY/clYtUtMUPFyOuNMUH06v3oyn2XC6nwyYEzPlLcsJw032mXRUMP2eUwH&#10;6A9ILhvHBhq12fwqkwINTWsgUWoDyYiuK4ejN1reamPykYjd5sYg2wKNwePyHHv4BZZvWUHsD7iy&#10;lWFQ9wrkUydZ2gcyyNEk89yDVZIzo2jwc1aQCbQ5IxNqcJ35C5osMI6cyN4e3MzZxss9fZK7gLrr&#10;yY5J6TTv0AgU347jmmfs53VhOv9Uy+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BuThtX2AAAAAkB&#10;AAAPAAAAAAAAAAEAIAAAACIAAABkcnMvZG93bnJldi54bWxQSwECFAAUAAAACACHTuJAe++qY+IB&#10;AACcAwAADgAAAAAAAAABACAAAAAnAQAAZHJzL2Uyb0RvYy54bWxQSwUGAAAAAAYABgBZAQAAewUA&#10;AAAA&#10;">
                <v:fill on="f" focussize="0,0"/>
                <v:stroke weight="1.25pt" color="#444444" joinstyle="round" endarrow="block"/>
                <v:imagedata o:title=""/>
                <o:lock v:ext="edit" aspectratio="f"/>
              </v:line>
            </w:pict>
          </mc:Fallback>
        </mc:AlternateContent>
      </w:r>
      <w:r>
        <w:rPr>
          <w:color w:val="auto"/>
          <w:sz w:val="24"/>
        </w:rPr>
        <mc:AlternateContent>
          <mc:Choice Requires="wps">
            <w:drawing>
              <wp:anchor distT="0" distB="0" distL="114300" distR="114300" simplePos="0" relativeHeight="251776000" behindDoc="0" locked="0" layoutInCell="1" allowOverlap="1">
                <wp:simplePos x="0" y="0"/>
                <wp:positionH relativeFrom="column">
                  <wp:posOffset>2911475</wp:posOffset>
                </wp:positionH>
                <wp:positionV relativeFrom="paragraph">
                  <wp:posOffset>20955</wp:posOffset>
                </wp:positionV>
                <wp:extent cx="357505" cy="635"/>
                <wp:effectExtent l="0" t="37465" r="4445" b="38100"/>
                <wp:wrapNone/>
                <wp:docPr id="4" name="直接连接符 4"/>
                <wp:cNvGraphicFramePr/>
                <a:graphic xmlns:a="http://schemas.openxmlformats.org/drawingml/2006/main">
                  <a:graphicData uri="http://schemas.microsoft.com/office/word/2010/wordprocessingShape">
                    <wps:wsp>
                      <wps:cNvCnPr/>
                      <wps:spPr>
                        <a:xfrm>
                          <a:off x="0" y="0"/>
                          <a:ext cx="357505" cy="635"/>
                        </a:xfrm>
                        <a:prstGeom prst="line">
                          <a:avLst/>
                        </a:prstGeom>
                        <a:ln w="9525" cap="flat" cmpd="sng">
                          <a:solidFill>
                            <a:srgbClr val="444444"/>
                          </a:solidFill>
                          <a:prstDash val="dash"/>
                          <a:headEnd type="none" w="med" len="med"/>
                          <a:tailEnd type="stealth" w="med" len="med"/>
                        </a:ln>
                      </wps:spPr>
                      <wps:bodyPr upright="1"/>
                    </wps:wsp>
                  </a:graphicData>
                </a:graphic>
              </wp:anchor>
            </w:drawing>
          </mc:Choice>
          <mc:Fallback>
            <w:pict>
              <v:line id="_x0000_s1026" o:spid="_x0000_s1026" o:spt="20" style="position:absolute;left:0pt;margin-left:229.25pt;margin-top:1.65pt;height:0.05pt;width:28.15pt;z-index:251776000;mso-width-relative:page;mso-height-relative:page;" filled="f" stroked="t" coordsize="21600,21600" o:gfxdata="UEsDBAoAAAAAAIdO4kAAAAAAAAAAAAAAAAAEAAAAZHJzL1BLAwQUAAAACACHTuJAmIc5xtUAAAAH&#10;AQAADwAAAGRycy9kb3ducmV2LnhtbE2PzU7DMBCE70i8g7VI3KgT8qMoxKkEEpyoRFsewImXJGCv&#10;o9hNy9uznOA4mtHMN8324qxYcQmTJwXpJgGB1Hsz0aDg/fh8V4EIUZPR1hMq+MYA2/b6qtG18Wfa&#10;43qIg+ASCrVWMMY411KGfkSnw8bPSOx9+MXpyHIZpFn0mcudlfdJUkqnJ+KFUc/4NGL/dTg5BWUa&#10;PstdZe06PQ4vZbd/y153g1K3N2nyACLiJf6F4Ref0aFlps6fyARhFeRFVXBUQZaBYL9Ic77Ssc5B&#10;to38z9/+AFBLAwQUAAAACACHTuJALv0ECuEBAACZAwAADgAAAGRycy9lMm9Eb2MueG1srVNLjhMx&#10;EN0jcQfLe9JJJhmglc4sJgwbBJGAA1Rsd7cl/+TypJNLcAEkdrBiyX5uw3AMyk5I+K0Qvaguu55f&#10;13uuXlztrGFbFVF71/DJaMyZcsJL7bqGv31z8+gJZ5jASTDeqYbvFfKr5cMHiyHUaup7b6SKjEgc&#10;1kNoeJ9SqKsKRa8s4MgH5ajY+mgh0TJ2lYwwELs11XQ8vqwGH2WIXihE2l0dinxZ+NtWifSqbVEl&#10;ZhpOvaUSY4mbHKvlAuouQui1OLYB/9CFBe3ooyeqFSRgt1H/QWW1iB59m0bC28q3rRaqaCA1k/Fv&#10;al73EFTRQuZgONmE/49WvNyuI9Oy4TPOHFi6ovv3X76++/jt7gPF+8+f2CybNASsCXvt1vG4wrCO&#10;WfGujTa/SQvbFWP3J2PVLjFBmxfzx/PxnDNBpcuLeSaszidDxPRcecty0nCjXRYNNWxfYDpAf0Dy&#10;tnFsaPjT+TQTAs1MayBRagOpQNeVs+iNljfamHwCY7e5NpFtgaZgVp5jC7/A8kdWgP0BJynLKKh7&#10;BfKZkyztA9njaI557sAqyZlRNPY5K8gE2pyRmBSY1P8dTPqNIxuysQcrc7bxck/3cRui7nryYlL6&#10;zBW6/2LacVbzgP28LkznP2r5H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E8EAABbQ29udGVudF9UeXBlc10ueG1sUEsBAhQACgAAAAAAh07iQAAA&#10;AAAAAAAAAAAAAAYAAAAAAAAAAAAQAAAAMQMAAF9yZWxzL1BLAQIUABQAAAAIAIdO4kCKFGY80QAA&#10;AJQBAAALAAAAAAAAAAEAIAAAAFUDAABfcmVscy8ucmVsc1BLAQIUAAoAAAAAAIdO4kAAAAAAAAAA&#10;AAAAAAAEAAAAAAAAAAAAEAAAAAAAAABkcnMvUEsBAhQAFAAAAAgAh07iQJiHOcbVAAAABwEAAA8A&#10;AAAAAAAAAQAgAAAAIgAAAGRycy9kb3ducmV2LnhtbFBLAQIUABQAAAAIAIdO4kAu/QQK4QEAAJkD&#10;AAAOAAAAAAAAAAEAIAAAACQBAABkcnMvZTJvRG9jLnhtbFBLBQYAAAAABgAGAFkBAAB3BQAAAAA=&#10;">
                <v:fill on="f" focussize="0,0"/>
                <v:stroke color="#444444" joinstyle="round" dashstyle="dash" endarrow="classic"/>
                <v:imagedata o:title=""/>
                <o:lock v:ext="edit" aspectratio="f"/>
              </v:line>
            </w:pict>
          </mc:Fallback>
        </mc:AlternateContent>
      </w:r>
    </w:p>
    <w:p>
      <w:pPr>
        <w:spacing w:line="360" w:lineRule="auto"/>
        <w:ind w:firstLine="480" w:firstLineChars="200"/>
        <w:jc w:val="center"/>
        <w:rPr>
          <w:rFonts w:hint="eastAsia"/>
          <w:color w:val="auto"/>
          <w:sz w:val="24"/>
        </w:rPr>
      </w:pPr>
      <w:r>
        <w:rPr>
          <w:color w:val="auto"/>
          <w:sz w:val="24"/>
        </w:rPr>
        <mc:AlternateContent>
          <mc:Choice Requires="wps">
            <w:drawing>
              <wp:anchor distT="0" distB="0" distL="114300" distR="114300" simplePos="0" relativeHeight="251764736" behindDoc="0" locked="0" layoutInCell="1" allowOverlap="1">
                <wp:simplePos x="0" y="0"/>
                <wp:positionH relativeFrom="column">
                  <wp:posOffset>2064385</wp:posOffset>
                </wp:positionH>
                <wp:positionV relativeFrom="paragraph">
                  <wp:posOffset>288290</wp:posOffset>
                </wp:positionV>
                <wp:extent cx="838200" cy="322580"/>
                <wp:effectExtent l="7620" t="7620" r="11430" b="12700"/>
                <wp:wrapNone/>
                <wp:docPr id="18" name="文本框 18"/>
                <wp:cNvGraphicFramePr/>
                <a:graphic xmlns:a="http://schemas.openxmlformats.org/drawingml/2006/main">
                  <a:graphicData uri="http://schemas.microsoft.com/office/word/2010/wordprocessingShape">
                    <wps:wsp>
                      <wps:cNvSpPr txBox="1"/>
                      <wps:spPr>
                        <a:xfrm>
                          <a:off x="0" y="0"/>
                          <a:ext cx="838200" cy="322580"/>
                        </a:xfrm>
                        <a:prstGeom prst="rect">
                          <a:avLst/>
                        </a:prstGeom>
                        <a:noFill/>
                        <a:ln w="15875" cap="flat" cmpd="sng">
                          <a:solidFill>
                            <a:srgbClr val="444444"/>
                          </a:solidFill>
                          <a:prstDash val="solid"/>
                          <a:miter/>
                          <a:headEnd type="none" w="med" len="med"/>
                          <a:tailEnd type="none" w="med" len="med"/>
                        </a:ln>
                      </wps:spPr>
                      <wps:txbx>
                        <w:txbxContent>
                          <w:p>
                            <w:pPr>
                              <w:jc w:val="center"/>
                              <w:rPr>
                                <w:rFonts w:hint="eastAsia" w:eastAsia="宋体"/>
                                <w:lang w:eastAsia="zh-CN"/>
                              </w:rPr>
                            </w:pPr>
                            <w:r>
                              <w:rPr>
                                <w:rFonts w:hint="eastAsia"/>
                                <w:lang w:eastAsia="zh-CN"/>
                              </w:rPr>
                              <w:t>入库</w:t>
                            </w:r>
                          </w:p>
                        </w:txbxContent>
                      </wps:txbx>
                      <wps:bodyPr upright="1"/>
                    </wps:wsp>
                  </a:graphicData>
                </a:graphic>
              </wp:anchor>
            </w:drawing>
          </mc:Choice>
          <mc:Fallback>
            <w:pict>
              <v:shape id="_x0000_s1026" o:spid="_x0000_s1026" o:spt="202" type="#_x0000_t202" style="position:absolute;left:0pt;margin-left:162.55pt;margin-top:22.7pt;height:25.4pt;width:66pt;z-index:251764736;mso-width-relative:page;mso-height-relative:page;" filled="f" stroked="t" coordsize="21600,21600" o:gfxdata="UEsDBAoAAAAAAIdO4kAAAAAAAAAAAAAAAAAEAAAAZHJzL1BLAwQUAAAACACHTuJAqwe80doAAAAJ&#10;AQAADwAAAGRycy9kb3ducmV2LnhtbE2PwU6DQBCG7ya+w2ZMvBi7QKG0yNJEEy81MbE0DcctjEBk&#10;Zwm7tPXtHU96nJkv/3x/vr2aQZxxcr0lBeEiAIFU26anVsGhfH1cg3BeU6MHS6jgGx1si9ubXGeN&#10;vdAHnve+FRxCLtMKOu/HTEpXd2i0W9gRiW+fdjLa8zi1spn0hcPNIKMgWEmje+IPnR7xpcP6az8b&#10;BfMhen6TmC4fjlV5fE/nXVVWO6Xu78LgCYTHq/+D4Vef1aFgp5OdqXFiULCMkpBRBXESg2AgTlJe&#10;nBRsVhHIIpf/GxQ/UEsDBBQAAAAIAIdO4kCUP3gZ7AEAAMEDAAAOAAAAZHJzL2Uyb0RvYy54bWyt&#10;U0uOEzEQ3SNxB8t70pkMgVaUzkgQhg0CpIEDOP50W/JPtifduQDcgBUb9pwr5+DZmcnw2SBEL9zV&#10;Vc+vql5Vr68ma8hexqS96+jFbE6JdNwL7fqOfvxw/aSlJGXmBDPeyY4eZKJXm8eP1mNYyYUfvBEy&#10;EpC4tBpDR4ecw6ppEh+kZWnmg3QIKh8ty/iMfSMiG8FuTbOYz581o48iRM9lSvBuT0G6qfxKSZ7f&#10;KZVkJqajqC3XM9ZzV85ms2arPrIwaH5XBvuHKizTDknPVFuWGbmN+g8qq3n0yas84942XinNZe0B&#10;3VzMf+vmZmBB1l4gTgpnmdL/o+Vv9+8j0QKzw6Qcs5jR8cvn49fvx2+fCHwQaAxpBdxNADJPL/wE&#10;8L0/wVn6nlS05Y2OCOKQ+nCWV06ZcDjbyxYjo4QjdLlYLNsqf/NwOcSUX0tvSTE6GjG9Kirbv0kZ&#10;hQB6Dym5nL/WxtQJGkdGVLVsny/Bz7BIyrAM0wa0llxfeZI3WpQ75XaK/e6liWTPsBpP61OaQo5f&#10;YCXhlqXhhKuh09JYnWWsyQfJxCsnSD4EqOew57RUY6WgxEj8FsWqyMy0+RskijAOtRTlTwoXK0+7&#10;CTTF3HlxwDRuQ9T9AKnqPCoce1KbuNvpsog/f1fShz9v8wN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CrB7zR2gAAAAkBAAAPAAAAAAAAAAEAIAAAACIAAABkcnMvZG93bnJldi54bWxQSwECFAAUAAAA&#10;CACHTuJAlD94GewBAADBAwAADgAAAAAAAAABACAAAAApAQAAZHJzL2Uyb0RvYy54bWxQSwUGAAAA&#10;AAYABgBZAQAAhwUAAAAA&#10;">
                <v:fill on="f" focussize="0,0"/>
                <v:stroke weight="1.25pt" color="#444444" joinstyle="miter"/>
                <v:imagedata o:title=""/>
                <o:lock v:ext="edit" aspectratio="f"/>
                <v:textbox>
                  <w:txbxContent>
                    <w:p>
                      <w:pPr>
                        <w:jc w:val="center"/>
                        <w:rPr>
                          <w:rFonts w:hint="eastAsia" w:eastAsia="宋体"/>
                          <w:lang w:eastAsia="zh-CN"/>
                        </w:rPr>
                      </w:pPr>
                      <w:r>
                        <w:rPr>
                          <w:rFonts w:hint="eastAsia"/>
                          <w:lang w:eastAsia="zh-CN"/>
                        </w:rPr>
                        <w:t>入库</w:t>
                      </w:r>
                    </w:p>
                  </w:txbxContent>
                </v:textbox>
              </v:shape>
            </w:pict>
          </mc:Fallback>
        </mc:AlternateContent>
      </w:r>
    </w:p>
    <w:p>
      <w:pPr>
        <w:spacing w:line="360" w:lineRule="auto"/>
        <w:ind w:firstLine="480" w:firstLineChars="200"/>
        <w:jc w:val="center"/>
        <w:rPr>
          <w:rFonts w:hint="eastAsia"/>
          <w:color w:val="auto"/>
          <w:sz w:val="24"/>
        </w:rPr>
      </w:pPr>
    </w:p>
    <w:p>
      <w:pPr>
        <w:spacing w:line="360" w:lineRule="auto"/>
        <w:ind w:firstLine="480" w:firstLineChars="200"/>
        <w:jc w:val="center"/>
        <w:rPr>
          <w:rFonts w:hint="eastAsia"/>
          <w:color w:val="auto"/>
          <w:sz w:val="24"/>
        </w:rPr>
      </w:pPr>
    </w:p>
    <w:p>
      <w:pPr>
        <w:pStyle w:val="23"/>
        <w:tabs>
          <w:tab w:val="left" w:pos="3615"/>
          <w:tab w:val="left" w:pos="4890"/>
        </w:tabs>
        <w:spacing w:line="320" w:lineRule="exact"/>
        <w:jc w:val="center"/>
        <w:rPr>
          <w:color w:val="auto"/>
          <w:szCs w:val="21"/>
        </w:rPr>
      </w:pPr>
      <w:r>
        <w:rPr>
          <w:b/>
          <w:color w:val="auto"/>
          <w:szCs w:val="21"/>
        </w:rPr>
        <w:t xml:space="preserve"> </w:t>
      </w:r>
      <w:r>
        <w:rPr>
          <w:b/>
          <w:color w:val="auto"/>
          <w:sz w:val="24"/>
        </w:rPr>
        <w:t>图</w:t>
      </w:r>
      <w:r>
        <w:rPr>
          <w:rFonts w:hint="eastAsia"/>
          <w:b/>
          <w:color w:val="auto"/>
          <w:sz w:val="24"/>
          <w:lang w:val="en-US" w:eastAsia="zh-CN"/>
        </w:rPr>
        <w:t>3-1</w:t>
      </w:r>
      <w:r>
        <w:rPr>
          <w:b/>
          <w:color w:val="auto"/>
          <w:sz w:val="24"/>
        </w:rPr>
        <w:t xml:space="preserve">  </w:t>
      </w:r>
      <w:r>
        <w:rPr>
          <w:rFonts w:hint="eastAsia"/>
          <w:b/>
          <w:color w:val="auto"/>
          <w:sz w:val="24"/>
        </w:rPr>
        <w:t xml:space="preserve"> </w:t>
      </w:r>
      <w:r>
        <w:rPr>
          <w:rFonts w:hint="eastAsia"/>
          <w:b/>
          <w:color w:val="auto"/>
          <w:sz w:val="24"/>
          <w:szCs w:val="22"/>
          <w:lang w:eastAsia="zh-CN"/>
        </w:rPr>
        <w:t>金属橡胶发泡板及涂层板</w:t>
      </w:r>
      <w:r>
        <w:rPr>
          <w:b/>
          <w:color w:val="auto"/>
          <w:sz w:val="24"/>
          <w:szCs w:val="22"/>
        </w:rPr>
        <w:t>生</w:t>
      </w:r>
      <w:r>
        <w:rPr>
          <w:b/>
          <w:color w:val="auto"/>
          <w:sz w:val="24"/>
        </w:rPr>
        <w:t>产工艺流程及产污环节图</w:t>
      </w:r>
    </w:p>
    <w:p>
      <w:pPr>
        <w:spacing w:line="360" w:lineRule="auto"/>
        <w:ind w:firstLine="480"/>
        <w:jc w:val="center"/>
        <w:rPr>
          <w:rFonts w:hint="eastAsia" w:ascii="宋体"/>
          <w:bCs/>
          <w:color w:val="auto"/>
          <w:sz w:val="24"/>
          <w:lang w:eastAsia="zh-CN"/>
        </w:rPr>
      </w:pPr>
      <w:r>
        <w:rPr>
          <w:color w:val="auto"/>
          <w:sz w:val="24"/>
        </w:rPr>
        <w:t>（注： G-废气，N-噪声，S-固废）</w:t>
      </w:r>
    </w:p>
    <w:p>
      <w:pPr>
        <w:keepNext w:val="0"/>
        <w:keepLines w:val="0"/>
        <w:pageBreakBefore w:val="0"/>
        <w:widowControl w:val="0"/>
        <w:kinsoku/>
        <w:wordWrap/>
        <w:overflowPunct/>
        <w:topLinePunct w:val="0"/>
        <w:autoSpaceDE/>
        <w:autoSpaceDN/>
        <w:bidi w:val="0"/>
        <w:adjustRightInd/>
        <w:snapToGrid w:val="0"/>
        <w:spacing w:line="520" w:lineRule="exact"/>
        <w:ind w:left="0" w:leftChars="0" w:right="0" w:rightChars="0" w:firstLine="480" w:firstLineChars="200"/>
        <w:jc w:val="both"/>
        <w:textAlignment w:val="auto"/>
        <w:outlineLvl w:val="9"/>
        <w:rPr>
          <w:rFonts w:hint="eastAsia" w:ascii="宋体" w:eastAsia="宋体"/>
          <w:bCs/>
          <w:color w:val="auto"/>
          <w:sz w:val="24"/>
          <w:lang w:eastAsia="zh-CN"/>
        </w:rPr>
      </w:pPr>
      <w:r>
        <w:rPr>
          <w:rFonts w:hint="eastAsia" w:ascii="宋体"/>
          <w:bCs/>
          <w:color w:val="auto"/>
          <w:sz w:val="24"/>
          <w:lang w:eastAsia="zh-CN"/>
        </w:rPr>
        <w:t>工艺简述：</w:t>
      </w:r>
    </w:p>
    <w:p>
      <w:pPr>
        <w:keepNext w:val="0"/>
        <w:keepLines w:val="0"/>
        <w:pageBreakBefore w:val="0"/>
        <w:widowControl w:val="0"/>
        <w:kinsoku/>
        <w:wordWrap/>
        <w:overflowPunct/>
        <w:topLinePunct w:val="0"/>
        <w:autoSpaceDE/>
        <w:autoSpaceDN/>
        <w:bidi w:val="0"/>
        <w:adjustRightInd/>
        <w:snapToGrid w:val="0"/>
        <w:spacing w:line="520" w:lineRule="exact"/>
        <w:ind w:left="0" w:leftChars="0" w:right="0" w:rightChars="0" w:firstLine="480" w:firstLineChars="200"/>
        <w:jc w:val="both"/>
        <w:textAlignment w:val="auto"/>
        <w:outlineLvl w:val="9"/>
        <w:rPr>
          <w:rFonts w:hint="default" w:ascii="Times New Roman" w:hAnsi="Times New Roman" w:cs="Times New Roman"/>
          <w:bCs/>
          <w:color w:val="auto"/>
          <w:sz w:val="24"/>
        </w:rPr>
      </w:pPr>
      <w:r>
        <w:rPr>
          <w:rFonts w:hint="default" w:ascii="Times New Roman" w:hAnsi="Times New Roman" w:cs="Times New Roman"/>
          <w:bCs/>
          <w:color w:val="auto"/>
          <w:sz w:val="24"/>
          <w:lang w:eastAsia="zh-CN"/>
        </w:rPr>
        <w:t>剪板：外购钢板经剪板机剪板后，人工将底涂剂</w:t>
      </w:r>
      <w:r>
        <w:rPr>
          <w:rFonts w:hint="eastAsia" w:ascii="Times New Roman" w:hAnsi="Times New Roman" w:cs="Times New Roman"/>
          <w:bCs/>
          <w:color w:val="auto"/>
          <w:sz w:val="24"/>
          <w:lang w:eastAsia="zh-CN"/>
        </w:rPr>
        <w:t>（胶水）</w:t>
      </w:r>
      <w:r>
        <w:rPr>
          <w:rFonts w:hint="default" w:ascii="Times New Roman" w:hAnsi="Times New Roman" w:cs="Times New Roman"/>
          <w:bCs/>
          <w:color w:val="auto"/>
          <w:sz w:val="24"/>
          <w:lang w:eastAsia="zh-CN"/>
        </w:rPr>
        <w:t>涂在钢板表层，以便于橡胶涂覆的粘合。</w:t>
      </w:r>
      <w:r>
        <w:rPr>
          <w:rFonts w:hint="eastAsia" w:ascii="Times New Roman" w:hAnsi="Times New Roman" w:cs="Times New Roman"/>
          <w:b/>
          <w:bCs w:val="0"/>
          <w:color w:val="auto"/>
          <w:sz w:val="24"/>
          <w:lang w:eastAsia="zh-CN"/>
        </w:rPr>
        <w:t>剪板工序将产生金属边角料（</w:t>
      </w:r>
      <w:r>
        <w:rPr>
          <w:rFonts w:hint="eastAsia" w:ascii="Times New Roman" w:hAnsi="Times New Roman" w:cs="Times New Roman"/>
          <w:b/>
          <w:bCs w:val="0"/>
          <w:color w:val="auto"/>
          <w:sz w:val="24"/>
          <w:lang w:val="en-US" w:eastAsia="zh-CN"/>
        </w:rPr>
        <w:t>S1</w:t>
      </w:r>
      <w:r>
        <w:rPr>
          <w:rFonts w:hint="eastAsia" w:ascii="Times New Roman" w:hAnsi="Times New Roman" w:cs="Times New Roman"/>
          <w:b/>
          <w:bCs w:val="0"/>
          <w:color w:val="auto"/>
          <w:sz w:val="24"/>
          <w:lang w:eastAsia="zh-CN"/>
        </w:rPr>
        <w:t>）及机械噪声（</w:t>
      </w:r>
      <w:r>
        <w:rPr>
          <w:rFonts w:hint="eastAsia" w:ascii="Times New Roman" w:hAnsi="Times New Roman" w:cs="Times New Roman"/>
          <w:b/>
          <w:bCs w:val="0"/>
          <w:color w:val="auto"/>
          <w:sz w:val="24"/>
          <w:lang w:val="en-US" w:eastAsia="zh-CN"/>
        </w:rPr>
        <w:t>N</w:t>
      </w:r>
      <w:r>
        <w:rPr>
          <w:rFonts w:hint="eastAsia" w:ascii="Times New Roman" w:hAnsi="Times New Roman" w:cs="Times New Roman"/>
          <w:b/>
          <w:bCs w:val="0"/>
          <w:color w:val="auto"/>
          <w:sz w:val="24"/>
          <w:lang w:eastAsia="zh-CN"/>
        </w:rPr>
        <w:t>）。</w:t>
      </w:r>
    </w:p>
    <w:p>
      <w:pPr>
        <w:keepNext w:val="0"/>
        <w:keepLines w:val="0"/>
        <w:pageBreakBefore w:val="0"/>
        <w:widowControl w:val="0"/>
        <w:kinsoku/>
        <w:wordWrap/>
        <w:overflowPunct/>
        <w:topLinePunct w:val="0"/>
        <w:autoSpaceDE/>
        <w:autoSpaceDN/>
        <w:bidi w:val="0"/>
        <w:adjustRightInd/>
        <w:snapToGrid w:val="0"/>
        <w:spacing w:line="520" w:lineRule="exact"/>
        <w:ind w:left="0" w:leftChars="0" w:right="0" w:rightChars="0" w:firstLine="480" w:firstLineChars="200"/>
        <w:jc w:val="both"/>
        <w:textAlignment w:val="auto"/>
        <w:outlineLvl w:val="9"/>
        <w:rPr>
          <w:rFonts w:hint="default" w:ascii="Times New Roman" w:hAnsi="Times New Roman" w:cs="Times New Roman"/>
          <w:b/>
          <w:bCs w:val="0"/>
          <w:color w:val="auto"/>
          <w:sz w:val="24"/>
          <w:lang w:eastAsia="zh-CN"/>
        </w:rPr>
      </w:pPr>
      <w:r>
        <w:rPr>
          <w:rFonts w:hint="default" w:ascii="Times New Roman" w:hAnsi="Times New Roman" w:cs="Times New Roman"/>
          <w:bCs/>
          <w:color w:val="auto"/>
          <w:sz w:val="24"/>
          <w:lang w:eastAsia="zh-CN"/>
        </w:rPr>
        <w:t>混炼胶溶解：外购的混炼胶经过压片机压片，</w:t>
      </w:r>
      <w:r>
        <w:rPr>
          <w:rFonts w:hint="eastAsia" w:ascii="Times New Roman" w:hAnsi="Times New Roman" w:cs="Times New Roman"/>
          <w:bCs/>
          <w:color w:val="auto"/>
          <w:sz w:val="24"/>
          <w:lang w:eastAsia="zh-CN"/>
        </w:rPr>
        <w:t>并切成</w:t>
      </w:r>
      <w:r>
        <w:rPr>
          <w:rFonts w:hint="default" w:ascii="Times New Roman" w:hAnsi="Times New Roman" w:cs="Times New Roman"/>
          <w:bCs/>
          <w:color w:val="auto"/>
          <w:sz w:val="24"/>
          <w:lang w:eastAsia="zh-CN"/>
        </w:rPr>
        <w:t>小块状，</w:t>
      </w:r>
      <w:r>
        <w:rPr>
          <w:rFonts w:hint="eastAsia" w:ascii="Times New Roman" w:hAnsi="Times New Roman" w:cs="Times New Roman"/>
          <w:bCs/>
          <w:color w:val="auto"/>
          <w:sz w:val="24"/>
          <w:lang w:eastAsia="zh-CN"/>
        </w:rPr>
        <w:t>以</w:t>
      </w:r>
      <w:r>
        <w:rPr>
          <w:rFonts w:hint="default" w:ascii="Times New Roman" w:hAnsi="Times New Roman" w:cs="Times New Roman"/>
          <w:bCs/>
          <w:color w:val="auto"/>
          <w:sz w:val="24"/>
          <w:lang w:eastAsia="zh-CN"/>
        </w:rPr>
        <w:t>便于溶解。将小块状的混炼胶加入乙酸丁酯溶剂中，</w:t>
      </w:r>
      <w:r>
        <w:rPr>
          <w:rFonts w:hint="eastAsia" w:ascii="Times New Roman" w:hAnsi="Times New Roman" w:cs="Times New Roman"/>
          <w:bCs/>
          <w:color w:val="auto"/>
          <w:sz w:val="24"/>
          <w:lang w:eastAsia="zh-CN"/>
        </w:rPr>
        <w:t>采用密闭分散罐，</w:t>
      </w:r>
      <w:r>
        <w:rPr>
          <w:rFonts w:hint="default" w:ascii="Times New Roman" w:hAnsi="Times New Roman" w:cs="Times New Roman"/>
          <w:bCs/>
          <w:color w:val="auto"/>
          <w:sz w:val="24"/>
          <w:lang w:eastAsia="zh-CN"/>
        </w:rPr>
        <w:t>使用搅拌器加速溶解。</w:t>
      </w:r>
      <w:r>
        <w:rPr>
          <w:rFonts w:hint="default" w:ascii="Times New Roman" w:hAnsi="Times New Roman" w:cs="Times New Roman"/>
          <w:b/>
          <w:bCs w:val="0"/>
          <w:color w:val="auto"/>
          <w:sz w:val="24"/>
          <w:lang w:eastAsia="zh-CN"/>
        </w:rPr>
        <w:t>该工序将产生高浓度的挥发性有机废气（</w:t>
      </w:r>
      <w:r>
        <w:rPr>
          <w:rFonts w:hint="default" w:ascii="Times New Roman" w:hAnsi="Times New Roman" w:cs="Times New Roman"/>
          <w:b/>
          <w:bCs w:val="0"/>
          <w:color w:val="auto"/>
          <w:sz w:val="24"/>
          <w:lang w:val="en-US" w:eastAsia="zh-CN"/>
        </w:rPr>
        <w:t>G1</w:t>
      </w:r>
      <w:r>
        <w:rPr>
          <w:rFonts w:hint="default" w:ascii="Times New Roman" w:hAnsi="Times New Roman" w:cs="Times New Roman"/>
          <w:b/>
          <w:bCs w:val="0"/>
          <w:color w:val="auto"/>
          <w:sz w:val="24"/>
          <w:lang w:eastAsia="zh-CN"/>
        </w:rPr>
        <w:t>）。</w:t>
      </w:r>
    </w:p>
    <w:p>
      <w:pPr>
        <w:keepNext w:val="0"/>
        <w:keepLines w:val="0"/>
        <w:pageBreakBefore w:val="0"/>
        <w:widowControl w:val="0"/>
        <w:kinsoku/>
        <w:wordWrap/>
        <w:overflowPunct/>
        <w:topLinePunct w:val="0"/>
        <w:autoSpaceDE/>
        <w:autoSpaceDN/>
        <w:bidi w:val="0"/>
        <w:adjustRightInd/>
        <w:snapToGrid w:val="0"/>
        <w:spacing w:line="520" w:lineRule="exact"/>
        <w:ind w:left="0" w:leftChars="0" w:right="0" w:rightChars="0" w:firstLine="480" w:firstLineChars="200"/>
        <w:jc w:val="both"/>
        <w:textAlignment w:val="auto"/>
        <w:outlineLvl w:val="9"/>
        <w:rPr>
          <w:rFonts w:hint="default" w:ascii="Times New Roman" w:hAnsi="Times New Roman" w:cs="Times New Roman"/>
          <w:bCs/>
          <w:color w:val="auto"/>
          <w:sz w:val="24"/>
          <w:lang w:eastAsia="zh-CN"/>
        </w:rPr>
      </w:pPr>
      <w:r>
        <w:rPr>
          <w:rFonts w:hint="default" w:ascii="Times New Roman" w:hAnsi="Times New Roman" w:cs="Times New Roman"/>
          <w:bCs/>
          <w:color w:val="auto"/>
          <w:sz w:val="24"/>
        </w:rPr>
        <w:t>涂覆：通过特殊的辊涂工艺，对溶解后的橡胶胶浆与涂有底胶的钢板进行复合</w:t>
      </w:r>
      <w:r>
        <w:rPr>
          <w:rFonts w:hint="eastAsia" w:ascii="Times New Roman" w:hAnsi="Times New Roman" w:cs="Times New Roman"/>
          <w:bCs/>
          <w:color w:val="auto"/>
          <w:sz w:val="24"/>
          <w:lang w:eastAsia="zh-CN"/>
        </w:rPr>
        <w:t>，涂覆在工作台进行，工作台上方安装有集气罩</w:t>
      </w:r>
      <w:r>
        <w:rPr>
          <w:rFonts w:hint="default" w:ascii="Times New Roman" w:hAnsi="Times New Roman" w:cs="Times New Roman"/>
          <w:bCs/>
          <w:color w:val="auto"/>
          <w:sz w:val="24"/>
          <w:lang w:val="en-US" w:eastAsia="zh-CN"/>
        </w:rPr>
        <w:t>。</w:t>
      </w:r>
      <w:r>
        <w:rPr>
          <w:rFonts w:hint="default" w:ascii="Times New Roman" w:hAnsi="Times New Roman" w:cs="Times New Roman"/>
          <w:b/>
          <w:bCs w:val="0"/>
          <w:color w:val="auto"/>
          <w:sz w:val="24"/>
          <w:lang w:eastAsia="zh-CN"/>
        </w:rPr>
        <w:t>涂覆过程中会产生挥发性有机废气（</w:t>
      </w:r>
      <w:r>
        <w:rPr>
          <w:rFonts w:hint="default" w:ascii="Times New Roman" w:hAnsi="Times New Roman" w:cs="Times New Roman"/>
          <w:b/>
          <w:bCs w:val="0"/>
          <w:color w:val="auto"/>
          <w:sz w:val="24"/>
          <w:lang w:val="en-US" w:eastAsia="zh-CN"/>
        </w:rPr>
        <w:t>G2</w:t>
      </w:r>
      <w:r>
        <w:rPr>
          <w:rFonts w:hint="default" w:ascii="Times New Roman" w:hAnsi="Times New Roman" w:cs="Times New Roman"/>
          <w:b/>
          <w:bCs w:val="0"/>
          <w:color w:val="auto"/>
          <w:sz w:val="24"/>
          <w:lang w:eastAsia="zh-CN"/>
        </w:rPr>
        <w:t>）。</w:t>
      </w:r>
    </w:p>
    <w:p>
      <w:pPr>
        <w:keepNext w:val="0"/>
        <w:keepLines w:val="0"/>
        <w:pageBreakBefore w:val="0"/>
        <w:widowControl w:val="0"/>
        <w:kinsoku/>
        <w:wordWrap/>
        <w:overflowPunct/>
        <w:topLinePunct w:val="0"/>
        <w:autoSpaceDE/>
        <w:autoSpaceDN/>
        <w:bidi w:val="0"/>
        <w:adjustRightInd/>
        <w:snapToGrid w:val="0"/>
        <w:spacing w:line="520" w:lineRule="exact"/>
        <w:ind w:left="0" w:leftChars="0" w:right="0" w:rightChars="0" w:firstLine="480" w:firstLineChars="200"/>
        <w:jc w:val="both"/>
        <w:textAlignment w:val="auto"/>
        <w:outlineLvl w:val="9"/>
        <w:rPr>
          <w:rFonts w:hint="default" w:ascii="Times New Roman" w:hAnsi="Times New Roman" w:cs="Times New Roman"/>
          <w:bCs/>
          <w:color w:val="auto"/>
          <w:sz w:val="24"/>
          <w:lang w:eastAsia="zh-CN"/>
        </w:rPr>
      </w:pPr>
      <w:r>
        <w:rPr>
          <w:rFonts w:hint="default" w:ascii="Times New Roman" w:hAnsi="Times New Roman" w:cs="Times New Roman"/>
          <w:bCs/>
          <w:color w:val="auto"/>
          <w:sz w:val="24"/>
          <w:lang w:eastAsia="zh-CN"/>
        </w:rPr>
        <w:t>晾干：钢板涂覆橡胶后，放置于半封闭式晾干道内，进行</w:t>
      </w:r>
      <w:r>
        <w:rPr>
          <w:rFonts w:hint="eastAsia" w:ascii="Times New Roman" w:hAnsi="Times New Roman" w:cs="Times New Roman"/>
          <w:bCs/>
          <w:color w:val="auto"/>
          <w:sz w:val="24"/>
          <w:lang w:eastAsia="zh-CN"/>
        </w:rPr>
        <w:t>初步</w:t>
      </w:r>
      <w:r>
        <w:rPr>
          <w:rFonts w:hint="default" w:ascii="Times New Roman" w:hAnsi="Times New Roman" w:cs="Times New Roman"/>
          <w:bCs/>
          <w:color w:val="auto"/>
          <w:sz w:val="24"/>
          <w:lang w:eastAsia="zh-CN"/>
        </w:rPr>
        <w:t>晾干</w:t>
      </w:r>
      <w:r>
        <w:rPr>
          <w:rFonts w:hint="eastAsia" w:ascii="Times New Roman" w:hAnsi="Times New Roman" w:cs="Times New Roman"/>
          <w:bCs/>
          <w:color w:val="auto"/>
          <w:sz w:val="24"/>
          <w:lang w:eastAsia="zh-CN"/>
        </w:rPr>
        <w:t>，晾干温度为</w:t>
      </w:r>
      <w:r>
        <w:rPr>
          <w:rFonts w:hint="eastAsia" w:ascii="Times New Roman" w:hAnsi="Times New Roman" w:cs="Times New Roman"/>
          <w:bCs/>
          <w:color w:val="auto"/>
          <w:sz w:val="24"/>
          <w:lang w:val="en-US" w:eastAsia="zh-CN"/>
        </w:rPr>
        <w:t>60-70</w:t>
      </w:r>
      <w:r>
        <w:rPr>
          <w:rFonts w:hint="eastAsia" w:ascii="宋体" w:hAnsi="宋体" w:eastAsia="宋体" w:cs="宋体"/>
          <w:bCs/>
          <w:color w:val="auto"/>
          <w:sz w:val="24"/>
          <w:lang w:val="en-US" w:eastAsia="zh-CN"/>
        </w:rPr>
        <w:t>℃，采用电加热。</w:t>
      </w:r>
      <w:r>
        <w:rPr>
          <w:rFonts w:hint="eastAsia" w:ascii="Times New Roman" w:hAnsi="Times New Roman" w:cs="Times New Roman"/>
          <w:bCs/>
          <w:color w:val="auto"/>
          <w:sz w:val="24"/>
          <w:lang w:eastAsia="zh-CN"/>
        </w:rPr>
        <w:t>项目共设置</w:t>
      </w:r>
      <w:r>
        <w:rPr>
          <w:rFonts w:hint="default" w:ascii="Times New Roman" w:hAnsi="Times New Roman" w:cs="Times New Roman"/>
          <w:bCs/>
          <w:color w:val="auto"/>
          <w:sz w:val="24"/>
          <w:lang w:val="en-US" w:eastAsia="zh-CN"/>
        </w:rPr>
        <w:t>3条</w:t>
      </w:r>
      <w:r>
        <w:rPr>
          <w:rFonts w:hint="eastAsia" w:ascii="Times New Roman" w:hAnsi="Times New Roman" w:cs="Times New Roman"/>
          <w:bCs/>
          <w:color w:val="auto"/>
          <w:sz w:val="24"/>
          <w:lang w:val="en-US" w:eastAsia="zh-CN"/>
        </w:rPr>
        <w:t>晾干线，晾干道除进出物料口为半封闭外，其他均为封闭式</w:t>
      </w:r>
      <w:r>
        <w:rPr>
          <w:rFonts w:hint="default" w:ascii="Times New Roman" w:hAnsi="Times New Roman" w:cs="Times New Roman"/>
          <w:bCs/>
          <w:color w:val="auto"/>
          <w:sz w:val="24"/>
          <w:lang w:eastAsia="zh-CN"/>
        </w:rPr>
        <w:t>。</w:t>
      </w:r>
      <w:r>
        <w:rPr>
          <w:rFonts w:hint="default" w:ascii="Times New Roman" w:hAnsi="Times New Roman" w:cs="Times New Roman"/>
          <w:b/>
          <w:bCs w:val="0"/>
          <w:color w:val="auto"/>
          <w:sz w:val="24"/>
          <w:lang w:eastAsia="zh-CN"/>
        </w:rPr>
        <w:t>在晾干过程中会产生挥发性有机废气（</w:t>
      </w:r>
      <w:r>
        <w:rPr>
          <w:rFonts w:hint="default" w:ascii="Times New Roman" w:hAnsi="Times New Roman" w:cs="Times New Roman"/>
          <w:b/>
          <w:bCs w:val="0"/>
          <w:color w:val="auto"/>
          <w:sz w:val="24"/>
          <w:lang w:val="en-US" w:eastAsia="zh-CN"/>
        </w:rPr>
        <w:t>G3</w:t>
      </w:r>
      <w:r>
        <w:rPr>
          <w:rFonts w:hint="default" w:ascii="Times New Roman" w:hAnsi="Times New Roman" w:cs="Times New Roman"/>
          <w:b/>
          <w:bCs w:val="0"/>
          <w:color w:val="auto"/>
          <w:sz w:val="24"/>
          <w:lang w:eastAsia="zh-CN"/>
        </w:rPr>
        <w:t>）</w:t>
      </w:r>
      <w:r>
        <w:rPr>
          <w:rFonts w:hint="default" w:ascii="Times New Roman" w:hAnsi="Times New Roman" w:cs="Times New Roman"/>
          <w:b/>
          <w:bCs w:val="0"/>
          <w:color w:val="auto"/>
          <w:sz w:val="24"/>
          <w:lang w:val="en-US" w:eastAsia="zh-CN"/>
        </w:rPr>
        <w:t>。</w:t>
      </w:r>
    </w:p>
    <w:p>
      <w:pPr>
        <w:keepNext w:val="0"/>
        <w:keepLines w:val="0"/>
        <w:pageBreakBefore w:val="0"/>
        <w:widowControl w:val="0"/>
        <w:kinsoku/>
        <w:wordWrap/>
        <w:overflowPunct/>
        <w:topLinePunct w:val="0"/>
        <w:autoSpaceDE/>
        <w:autoSpaceDN/>
        <w:bidi w:val="0"/>
        <w:adjustRightInd/>
        <w:snapToGrid w:val="0"/>
        <w:spacing w:line="520" w:lineRule="exact"/>
        <w:ind w:left="0" w:leftChars="0" w:right="0" w:rightChars="0" w:firstLine="480" w:firstLineChars="200"/>
        <w:jc w:val="both"/>
        <w:textAlignment w:val="auto"/>
        <w:outlineLvl w:val="9"/>
        <w:rPr>
          <w:rFonts w:hint="default" w:ascii="Times New Roman" w:hAnsi="Times New Roman" w:cs="Times New Roman"/>
          <w:bCs/>
          <w:color w:val="auto"/>
          <w:sz w:val="24"/>
          <w:lang w:eastAsia="zh-CN"/>
        </w:rPr>
      </w:pPr>
      <w:r>
        <w:rPr>
          <w:rFonts w:hint="default" w:ascii="Times New Roman" w:hAnsi="Times New Roman" w:cs="Times New Roman"/>
          <w:bCs/>
          <w:color w:val="auto"/>
          <w:sz w:val="24"/>
        </w:rPr>
        <w:t>烘干：</w:t>
      </w:r>
      <w:r>
        <w:rPr>
          <w:rFonts w:hint="default" w:ascii="Times New Roman" w:hAnsi="Times New Roman" w:cs="Times New Roman"/>
          <w:bCs/>
          <w:color w:val="auto"/>
          <w:sz w:val="24"/>
          <w:lang w:eastAsia="zh-CN"/>
        </w:rPr>
        <w:t>复合材料经自然晾干</w:t>
      </w:r>
      <w:r>
        <w:rPr>
          <w:rFonts w:hint="default" w:ascii="Times New Roman" w:hAnsi="Times New Roman" w:cs="Times New Roman"/>
          <w:bCs/>
          <w:color w:val="auto"/>
          <w:sz w:val="24"/>
        </w:rPr>
        <w:t>后</w:t>
      </w:r>
      <w:r>
        <w:rPr>
          <w:rFonts w:hint="default" w:ascii="Times New Roman" w:hAnsi="Times New Roman" w:cs="Times New Roman"/>
          <w:bCs/>
          <w:color w:val="auto"/>
          <w:sz w:val="24"/>
          <w:lang w:eastAsia="zh-CN"/>
        </w:rPr>
        <w:t>，进入半封闭式烘干道内</w:t>
      </w:r>
      <w:r>
        <w:rPr>
          <w:rFonts w:hint="default" w:ascii="Times New Roman" w:hAnsi="Times New Roman" w:cs="Times New Roman"/>
          <w:bCs/>
          <w:color w:val="auto"/>
          <w:sz w:val="24"/>
        </w:rPr>
        <w:t>进行中温烘干处理</w:t>
      </w:r>
      <w:r>
        <w:rPr>
          <w:rFonts w:hint="default" w:ascii="Times New Roman" w:hAnsi="Times New Roman" w:cs="Times New Roman"/>
          <w:bCs/>
          <w:color w:val="auto"/>
          <w:sz w:val="24"/>
          <w:lang w:eastAsia="zh-CN"/>
        </w:rPr>
        <w:t>，</w:t>
      </w:r>
      <w:r>
        <w:rPr>
          <w:rFonts w:hint="eastAsia" w:ascii="Times New Roman" w:hAnsi="Times New Roman" w:cs="Times New Roman"/>
          <w:bCs/>
          <w:color w:val="auto"/>
          <w:sz w:val="24"/>
          <w:lang w:eastAsia="zh-CN"/>
        </w:rPr>
        <w:t>烘干温度在</w:t>
      </w:r>
      <w:r>
        <w:rPr>
          <w:rFonts w:hint="eastAsia" w:ascii="Times New Roman" w:hAnsi="Times New Roman" w:cs="Times New Roman"/>
          <w:bCs/>
          <w:color w:val="auto"/>
          <w:sz w:val="24"/>
          <w:lang w:val="en-US" w:eastAsia="zh-CN"/>
        </w:rPr>
        <w:t>150</w:t>
      </w:r>
      <w:r>
        <w:rPr>
          <w:rFonts w:hint="eastAsia" w:ascii="宋体" w:hAnsi="宋体" w:eastAsia="宋体" w:cs="宋体"/>
          <w:bCs/>
          <w:color w:val="auto"/>
          <w:sz w:val="24"/>
          <w:lang w:val="en-US" w:eastAsia="zh-CN"/>
        </w:rPr>
        <w:t>℃</w:t>
      </w:r>
      <w:r>
        <w:rPr>
          <w:rFonts w:hint="eastAsia" w:ascii="Times New Roman" w:hAnsi="Times New Roman" w:eastAsia="宋体" w:cs="Times New Roman"/>
          <w:bCs/>
          <w:color w:val="auto"/>
          <w:sz w:val="24"/>
          <w:lang w:val="en-US" w:eastAsia="zh-CN"/>
        </w:rPr>
        <w:t>左右，</w:t>
      </w:r>
      <w:r>
        <w:rPr>
          <w:rFonts w:hint="eastAsia" w:ascii="Times New Roman" w:hAnsi="Times New Roman" w:cs="Times New Roman"/>
          <w:bCs/>
          <w:color w:val="auto"/>
          <w:sz w:val="24"/>
          <w:lang w:eastAsia="zh-CN"/>
        </w:rPr>
        <w:t>采用电加热，项目共有</w:t>
      </w:r>
      <w:r>
        <w:rPr>
          <w:rFonts w:hint="eastAsia" w:ascii="Times New Roman" w:hAnsi="Times New Roman" w:cs="Times New Roman"/>
          <w:bCs/>
          <w:color w:val="auto"/>
          <w:sz w:val="24"/>
          <w:lang w:val="en-US" w:eastAsia="zh-CN"/>
        </w:rPr>
        <w:t>2条烘干线，烘干道除进出物料口为半封闭外，其他均为封闭式</w:t>
      </w:r>
      <w:r>
        <w:rPr>
          <w:rFonts w:hint="default" w:ascii="Times New Roman" w:hAnsi="Times New Roman" w:cs="Times New Roman"/>
          <w:bCs/>
          <w:color w:val="auto"/>
          <w:sz w:val="24"/>
          <w:lang w:eastAsia="zh-CN"/>
        </w:rPr>
        <w:t>。</w:t>
      </w:r>
      <w:r>
        <w:rPr>
          <w:rFonts w:hint="default" w:ascii="Times New Roman" w:hAnsi="Times New Roman" w:cs="Times New Roman"/>
          <w:b/>
          <w:bCs w:val="0"/>
          <w:color w:val="auto"/>
          <w:sz w:val="24"/>
          <w:lang w:eastAsia="zh-CN"/>
        </w:rPr>
        <w:t>烘干工序将产生挥发性有机废气（</w:t>
      </w:r>
      <w:r>
        <w:rPr>
          <w:rFonts w:hint="default" w:ascii="Times New Roman" w:hAnsi="Times New Roman" w:cs="Times New Roman"/>
          <w:b/>
          <w:bCs w:val="0"/>
          <w:color w:val="auto"/>
          <w:sz w:val="24"/>
          <w:lang w:val="en-US" w:eastAsia="zh-CN"/>
        </w:rPr>
        <w:t>G4</w:t>
      </w:r>
      <w:r>
        <w:rPr>
          <w:rFonts w:hint="default" w:ascii="Times New Roman" w:hAnsi="Times New Roman" w:cs="Times New Roman"/>
          <w:b/>
          <w:bCs w:val="0"/>
          <w:color w:val="auto"/>
          <w:sz w:val="24"/>
          <w:lang w:eastAsia="zh-CN"/>
        </w:rPr>
        <w:t>）。</w:t>
      </w:r>
    </w:p>
    <w:p>
      <w:pPr>
        <w:keepNext w:val="0"/>
        <w:keepLines w:val="0"/>
        <w:pageBreakBefore w:val="0"/>
        <w:widowControl w:val="0"/>
        <w:kinsoku/>
        <w:wordWrap/>
        <w:overflowPunct/>
        <w:topLinePunct w:val="0"/>
        <w:autoSpaceDE/>
        <w:autoSpaceDN/>
        <w:bidi w:val="0"/>
        <w:adjustRightInd/>
        <w:snapToGrid w:val="0"/>
        <w:spacing w:line="520" w:lineRule="exact"/>
        <w:ind w:left="0" w:leftChars="0" w:right="0" w:rightChars="0" w:firstLine="480" w:firstLineChars="200"/>
        <w:jc w:val="both"/>
        <w:textAlignment w:val="auto"/>
        <w:outlineLvl w:val="9"/>
        <w:rPr>
          <w:rFonts w:hint="default" w:ascii="Times New Roman" w:hAnsi="Times New Roman" w:cs="Times New Roman"/>
          <w:bCs/>
          <w:color w:val="auto"/>
          <w:sz w:val="24"/>
          <w:lang w:eastAsia="zh-CN"/>
        </w:rPr>
      </w:pPr>
      <w:r>
        <w:rPr>
          <w:rFonts w:hint="default" w:ascii="Times New Roman" w:hAnsi="Times New Roman" w:cs="Times New Roman"/>
          <w:bCs/>
          <w:color w:val="auto"/>
          <w:sz w:val="24"/>
          <w:lang w:eastAsia="zh-CN"/>
        </w:rPr>
        <w:t>入库：烘干后</w:t>
      </w:r>
      <w:r>
        <w:rPr>
          <w:rFonts w:hint="eastAsia" w:ascii="Times New Roman" w:hAnsi="Times New Roman" w:cs="Times New Roman"/>
          <w:bCs/>
          <w:color w:val="auto"/>
          <w:sz w:val="24"/>
          <w:lang w:eastAsia="zh-CN"/>
        </w:rPr>
        <w:t>产品经检验后</w:t>
      </w:r>
      <w:r>
        <w:rPr>
          <w:rFonts w:hint="default" w:ascii="Times New Roman" w:hAnsi="Times New Roman" w:cs="Times New Roman"/>
          <w:bCs/>
          <w:color w:val="auto"/>
          <w:sz w:val="24"/>
          <w:lang w:eastAsia="zh-CN"/>
        </w:rPr>
        <w:t>入库</w:t>
      </w:r>
      <w:r>
        <w:rPr>
          <w:rFonts w:hint="eastAsia" w:ascii="Times New Roman" w:hAnsi="Times New Roman" w:cs="Times New Roman"/>
          <w:bCs/>
          <w:color w:val="auto"/>
          <w:sz w:val="24"/>
          <w:lang w:eastAsia="zh-CN"/>
        </w:rPr>
        <w:t>待销</w:t>
      </w:r>
      <w:r>
        <w:rPr>
          <w:rFonts w:hint="default" w:ascii="Times New Roman" w:hAnsi="Times New Roman" w:cs="Times New Roman"/>
          <w:bCs/>
          <w:color w:val="auto"/>
          <w:sz w:val="24"/>
          <w:lang w:eastAsia="zh-CN"/>
        </w:rPr>
        <w:t>。</w:t>
      </w:r>
    </w:p>
    <w:p>
      <w:pPr>
        <w:keepNext w:val="0"/>
        <w:keepLines w:val="0"/>
        <w:pageBreakBefore w:val="0"/>
        <w:widowControl w:val="0"/>
        <w:kinsoku/>
        <w:wordWrap/>
        <w:overflowPunct/>
        <w:topLinePunct w:val="0"/>
        <w:autoSpaceDE/>
        <w:autoSpaceDN/>
        <w:bidi w:val="0"/>
        <w:adjustRightInd/>
        <w:snapToGrid/>
        <w:spacing w:line="520" w:lineRule="exact"/>
        <w:ind w:right="0" w:rightChars="0" w:firstLine="482" w:firstLineChars="200"/>
        <w:jc w:val="both"/>
        <w:textAlignment w:val="auto"/>
        <w:outlineLvl w:val="9"/>
        <w:rPr>
          <w:rFonts w:hint="eastAsia"/>
          <w:b/>
          <w:bCs/>
          <w:color w:val="auto"/>
          <w:sz w:val="24"/>
          <w:lang w:eastAsia="zh-CN"/>
        </w:rPr>
      </w:pPr>
      <w:r>
        <w:rPr>
          <w:rFonts w:hint="eastAsia"/>
          <w:b/>
          <w:bCs/>
          <w:color w:val="auto"/>
          <w:sz w:val="24"/>
          <w:lang w:val="en-US" w:eastAsia="zh-CN"/>
        </w:rPr>
        <w:t>2、</w:t>
      </w:r>
      <w:r>
        <w:rPr>
          <w:rFonts w:hint="eastAsia"/>
          <w:b/>
          <w:bCs/>
          <w:color w:val="auto"/>
          <w:sz w:val="24"/>
          <w:lang w:eastAsia="zh-CN"/>
        </w:rPr>
        <w:t>产污环节分析</w:t>
      </w:r>
    </w:p>
    <w:p>
      <w:pPr>
        <w:keepNext w:val="0"/>
        <w:keepLines w:val="0"/>
        <w:pageBreakBefore w:val="0"/>
        <w:widowControl w:val="0"/>
        <w:kinsoku/>
        <w:wordWrap/>
        <w:overflowPunct/>
        <w:topLinePunct w:val="0"/>
        <w:autoSpaceDE/>
        <w:autoSpaceDN/>
        <w:bidi w:val="0"/>
        <w:adjustRightInd/>
        <w:snapToGrid/>
        <w:spacing w:line="520" w:lineRule="exact"/>
        <w:ind w:right="0" w:rightChars="0"/>
        <w:jc w:val="center"/>
        <w:textAlignment w:val="auto"/>
        <w:outlineLvl w:val="9"/>
        <w:rPr>
          <w:rFonts w:hint="default" w:ascii="Times New Roman" w:hAnsi="Times New Roman" w:eastAsia="宋体" w:cs="Times New Roman"/>
          <w:b/>
          <w:bCs/>
          <w:color w:val="auto"/>
          <w:sz w:val="24"/>
        </w:rPr>
      </w:pPr>
      <w:r>
        <w:rPr>
          <w:rFonts w:hint="default" w:ascii="Times New Roman" w:hAnsi="Times New Roman" w:eastAsia="宋体" w:cs="Times New Roman"/>
          <w:b/>
          <w:bCs/>
          <w:color w:val="auto"/>
          <w:sz w:val="24"/>
        </w:rPr>
        <w:t>表</w:t>
      </w:r>
      <w:r>
        <w:rPr>
          <w:rFonts w:hint="eastAsia" w:cs="Times New Roman"/>
          <w:b/>
          <w:bCs/>
          <w:color w:val="auto"/>
          <w:sz w:val="24"/>
          <w:lang w:val="en-US" w:eastAsia="zh-CN"/>
        </w:rPr>
        <w:t>3-6</w:t>
      </w:r>
      <w:r>
        <w:rPr>
          <w:rFonts w:hint="default" w:ascii="Times New Roman" w:hAnsi="Times New Roman" w:eastAsia="宋体" w:cs="Times New Roman"/>
          <w:b/>
          <w:bCs/>
          <w:color w:val="auto"/>
          <w:sz w:val="24"/>
        </w:rPr>
        <w:t xml:space="preserve"> </w:t>
      </w:r>
      <w:r>
        <w:rPr>
          <w:rFonts w:hint="eastAsia" w:ascii="Times New Roman" w:hAnsi="Times New Roman" w:eastAsia="宋体" w:cs="Times New Roman"/>
          <w:b/>
          <w:bCs/>
          <w:color w:val="auto"/>
          <w:sz w:val="24"/>
          <w:lang w:val="en-US" w:eastAsia="zh-CN"/>
        </w:rPr>
        <w:t xml:space="preserve">  </w:t>
      </w:r>
      <w:r>
        <w:rPr>
          <w:rFonts w:hint="default" w:ascii="Times New Roman" w:hAnsi="Times New Roman" w:eastAsia="宋体" w:cs="Times New Roman"/>
          <w:b/>
          <w:bCs/>
          <w:color w:val="auto"/>
          <w:sz w:val="24"/>
        </w:rPr>
        <w:t xml:space="preserve"> </w:t>
      </w:r>
      <w:r>
        <w:rPr>
          <w:rFonts w:hint="eastAsia" w:ascii="Times New Roman" w:hAnsi="Times New Roman" w:eastAsia="宋体" w:cs="Times New Roman"/>
          <w:b/>
          <w:bCs/>
          <w:color w:val="auto"/>
          <w:sz w:val="24"/>
          <w:lang w:eastAsia="zh-CN"/>
        </w:rPr>
        <w:t>本</w:t>
      </w:r>
      <w:r>
        <w:rPr>
          <w:rFonts w:hint="default" w:ascii="Times New Roman" w:hAnsi="Times New Roman" w:eastAsia="宋体" w:cs="Times New Roman"/>
          <w:b/>
          <w:bCs/>
          <w:color w:val="auto"/>
          <w:sz w:val="24"/>
        </w:rPr>
        <w:t>项目主要产污环节和排污特征</w:t>
      </w:r>
      <w:r>
        <w:rPr>
          <w:rFonts w:hint="eastAsia" w:ascii="Times New Roman" w:hAnsi="Times New Roman" w:eastAsia="宋体" w:cs="Times New Roman"/>
          <w:b/>
          <w:bCs/>
          <w:color w:val="auto"/>
          <w:sz w:val="24"/>
          <w:lang w:eastAsia="zh-CN"/>
        </w:rPr>
        <w:t>表</w:t>
      </w:r>
    </w:p>
    <w:tbl>
      <w:tblPr>
        <w:tblStyle w:val="5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95"/>
        <w:gridCol w:w="1247"/>
        <w:gridCol w:w="1476"/>
        <w:gridCol w:w="1874"/>
        <w:gridCol w:w="352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95" w:type="dxa"/>
            <w:tcBorders>
              <w:tl2br w:val="nil"/>
              <w:tr2bl w:val="nil"/>
            </w:tcBorders>
            <w:noWrap w:val="0"/>
            <w:vAlign w:val="center"/>
          </w:tcPr>
          <w:p>
            <w:pPr>
              <w:jc w:val="center"/>
              <w:rPr>
                <w:rFonts w:hint="default"/>
                <w:color w:val="auto"/>
                <w:szCs w:val="21"/>
                <w:lang w:eastAsia="zh-CN"/>
              </w:rPr>
            </w:pPr>
            <w:r>
              <w:rPr>
                <w:rFonts w:hint="default"/>
                <w:color w:val="auto"/>
                <w:szCs w:val="21"/>
                <w:lang w:eastAsia="zh-CN"/>
              </w:rPr>
              <w:t>类别</w:t>
            </w:r>
          </w:p>
        </w:tc>
        <w:tc>
          <w:tcPr>
            <w:tcW w:w="1247" w:type="dxa"/>
            <w:tcBorders>
              <w:tl2br w:val="nil"/>
              <w:tr2bl w:val="nil"/>
            </w:tcBorders>
            <w:noWrap w:val="0"/>
            <w:vAlign w:val="center"/>
          </w:tcPr>
          <w:p>
            <w:pPr>
              <w:jc w:val="center"/>
              <w:rPr>
                <w:rFonts w:hint="default"/>
                <w:color w:val="auto"/>
                <w:szCs w:val="21"/>
                <w:lang w:eastAsia="zh-CN"/>
              </w:rPr>
            </w:pPr>
            <w:r>
              <w:rPr>
                <w:rFonts w:hint="default"/>
                <w:color w:val="auto"/>
                <w:szCs w:val="21"/>
                <w:lang w:eastAsia="zh-CN"/>
              </w:rPr>
              <w:t>产污代码</w:t>
            </w:r>
          </w:p>
        </w:tc>
        <w:tc>
          <w:tcPr>
            <w:tcW w:w="1476" w:type="dxa"/>
            <w:tcBorders>
              <w:tl2br w:val="nil"/>
              <w:tr2bl w:val="nil"/>
            </w:tcBorders>
            <w:noWrap w:val="0"/>
            <w:vAlign w:val="center"/>
          </w:tcPr>
          <w:p>
            <w:pPr>
              <w:jc w:val="center"/>
              <w:rPr>
                <w:rFonts w:hint="default"/>
                <w:color w:val="auto"/>
                <w:szCs w:val="21"/>
                <w:lang w:eastAsia="zh-CN"/>
              </w:rPr>
            </w:pPr>
            <w:r>
              <w:rPr>
                <w:rFonts w:hint="default"/>
                <w:color w:val="auto"/>
                <w:szCs w:val="21"/>
                <w:lang w:eastAsia="zh-CN"/>
              </w:rPr>
              <w:t>污染物</w:t>
            </w:r>
          </w:p>
        </w:tc>
        <w:tc>
          <w:tcPr>
            <w:tcW w:w="1874" w:type="dxa"/>
            <w:tcBorders>
              <w:tl2br w:val="nil"/>
              <w:tr2bl w:val="nil"/>
            </w:tcBorders>
            <w:noWrap w:val="0"/>
            <w:vAlign w:val="center"/>
          </w:tcPr>
          <w:p>
            <w:pPr>
              <w:jc w:val="center"/>
              <w:rPr>
                <w:rFonts w:hint="default"/>
                <w:color w:val="auto"/>
                <w:szCs w:val="21"/>
                <w:lang w:eastAsia="zh-CN"/>
              </w:rPr>
            </w:pPr>
            <w:r>
              <w:rPr>
                <w:rFonts w:hint="default"/>
                <w:color w:val="auto"/>
                <w:szCs w:val="21"/>
                <w:lang w:eastAsia="zh-CN"/>
              </w:rPr>
              <w:t>产污工序</w:t>
            </w:r>
          </w:p>
        </w:tc>
        <w:tc>
          <w:tcPr>
            <w:tcW w:w="3526" w:type="dxa"/>
            <w:tcBorders>
              <w:tl2br w:val="nil"/>
              <w:tr2bl w:val="nil"/>
            </w:tcBorders>
            <w:noWrap w:val="0"/>
            <w:vAlign w:val="center"/>
          </w:tcPr>
          <w:p>
            <w:pPr>
              <w:jc w:val="center"/>
              <w:rPr>
                <w:rFonts w:hint="default"/>
                <w:color w:val="auto"/>
                <w:szCs w:val="21"/>
                <w:lang w:eastAsia="zh-CN"/>
              </w:rPr>
            </w:pPr>
            <w:r>
              <w:rPr>
                <w:rFonts w:hint="default"/>
                <w:color w:val="auto"/>
                <w:szCs w:val="21"/>
                <w:lang w:eastAsia="zh-CN"/>
              </w:rPr>
              <w:t>措施及去向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95" w:type="dxa"/>
            <w:vMerge w:val="restart"/>
            <w:tcBorders>
              <w:tl2br w:val="nil"/>
              <w:tr2bl w:val="nil"/>
            </w:tcBorders>
            <w:noWrap w:val="0"/>
            <w:vAlign w:val="center"/>
          </w:tcPr>
          <w:p>
            <w:pPr>
              <w:jc w:val="center"/>
              <w:rPr>
                <w:rFonts w:hint="default"/>
                <w:color w:val="auto"/>
                <w:szCs w:val="21"/>
                <w:lang w:eastAsia="zh-CN"/>
              </w:rPr>
            </w:pPr>
            <w:r>
              <w:rPr>
                <w:rFonts w:hint="default"/>
                <w:color w:val="auto"/>
                <w:szCs w:val="21"/>
                <w:lang w:eastAsia="zh-CN"/>
              </w:rPr>
              <w:t>废气</w:t>
            </w:r>
          </w:p>
        </w:tc>
        <w:tc>
          <w:tcPr>
            <w:tcW w:w="1247" w:type="dxa"/>
            <w:tcBorders>
              <w:tl2br w:val="nil"/>
              <w:tr2bl w:val="nil"/>
            </w:tcBorders>
            <w:noWrap w:val="0"/>
            <w:vAlign w:val="center"/>
          </w:tcPr>
          <w:p>
            <w:pPr>
              <w:jc w:val="center"/>
              <w:rPr>
                <w:rFonts w:hint="default"/>
                <w:color w:val="auto"/>
                <w:szCs w:val="21"/>
                <w:lang w:eastAsia="zh-CN"/>
              </w:rPr>
            </w:pPr>
            <w:r>
              <w:rPr>
                <w:rFonts w:hint="default"/>
                <w:color w:val="auto"/>
                <w:szCs w:val="21"/>
                <w:lang w:eastAsia="zh-CN"/>
              </w:rPr>
              <w:t>G1</w:t>
            </w:r>
          </w:p>
        </w:tc>
        <w:tc>
          <w:tcPr>
            <w:tcW w:w="1476" w:type="dxa"/>
            <w:vMerge w:val="restart"/>
            <w:tcBorders>
              <w:tl2br w:val="nil"/>
              <w:tr2bl w:val="nil"/>
            </w:tcBorders>
            <w:noWrap w:val="0"/>
            <w:vAlign w:val="center"/>
          </w:tcPr>
          <w:p>
            <w:pPr>
              <w:jc w:val="center"/>
              <w:rPr>
                <w:rFonts w:hint="eastAsia"/>
                <w:color w:val="auto"/>
                <w:szCs w:val="21"/>
                <w:lang w:eastAsia="zh-CN"/>
              </w:rPr>
            </w:pPr>
            <w:r>
              <w:rPr>
                <w:rFonts w:hint="eastAsia"/>
                <w:color w:val="auto"/>
                <w:szCs w:val="21"/>
                <w:lang w:val="en-US" w:eastAsia="zh-CN"/>
              </w:rPr>
              <w:t>VOCs</w:t>
            </w:r>
          </w:p>
        </w:tc>
        <w:tc>
          <w:tcPr>
            <w:tcW w:w="1874" w:type="dxa"/>
            <w:tcBorders>
              <w:tl2br w:val="nil"/>
              <w:tr2bl w:val="nil"/>
            </w:tcBorders>
            <w:noWrap w:val="0"/>
            <w:vAlign w:val="center"/>
          </w:tcPr>
          <w:p>
            <w:pPr>
              <w:jc w:val="center"/>
              <w:rPr>
                <w:rFonts w:hint="default"/>
                <w:color w:val="auto"/>
                <w:szCs w:val="21"/>
                <w:lang w:eastAsia="zh-CN"/>
              </w:rPr>
            </w:pPr>
            <w:r>
              <w:rPr>
                <w:rFonts w:hint="eastAsia"/>
                <w:color w:val="auto"/>
                <w:szCs w:val="21"/>
                <w:lang w:eastAsia="zh-CN"/>
              </w:rPr>
              <w:t>橡胶溶解</w:t>
            </w:r>
          </w:p>
        </w:tc>
        <w:tc>
          <w:tcPr>
            <w:tcW w:w="3526" w:type="dxa"/>
            <w:vMerge w:val="restart"/>
            <w:tcBorders>
              <w:tl2br w:val="nil"/>
              <w:tr2bl w:val="nil"/>
            </w:tcBorders>
            <w:noWrap w:val="0"/>
            <w:vAlign w:val="center"/>
          </w:tcPr>
          <w:p>
            <w:pPr>
              <w:jc w:val="center"/>
              <w:rPr>
                <w:rFonts w:hint="default"/>
                <w:color w:val="auto"/>
                <w:szCs w:val="21"/>
                <w:lang w:eastAsia="zh-CN"/>
              </w:rPr>
            </w:pPr>
            <w:r>
              <w:rPr>
                <w:rFonts w:hint="eastAsia"/>
                <w:color w:val="auto"/>
                <w:szCs w:val="21"/>
                <w:lang w:val="en-US" w:eastAsia="zh-CN"/>
              </w:rPr>
              <w:t>集气罩收集后，经1套</w:t>
            </w:r>
            <w:r>
              <w:rPr>
                <w:rFonts w:hint="eastAsia"/>
                <w:color w:val="auto"/>
                <w:szCs w:val="21"/>
                <w:lang w:eastAsia="zh-CN"/>
              </w:rPr>
              <w:t>冷凝+高效滤油+复合光催化+活性炭吸附</w:t>
            </w:r>
            <w:r>
              <w:rPr>
                <w:rFonts w:hint="eastAsia"/>
                <w:color w:val="auto"/>
                <w:szCs w:val="21"/>
                <w:lang w:val="en-US" w:eastAsia="zh-CN"/>
              </w:rPr>
              <w:t>处理后，通过1根15米高排气筒外排；车间加强机械通风设施。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95" w:type="dxa"/>
            <w:vMerge w:val="continue"/>
            <w:tcBorders>
              <w:tl2br w:val="nil"/>
              <w:tr2bl w:val="nil"/>
            </w:tcBorders>
            <w:noWrap w:val="0"/>
            <w:vAlign w:val="center"/>
          </w:tcPr>
          <w:p>
            <w:pPr>
              <w:jc w:val="center"/>
              <w:rPr>
                <w:rFonts w:hint="default"/>
                <w:color w:val="auto"/>
                <w:szCs w:val="21"/>
                <w:lang w:eastAsia="zh-CN"/>
              </w:rPr>
            </w:pPr>
          </w:p>
        </w:tc>
        <w:tc>
          <w:tcPr>
            <w:tcW w:w="1247" w:type="dxa"/>
            <w:tcBorders>
              <w:tl2br w:val="nil"/>
              <w:tr2bl w:val="nil"/>
            </w:tcBorders>
            <w:noWrap w:val="0"/>
            <w:vAlign w:val="center"/>
          </w:tcPr>
          <w:p>
            <w:pPr>
              <w:jc w:val="center"/>
              <w:rPr>
                <w:rFonts w:hint="default"/>
                <w:color w:val="auto"/>
                <w:szCs w:val="21"/>
                <w:lang w:val="en-US" w:eastAsia="zh-CN"/>
              </w:rPr>
            </w:pPr>
            <w:r>
              <w:rPr>
                <w:rFonts w:hint="default"/>
                <w:color w:val="auto"/>
                <w:szCs w:val="21"/>
                <w:lang w:val="en-US" w:eastAsia="zh-CN"/>
              </w:rPr>
              <w:t>G</w:t>
            </w:r>
            <w:r>
              <w:rPr>
                <w:rFonts w:hint="eastAsia"/>
                <w:color w:val="auto"/>
                <w:szCs w:val="21"/>
                <w:lang w:val="en-US" w:eastAsia="zh-CN"/>
              </w:rPr>
              <w:t>2</w:t>
            </w:r>
          </w:p>
        </w:tc>
        <w:tc>
          <w:tcPr>
            <w:tcW w:w="1476" w:type="dxa"/>
            <w:vMerge w:val="continue"/>
            <w:tcBorders>
              <w:tl2br w:val="nil"/>
              <w:tr2bl w:val="nil"/>
            </w:tcBorders>
            <w:noWrap w:val="0"/>
            <w:vAlign w:val="center"/>
          </w:tcPr>
          <w:p>
            <w:pPr>
              <w:jc w:val="center"/>
              <w:rPr>
                <w:rFonts w:hint="default"/>
                <w:color w:val="auto"/>
                <w:szCs w:val="21"/>
                <w:lang w:eastAsia="zh-CN"/>
              </w:rPr>
            </w:pPr>
          </w:p>
        </w:tc>
        <w:tc>
          <w:tcPr>
            <w:tcW w:w="1874" w:type="dxa"/>
            <w:tcBorders>
              <w:tl2br w:val="nil"/>
              <w:tr2bl w:val="nil"/>
            </w:tcBorders>
            <w:noWrap w:val="0"/>
            <w:vAlign w:val="center"/>
          </w:tcPr>
          <w:p>
            <w:pPr>
              <w:jc w:val="center"/>
              <w:rPr>
                <w:rFonts w:hint="default"/>
                <w:color w:val="auto"/>
                <w:szCs w:val="21"/>
                <w:lang w:eastAsia="zh-CN"/>
              </w:rPr>
            </w:pPr>
            <w:r>
              <w:rPr>
                <w:rFonts w:hint="eastAsia"/>
                <w:color w:val="auto"/>
                <w:szCs w:val="21"/>
                <w:lang w:eastAsia="zh-CN"/>
              </w:rPr>
              <w:t>涂覆</w:t>
            </w:r>
          </w:p>
        </w:tc>
        <w:tc>
          <w:tcPr>
            <w:tcW w:w="3526" w:type="dxa"/>
            <w:vMerge w:val="continue"/>
            <w:tcBorders>
              <w:tl2br w:val="nil"/>
              <w:tr2bl w:val="nil"/>
            </w:tcBorders>
            <w:noWrap w:val="0"/>
            <w:vAlign w:val="center"/>
          </w:tcPr>
          <w:p>
            <w:pPr>
              <w:jc w:val="center"/>
              <w:rPr>
                <w:rFonts w:hint="default"/>
                <w:color w:val="auto"/>
                <w:szCs w:val="21"/>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95" w:type="dxa"/>
            <w:vMerge w:val="continue"/>
            <w:tcBorders>
              <w:tl2br w:val="nil"/>
              <w:tr2bl w:val="nil"/>
            </w:tcBorders>
            <w:noWrap w:val="0"/>
            <w:vAlign w:val="center"/>
          </w:tcPr>
          <w:p>
            <w:pPr>
              <w:jc w:val="center"/>
              <w:rPr>
                <w:rFonts w:hint="default"/>
                <w:color w:val="auto"/>
                <w:szCs w:val="21"/>
                <w:lang w:eastAsia="zh-CN"/>
              </w:rPr>
            </w:pPr>
          </w:p>
        </w:tc>
        <w:tc>
          <w:tcPr>
            <w:tcW w:w="1247" w:type="dxa"/>
            <w:tcBorders>
              <w:tl2br w:val="nil"/>
              <w:tr2bl w:val="nil"/>
            </w:tcBorders>
            <w:noWrap w:val="0"/>
            <w:vAlign w:val="center"/>
          </w:tcPr>
          <w:p>
            <w:pPr>
              <w:jc w:val="center"/>
              <w:rPr>
                <w:rFonts w:hint="default"/>
                <w:color w:val="auto"/>
                <w:szCs w:val="21"/>
                <w:lang w:val="en-US" w:eastAsia="zh-CN"/>
              </w:rPr>
            </w:pPr>
            <w:r>
              <w:rPr>
                <w:rFonts w:hint="eastAsia"/>
                <w:color w:val="auto"/>
                <w:szCs w:val="21"/>
                <w:lang w:val="en-US" w:eastAsia="zh-CN"/>
              </w:rPr>
              <w:t>G3</w:t>
            </w:r>
          </w:p>
        </w:tc>
        <w:tc>
          <w:tcPr>
            <w:tcW w:w="1476" w:type="dxa"/>
            <w:vMerge w:val="continue"/>
            <w:tcBorders>
              <w:tl2br w:val="nil"/>
              <w:tr2bl w:val="nil"/>
            </w:tcBorders>
            <w:noWrap w:val="0"/>
            <w:vAlign w:val="center"/>
          </w:tcPr>
          <w:p>
            <w:pPr>
              <w:jc w:val="center"/>
              <w:rPr>
                <w:rFonts w:hint="default"/>
                <w:color w:val="auto"/>
                <w:szCs w:val="21"/>
                <w:lang w:eastAsia="zh-CN"/>
              </w:rPr>
            </w:pPr>
          </w:p>
        </w:tc>
        <w:tc>
          <w:tcPr>
            <w:tcW w:w="1874" w:type="dxa"/>
            <w:tcBorders>
              <w:tl2br w:val="nil"/>
              <w:tr2bl w:val="nil"/>
            </w:tcBorders>
            <w:noWrap w:val="0"/>
            <w:vAlign w:val="center"/>
          </w:tcPr>
          <w:p>
            <w:pPr>
              <w:jc w:val="center"/>
              <w:rPr>
                <w:rFonts w:hint="default"/>
                <w:color w:val="auto"/>
                <w:szCs w:val="21"/>
                <w:lang w:eastAsia="zh-CN"/>
              </w:rPr>
            </w:pPr>
            <w:r>
              <w:rPr>
                <w:rFonts w:hint="eastAsia"/>
                <w:color w:val="auto"/>
                <w:szCs w:val="21"/>
                <w:lang w:eastAsia="zh-CN"/>
              </w:rPr>
              <w:t>晾干</w:t>
            </w:r>
          </w:p>
        </w:tc>
        <w:tc>
          <w:tcPr>
            <w:tcW w:w="3526" w:type="dxa"/>
            <w:vMerge w:val="continue"/>
            <w:tcBorders>
              <w:tl2br w:val="nil"/>
              <w:tr2bl w:val="nil"/>
            </w:tcBorders>
            <w:noWrap w:val="0"/>
            <w:vAlign w:val="center"/>
          </w:tcPr>
          <w:p>
            <w:pPr>
              <w:jc w:val="center"/>
              <w:rPr>
                <w:rFonts w:hint="default"/>
                <w:color w:val="auto"/>
                <w:szCs w:val="21"/>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95" w:type="dxa"/>
            <w:vMerge w:val="continue"/>
            <w:tcBorders>
              <w:tl2br w:val="nil"/>
              <w:tr2bl w:val="nil"/>
            </w:tcBorders>
            <w:noWrap w:val="0"/>
            <w:vAlign w:val="center"/>
          </w:tcPr>
          <w:p>
            <w:pPr>
              <w:jc w:val="center"/>
              <w:rPr>
                <w:rFonts w:hint="default"/>
                <w:color w:val="auto"/>
                <w:szCs w:val="21"/>
                <w:lang w:eastAsia="zh-CN"/>
              </w:rPr>
            </w:pPr>
          </w:p>
        </w:tc>
        <w:tc>
          <w:tcPr>
            <w:tcW w:w="1247" w:type="dxa"/>
            <w:tcBorders>
              <w:tl2br w:val="nil"/>
              <w:tr2bl w:val="nil"/>
            </w:tcBorders>
            <w:noWrap w:val="0"/>
            <w:vAlign w:val="center"/>
          </w:tcPr>
          <w:p>
            <w:pPr>
              <w:jc w:val="center"/>
              <w:rPr>
                <w:rFonts w:hint="default"/>
                <w:color w:val="auto"/>
                <w:szCs w:val="21"/>
                <w:lang w:val="en-US" w:eastAsia="zh-CN"/>
              </w:rPr>
            </w:pPr>
            <w:r>
              <w:rPr>
                <w:rFonts w:hint="eastAsia"/>
                <w:color w:val="auto"/>
                <w:szCs w:val="21"/>
                <w:lang w:val="en-US" w:eastAsia="zh-CN"/>
              </w:rPr>
              <w:t>G4</w:t>
            </w:r>
          </w:p>
        </w:tc>
        <w:tc>
          <w:tcPr>
            <w:tcW w:w="1476" w:type="dxa"/>
            <w:vMerge w:val="continue"/>
            <w:tcBorders>
              <w:tl2br w:val="nil"/>
              <w:tr2bl w:val="nil"/>
            </w:tcBorders>
            <w:noWrap w:val="0"/>
            <w:vAlign w:val="center"/>
          </w:tcPr>
          <w:p>
            <w:pPr>
              <w:jc w:val="center"/>
              <w:rPr>
                <w:rFonts w:hint="eastAsia"/>
                <w:color w:val="auto"/>
                <w:szCs w:val="21"/>
                <w:lang w:eastAsia="zh-CN"/>
              </w:rPr>
            </w:pPr>
          </w:p>
        </w:tc>
        <w:tc>
          <w:tcPr>
            <w:tcW w:w="1874" w:type="dxa"/>
            <w:tcBorders>
              <w:tl2br w:val="nil"/>
              <w:tr2bl w:val="nil"/>
            </w:tcBorders>
            <w:noWrap w:val="0"/>
            <w:vAlign w:val="center"/>
          </w:tcPr>
          <w:p>
            <w:pPr>
              <w:jc w:val="center"/>
              <w:rPr>
                <w:rFonts w:hint="eastAsia"/>
                <w:color w:val="auto"/>
                <w:szCs w:val="21"/>
                <w:lang w:eastAsia="zh-CN"/>
              </w:rPr>
            </w:pPr>
            <w:r>
              <w:rPr>
                <w:rFonts w:hint="eastAsia"/>
                <w:color w:val="auto"/>
                <w:szCs w:val="21"/>
                <w:lang w:eastAsia="zh-CN"/>
              </w:rPr>
              <w:t>烘干</w:t>
            </w:r>
          </w:p>
        </w:tc>
        <w:tc>
          <w:tcPr>
            <w:tcW w:w="3526" w:type="dxa"/>
            <w:vMerge w:val="continue"/>
            <w:tcBorders>
              <w:tl2br w:val="nil"/>
              <w:tr2bl w:val="nil"/>
            </w:tcBorders>
            <w:noWrap w:val="0"/>
            <w:vAlign w:val="center"/>
          </w:tcPr>
          <w:p>
            <w:pPr>
              <w:jc w:val="center"/>
              <w:rPr>
                <w:rFonts w:hint="default"/>
                <w:color w:val="auto"/>
                <w:szCs w:val="21"/>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95" w:type="dxa"/>
            <w:tcBorders>
              <w:tl2br w:val="nil"/>
              <w:tr2bl w:val="nil"/>
            </w:tcBorders>
            <w:noWrap w:val="0"/>
            <w:vAlign w:val="center"/>
          </w:tcPr>
          <w:p>
            <w:pPr>
              <w:jc w:val="center"/>
              <w:rPr>
                <w:rFonts w:hint="default"/>
                <w:color w:val="auto"/>
                <w:szCs w:val="21"/>
                <w:lang w:eastAsia="zh-CN"/>
              </w:rPr>
            </w:pPr>
            <w:r>
              <w:rPr>
                <w:rFonts w:hint="default"/>
                <w:color w:val="auto"/>
                <w:szCs w:val="21"/>
                <w:lang w:eastAsia="zh-CN"/>
              </w:rPr>
              <w:t>废水</w:t>
            </w:r>
          </w:p>
        </w:tc>
        <w:tc>
          <w:tcPr>
            <w:tcW w:w="1247" w:type="dxa"/>
            <w:tcBorders>
              <w:tl2br w:val="nil"/>
              <w:tr2bl w:val="nil"/>
            </w:tcBorders>
            <w:noWrap w:val="0"/>
            <w:vAlign w:val="center"/>
          </w:tcPr>
          <w:p>
            <w:pPr>
              <w:jc w:val="center"/>
              <w:rPr>
                <w:rFonts w:hint="eastAsia"/>
                <w:color w:val="auto"/>
                <w:szCs w:val="21"/>
                <w:lang w:val="en-US" w:eastAsia="zh-CN"/>
              </w:rPr>
            </w:pPr>
            <w:r>
              <w:rPr>
                <w:rFonts w:hint="eastAsia"/>
                <w:color w:val="auto"/>
                <w:szCs w:val="21"/>
                <w:lang w:val="en-US" w:eastAsia="zh-CN"/>
              </w:rPr>
              <w:t>W1</w:t>
            </w:r>
          </w:p>
        </w:tc>
        <w:tc>
          <w:tcPr>
            <w:tcW w:w="1476" w:type="dxa"/>
            <w:tcBorders>
              <w:tl2br w:val="nil"/>
              <w:tr2bl w:val="nil"/>
            </w:tcBorders>
            <w:noWrap w:val="0"/>
            <w:vAlign w:val="center"/>
          </w:tcPr>
          <w:p>
            <w:pPr>
              <w:jc w:val="center"/>
              <w:rPr>
                <w:rFonts w:hint="eastAsia"/>
                <w:color w:val="auto"/>
                <w:szCs w:val="21"/>
                <w:lang w:val="en-US" w:eastAsia="zh-CN"/>
              </w:rPr>
            </w:pPr>
            <w:r>
              <w:rPr>
                <w:rFonts w:hint="eastAsia"/>
                <w:color w:val="auto"/>
                <w:szCs w:val="21"/>
                <w:lang w:val="en-US" w:eastAsia="zh-CN"/>
              </w:rPr>
              <w:t>CODcr、BOD</w:t>
            </w:r>
            <w:r>
              <w:rPr>
                <w:rFonts w:hint="eastAsia"/>
                <w:color w:val="auto"/>
                <w:szCs w:val="21"/>
                <w:vertAlign w:val="subscript"/>
                <w:lang w:val="en-US" w:eastAsia="zh-CN"/>
              </w:rPr>
              <w:t>5</w:t>
            </w:r>
            <w:r>
              <w:rPr>
                <w:rFonts w:hint="eastAsia"/>
                <w:color w:val="auto"/>
                <w:szCs w:val="21"/>
                <w:lang w:val="en-US" w:eastAsia="zh-CN"/>
              </w:rPr>
              <w:t>、SS、NH</w:t>
            </w:r>
            <w:r>
              <w:rPr>
                <w:rFonts w:hint="eastAsia"/>
                <w:color w:val="auto"/>
                <w:szCs w:val="21"/>
                <w:vertAlign w:val="subscript"/>
                <w:lang w:val="en-US" w:eastAsia="zh-CN"/>
              </w:rPr>
              <w:t>3</w:t>
            </w:r>
            <w:r>
              <w:rPr>
                <w:rFonts w:hint="eastAsia"/>
                <w:color w:val="auto"/>
                <w:szCs w:val="21"/>
                <w:lang w:val="en-US" w:eastAsia="zh-CN"/>
              </w:rPr>
              <w:t>-N</w:t>
            </w:r>
          </w:p>
        </w:tc>
        <w:tc>
          <w:tcPr>
            <w:tcW w:w="1874" w:type="dxa"/>
            <w:tcBorders>
              <w:tl2br w:val="nil"/>
              <w:tr2bl w:val="nil"/>
            </w:tcBorders>
            <w:noWrap w:val="0"/>
            <w:vAlign w:val="center"/>
          </w:tcPr>
          <w:p>
            <w:pPr>
              <w:jc w:val="center"/>
              <w:rPr>
                <w:rFonts w:hint="eastAsia"/>
                <w:color w:val="auto"/>
                <w:szCs w:val="21"/>
                <w:lang w:val="en-US" w:eastAsia="zh-CN"/>
              </w:rPr>
            </w:pPr>
            <w:r>
              <w:rPr>
                <w:rFonts w:hint="eastAsia"/>
                <w:color w:val="auto"/>
                <w:szCs w:val="21"/>
                <w:lang w:val="en-US" w:eastAsia="zh-CN"/>
              </w:rPr>
              <w:t>职工生活</w:t>
            </w:r>
          </w:p>
        </w:tc>
        <w:tc>
          <w:tcPr>
            <w:tcW w:w="3526" w:type="dxa"/>
            <w:tcBorders>
              <w:tl2br w:val="nil"/>
              <w:tr2bl w:val="nil"/>
            </w:tcBorders>
            <w:noWrap w:val="0"/>
            <w:vAlign w:val="center"/>
          </w:tcPr>
          <w:p>
            <w:pPr>
              <w:jc w:val="center"/>
              <w:rPr>
                <w:rFonts w:hint="eastAsia"/>
                <w:color w:val="auto"/>
                <w:szCs w:val="21"/>
                <w:lang w:val="en-US" w:eastAsia="zh-CN"/>
              </w:rPr>
            </w:pPr>
            <w:r>
              <w:rPr>
                <w:rFonts w:hint="eastAsia"/>
                <w:color w:val="auto"/>
                <w:szCs w:val="21"/>
                <w:lang w:val="en-US" w:eastAsia="zh-CN"/>
              </w:rPr>
              <w:t>依托佳乐公司现有地埋式污水处理设施处理达标后排入东津河。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95" w:type="dxa"/>
            <w:tcBorders>
              <w:tl2br w:val="nil"/>
              <w:tr2bl w:val="nil"/>
            </w:tcBorders>
            <w:noWrap w:val="0"/>
            <w:vAlign w:val="center"/>
          </w:tcPr>
          <w:p>
            <w:pPr>
              <w:jc w:val="center"/>
              <w:rPr>
                <w:rFonts w:hint="default"/>
                <w:color w:val="auto"/>
                <w:szCs w:val="21"/>
                <w:lang w:eastAsia="zh-CN"/>
              </w:rPr>
            </w:pPr>
            <w:r>
              <w:rPr>
                <w:rFonts w:hint="default"/>
                <w:color w:val="auto"/>
                <w:szCs w:val="21"/>
                <w:lang w:eastAsia="zh-CN"/>
              </w:rPr>
              <w:t>噪声</w:t>
            </w:r>
          </w:p>
        </w:tc>
        <w:tc>
          <w:tcPr>
            <w:tcW w:w="1247" w:type="dxa"/>
            <w:tcBorders>
              <w:tl2br w:val="nil"/>
              <w:tr2bl w:val="nil"/>
            </w:tcBorders>
            <w:noWrap w:val="0"/>
            <w:vAlign w:val="center"/>
          </w:tcPr>
          <w:p>
            <w:pPr>
              <w:jc w:val="center"/>
              <w:rPr>
                <w:rFonts w:hint="default"/>
                <w:color w:val="auto"/>
                <w:szCs w:val="21"/>
                <w:lang w:eastAsia="zh-CN"/>
              </w:rPr>
            </w:pPr>
            <w:r>
              <w:rPr>
                <w:rFonts w:hint="default"/>
                <w:color w:val="auto"/>
                <w:szCs w:val="21"/>
                <w:lang w:eastAsia="zh-CN"/>
              </w:rPr>
              <w:t>N</w:t>
            </w:r>
          </w:p>
        </w:tc>
        <w:tc>
          <w:tcPr>
            <w:tcW w:w="1476" w:type="dxa"/>
            <w:tcBorders>
              <w:tl2br w:val="nil"/>
              <w:tr2bl w:val="nil"/>
            </w:tcBorders>
            <w:noWrap w:val="0"/>
            <w:vAlign w:val="center"/>
          </w:tcPr>
          <w:p>
            <w:pPr>
              <w:jc w:val="center"/>
              <w:rPr>
                <w:rFonts w:hint="default"/>
                <w:color w:val="auto"/>
                <w:szCs w:val="21"/>
                <w:lang w:eastAsia="zh-CN"/>
              </w:rPr>
            </w:pPr>
            <w:r>
              <w:rPr>
                <w:rFonts w:hint="default"/>
                <w:color w:val="auto"/>
                <w:szCs w:val="21"/>
                <w:lang w:eastAsia="zh-CN"/>
              </w:rPr>
              <w:t>噪声</w:t>
            </w:r>
          </w:p>
        </w:tc>
        <w:tc>
          <w:tcPr>
            <w:tcW w:w="1874" w:type="dxa"/>
            <w:tcBorders>
              <w:tl2br w:val="nil"/>
              <w:tr2bl w:val="nil"/>
            </w:tcBorders>
            <w:noWrap w:val="0"/>
            <w:vAlign w:val="center"/>
          </w:tcPr>
          <w:p>
            <w:pPr>
              <w:jc w:val="center"/>
              <w:rPr>
                <w:rFonts w:hint="default"/>
                <w:color w:val="auto"/>
                <w:szCs w:val="21"/>
                <w:lang w:eastAsia="zh-CN"/>
              </w:rPr>
            </w:pPr>
            <w:r>
              <w:rPr>
                <w:rFonts w:hint="default"/>
                <w:color w:val="auto"/>
                <w:szCs w:val="21"/>
                <w:lang w:eastAsia="zh-CN"/>
              </w:rPr>
              <w:t>机械设备</w:t>
            </w:r>
          </w:p>
        </w:tc>
        <w:tc>
          <w:tcPr>
            <w:tcW w:w="3526" w:type="dxa"/>
            <w:tcBorders>
              <w:tl2br w:val="nil"/>
              <w:tr2bl w:val="nil"/>
            </w:tcBorders>
            <w:noWrap w:val="0"/>
            <w:vAlign w:val="center"/>
          </w:tcPr>
          <w:p>
            <w:pPr>
              <w:jc w:val="center"/>
              <w:rPr>
                <w:rFonts w:hint="default"/>
                <w:color w:val="auto"/>
                <w:szCs w:val="21"/>
                <w:lang w:eastAsia="zh-CN"/>
              </w:rPr>
            </w:pPr>
            <w:r>
              <w:rPr>
                <w:rFonts w:hint="default"/>
                <w:color w:val="auto"/>
                <w:szCs w:val="21"/>
                <w:lang w:eastAsia="zh-CN"/>
              </w:rPr>
              <w:t>选用低噪声设备，采用隔声、减震降噪措施。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95" w:type="dxa"/>
            <w:vMerge w:val="restart"/>
            <w:tcBorders>
              <w:tl2br w:val="nil"/>
              <w:tr2bl w:val="nil"/>
            </w:tcBorders>
            <w:noWrap w:val="0"/>
            <w:vAlign w:val="center"/>
          </w:tcPr>
          <w:p>
            <w:pPr>
              <w:jc w:val="center"/>
              <w:rPr>
                <w:rFonts w:hint="default"/>
                <w:color w:val="auto"/>
                <w:szCs w:val="21"/>
                <w:lang w:eastAsia="zh-CN"/>
              </w:rPr>
            </w:pPr>
            <w:r>
              <w:rPr>
                <w:rFonts w:hint="default"/>
                <w:color w:val="auto"/>
                <w:szCs w:val="21"/>
                <w:lang w:eastAsia="zh-CN"/>
              </w:rPr>
              <w:t>固体废物</w:t>
            </w:r>
          </w:p>
        </w:tc>
        <w:tc>
          <w:tcPr>
            <w:tcW w:w="1247" w:type="dxa"/>
            <w:tcBorders>
              <w:tl2br w:val="nil"/>
              <w:tr2bl w:val="nil"/>
            </w:tcBorders>
            <w:noWrap w:val="0"/>
            <w:vAlign w:val="center"/>
          </w:tcPr>
          <w:p>
            <w:pPr>
              <w:jc w:val="center"/>
              <w:rPr>
                <w:rFonts w:hint="eastAsia"/>
                <w:color w:val="auto"/>
                <w:szCs w:val="21"/>
                <w:lang w:val="en-US" w:eastAsia="zh-CN"/>
              </w:rPr>
            </w:pPr>
            <w:r>
              <w:rPr>
                <w:rFonts w:hint="eastAsia"/>
                <w:color w:val="auto"/>
                <w:szCs w:val="21"/>
                <w:lang w:val="en-US" w:eastAsia="zh-CN"/>
              </w:rPr>
              <w:t>S1</w:t>
            </w:r>
          </w:p>
        </w:tc>
        <w:tc>
          <w:tcPr>
            <w:tcW w:w="1476" w:type="dxa"/>
            <w:tcBorders>
              <w:tl2br w:val="nil"/>
              <w:tr2bl w:val="nil"/>
            </w:tcBorders>
            <w:noWrap w:val="0"/>
            <w:vAlign w:val="center"/>
          </w:tcPr>
          <w:p>
            <w:pPr>
              <w:jc w:val="center"/>
              <w:rPr>
                <w:rFonts w:hint="eastAsia"/>
                <w:color w:val="auto"/>
                <w:szCs w:val="21"/>
                <w:lang w:eastAsia="zh-CN"/>
              </w:rPr>
            </w:pPr>
            <w:r>
              <w:rPr>
                <w:rFonts w:hint="eastAsia"/>
                <w:color w:val="auto"/>
                <w:szCs w:val="21"/>
                <w:lang w:eastAsia="zh-CN"/>
              </w:rPr>
              <w:t>金属边角料</w:t>
            </w:r>
          </w:p>
        </w:tc>
        <w:tc>
          <w:tcPr>
            <w:tcW w:w="1874" w:type="dxa"/>
            <w:tcBorders>
              <w:tl2br w:val="nil"/>
              <w:tr2bl w:val="nil"/>
            </w:tcBorders>
            <w:noWrap w:val="0"/>
            <w:vAlign w:val="center"/>
          </w:tcPr>
          <w:p>
            <w:pPr>
              <w:jc w:val="center"/>
              <w:rPr>
                <w:rFonts w:hint="eastAsia"/>
                <w:color w:val="auto"/>
                <w:szCs w:val="21"/>
                <w:lang w:eastAsia="zh-CN"/>
              </w:rPr>
            </w:pPr>
            <w:r>
              <w:rPr>
                <w:rFonts w:hint="eastAsia"/>
                <w:color w:val="auto"/>
                <w:szCs w:val="21"/>
                <w:lang w:eastAsia="zh-CN"/>
              </w:rPr>
              <w:t>剪板</w:t>
            </w:r>
          </w:p>
        </w:tc>
        <w:tc>
          <w:tcPr>
            <w:tcW w:w="3526" w:type="dxa"/>
            <w:tcBorders>
              <w:tl2br w:val="nil"/>
              <w:tr2bl w:val="nil"/>
            </w:tcBorders>
            <w:noWrap w:val="0"/>
            <w:vAlign w:val="center"/>
          </w:tcPr>
          <w:p>
            <w:pPr>
              <w:jc w:val="center"/>
              <w:rPr>
                <w:rFonts w:hint="eastAsia"/>
                <w:color w:val="auto"/>
                <w:szCs w:val="21"/>
                <w:lang w:eastAsia="zh-CN"/>
              </w:rPr>
            </w:pPr>
            <w:r>
              <w:rPr>
                <w:rFonts w:hint="eastAsia"/>
                <w:color w:val="auto"/>
                <w:szCs w:val="21"/>
                <w:lang w:eastAsia="zh-CN"/>
              </w:rPr>
              <w:t>收集后外售物资回收单位。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95" w:type="dxa"/>
            <w:vMerge w:val="continue"/>
            <w:tcBorders>
              <w:tl2br w:val="nil"/>
              <w:tr2bl w:val="nil"/>
            </w:tcBorders>
            <w:noWrap w:val="0"/>
            <w:vAlign w:val="center"/>
          </w:tcPr>
          <w:p>
            <w:pPr>
              <w:jc w:val="center"/>
              <w:rPr>
                <w:rFonts w:hint="default"/>
                <w:color w:val="auto"/>
                <w:szCs w:val="21"/>
                <w:lang w:eastAsia="zh-CN"/>
              </w:rPr>
            </w:pPr>
          </w:p>
        </w:tc>
        <w:tc>
          <w:tcPr>
            <w:tcW w:w="1247" w:type="dxa"/>
            <w:tcBorders>
              <w:tl2br w:val="nil"/>
              <w:tr2bl w:val="nil"/>
            </w:tcBorders>
            <w:noWrap w:val="0"/>
            <w:vAlign w:val="center"/>
          </w:tcPr>
          <w:p>
            <w:pPr>
              <w:jc w:val="center"/>
              <w:rPr>
                <w:rFonts w:hint="eastAsia"/>
                <w:color w:val="auto"/>
                <w:szCs w:val="21"/>
                <w:lang w:val="en-US" w:eastAsia="zh-CN"/>
              </w:rPr>
            </w:pPr>
            <w:r>
              <w:rPr>
                <w:rFonts w:hint="eastAsia"/>
                <w:color w:val="auto"/>
                <w:szCs w:val="21"/>
                <w:lang w:val="en-US" w:eastAsia="zh-CN"/>
              </w:rPr>
              <w:t>S2</w:t>
            </w:r>
          </w:p>
        </w:tc>
        <w:tc>
          <w:tcPr>
            <w:tcW w:w="1476" w:type="dxa"/>
            <w:tcBorders>
              <w:tl2br w:val="nil"/>
              <w:tr2bl w:val="nil"/>
            </w:tcBorders>
            <w:noWrap w:val="0"/>
            <w:vAlign w:val="center"/>
          </w:tcPr>
          <w:p>
            <w:pPr>
              <w:jc w:val="center"/>
              <w:rPr>
                <w:rFonts w:hint="eastAsia"/>
                <w:color w:val="auto"/>
                <w:szCs w:val="21"/>
                <w:lang w:val="en-US" w:eastAsia="zh-CN"/>
              </w:rPr>
            </w:pPr>
            <w:r>
              <w:rPr>
                <w:rFonts w:hint="eastAsia"/>
                <w:color w:val="auto"/>
                <w:szCs w:val="21"/>
                <w:lang w:val="en-US" w:eastAsia="zh-CN"/>
              </w:rPr>
              <w:t>回收乙酸丁酯</w:t>
            </w:r>
          </w:p>
        </w:tc>
        <w:tc>
          <w:tcPr>
            <w:tcW w:w="1874" w:type="dxa"/>
            <w:tcBorders>
              <w:tl2br w:val="nil"/>
              <w:tr2bl w:val="nil"/>
            </w:tcBorders>
            <w:noWrap w:val="0"/>
            <w:vAlign w:val="center"/>
          </w:tcPr>
          <w:p>
            <w:pPr>
              <w:jc w:val="center"/>
              <w:rPr>
                <w:rFonts w:hint="eastAsia"/>
                <w:color w:val="auto"/>
                <w:szCs w:val="21"/>
                <w:lang w:eastAsia="zh-CN"/>
              </w:rPr>
            </w:pPr>
            <w:r>
              <w:rPr>
                <w:rFonts w:hint="eastAsia"/>
                <w:color w:val="auto"/>
                <w:szCs w:val="21"/>
                <w:lang w:eastAsia="zh-CN"/>
              </w:rPr>
              <w:t>废气冷凝系统</w:t>
            </w:r>
          </w:p>
        </w:tc>
        <w:tc>
          <w:tcPr>
            <w:tcW w:w="3526" w:type="dxa"/>
            <w:tcBorders>
              <w:tl2br w:val="nil"/>
              <w:tr2bl w:val="nil"/>
            </w:tcBorders>
            <w:noWrap w:val="0"/>
            <w:vAlign w:val="center"/>
          </w:tcPr>
          <w:p>
            <w:pPr>
              <w:jc w:val="center"/>
              <w:rPr>
                <w:rFonts w:hint="eastAsia"/>
                <w:color w:val="auto"/>
                <w:szCs w:val="21"/>
                <w:lang w:eastAsia="zh-CN"/>
              </w:rPr>
            </w:pPr>
            <w:r>
              <w:rPr>
                <w:rFonts w:hint="eastAsia"/>
                <w:color w:val="auto"/>
                <w:szCs w:val="21"/>
                <w:lang w:eastAsia="zh-CN"/>
              </w:rPr>
              <w:t>收集后回用于生产溶解工序。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95" w:type="dxa"/>
            <w:vMerge w:val="continue"/>
            <w:tcBorders>
              <w:tl2br w:val="nil"/>
              <w:tr2bl w:val="nil"/>
            </w:tcBorders>
            <w:noWrap w:val="0"/>
            <w:vAlign w:val="center"/>
          </w:tcPr>
          <w:p>
            <w:pPr>
              <w:jc w:val="center"/>
              <w:rPr>
                <w:rFonts w:hint="default"/>
                <w:color w:val="auto"/>
                <w:szCs w:val="21"/>
                <w:lang w:eastAsia="zh-CN"/>
              </w:rPr>
            </w:pPr>
          </w:p>
        </w:tc>
        <w:tc>
          <w:tcPr>
            <w:tcW w:w="1247" w:type="dxa"/>
            <w:tcBorders>
              <w:tl2br w:val="nil"/>
              <w:tr2bl w:val="nil"/>
            </w:tcBorders>
            <w:noWrap w:val="0"/>
            <w:vAlign w:val="center"/>
          </w:tcPr>
          <w:p>
            <w:pPr>
              <w:jc w:val="center"/>
              <w:rPr>
                <w:rFonts w:hint="eastAsia"/>
                <w:color w:val="auto"/>
                <w:szCs w:val="21"/>
                <w:lang w:val="en-US" w:eastAsia="zh-CN"/>
              </w:rPr>
            </w:pPr>
            <w:r>
              <w:rPr>
                <w:rFonts w:hint="eastAsia"/>
                <w:color w:val="auto"/>
                <w:szCs w:val="21"/>
                <w:lang w:val="en-US" w:eastAsia="zh-CN"/>
              </w:rPr>
              <w:t>S3</w:t>
            </w:r>
          </w:p>
        </w:tc>
        <w:tc>
          <w:tcPr>
            <w:tcW w:w="1476" w:type="dxa"/>
            <w:tcBorders>
              <w:tl2br w:val="nil"/>
              <w:tr2bl w:val="nil"/>
            </w:tcBorders>
            <w:noWrap w:val="0"/>
            <w:vAlign w:val="center"/>
          </w:tcPr>
          <w:p>
            <w:pPr>
              <w:jc w:val="center"/>
              <w:rPr>
                <w:rFonts w:hint="eastAsia"/>
                <w:color w:val="auto"/>
                <w:szCs w:val="21"/>
                <w:lang w:val="en-US" w:eastAsia="zh-CN"/>
              </w:rPr>
            </w:pPr>
            <w:r>
              <w:rPr>
                <w:rFonts w:hint="eastAsia"/>
                <w:color w:val="auto"/>
                <w:szCs w:val="21"/>
                <w:lang w:val="en-US" w:eastAsia="zh-CN"/>
              </w:rPr>
              <w:t>废活性炭</w:t>
            </w:r>
          </w:p>
        </w:tc>
        <w:tc>
          <w:tcPr>
            <w:tcW w:w="1874" w:type="dxa"/>
            <w:tcBorders>
              <w:tl2br w:val="nil"/>
              <w:tr2bl w:val="nil"/>
            </w:tcBorders>
            <w:noWrap w:val="0"/>
            <w:vAlign w:val="center"/>
          </w:tcPr>
          <w:p>
            <w:pPr>
              <w:jc w:val="center"/>
              <w:rPr>
                <w:rFonts w:hint="eastAsia"/>
                <w:color w:val="auto"/>
                <w:szCs w:val="21"/>
                <w:lang w:eastAsia="zh-CN"/>
              </w:rPr>
            </w:pPr>
            <w:r>
              <w:rPr>
                <w:rFonts w:hint="eastAsia"/>
                <w:color w:val="auto"/>
                <w:szCs w:val="21"/>
                <w:lang w:eastAsia="zh-CN"/>
              </w:rPr>
              <w:t>废气处理系统</w:t>
            </w:r>
          </w:p>
        </w:tc>
        <w:tc>
          <w:tcPr>
            <w:tcW w:w="3526" w:type="dxa"/>
            <w:tcBorders>
              <w:tl2br w:val="nil"/>
              <w:tr2bl w:val="nil"/>
            </w:tcBorders>
            <w:noWrap w:val="0"/>
            <w:vAlign w:val="center"/>
          </w:tcPr>
          <w:p>
            <w:pPr>
              <w:jc w:val="center"/>
              <w:rPr>
                <w:rFonts w:hint="eastAsia"/>
                <w:color w:val="auto"/>
                <w:szCs w:val="21"/>
                <w:lang w:eastAsia="zh-CN"/>
              </w:rPr>
            </w:pPr>
            <w:r>
              <w:rPr>
                <w:rFonts w:hint="eastAsia"/>
                <w:color w:val="auto"/>
                <w:szCs w:val="21"/>
                <w:lang w:eastAsia="zh-CN"/>
              </w:rPr>
              <w:t>收集后交有资质单位处置。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95" w:type="dxa"/>
            <w:vMerge w:val="continue"/>
            <w:tcBorders>
              <w:tl2br w:val="nil"/>
              <w:tr2bl w:val="nil"/>
            </w:tcBorders>
            <w:noWrap w:val="0"/>
            <w:vAlign w:val="center"/>
          </w:tcPr>
          <w:p>
            <w:pPr>
              <w:jc w:val="center"/>
              <w:rPr>
                <w:rFonts w:hint="default"/>
                <w:color w:val="auto"/>
                <w:szCs w:val="21"/>
                <w:lang w:eastAsia="zh-CN"/>
              </w:rPr>
            </w:pPr>
          </w:p>
        </w:tc>
        <w:tc>
          <w:tcPr>
            <w:tcW w:w="1247" w:type="dxa"/>
            <w:tcBorders>
              <w:tl2br w:val="nil"/>
              <w:tr2bl w:val="nil"/>
            </w:tcBorders>
            <w:noWrap w:val="0"/>
            <w:vAlign w:val="center"/>
          </w:tcPr>
          <w:p>
            <w:pPr>
              <w:jc w:val="center"/>
              <w:rPr>
                <w:rFonts w:hint="eastAsia"/>
                <w:color w:val="auto"/>
                <w:szCs w:val="21"/>
                <w:lang w:val="en-US" w:eastAsia="zh-CN"/>
              </w:rPr>
            </w:pPr>
            <w:r>
              <w:rPr>
                <w:rFonts w:hint="eastAsia"/>
                <w:color w:val="auto"/>
                <w:szCs w:val="21"/>
                <w:lang w:val="en-US" w:eastAsia="zh-CN"/>
              </w:rPr>
              <w:t>S4</w:t>
            </w:r>
          </w:p>
        </w:tc>
        <w:tc>
          <w:tcPr>
            <w:tcW w:w="1476" w:type="dxa"/>
            <w:tcBorders>
              <w:tl2br w:val="nil"/>
              <w:tr2bl w:val="nil"/>
            </w:tcBorders>
            <w:noWrap w:val="0"/>
            <w:vAlign w:val="center"/>
          </w:tcPr>
          <w:p>
            <w:pPr>
              <w:jc w:val="center"/>
              <w:rPr>
                <w:rFonts w:hint="eastAsia"/>
                <w:color w:val="auto"/>
                <w:szCs w:val="21"/>
                <w:lang w:eastAsia="zh-CN"/>
              </w:rPr>
            </w:pPr>
            <w:r>
              <w:rPr>
                <w:rFonts w:hint="eastAsia"/>
                <w:color w:val="auto"/>
                <w:szCs w:val="21"/>
                <w:lang w:eastAsia="zh-CN"/>
              </w:rPr>
              <w:t>生活垃圾</w:t>
            </w:r>
          </w:p>
        </w:tc>
        <w:tc>
          <w:tcPr>
            <w:tcW w:w="1874" w:type="dxa"/>
            <w:tcBorders>
              <w:tl2br w:val="nil"/>
              <w:tr2bl w:val="nil"/>
            </w:tcBorders>
            <w:noWrap w:val="0"/>
            <w:vAlign w:val="center"/>
          </w:tcPr>
          <w:p>
            <w:pPr>
              <w:jc w:val="center"/>
              <w:rPr>
                <w:rFonts w:hint="eastAsia"/>
                <w:color w:val="auto"/>
                <w:szCs w:val="21"/>
                <w:lang w:eastAsia="zh-CN"/>
              </w:rPr>
            </w:pPr>
            <w:r>
              <w:rPr>
                <w:rFonts w:hint="eastAsia"/>
                <w:color w:val="auto"/>
                <w:szCs w:val="21"/>
                <w:lang w:eastAsia="zh-CN"/>
              </w:rPr>
              <w:t>职工生活</w:t>
            </w:r>
          </w:p>
        </w:tc>
        <w:tc>
          <w:tcPr>
            <w:tcW w:w="3526" w:type="dxa"/>
            <w:tcBorders>
              <w:tl2br w:val="nil"/>
              <w:tr2bl w:val="nil"/>
            </w:tcBorders>
            <w:noWrap w:val="0"/>
            <w:vAlign w:val="center"/>
          </w:tcPr>
          <w:p>
            <w:pPr>
              <w:jc w:val="center"/>
              <w:rPr>
                <w:rFonts w:hint="eastAsia"/>
                <w:color w:val="auto"/>
                <w:szCs w:val="21"/>
                <w:lang w:eastAsia="zh-CN"/>
              </w:rPr>
            </w:pPr>
            <w:r>
              <w:rPr>
                <w:rFonts w:hint="eastAsia"/>
                <w:color w:val="auto"/>
                <w:szCs w:val="21"/>
                <w:lang w:eastAsia="zh-CN"/>
              </w:rPr>
              <w:t>收集后交环卫部门统一清运处置。</w:t>
            </w:r>
          </w:p>
        </w:tc>
      </w:tr>
    </w:tbl>
    <w:p>
      <w:pPr>
        <w:pStyle w:val="4"/>
        <w:spacing w:line="520" w:lineRule="exact"/>
        <w:rPr>
          <w:rFonts w:ascii="Times New Roman" w:hAnsi="Times New Roman"/>
          <w:b/>
          <w:color w:val="auto"/>
          <w:szCs w:val="28"/>
        </w:rPr>
      </w:pPr>
    </w:p>
    <w:p>
      <w:pPr>
        <w:pStyle w:val="4"/>
        <w:spacing w:line="520" w:lineRule="exact"/>
        <w:rPr>
          <w:rFonts w:ascii="Times New Roman" w:hAnsi="Times New Roman"/>
          <w:b/>
          <w:color w:val="auto"/>
          <w:szCs w:val="28"/>
        </w:rPr>
      </w:pPr>
      <w:r>
        <w:rPr>
          <w:rFonts w:ascii="Times New Roman" w:hAnsi="Times New Roman"/>
          <w:b/>
          <w:color w:val="auto"/>
          <w:szCs w:val="28"/>
        </w:rPr>
        <w:t>3.3 现有工程污染源达标情况</w:t>
      </w:r>
      <w:bookmarkEnd w:id="158"/>
      <w:bookmarkStart w:id="159" w:name="_Toc171782161"/>
    </w:p>
    <w:p>
      <w:pPr>
        <w:pStyle w:val="5"/>
        <w:spacing w:before="0" w:after="0" w:line="520" w:lineRule="exact"/>
        <w:rPr>
          <w:color w:val="auto"/>
          <w:sz w:val="24"/>
          <w:szCs w:val="24"/>
        </w:rPr>
      </w:pPr>
      <w:r>
        <w:rPr>
          <w:color w:val="auto"/>
          <w:sz w:val="24"/>
          <w:szCs w:val="24"/>
        </w:rPr>
        <w:t>3.3.1废气</w:t>
      </w:r>
      <w:bookmarkEnd w:id="159"/>
    </w:p>
    <w:p>
      <w:pPr>
        <w:adjustRightInd w:val="0"/>
        <w:snapToGrid w:val="0"/>
        <w:spacing w:line="520" w:lineRule="exact"/>
        <w:ind w:left="57" w:leftChars="27" w:firstLine="422" w:firstLineChars="176"/>
        <w:rPr>
          <w:rFonts w:hAnsi="宋体"/>
          <w:color w:val="auto"/>
          <w:sz w:val="24"/>
        </w:rPr>
      </w:pPr>
      <w:r>
        <w:rPr>
          <w:rFonts w:hint="eastAsia" w:hAnsi="宋体"/>
          <w:color w:val="auto"/>
          <w:sz w:val="24"/>
          <w:lang w:eastAsia="zh-CN"/>
        </w:rPr>
        <w:t>根据工艺分析，</w:t>
      </w:r>
      <w:r>
        <w:rPr>
          <w:rFonts w:hAnsi="宋体"/>
          <w:color w:val="auto"/>
          <w:sz w:val="24"/>
        </w:rPr>
        <w:t>本项目废气主要有</w:t>
      </w:r>
      <w:r>
        <w:rPr>
          <w:rFonts w:hint="eastAsia" w:hAnsi="宋体"/>
          <w:color w:val="auto"/>
          <w:sz w:val="24"/>
          <w:lang w:val="en-US" w:eastAsia="zh-CN"/>
        </w:rPr>
        <w:t>橡胶溶解、辊涂、晾干、烘干等工序产生的有机废气</w:t>
      </w:r>
      <w:r>
        <w:rPr>
          <w:rFonts w:hAnsi="宋体"/>
          <w:color w:val="auto"/>
          <w:sz w:val="24"/>
        </w:rPr>
        <w:t>。</w:t>
      </w:r>
    </w:p>
    <w:p>
      <w:pPr>
        <w:keepNext w:val="0"/>
        <w:keepLines w:val="0"/>
        <w:pageBreakBefore w:val="0"/>
        <w:widowControl w:val="0"/>
        <w:kinsoku/>
        <w:wordWrap/>
        <w:overflowPunct/>
        <w:topLinePunct w:val="0"/>
        <w:autoSpaceDE/>
        <w:autoSpaceDN/>
        <w:bidi w:val="0"/>
        <w:adjustRightInd/>
        <w:snapToGrid/>
        <w:spacing w:line="520" w:lineRule="exact"/>
        <w:ind w:left="0" w:leftChars="0" w:right="0" w:rightChars="0" w:firstLine="480" w:firstLineChars="200"/>
        <w:jc w:val="both"/>
        <w:textAlignment w:val="auto"/>
        <w:outlineLvl w:val="9"/>
        <w:rPr>
          <w:rFonts w:hint="eastAsia"/>
          <w:color w:val="auto"/>
          <w:sz w:val="24"/>
        </w:rPr>
      </w:pPr>
      <w:r>
        <w:rPr>
          <w:rFonts w:hint="eastAsia"/>
          <w:color w:val="auto"/>
          <w:sz w:val="24"/>
          <w:lang w:eastAsia="zh-CN"/>
        </w:rPr>
        <w:t>项目在分散溶解、涂覆、晾干及烘干过程中会产生有机废气，主要成分为有机溶剂乙酸丁酯，以</w:t>
      </w:r>
      <w:r>
        <w:rPr>
          <w:rFonts w:hint="eastAsia"/>
          <w:color w:val="auto"/>
          <w:sz w:val="24"/>
          <w:lang w:val="en-US" w:eastAsia="zh-CN"/>
        </w:rPr>
        <w:t>VOCs</w:t>
      </w:r>
      <w:r>
        <w:rPr>
          <w:rFonts w:hint="eastAsia"/>
          <w:color w:val="auto"/>
          <w:sz w:val="24"/>
          <w:lang w:eastAsia="zh-CN"/>
        </w:rPr>
        <w:t>计算。根据企业提供资料，乙酸丁酯的年用量为</w:t>
      </w:r>
      <w:r>
        <w:rPr>
          <w:rFonts w:hint="eastAsia"/>
          <w:color w:val="auto"/>
          <w:sz w:val="24"/>
          <w:lang w:val="en-US" w:eastAsia="zh-CN"/>
        </w:rPr>
        <w:t>8t/a，按照有机溶剂乙酸丁酯在溶解、</w:t>
      </w:r>
      <w:r>
        <w:rPr>
          <w:rFonts w:hint="eastAsia"/>
          <w:color w:val="auto"/>
          <w:sz w:val="24"/>
          <w:lang w:eastAsia="zh-CN"/>
        </w:rPr>
        <w:t>涂覆、晾干及烘干过程中按</w:t>
      </w:r>
      <w:r>
        <w:rPr>
          <w:rFonts w:hint="eastAsia"/>
          <w:color w:val="auto"/>
          <w:sz w:val="24"/>
          <w:lang w:val="en-US" w:eastAsia="zh-CN"/>
        </w:rPr>
        <w:t>100%挥发，</w:t>
      </w:r>
      <w:r>
        <w:rPr>
          <w:rFonts w:hint="eastAsia"/>
          <w:color w:val="auto"/>
          <w:sz w:val="24"/>
        </w:rPr>
        <w:t>本项目</w:t>
      </w:r>
      <w:r>
        <w:rPr>
          <w:rFonts w:hint="eastAsia"/>
          <w:color w:val="auto"/>
          <w:sz w:val="24"/>
          <w:lang w:val="en-US" w:eastAsia="zh-CN"/>
        </w:rPr>
        <w:t>VOCs</w:t>
      </w:r>
      <w:r>
        <w:rPr>
          <w:rFonts w:hint="eastAsia"/>
          <w:color w:val="auto"/>
          <w:sz w:val="24"/>
        </w:rPr>
        <w:t>产生量为</w:t>
      </w:r>
      <w:r>
        <w:rPr>
          <w:rFonts w:hint="eastAsia"/>
          <w:color w:val="auto"/>
          <w:sz w:val="24"/>
          <w:lang w:val="en-US" w:eastAsia="zh-CN"/>
        </w:rPr>
        <w:t>8</w:t>
      </w:r>
      <w:r>
        <w:rPr>
          <w:rFonts w:hint="eastAsia"/>
          <w:color w:val="auto"/>
          <w:sz w:val="24"/>
        </w:rPr>
        <w:t>t/a</w:t>
      </w:r>
      <w:r>
        <w:rPr>
          <w:rFonts w:hint="eastAsia"/>
          <w:color w:val="auto"/>
          <w:sz w:val="24"/>
          <w:lang w:eastAsia="zh-CN"/>
        </w:rPr>
        <w:t>，项目年工作</w:t>
      </w:r>
      <w:r>
        <w:rPr>
          <w:rFonts w:hint="eastAsia"/>
          <w:color w:val="auto"/>
          <w:sz w:val="24"/>
          <w:lang w:val="en-US" w:eastAsia="zh-CN"/>
        </w:rPr>
        <w:t>7200h，VOCs产生速率为1.11</w:t>
      </w:r>
      <w:r>
        <w:rPr>
          <w:rFonts w:hint="eastAsia" w:hAnsi="宋体"/>
          <w:color w:val="auto"/>
          <w:sz w:val="24"/>
        </w:rPr>
        <w:t>kg/h</w:t>
      </w:r>
      <w:r>
        <w:rPr>
          <w:rFonts w:hint="eastAsia"/>
          <w:color w:val="auto"/>
          <w:sz w:val="24"/>
        </w:rPr>
        <w:t>。</w:t>
      </w:r>
    </w:p>
    <w:p>
      <w:pPr>
        <w:keepNext w:val="0"/>
        <w:keepLines w:val="0"/>
        <w:pageBreakBefore w:val="0"/>
        <w:widowControl w:val="0"/>
        <w:kinsoku/>
        <w:wordWrap/>
        <w:overflowPunct/>
        <w:topLinePunct w:val="0"/>
        <w:autoSpaceDE/>
        <w:autoSpaceDN/>
        <w:bidi w:val="0"/>
        <w:adjustRightInd/>
        <w:snapToGrid/>
        <w:spacing w:line="520" w:lineRule="exact"/>
        <w:ind w:left="0" w:leftChars="0" w:right="0" w:rightChars="0" w:firstLine="480" w:firstLineChars="200"/>
        <w:jc w:val="both"/>
        <w:textAlignment w:val="auto"/>
        <w:outlineLvl w:val="9"/>
        <w:rPr>
          <w:rFonts w:hint="eastAsia" w:hAnsi="宋体" w:eastAsia="宋体"/>
          <w:color w:val="auto"/>
          <w:sz w:val="24"/>
          <w:szCs w:val="24"/>
          <w:lang w:eastAsia="zh-CN"/>
        </w:rPr>
      </w:pPr>
      <w:r>
        <w:rPr>
          <w:rFonts w:hint="eastAsia" w:hAnsi="宋体"/>
          <w:color w:val="auto"/>
          <w:sz w:val="24"/>
          <w:szCs w:val="24"/>
          <w:lang w:eastAsia="zh-CN"/>
        </w:rPr>
        <w:t>根据建设单位提供的项目废气净化设施设计方案，项目溶解采取封闭的分散罐、晾干及烘干道采取基本封闭式，本项目拟在溶解</w:t>
      </w:r>
      <w:r>
        <w:rPr>
          <w:rFonts w:hint="eastAsia"/>
          <w:color w:val="auto"/>
          <w:sz w:val="24"/>
          <w:lang w:eastAsia="zh-CN"/>
        </w:rPr>
        <w:t>、涂覆、晾干及烘干工序设置集气设施，总设计风量为</w:t>
      </w:r>
      <w:r>
        <w:rPr>
          <w:rFonts w:hint="eastAsia"/>
          <w:color w:val="auto"/>
          <w:sz w:val="24"/>
          <w:lang w:val="en-US" w:eastAsia="zh-CN"/>
        </w:rPr>
        <w:t>25000m</w:t>
      </w:r>
      <w:r>
        <w:rPr>
          <w:rFonts w:hint="eastAsia"/>
          <w:color w:val="auto"/>
          <w:sz w:val="24"/>
          <w:vertAlign w:val="superscript"/>
          <w:lang w:val="en-US" w:eastAsia="zh-CN"/>
        </w:rPr>
        <w:t>3</w:t>
      </w:r>
      <w:r>
        <w:rPr>
          <w:rFonts w:hint="eastAsia"/>
          <w:color w:val="auto"/>
          <w:sz w:val="24"/>
          <w:lang w:val="en-US" w:eastAsia="zh-CN"/>
        </w:rPr>
        <w:t>/h，综合收集效率按90%计算，则有组织废气产生量为7.2</w:t>
      </w:r>
      <w:r>
        <w:rPr>
          <w:rFonts w:hint="eastAsia"/>
          <w:color w:val="auto"/>
          <w:sz w:val="24"/>
        </w:rPr>
        <w:t>t/a</w:t>
      </w:r>
      <w:r>
        <w:rPr>
          <w:rFonts w:hint="eastAsia"/>
          <w:color w:val="auto"/>
          <w:sz w:val="24"/>
          <w:lang w:eastAsia="zh-CN"/>
        </w:rPr>
        <w:t>，产生速率为</w:t>
      </w:r>
      <w:r>
        <w:rPr>
          <w:rFonts w:hint="eastAsia"/>
          <w:color w:val="auto"/>
          <w:sz w:val="24"/>
          <w:lang w:val="en-US" w:eastAsia="zh-CN"/>
        </w:rPr>
        <w:t>1</w:t>
      </w:r>
      <w:r>
        <w:rPr>
          <w:rFonts w:hint="eastAsia" w:hAnsi="宋体"/>
          <w:color w:val="auto"/>
          <w:sz w:val="24"/>
        </w:rPr>
        <w:t>kg/h</w:t>
      </w:r>
      <w:r>
        <w:rPr>
          <w:rFonts w:hint="eastAsia"/>
          <w:color w:val="auto"/>
          <w:sz w:val="24"/>
          <w:lang w:eastAsia="zh-CN"/>
        </w:rPr>
        <w:t>；项目拟对溶解、晾干工序产生的高浓度有机废气采取冷凝回收后，在经风管与涂覆、烘干工序产生的低浓度有机废气经高效滤油</w:t>
      </w:r>
      <w:r>
        <w:rPr>
          <w:rFonts w:hint="eastAsia"/>
          <w:color w:val="auto"/>
          <w:sz w:val="24"/>
          <w:lang w:val="en-US" w:eastAsia="zh-CN"/>
        </w:rPr>
        <w:t>+复合光催化+活性炭吸附处理后（综合处理效率90%），最终通过1根15m高排气筒外排</w:t>
      </w:r>
      <w:r>
        <w:rPr>
          <w:rFonts w:hint="eastAsia"/>
          <w:color w:val="auto"/>
          <w:sz w:val="24"/>
          <w:vertAlign w:val="baseline"/>
          <w:lang w:val="en-US" w:eastAsia="zh-CN"/>
        </w:rPr>
        <w:t>。</w:t>
      </w:r>
    </w:p>
    <w:p>
      <w:pPr>
        <w:rPr>
          <w:rFonts w:hint="eastAsia"/>
          <w:lang w:val="en-US" w:eastAsia="zh-CN"/>
        </w:rPr>
      </w:pPr>
    </w:p>
    <w:p>
      <w:pPr>
        <w:pStyle w:val="5"/>
        <w:spacing w:before="0" w:after="0" w:line="520" w:lineRule="exact"/>
        <w:rPr>
          <w:color w:val="auto"/>
          <w:sz w:val="24"/>
          <w:szCs w:val="24"/>
        </w:rPr>
      </w:pPr>
      <w:r>
        <w:rPr>
          <w:color w:val="auto"/>
          <w:sz w:val="24"/>
          <w:szCs w:val="24"/>
        </w:rPr>
        <w:t>3.3.</w:t>
      </w:r>
      <w:r>
        <w:rPr>
          <w:rFonts w:hint="eastAsia"/>
          <w:color w:val="auto"/>
          <w:sz w:val="24"/>
          <w:szCs w:val="24"/>
        </w:rPr>
        <w:t>2</w:t>
      </w:r>
      <w:r>
        <w:rPr>
          <w:color w:val="auto"/>
          <w:sz w:val="24"/>
          <w:szCs w:val="24"/>
        </w:rPr>
        <w:t>废水</w:t>
      </w:r>
    </w:p>
    <w:p>
      <w:pPr>
        <w:adjustRightInd w:val="0"/>
        <w:snapToGrid w:val="0"/>
        <w:spacing w:line="520" w:lineRule="exact"/>
        <w:ind w:firstLine="480" w:firstLineChars="200"/>
        <w:rPr>
          <w:rFonts w:hint="eastAsia"/>
          <w:color w:val="auto"/>
          <w:sz w:val="24"/>
        </w:rPr>
      </w:pPr>
      <w:r>
        <w:rPr>
          <w:rFonts w:hint="eastAsia"/>
          <w:color w:val="auto"/>
          <w:sz w:val="24"/>
        </w:rPr>
        <w:t>根据建设单位提供的资料，本项目用水环节</w:t>
      </w:r>
      <w:r>
        <w:rPr>
          <w:rFonts w:hint="eastAsia"/>
          <w:color w:val="auto"/>
          <w:sz w:val="24"/>
          <w:lang w:eastAsia="zh-CN"/>
        </w:rPr>
        <w:t>主要为职工生活用水</w:t>
      </w:r>
      <w:r>
        <w:rPr>
          <w:rFonts w:hint="eastAsia"/>
          <w:color w:val="auto"/>
          <w:sz w:val="24"/>
        </w:rPr>
        <w:t>。</w:t>
      </w:r>
    </w:p>
    <w:p>
      <w:pPr>
        <w:adjustRightInd w:val="0"/>
        <w:snapToGrid w:val="0"/>
        <w:spacing w:line="520" w:lineRule="exact"/>
        <w:ind w:firstLine="480" w:firstLineChars="200"/>
        <w:rPr>
          <w:rFonts w:hAnsi="宋体"/>
          <w:color w:val="auto"/>
          <w:sz w:val="24"/>
        </w:rPr>
      </w:pPr>
      <w:r>
        <w:rPr>
          <w:rFonts w:hAnsi="宋体"/>
          <w:color w:val="auto"/>
          <w:sz w:val="24"/>
        </w:rPr>
        <w:t>项目</w:t>
      </w:r>
      <w:r>
        <w:rPr>
          <w:rFonts w:hint="eastAsia" w:hAnsi="宋体"/>
          <w:color w:val="auto"/>
          <w:sz w:val="24"/>
        </w:rPr>
        <w:t>定员</w:t>
      </w:r>
      <w:r>
        <w:rPr>
          <w:rFonts w:hint="eastAsia" w:hAnsi="宋体"/>
          <w:color w:val="auto"/>
          <w:sz w:val="24"/>
          <w:lang w:val="en-US" w:eastAsia="zh-CN"/>
        </w:rPr>
        <w:t>50</w:t>
      </w:r>
      <w:r>
        <w:rPr>
          <w:rFonts w:hAnsi="宋体"/>
          <w:color w:val="auto"/>
          <w:sz w:val="24"/>
        </w:rPr>
        <w:t>人，职工用水量</w:t>
      </w:r>
      <w:r>
        <w:rPr>
          <w:rFonts w:hint="eastAsia" w:hAnsi="宋体"/>
          <w:color w:val="auto"/>
          <w:sz w:val="24"/>
        </w:rPr>
        <w:t>按</w:t>
      </w:r>
      <w:r>
        <w:rPr>
          <w:rFonts w:hAnsi="宋体"/>
          <w:color w:val="auto"/>
          <w:sz w:val="24"/>
        </w:rPr>
        <w:t>每人</w:t>
      </w:r>
      <w:r>
        <w:rPr>
          <w:rFonts w:hint="eastAsia" w:hAnsi="宋体"/>
          <w:color w:val="auto"/>
          <w:sz w:val="24"/>
          <w:lang w:val="en-US" w:eastAsia="zh-CN"/>
        </w:rPr>
        <w:t>50</w:t>
      </w:r>
      <w:r>
        <w:rPr>
          <w:rFonts w:hAnsi="宋体"/>
          <w:color w:val="auto"/>
          <w:sz w:val="24"/>
        </w:rPr>
        <w:t>L/d计，则该项目生活用水量为</w:t>
      </w:r>
      <w:r>
        <w:rPr>
          <w:rFonts w:hint="eastAsia" w:hAnsi="宋体"/>
          <w:color w:val="auto"/>
          <w:sz w:val="24"/>
          <w:lang w:val="en-US" w:eastAsia="zh-CN"/>
        </w:rPr>
        <w:t>750t</w:t>
      </w:r>
      <w:r>
        <w:rPr>
          <w:rFonts w:hAnsi="宋体"/>
          <w:color w:val="auto"/>
          <w:sz w:val="24"/>
        </w:rPr>
        <w:t>/a</w:t>
      </w:r>
      <w:r>
        <w:rPr>
          <w:rFonts w:hint="eastAsia" w:hAnsi="宋体"/>
          <w:color w:val="auto"/>
          <w:sz w:val="24"/>
        </w:rPr>
        <w:t>（</w:t>
      </w:r>
      <w:r>
        <w:rPr>
          <w:rFonts w:hint="eastAsia" w:hAnsi="宋体"/>
          <w:color w:val="auto"/>
          <w:sz w:val="24"/>
          <w:lang w:val="en-US" w:eastAsia="zh-CN"/>
        </w:rPr>
        <w:t>2.5t</w:t>
      </w:r>
      <w:r>
        <w:rPr>
          <w:rFonts w:hAnsi="宋体"/>
          <w:color w:val="auto"/>
          <w:sz w:val="24"/>
        </w:rPr>
        <w:t>/</w:t>
      </w:r>
      <w:r>
        <w:rPr>
          <w:rFonts w:hint="eastAsia" w:hAnsi="宋体"/>
          <w:color w:val="auto"/>
          <w:sz w:val="24"/>
        </w:rPr>
        <w:t>d）</w:t>
      </w:r>
      <w:r>
        <w:rPr>
          <w:rFonts w:hAnsi="宋体"/>
          <w:color w:val="auto"/>
          <w:sz w:val="24"/>
        </w:rPr>
        <w:t>，排污系数按0.8计，则项目生活污水产生量为</w:t>
      </w:r>
      <w:r>
        <w:rPr>
          <w:rFonts w:hint="eastAsia" w:hAnsi="宋体"/>
          <w:color w:val="auto"/>
          <w:sz w:val="24"/>
          <w:lang w:val="en-US" w:eastAsia="zh-CN"/>
        </w:rPr>
        <w:t>600t</w:t>
      </w:r>
      <w:r>
        <w:rPr>
          <w:rFonts w:hAnsi="宋体"/>
          <w:color w:val="auto"/>
          <w:sz w:val="24"/>
        </w:rPr>
        <w:t>/a</w:t>
      </w:r>
      <w:r>
        <w:rPr>
          <w:rFonts w:hint="eastAsia" w:hAnsi="宋体"/>
          <w:color w:val="auto"/>
          <w:sz w:val="24"/>
          <w:lang w:eastAsia="zh-CN"/>
        </w:rPr>
        <w:t>（</w:t>
      </w:r>
      <w:r>
        <w:rPr>
          <w:rFonts w:hint="eastAsia" w:hAnsi="宋体"/>
          <w:color w:val="auto"/>
          <w:sz w:val="24"/>
          <w:lang w:val="en-US" w:eastAsia="zh-CN"/>
        </w:rPr>
        <w:t>2t/d</w:t>
      </w:r>
      <w:r>
        <w:rPr>
          <w:rFonts w:hint="eastAsia" w:hAnsi="宋体"/>
          <w:color w:val="auto"/>
          <w:sz w:val="24"/>
          <w:lang w:eastAsia="zh-CN"/>
        </w:rPr>
        <w:t>）</w:t>
      </w:r>
      <w:r>
        <w:rPr>
          <w:rFonts w:hAnsi="宋体"/>
          <w:color w:val="auto"/>
          <w:sz w:val="24"/>
        </w:rPr>
        <w:t>。生活污水经地埋式生活污水处理达标后排入</w:t>
      </w:r>
      <w:r>
        <w:rPr>
          <w:rFonts w:hint="eastAsia" w:hAnsi="宋体"/>
          <w:color w:val="auto"/>
          <w:sz w:val="24"/>
          <w:lang w:eastAsia="zh-CN"/>
        </w:rPr>
        <w:t>东</w:t>
      </w:r>
      <w:r>
        <w:rPr>
          <w:rFonts w:hAnsi="宋体"/>
          <w:color w:val="auto"/>
          <w:sz w:val="24"/>
        </w:rPr>
        <w:t>津河。</w:t>
      </w:r>
    </w:p>
    <w:p>
      <w:pPr>
        <w:widowControl/>
        <w:autoSpaceDN w:val="0"/>
        <w:snapToGrid w:val="0"/>
        <w:spacing w:line="520" w:lineRule="exact"/>
        <w:ind w:firstLine="200"/>
        <w:jc w:val="left"/>
        <w:rPr>
          <w:rFonts w:hint="eastAsia" w:hAnsi="宋体"/>
          <w:color w:val="auto"/>
          <w:sz w:val="24"/>
        </w:rPr>
      </w:pPr>
      <w:r>
        <w:rPr>
          <w:rFonts w:hAnsi="宋体"/>
          <w:color w:val="auto"/>
          <w:kern w:val="0"/>
          <w:sz w:val="24"/>
          <w:szCs w:val="24"/>
        </w:rPr>
        <w:t>本项目用水及排水量统计见</w:t>
      </w:r>
      <w:r>
        <w:rPr>
          <w:rFonts w:hint="eastAsia" w:hAnsi="宋体"/>
          <w:color w:val="auto"/>
          <w:kern w:val="0"/>
          <w:sz w:val="24"/>
          <w:szCs w:val="24"/>
          <w:lang w:eastAsia="zh-CN"/>
        </w:rPr>
        <w:t>下表，</w:t>
      </w:r>
      <w:r>
        <w:rPr>
          <w:rFonts w:hAnsi="宋体"/>
          <w:color w:val="auto"/>
          <w:sz w:val="24"/>
        </w:rPr>
        <w:t>项目水平衡见</w:t>
      </w:r>
      <w:r>
        <w:rPr>
          <w:rFonts w:hint="eastAsia" w:hAnsi="宋体"/>
          <w:color w:val="auto"/>
          <w:sz w:val="24"/>
          <w:lang w:eastAsia="zh-CN"/>
        </w:rPr>
        <w:t>下图</w:t>
      </w:r>
      <w:r>
        <w:rPr>
          <w:rFonts w:hAnsi="宋体"/>
          <w:color w:val="auto"/>
          <w:sz w:val="24"/>
        </w:rPr>
        <w:t>。</w:t>
      </w:r>
    </w:p>
    <w:p>
      <w:pPr>
        <w:widowControl/>
        <w:snapToGrid w:val="0"/>
        <w:spacing w:line="520" w:lineRule="exact"/>
        <w:jc w:val="center"/>
        <w:rPr>
          <w:b/>
          <w:bCs/>
          <w:color w:val="auto"/>
          <w:kern w:val="0"/>
          <w:sz w:val="24"/>
          <w:szCs w:val="24"/>
        </w:rPr>
      </w:pPr>
      <w:r>
        <w:rPr>
          <w:rFonts w:hint="eastAsia"/>
          <w:b/>
          <w:bCs/>
          <w:color w:val="auto"/>
          <w:kern w:val="0"/>
          <w:sz w:val="24"/>
          <w:szCs w:val="24"/>
        </w:rPr>
        <w:t>表</w:t>
      </w:r>
      <w:r>
        <w:rPr>
          <w:rFonts w:hint="eastAsia"/>
          <w:b/>
          <w:bCs/>
          <w:color w:val="auto"/>
          <w:kern w:val="0"/>
          <w:sz w:val="24"/>
          <w:szCs w:val="24"/>
          <w:lang w:val="en-US" w:eastAsia="zh-CN"/>
        </w:rPr>
        <w:t>3-7</w:t>
      </w:r>
      <w:r>
        <w:rPr>
          <w:rFonts w:hint="eastAsia"/>
          <w:b/>
          <w:bCs/>
          <w:color w:val="auto"/>
          <w:kern w:val="0"/>
          <w:sz w:val="24"/>
          <w:szCs w:val="24"/>
        </w:rPr>
        <w:t xml:space="preserve">   </w:t>
      </w:r>
      <w:r>
        <w:rPr>
          <w:b/>
          <w:bCs/>
          <w:color w:val="auto"/>
          <w:kern w:val="0"/>
          <w:sz w:val="24"/>
          <w:szCs w:val="24"/>
        </w:rPr>
        <w:t>项目用水及排水统计表</w:t>
      </w:r>
    </w:p>
    <w:tbl>
      <w:tblPr>
        <w:tblStyle w:val="53"/>
        <w:tblW w:w="4997"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930"/>
        <w:gridCol w:w="1732"/>
        <w:gridCol w:w="1927"/>
        <w:gridCol w:w="1080"/>
        <w:gridCol w:w="1105"/>
        <w:gridCol w:w="1087"/>
        <w:gridCol w:w="1087"/>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47" w:hRule="atLeast"/>
          <w:jc w:val="center"/>
        </w:trPr>
        <w:tc>
          <w:tcPr>
            <w:tcW w:w="519" w:type="pct"/>
            <w:tcBorders>
              <w:tl2br w:val="nil"/>
              <w:tr2bl w:val="nil"/>
            </w:tcBorders>
            <w:noWrap w:val="0"/>
            <w:vAlign w:val="center"/>
          </w:tcPr>
          <w:p>
            <w:pPr>
              <w:widowControl/>
              <w:jc w:val="center"/>
              <w:rPr>
                <w:color w:val="auto"/>
                <w:kern w:val="0"/>
                <w:szCs w:val="21"/>
              </w:rPr>
            </w:pPr>
            <w:r>
              <w:rPr>
                <w:rFonts w:hAnsi="宋体"/>
                <w:color w:val="auto"/>
                <w:kern w:val="0"/>
                <w:szCs w:val="21"/>
              </w:rPr>
              <w:t>序号</w:t>
            </w:r>
          </w:p>
        </w:tc>
        <w:tc>
          <w:tcPr>
            <w:tcW w:w="967" w:type="pct"/>
            <w:tcBorders>
              <w:tl2br w:val="nil"/>
              <w:tr2bl w:val="nil"/>
            </w:tcBorders>
            <w:noWrap w:val="0"/>
            <w:vAlign w:val="center"/>
          </w:tcPr>
          <w:p>
            <w:pPr>
              <w:widowControl/>
              <w:jc w:val="center"/>
              <w:rPr>
                <w:color w:val="auto"/>
                <w:kern w:val="0"/>
                <w:szCs w:val="21"/>
              </w:rPr>
            </w:pPr>
            <w:r>
              <w:rPr>
                <w:rFonts w:hAnsi="宋体"/>
                <w:color w:val="auto"/>
                <w:kern w:val="0"/>
                <w:szCs w:val="21"/>
              </w:rPr>
              <w:t>用途</w:t>
            </w:r>
          </w:p>
        </w:tc>
        <w:tc>
          <w:tcPr>
            <w:tcW w:w="1075" w:type="pct"/>
            <w:tcBorders>
              <w:tl2br w:val="nil"/>
              <w:tr2bl w:val="nil"/>
            </w:tcBorders>
            <w:noWrap w:val="0"/>
            <w:vAlign w:val="center"/>
          </w:tcPr>
          <w:p>
            <w:pPr>
              <w:widowControl/>
              <w:jc w:val="center"/>
              <w:rPr>
                <w:color w:val="auto"/>
                <w:kern w:val="0"/>
                <w:szCs w:val="21"/>
              </w:rPr>
            </w:pPr>
            <w:r>
              <w:rPr>
                <w:rFonts w:hAnsi="宋体"/>
                <w:color w:val="auto"/>
                <w:kern w:val="0"/>
                <w:szCs w:val="21"/>
              </w:rPr>
              <w:t>用水标准</w:t>
            </w:r>
          </w:p>
        </w:tc>
        <w:tc>
          <w:tcPr>
            <w:tcW w:w="603" w:type="pct"/>
            <w:tcBorders>
              <w:tl2br w:val="nil"/>
              <w:tr2bl w:val="nil"/>
            </w:tcBorders>
            <w:noWrap w:val="0"/>
            <w:vAlign w:val="center"/>
          </w:tcPr>
          <w:p>
            <w:pPr>
              <w:widowControl/>
              <w:jc w:val="center"/>
              <w:rPr>
                <w:color w:val="auto"/>
                <w:kern w:val="0"/>
                <w:szCs w:val="21"/>
              </w:rPr>
            </w:pPr>
            <w:r>
              <w:rPr>
                <w:rFonts w:hAnsi="宋体"/>
                <w:color w:val="auto"/>
                <w:kern w:val="0"/>
                <w:szCs w:val="21"/>
              </w:rPr>
              <w:t>日用水量</w:t>
            </w:r>
          </w:p>
          <w:p>
            <w:pPr>
              <w:widowControl/>
              <w:jc w:val="center"/>
              <w:rPr>
                <w:color w:val="auto"/>
                <w:kern w:val="0"/>
                <w:szCs w:val="21"/>
              </w:rPr>
            </w:pPr>
            <w:r>
              <w:rPr>
                <w:rFonts w:hAnsi="宋体"/>
                <w:color w:val="auto"/>
                <w:kern w:val="0"/>
                <w:szCs w:val="21"/>
              </w:rPr>
              <w:t>（</w:t>
            </w:r>
            <w:r>
              <w:rPr>
                <w:color w:val="auto"/>
                <w:kern w:val="0"/>
                <w:szCs w:val="21"/>
              </w:rPr>
              <w:t>m³</w:t>
            </w:r>
            <w:r>
              <w:rPr>
                <w:rFonts w:hAnsi="宋体"/>
                <w:color w:val="auto"/>
                <w:kern w:val="0"/>
                <w:szCs w:val="21"/>
              </w:rPr>
              <w:t>）</w:t>
            </w:r>
          </w:p>
        </w:tc>
        <w:tc>
          <w:tcPr>
            <w:tcW w:w="617" w:type="pct"/>
            <w:tcBorders>
              <w:tl2br w:val="nil"/>
              <w:tr2bl w:val="nil"/>
            </w:tcBorders>
            <w:noWrap w:val="0"/>
            <w:vAlign w:val="center"/>
          </w:tcPr>
          <w:p>
            <w:pPr>
              <w:widowControl/>
              <w:jc w:val="center"/>
              <w:rPr>
                <w:color w:val="auto"/>
                <w:kern w:val="0"/>
                <w:szCs w:val="21"/>
              </w:rPr>
            </w:pPr>
            <w:r>
              <w:rPr>
                <w:rFonts w:hAnsi="宋体"/>
                <w:color w:val="auto"/>
                <w:kern w:val="0"/>
                <w:szCs w:val="21"/>
              </w:rPr>
              <w:t>年用水量</w:t>
            </w:r>
          </w:p>
          <w:p>
            <w:pPr>
              <w:widowControl/>
              <w:jc w:val="center"/>
              <w:rPr>
                <w:color w:val="auto"/>
                <w:kern w:val="0"/>
                <w:szCs w:val="21"/>
              </w:rPr>
            </w:pPr>
            <w:r>
              <w:rPr>
                <w:rFonts w:hAnsi="宋体"/>
                <w:color w:val="auto"/>
                <w:kern w:val="0"/>
                <w:szCs w:val="21"/>
              </w:rPr>
              <w:t>（</w:t>
            </w:r>
            <w:r>
              <w:rPr>
                <w:color w:val="auto"/>
                <w:kern w:val="0"/>
                <w:szCs w:val="21"/>
              </w:rPr>
              <w:t>m³</w:t>
            </w:r>
            <w:r>
              <w:rPr>
                <w:rFonts w:hAnsi="宋体"/>
                <w:color w:val="auto"/>
                <w:kern w:val="0"/>
                <w:szCs w:val="21"/>
              </w:rPr>
              <w:t>）</w:t>
            </w:r>
          </w:p>
        </w:tc>
        <w:tc>
          <w:tcPr>
            <w:tcW w:w="607" w:type="pct"/>
            <w:tcBorders>
              <w:tl2br w:val="nil"/>
              <w:tr2bl w:val="nil"/>
            </w:tcBorders>
            <w:noWrap w:val="0"/>
            <w:vAlign w:val="center"/>
          </w:tcPr>
          <w:p>
            <w:pPr>
              <w:widowControl/>
              <w:jc w:val="center"/>
              <w:rPr>
                <w:color w:val="auto"/>
                <w:kern w:val="0"/>
                <w:szCs w:val="21"/>
              </w:rPr>
            </w:pPr>
            <w:r>
              <w:rPr>
                <w:rFonts w:hint="eastAsia" w:hAnsi="宋体"/>
                <w:color w:val="auto"/>
                <w:kern w:val="0"/>
                <w:szCs w:val="21"/>
                <w:lang w:eastAsia="zh-CN"/>
              </w:rPr>
              <w:t>日</w:t>
            </w:r>
            <w:r>
              <w:rPr>
                <w:rFonts w:hAnsi="宋体"/>
                <w:color w:val="auto"/>
                <w:kern w:val="0"/>
                <w:szCs w:val="21"/>
              </w:rPr>
              <w:t>排水量</w:t>
            </w:r>
          </w:p>
          <w:p>
            <w:pPr>
              <w:widowControl/>
              <w:jc w:val="center"/>
              <w:rPr>
                <w:color w:val="auto"/>
                <w:kern w:val="0"/>
                <w:szCs w:val="21"/>
              </w:rPr>
            </w:pPr>
            <w:r>
              <w:rPr>
                <w:rFonts w:hAnsi="宋体"/>
                <w:color w:val="auto"/>
                <w:kern w:val="0"/>
                <w:szCs w:val="21"/>
              </w:rPr>
              <w:t>（</w:t>
            </w:r>
            <w:r>
              <w:rPr>
                <w:color w:val="auto"/>
                <w:kern w:val="0"/>
                <w:szCs w:val="21"/>
              </w:rPr>
              <w:t>m³</w:t>
            </w:r>
            <w:r>
              <w:rPr>
                <w:rFonts w:hAnsi="宋体"/>
                <w:color w:val="auto"/>
                <w:kern w:val="0"/>
                <w:szCs w:val="21"/>
              </w:rPr>
              <w:t>）</w:t>
            </w:r>
          </w:p>
        </w:tc>
        <w:tc>
          <w:tcPr>
            <w:tcW w:w="607" w:type="pct"/>
            <w:tcBorders>
              <w:tl2br w:val="nil"/>
              <w:tr2bl w:val="nil"/>
            </w:tcBorders>
            <w:noWrap w:val="0"/>
            <w:vAlign w:val="center"/>
          </w:tcPr>
          <w:p>
            <w:pPr>
              <w:widowControl/>
              <w:jc w:val="center"/>
              <w:rPr>
                <w:color w:val="auto"/>
                <w:kern w:val="0"/>
                <w:szCs w:val="21"/>
              </w:rPr>
            </w:pPr>
            <w:r>
              <w:rPr>
                <w:rFonts w:hint="eastAsia" w:hAnsi="宋体"/>
                <w:color w:val="auto"/>
                <w:kern w:val="0"/>
                <w:szCs w:val="21"/>
                <w:lang w:eastAsia="zh-CN"/>
              </w:rPr>
              <w:t>年</w:t>
            </w:r>
            <w:r>
              <w:rPr>
                <w:rFonts w:hAnsi="宋体"/>
                <w:color w:val="auto"/>
                <w:kern w:val="0"/>
                <w:szCs w:val="21"/>
              </w:rPr>
              <w:t>排水量</w:t>
            </w:r>
          </w:p>
          <w:p>
            <w:pPr>
              <w:widowControl/>
              <w:jc w:val="center"/>
              <w:rPr>
                <w:rFonts w:hAnsi="宋体"/>
                <w:color w:val="auto"/>
                <w:kern w:val="0"/>
                <w:szCs w:val="21"/>
              </w:rPr>
            </w:pPr>
            <w:r>
              <w:rPr>
                <w:rFonts w:hAnsi="宋体"/>
                <w:color w:val="auto"/>
                <w:kern w:val="0"/>
                <w:szCs w:val="21"/>
              </w:rPr>
              <w:t>（</w:t>
            </w:r>
            <w:r>
              <w:rPr>
                <w:color w:val="auto"/>
                <w:kern w:val="0"/>
                <w:szCs w:val="21"/>
              </w:rPr>
              <w:t>m³</w:t>
            </w:r>
            <w:r>
              <w:rPr>
                <w:rFonts w:hAnsi="宋体"/>
                <w:color w:val="auto"/>
                <w:kern w:val="0"/>
                <w:szCs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exact"/>
          <w:jc w:val="center"/>
        </w:trPr>
        <w:tc>
          <w:tcPr>
            <w:tcW w:w="519" w:type="pct"/>
            <w:tcBorders>
              <w:tl2br w:val="nil"/>
              <w:tr2bl w:val="nil"/>
            </w:tcBorders>
            <w:noWrap w:val="0"/>
            <w:vAlign w:val="center"/>
          </w:tcPr>
          <w:p>
            <w:pPr>
              <w:widowControl/>
              <w:jc w:val="center"/>
              <w:rPr>
                <w:rFonts w:hint="eastAsia" w:hAnsi="宋体"/>
                <w:color w:val="auto"/>
                <w:kern w:val="0"/>
                <w:szCs w:val="21"/>
                <w:lang w:val="en-US" w:eastAsia="zh-CN"/>
              </w:rPr>
            </w:pPr>
            <w:r>
              <w:rPr>
                <w:rFonts w:hint="eastAsia" w:hAnsi="宋体"/>
                <w:color w:val="auto"/>
                <w:kern w:val="0"/>
                <w:szCs w:val="21"/>
                <w:lang w:val="en-US" w:eastAsia="zh-CN"/>
              </w:rPr>
              <w:t>1</w:t>
            </w:r>
          </w:p>
        </w:tc>
        <w:tc>
          <w:tcPr>
            <w:tcW w:w="967" w:type="pct"/>
            <w:tcBorders>
              <w:tl2br w:val="nil"/>
              <w:tr2bl w:val="nil"/>
            </w:tcBorders>
            <w:noWrap w:val="0"/>
            <w:vAlign w:val="center"/>
          </w:tcPr>
          <w:p>
            <w:pPr>
              <w:widowControl/>
              <w:jc w:val="center"/>
              <w:rPr>
                <w:rFonts w:hAnsi="宋体"/>
                <w:color w:val="auto"/>
                <w:kern w:val="0"/>
                <w:szCs w:val="21"/>
              </w:rPr>
            </w:pPr>
            <w:r>
              <w:rPr>
                <w:rFonts w:hint="eastAsia" w:hAnsi="宋体"/>
                <w:color w:val="auto"/>
                <w:kern w:val="0"/>
                <w:szCs w:val="21"/>
                <w:lang w:eastAsia="zh-CN"/>
              </w:rPr>
              <w:t>生活用水</w:t>
            </w:r>
          </w:p>
        </w:tc>
        <w:tc>
          <w:tcPr>
            <w:tcW w:w="1075" w:type="pct"/>
            <w:tcBorders>
              <w:tl2br w:val="nil"/>
              <w:tr2bl w:val="nil"/>
            </w:tcBorders>
            <w:noWrap w:val="0"/>
            <w:vAlign w:val="center"/>
          </w:tcPr>
          <w:p>
            <w:pPr>
              <w:widowControl/>
              <w:jc w:val="center"/>
              <w:rPr>
                <w:rFonts w:hAnsi="宋体"/>
                <w:color w:val="auto"/>
                <w:kern w:val="0"/>
                <w:szCs w:val="21"/>
              </w:rPr>
            </w:pPr>
            <w:r>
              <w:rPr>
                <w:rFonts w:hint="eastAsia" w:hAnsi="宋体"/>
                <w:color w:val="auto"/>
                <w:kern w:val="0"/>
                <w:szCs w:val="21"/>
                <w:lang w:val="en-US" w:eastAsia="zh-CN"/>
              </w:rPr>
              <w:t>50L/人.d</w:t>
            </w:r>
          </w:p>
        </w:tc>
        <w:tc>
          <w:tcPr>
            <w:tcW w:w="603" w:type="pct"/>
            <w:tcBorders>
              <w:tl2br w:val="nil"/>
              <w:tr2bl w:val="nil"/>
            </w:tcBorders>
            <w:noWrap w:val="0"/>
            <w:vAlign w:val="center"/>
          </w:tcPr>
          <w:p>
            <w:pPr>
              <w:widowControl/>
              <w:jc w:val="center"/>
              <w:rPr>
                <w:rFonts w:hint="eastAsia" w:hAnsi="宋体"/>
                <w:color w:val="auto"/>
                <w:kern w:val="0"/>
                <w:szCs w:val="21"/>
              </w:rPr>
            </w:pPr>
            <w:r>
              <w:rPr>
                <w:rFonts w:hint="eastAsia" w:hAnsi="宋体"/>
                <w:color w:val="auto"/>
                <w:kern w:val="0"/>
                <w:szCs w:val="21"/>
                <w:lang w:val="en-US" w:eastAsia="zh-CN"/>
              </w:rPr>
              <w:t>2.5</w:t>
            </w:r>
          </w:p>
        </w:tc>
        <w:tc>
          <w:tcPr>
            <w:tcW w:w="617" w:type="pct"/>
            <w:tcBorders>
              <w:tl2br w:val="nil"/>
              <w:tr2bl w:val="nil"/>
            </w:tcBorders>
            <w:noWrap w:val="0"/>
            <w:vAlign w:val="center"/>
          </w:tcPr>
          <w:p>
            <w:pPr>
              <w:widowControl/>
              <w:jc w:val="center"/>
              <w:rPr>
                <w:rFonts w:hint="eastAsia" w:hAnsi="宋体"/>
                <w:color w:val="auto"/>
                <w:kern w:val="0"/>
                <w:szCs w:val="21"/>
              </w:rPr>
            </w:pPr>
            <w:r>
              <w:rPr>
                <w:rFonts w:hint="eastAsia" w:hAnsi="宋体"/>
                <w:color w:val="auto"/>
                <w:kern w:val="0"/>
                <w:szCs w:val="21"/>
                <w:lang w:val="en-US" w:eastAsia="zh-CN"/>
              </w:rPr>
              <w:t>750</w:t>
            </w:r>
          </w:p>
        </w:tc>
        <w:tc>
          <w:tcPr>
            <w:tcW w:w="607" w:type="pct"/>
            <w:tcBorders>
              <w:tl2br w:val="nil"/>
              <w:tr2bl w:val="nil"/>
            </w:tcBorders>
            <w:noWrap w:val="0"/>
            <w:vAlign w:val="center"/>
          </w:tcPr>
          <w:p>
            <w:pPr>
              <w:widowControl/>
              <w:jc w:val="center"/>
              <w:rPr>
                <w:rFonts w:hint="eastAsia" w:hAnsi="宋体"/>
                <w:color w:val="auto"/>
                <w:kern w:val="0"/>
                <w:szCs w:val="21"/>
                <w:lang w:val="en-US" w:eastAsia="zh-CN"/>
              </w:rPr>
            </w:pPr>
            <w:r>
              <w:rPr>
                <w:rFonts w:hint="eastAsia" w:hAnsi="宋体"/>
                <w:color w:val="auto"/>
                <w:kern w:val="0"/>
                <w:szCs w:val="21"/>
                <w:lang w:val="en-US" w:eastAsia="zh-CN"/>
              </w:rPr>
              <w:t>2</w:t>
            </w:r>
          </w:p>
        </w:tc>
        <w:tc>
          <w:tcPr>
            <w:tcW w:w="607" w:type="pct"/>
            <w:tcBorders>
              <w:tl2br w:val="nil"/>
              <w:tr2bl w:val="nil"/>
            </w:tcBorders>
            <w:noWrap w:val="0"/>
            <w:vAlign w:val="center"/>
          </w:tcPr>
          <w:p>
            <w:pPr>
              <w:widowControl/>
              <w:jc w:val="center"/>
              <w:rPr>
                <w:rFonts w:hint="eastAsia" w:hAnsi="宋体"/>
                <w:color w:val="auto"/>
                <w:kern w:val="0"/>
                <w:szCs w:val="21"/>
                <w:lang w:val="en-US" w:eastAsia="zh-CN"/>
              </w:rPr>
            </w:pPr>
            <w:r>
              <w:rPr>
                <w:rFonts w:hint="eastAsia" w:hAnsi="宋体"/>
                <w:color w:val="auto"/>
                <w:kern w:val="0"/>
                <w:szCs w:val="21"/>
                <w:lang w:val="en-US" w:eastAsia="zh-CN"/>
              </w:rPr>
              <w:t>600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exact"/>
          <w:jc w:val="center"/>
        </w:trPr>
        <w:tc>
          <w:tcPr>
            <w:tcW w:w="2562" w:type="pct"/>
            <w:gridSpan w:val="3"/>
            <w:tcBorders>
              <w:tl2br w:val="nil"/>
              <w:tr2bl w:val="nil"/>
            </w:tcBorders>
            <w:noWrap w:val="0"/>
            <w:vAlign w:val="center"/>
          </w:tcPr>
          <w:p>
            <w:pPr>
              <w:widowControl/>
              <w:jc w:val="center"/>
              <w:rPr>
                <w:rFonts w:hint="eastAsia" w:hAnsi="宋体"/>
                <w:color w:val="auto"/>
                <w:kern w:val="0"/>
                <w:szCs w:val="21"/>
                <w:lang w:eastAsia="zh-CN"/>
              </w:rPr>
            </w:pPr>
            <w:r>
              <w:rPr>
                <w:rFonts w:hint="eastAsia" w:hAnsi="宋体"/>
                <w:color w:val="auto"/>
                <w:kern w:val="0"/>
                <w:szCs w:val="21"/>
                <w:lang w:eastAsia="zh-CN"/>
              </w:rPr>
              <w:t>合计</w:t>
            </w:r>
          </w:p>
        </w:tc>
        <w:tc>
          <w:tcPr>
            <w:tcW w:w="603" w:type="pct"/>
            <w:tcBorders>
              <w:tl2br w:val="nil"/>
              <w:tr2bl w:val="nil"/>
            </w:tcBorders>
            <w:noWrap w:val="0"/>
            <w:vAlign w:val="center"/>
          </w:tcPr>
          <w:p>
            <w:pPr>
              <w:widowControl/>
              <w:jc w:val="center"/>
              <w:rPr>
                <w:rFonts w:hint="eastAsia" w:hAnsi="宋体"/>
                <w:color w:val="auto"/>
                <w:kern w:val="0"/>
                <w:szCs w:val="21"/>
                <w:lang w:val="en-US" w:eastAsia="zh-CN"/>
              </w:rPr>
            </w:pPr>
            <w:r>
              <w:rPr>
                <w:rFonts w:hint="eastAsia" w:hAnsi="宋体"/>
                <w:color w:val="auto"/>
                <w:kern w:val="0"/>
                <w:szCs w:val="21"/>
                <w:lang w:val="en-US" w:eastAsia="zh-CN"/>
              </w:rPr>
              <w:t>2.5</w:t>
            </w:r>
          </w:p>
        </w:tc>
        <w:tc>
          <w:tcPr>
            <w:tcW w:w="617" w:type="pct"/>
            <w:tcBorders>
              <w:tl2br w:val="nil"/>
              <w:tr2bl w:val="nil"/>
            </w:tcBorders>
            <w:noWrap w:val="0"/>
            <w:vAlign w:val="center"/>
          </w:tcPr>
          <w:p>
            <w:pPr>
              <w:widowControl/>
              <w:jc w:val="center"/>
              <w:rPr>
                <w:rFonts w:hint="eastAsia" w:hAnsi="宋体"/>
                <w:color w:val="auto"/>
                <w:kern w:val="0"/>
                <w:szCs w:val="21"/>
                <w:lang w:val="en-US" w:eastAsia="zh-CN"/>
              </w:rPr>
            </w:pPr>
            <w:r>
              <w:rPr>
                <w:rFonts w:hint="eastAsia" w:hAnsi="宋体"/>
                <w:color w:val="auto"/>
                <w:kern w:val="0"/>
                <w:szCs w:val="21"/>
                <w:lang w:val="en-US" w:eastAsia="zh-CN"/>
              </w:rPr>
              <w:t>750</w:t>
            </w:r>
          </w:p>
        </w:tc>
        <w:tc>
          <w:tcPr>
            <w:tcW w:w="607" w:type="pct"/>
            <w:tcBorders>
              <w:tl2br w:val="nil"/>
              <w:tr2bl w:val="nil"/>
            </w:tcBorders>
            <w:noWrap w:val="0"/>
            <w:vAlign w:val="center"/>
          </w:tcPr>
          <w:p>
            <w:pPr>
              <w:widowControl/>
              <w:jc w:val="center"/>
              <w:rPr>
                <w:rFonts w:hint="eastAsia" w:hAnsi="宋体"/>
                <w:color w:val="auto"/>
                <w:kern w:val="0"/>
                <w:szCs w:val="21"/>
                <w:lang w:val="en-US" w:eastAsia="zh-CN"/>
              </w:rPr>
            </w:pPr>
            <w:r>
              <w:rPr>
                <w:rFonts w:hint="eastAsia" w:hAnsi="宋体"/>
                <w:color w:val="auto"/>
                <w:kern w:val="0"/>
                <w:szCs w:val="21"/>
                <w:lang w:val="en-US" w:eastAsia="zh-CN"/>
              </w:rPr>
              <w:t>2</w:t>
            </w:r>
          </w:p>
        </w:tc>
        <w:tc>
          <w:tcPr>
            <w:tcW w:w="607" w:type="pct"/>
            <w:tcBorders>
              <w:tl2br w:val="nil"/>
              <w:tr2bl w:val="nil"/>
            </w:tcBorders>
            <w:noWrap w:val="0"/>
            <w:vAlign w:val="center"/>
          </w:tcPr>
          <w:p>
            <w:pPr>
              <w:widowControl/>
              <w:jc w:val="center"/>
              <w:rPr>
                <w:rFonts w:hint="eastAsia" w:hAnsi="宋体"/>
                <w:color w:val="auto"/>
                <w:kern w:val="0"/>
                <w:szCs w:val="21"/>
                <w:lang w:val="en-US" w:eastAsia="zh-CN"/>
              </w:rPr>
            </w:pPr>
            <w:r>
              <w:rPr>
                <w:rFonts w:hint="eastAsia" w:hAnsi="宋体"/>
                <w:color w:val="auto"/>
                <w:kern w:val="0"/>
                <w:szCs w:val="21"/>
                <w:lang w:val="en-US" w:eastAsia="zh-CN"/>
              </w:rPr>
              <w:t>600</w:t>
            </w:r>
          </w:p>
        </w:tc>
      </w:tr>
    </w:tbl>
    <w:p>
      <w:pPr>
        <w:pStyle w:val="67"/>
        <w:rPr>
          <w:rFonts w:ascii="Times New Roman" w:cs="Times New Roman"/>
          <w:color w:val="auto"/>
          <w:spacing w:val="-4"/>
        </w:rPr>
      </w:pPr>
    </w:p>
    <w:p>
      <w:pPr>
        <w:adjustRightInd w:val="0"/>
        <w:snapToGrid w:val="0"/>
        <w:spacing w:line="520" w:lineRule="exact"/>
        <w:ind w:firstLine="482" w:firstLineChars="200"/>
        <w:rPr>
          <w:rFonts w:hint="eastAsia"/>
          <w:color w:val="auto"/>
          <w:sz w:val="24"/>
        </w:rPr>
      </w:pPr>
      <w:r>
        <w:rPr>
          <w:rFonts w:hint="eastAsia"/>
          <w:b/>
          <w:color w:val="auto"/>
          <w:sz w:val="24"/>
        </w:rPr>
        <mc:AlternateContent>
          <mc:Choice Requires="wps">
            <w:drawing>
              <wp:anchor distT="0" distB="0" distL="114300" distR="114300" simplePos="0" relativeHeight="251785216" behindDoc="0" locked="0" layoutInCell="1" allowOverlap="1">
                <wp:simplePos x="0" y="0"/>
                <wp:positionH relativeFrom="column">
                  <wp:posOffset>652780</wp:posOffset>
                </wp:positionH>
                <wp:positionV relativeFrom="paragraph">
                  <wp:posOffset>283845</wp:posOffset>
                </wp:positionV>
                <wp:extent cx="536575" cy="196215"/>
                <wp:effectExtent l="0" t="0" r="0" b="0"/>
                <wp:wrapNone/>
                <wp:docPr id="65" name="矩形 65"/>
                <wp:cNvGraphicFramePr/>
                <a:graphic xmlns:a="http://schemas.openxmlformats.org/drawingml/2006/main">
                  <a:graphicData uri="http://schemas.microsoft.com/office/word/2010/wordprocessingShape">
                    <wps:wsp>
                      <wps:cNvSpPr/>
                      <wps:spPr>
                        <a:xfrm>
                          <a:off x="0" y="0"/>
                          <a:ext cx="536575" cy="196215"/>
                        </a:xfrm>
                        <a:prstGeom prst="rect">
                          <a:avLst/>
                        </a:prstGeom>
                        <a:solidFill>
                          <a:srgbClr val="FFFFFF">
                            <a:alpha val="0"/>
                          </a:srgbClr>
                        </a:solidFill>
                        <a:ln>
                          <a:noFill/>
                        </a:ln>
                      </wps:spPr>
                      <wps:txbx>
                        <w:txbxContent>
                          <w:p>
                            <w:pPr>
                              <w:ind w:firstLine="105" w:firstLineChars="50"/>
                              <w:rPr>
                                <w:rFonts w:hint="default" w:eastAsia="宋体"/>
                                <w:lang w:val="en-US" w:eastAsia="zh-CN"/>
                              </w:rPr>
                            </w:pPr>
                            <w:r>
                              <w:rPr>
                                <w:rFonts w:hint="eastAsia"/>
                                <w:lang w:val="en-US" w:eastAsia="zh-CN"/>
                              </w:rPr>
                              <w:t>2.5</w:t>
                            </w:r>
                          </w:p>
                        </w:txbxContent>
                      </wps:txbx>
                      <wps:bodyPr lIns="0" tIns="0" rIns="0" bIns="0" upright="1"/>
                    </wps:wsp>
                  </a:graphicData>
                </a:graphic>
              </wp:anchor>
            </w:drawing>
          </mc:Choice>
          <mc:Fallback>
            <w:pict>
              <v:rect id="_x0000_s1026" o:spid="_x0000_s1026" o:spt="1" style="position:absolute;left:0pt;margin-left:51.4pt;margin-top:22.35pt;height:15.45pt;width:42.25pt;z-index:251785216;mso-width-relative:page;mso-height-relative:page;" fillcolor="#FFFFFF" filled="t" stroked="f" coordsize="21600,21600" o:gfxdata="UEsDBAoAAAAAAIdO4kAAAAAAAAAAAAAAAAAEAAAAZHJzL1BLAwQUAAAACACHTuJAZy8J6tcAAAAJ&#10;AQAADwAAAGRycy9kb3ducmV2LnhtbE2PwU7DMBBE70j8g7VI3KjdEuoqxOmhUiUQFRIB7m68JBH2&#10;OrLdpv173BM9jnb05m21PjnLjhji4EnBfCaAIbXeDNQp+PrcPqyAxaTJaOsJFZwxwrq+val0afxE&#10;H3hsUscyhGKpFfQpjSXnse3R6TjzI1K+/fjgdMoxdNwEPWW4s3whxJI7PVBe6PWImx7b3+bgFMi2&#10;Cd/TblvI5uV9lyzJ1835Tan7u7l4BpbwlP7LcNHP6lBnp70/kInM5iwWWT0pKAoJ7FJYyUdg+0x/&#10;WgKvK379Qf0HUEsDBBQAAAAIAIdO4kBi0crQtgEAAF4DAAAOAAAAZHJzL2Uyb0RvYy54bWytU0tu&#10;2zAQ3RfIHQjuY1ou7LaC5SwaOAhQtAHSHoCiSIkAfxgylnyaAt31ED1O0Wt0SNlOP7uiWlAzw+Gb&#10;eW/I7c1kDTlIiNq7hlaLJSXSCd9p1zf008f99WtKYuKu48Y72dCjjPRmd/ViO4ZarvzgTSeBIIiL&#10;9RgaOqQUasaiGKTlceGDdLipPFie0IWedcBHRLeGrZbLDRs9dAG8kDFi9HbepLuCr5QU6YNSUSZi&#10;Goq9pbJCWdu8st2W1z3wMGhxaoP/QxeWa4dFL1C3PHHyBPovKKsF+OhVWghvmVdKC1k4IJtq+Qeb&#10;x4EHWbigODFcZIr/D1a8PzwA0V1DN2tKHLc4ox+fv37/9oVgANUZQ6wx6TE8wMmLaGaqkwKb/0iC&#10;TEXR40VROSUiMLh+uVm/QmCBW9WbzaoqmOz5cICY7qS3JBsNBRxY0ZEf3sWEBTH1nJJrRW90t9fG&#10;FAf69q0BcuA43H355rMmDHyOlgEjRpxTC95vGMZlJOcz5lwuR1hmPfPMVpra6US+9d0RBTP3DoeQ&#10;L9TZgLPRno2nALofkFSVdSyQOMTSwunC5Vvyq1+ynp/F7id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AmBAAAW0NvbnRlbnRfVHlwZXNdLnhtbFBL&#10;AQIUAAoAAAAAAIdO4kAAAAAAAAAAAAAAAAAGAAAAAAAAAAAAEAAAAAgDAABfcmVscy9QSwECFAAU&#10;AAAACACHTuJAihRmPNEAAACUAQAACwAAAAAAAAABACAAAAAsAwAAX3JlbHMvLnJlbHNQSwECFAAK&#10;AAAAAACHTuJAAAAAAAAAAAAAAAAABAAAAAAAAAAAABAAAAAAAAAAZHJzL1BLAQIUABQAAAAIAIdO&#10;4kBnLwnq1wAAAAkBAAAPAAAAAAAAAAEAIAAAACIAAABkcnMvZG93bnJldi54bWxQSwECFAAUAAAA&#10;CACHTuJAYtHK0LYBAABeAwAADgAAAAAAAAABACAAAAAmAQAAZHJzL2Uyb0RvYy54bWxQSwUGAAAA&#10;AAYABgBZAQAATgUAAAAA&#10;">
                <v:fill on="t" opacity="0f" focussize="0,0"/>
                <v:stroke on="f"/>
                <v:imagedata o:title=""/>
                <o:lock v:ext="edit" aspectratio="f"/>
                <v:textbox inset="0mm,0mm,0mm,0mm">
                  <w:txbxContent>
                    <w:p>
                      <w:pPr>
                        <w:ind w:firstLine="105" w:firstLineChars="50"/>
                        <w:rPr>
                          <w:rFonts w:hint="default" w:eastAsia="宋体"/>
                          <w:lang w:val="en-US" w:eastAsia="zh-CN"/>
                        </w:rPr>
                      </w:pPr>
                      <w:r>
                        <w:rPr>
                          <w:rFonts w:hint="eastAsia"/>
                          <w:lang w:val="en-US" w:eastAsia="zh-CN"/>
                        </w:rPr>
                        <w:t>2.5</w:t>
                      </w:r>
                    </w:p>
                  </w:txbxContent>
                </v:textbox>
              </v:rect>
            </w:pict>
          </mc:Fallback>
        </mc:AlternateContent>
      </w:r>
      <w:r>
        <w:rPr>
          <w:rFonts w:hint="eastAsia"/>
          <w:b/>
          <w:color w:val="auto"/>
          <w:sz w:val="24"/>
        </w:rPr>
        <mc:AlternateContent>
          <mc:Choice Requires="wps">
            <w:drawing>
              <wp:anchor distT="0" distB="0" distL="114300" distR="114300" simplePos="0" relativeHeight="251789312" behindDoc="0" locked="0" layoutInCell="1" allowOverlap="1">
                <wp:simplePos x="0" y="0"/>
                <wp:positionH relativeFrom="column">
                  <wp:posOffset>3684270</wp:posOffset>
                </wp:positionH>
                <wp:positionV relativeFrom="paragraph">
                  <wp:posOffset>271780</wp:posOffset>
                </wp:positionV>
                <wp:extent cx="536575" cy="196215"/>
                <wp:effectExtent l="0" t="0" r="0" b="0"/>
                <wp:wrapNone/>
                <wp:docPr id="74" name="矩形 74"/>
                <wp:cNvGraphicFramePr/>
                <a:graphic xmlns:a="http://schemas.openxmlformats.org/drawingml/2006/main">
                  <a:graphicData uri="http://schemas.microsoft.com/office/word/2010/wordprocessingShape">
                    <wps:wsp>
                      <wps:cNvSpPr/>
                      <wps:spPr>
                        <a:xfrm>
                          <a:off x="0" y="0"/>
                          <a:ext cx="536575" cy="196215"/>
                        </a:xfrm>
                        <a:prstGeom prst="rect">
                          <a:avLst/>
                        </a:prstGeom>
                        <a:solidFill>
                          <a:srgbClr val="FFFFFF">
                            <a:alpha val="0"/>
                          </a:srgbClr>
                        </a:solidFill>
                        <a:ln>
                          <a:noFill/>
                        </a:ln>
                      </wps:spPr>
                      <wps:txbx>
                        <w:txbxContent>
                          <w:p>
                            <w:pPr>
                              <w:ind w:firstLine="105" w:firstLineChars="50"/>
                              <w:rPr>
                                <w:rFonts w:hint="default" w:eastAsia="宋体"/>
                                <w:lang w:val="en-US" w:eastAsia="zh-CN"/>
                              </w:rPr>
                            </w:pPr>
                            <w:r>
                              <w:rPr>
                                <w:rFonts w:hint="eastAsia"/>
                                <w:lang w:val="en-US" w:eastAsia="zh-CN"/>
                              </w:rPr>
                              <w:t>2</w:t>
                            </w:r>
                          </w:p>
                        </w:txbxContent>
                      </wps:txbx>
                      <wps:bodyPr lIns="0" tIns="0" rIns="0" bIns="0" upright="1"/>
                    </wps:wsp>
                  </a:graphicData>
                </a:graphic>
              </wp:anchor>
            </w:drawing>
          </mc:Choice>
          <mc:Fallback>
            <w:pict>
              <v:rect id="_x0000_s1026" o:spid="_x0000_s1026" o:spt="1" style="position:absolute;left:0pt;margin-left:290.1pt;margin-top:21.4pt;height:15.45pt;width:42.25pt;z-index:251789312;mso-width-relative:page;mso-height-relative:page;" fillcolor="#FFFFFF" filled="t" stroked="f" coordsize="21600,21600" o:gfxdata="UEsDBAoAAAAAAIdO4kAAAAAAAAAAAAAAAAAEAAAAZHJzL1BLAwQUAAAACACHTuJAjxYcvNgAAAAJ&#10;AQAADwAAAGRycy9kb3ducmV2LnhtbE2PwU7DMBBE70j8g7VI3KjdEOIqjdNDpUogKiQCvbuxSSLi&#10;dWS7Tfv3LCc4rvbpzUy1ubiRnW2Ig0cFy4UAZrH1ZsBOwefH7mEFLCaNRo8erYKrjbCpb28qXRo/&#10;47s9N6ljJMFYagV9SlPJeWx763Rc+Mki/b58cDrRGTpugp5J7kaeCVFwpwekhF5Pdtvb9rs5OQWy&#10;bcJh3u9y2Ty/7dOI8mV7fVXq/m4p1sCSvaQ/GH7rU3WoqdPRn9BENip4WomMUAV5RhMIKIpcAjuS&#10;/VECryv+f0H9A1BLAwQUAAAACACHTuJAiePItLYBAABeAwAADgAAAGRycy9lMm9Eb2MueG1srVPN&#10;jtMwEL4j8Q6W79RNoV2Imu6BVRESgpUWHsBx7MSS/zT2NunTIHHjIXgcxGswdtouu9wQOTgz4/E3&#10;831jb68na8hBQtTeNbRaLCmRTvhOu76hXz7vX7ymJCbuOm68kw09ykivd8+fbcdQy5UfvOkkEARx&#10;sR5DQ4eUQs1YFIO0PC58kA43lQfLE7rQsw74iOjWsNVyuWGjhy6AFzJGjN7Mm3RX8JWSIn1SKspE&#10;TEOxt1RWKGubV7bb8roHHgYtTm3wf+jCcu2w6AXqhidO7kH/BWW1AB+9SgvhLfNKaSELB2RTLZ+w&#10;uRt4kIULihPDRab4/2DFx8MtEN019OoVJY5bnNGvr99//vhGMIDqjCHWmHQXbuHkRTQz1UmBzX8k&#10;Qaai6PGiqJwSERhcv9ysr9aUCNyq3mxW1TpjsofDAWJ6J70l2Wgo4MCKjvzwIaY59ZySa0VvdLfX&#10;xhQH+vatAXLgONx9+eazJgx8jpYBY7k4p5bSjzCMy0jOZ8y5XI6wzHrmma00tdOJfOu7Iwpm3jsc&#10;Qr5QZwPORns27gPofkBSVeGcgXCIpYXThcu35E+/FH54Frvf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JwQAAFtDb250ZW50X1R5cGVzXS54bWxQ&#10;SwECFAAKAAAAAACHTuJAAAAAAAAAAAAAAAAABgAAAAAAAAAAABAAAAAJAwAAX3JlbHMvUEsBAhQA&#10;FAAAAAgAh07iQIoUZjzRAAAAlAEAAAsAAAAAAAAAAQAgAAAALQMAAF9yZWxzLy5yZWxzUEsBAhQA&#10;CgAAAAAAh07iQAAAAAAAAAAAAAAAAAQAAAAAAAAAAAAQAAAAAAAAAGRycy9QSwECFAAUAAAACACH&#10;TuJAjxYcvNgAAAAJAQAADwAAAAAAAAABACAAAAAiAAAAZHJzL2Rvd25yZXYueG1sUEsBAhQAFAAA&#10;AAgAh07iQInjyLS2AQAAXgMAAA4AAAAAAAAAAQAgAAAAJwEAAGRycy9lMm9Eb2MueG1sUEsFBgAA&#10;AAAGAAYAWQEAAE8FAAAAAA==&#10;">
                <v:fill on="t" opacity="0f" focussize="0,0"/>
                <v:stroke on="f"/>
                <v:imagedata o:title=""/>
                <o:lock v:ext="edit" aspectratio="f"/>
                <v:textbox inset="0mm,0mm,0mm,0mm">
                  <w:txbxContent>
                    <w:p>
                      <w:pPr>
                        <w:ind w:firstLine="105" w:firstLineChars="50"/>
                        <w:rPr>
                          <w:rFonts w:hint="default" w:eastAsia="宋体"/>
                          <w:lang w:val="en-US" w:eastAsia="zh-CN"/>
                        </w:rPr>
                      </w:pPr>
                      <w:r>
                        <w:rPr>
                          <w:rFonts w:hint="eastAsia"/>
                          <w:lang w:val="en-US" w:eastAsia="zh-CN"/>
                        </w:rPr>
                        <w:t>2</w:t>
                      </w:r>
                    </w:p>
                  </w:txbxContent>
                </v:textbox>
              </v:rect>
            </w:pict>
          </mc:Fallback>
        </mc:AlternateContent>
      </w:r>
      <w:r>
        <w:rPr>
          <w:rFonts w:hint="eastAsia"/>
          <w:b/>
          <w:color w:val="auto"/>
          <w:sz w:val="24"/>
        </w:rPr>
        <mc:AlternateContent>
          <mc:Choice Requires="wps">
            <w:drawing>
              <wp:anchor distT="0" distB="0" distL="114300" distR="114300" simplePos="0" relativeHeight="251788288" behindDoc="0" locked="0" layoutInCell="1" allowOverlap="1">
                <wp:simplePos x="0" y="0"/>
                <wp:positionH relativeFrom="column">
                  <wp:posOffset>4175760</wp:posOffset>
                </wp:positionH>
                <wp:positionV relativeFrom="paragraph">
                  <wp:posOffset>238125</wp:posOffset>
                </wp:positionV>
                <wp:extent cx="738505" cy="478155"/>
                <wp:effectExtent l="0" t="0" r="0" b="0"/>
                <wp:wrapNone/>
                <wp:docPr id="69" name="矩形 69"/>
                <wp:cNvGraphicFramePr/>
                <a:graphic xmlns:a="http://schemas.openxmlformats.org/drawingml/2006/main">
                  <a:graphicData uri="http://schemas.microsoft.com/office/word/2010/wordprocessingShape">
                    <wps:wsp>
                      <wps:cNvSpPr/>
                      <wps:spPr>
                        <a:xfrm>
                          <a:off x="0" y="0"/>
                          <a:ext cx="738505" cy="478155"/>
                        </a:xfrm>
                        <a:prstGeom prst="rect">
                          <a:avLst/>
                        </a:prstGeom>
                        <a:solidFill>
                          <a:srgbClr val="FFFFFF">
                            <a:alpha val="0"/>
                          </a:srgbClr>
                        </a:solidFill>
                        <a:ln>
                          <a:noFill/>
                        </a:ln>
                      </wps:spPr>
                      <wps:txbx>
                        <w:txbxContent>
                          <w:p>
                            <w:pPr>
                              <w:rPr>
                                <w:rFonts w:hint="eastAsia"/>
                              </w:rPr>
                            </w:pPr>
                            <w:r>
                              <w:rPr>
                                <w:rFonts w:hint="eastAsia"/>
                              </w:rPr>
                              <w:t>处理达标后</w:t>
                            </w:r>
                          </w:p>
                          <w:p>
                            <w:pPr>
                              <w:rPr>
                                <w:rFonts w:hint="eastAsia"/>
                              </w:rPr>
                            </w:pPr>
                            <w:r>
                              <w:rPr>
                                <w:rFonts w:hint="eastAsia"/>
                              </w:rPr>
                              <w:t>排入东津河</w:t>
                            </w:r>
                          </w:p>
                        </w:txbxContent>
                      </wps:txbx>
                      <wps:bodyPr lIns="0" tIns="0" rIns="0" bIns="0" upright="1"/>
                    </wps:wsp>
                  </a:graphicData>
                </a:graphic>
              </wp:anchor>
            </w:drawing>
          </mc:Choice>
          <mc:Fallback>
            <w:pict>
              <v:rect id="_x0000_s1026" o:spid="_x0000_s1026" o:spt="1" style="position:absolute;left:0pt;margin-left:328.8pt;margin-top:18.75pt;height:37.65pt;width:58.15pt;z-index:251788288;mso-width-relative:page;mso-height-relative:page;" fillcolor="#FFFFFF" filled="t" stroked="f" coordsize="21600,21600" o:gfxdata="UEsDBAoAAAAAAIdO4kAAAAAAAAAAAAAAAAAEAAAAZHJzL1BLAwQUAAAACACHTuJA3PcpJNkAAAAK&#10;AQAADwAAAGRycy9kb3ducmV2LnhtbE2PwU7DMBBE70j8g7VI3KiTlsYlxOmhUiVQKyQC3N14SSLs&#10;dWS7Tfv3uCc4ruZp5m21PlvDTujD4EhCPsuAIbVOD9RJ+PzYPqyAhahIK+MIJVwwwLq+valUqd1E&#10;73hqYsdSCYVSSehjHEvOQ9ujVWHmRqSUfTtvVUyn77j2akrl1vB5lhXcqoHSQq9G3PTY/jRHK0G0&#10;jf+a9ttH0by87aMh8bq57KS8v8uzZ2ARz/EPhqt+Uoc6OR3ckXRgRkKxFEVCJSzEElgChFg8ATsk&#10;Mp+vgNcV//9C/QtQSwMEFAAAAAgAh07iQDWrjoS3AQAAXgMAAA4AAABkcnMvZTJvRG9jLnhtbK1T&#10;zY7TMBC+I/EOlu/U6UJ3S9R0D6yKkBCstMsDOI6dWPKfxt4mfRokbjwEj4N4DcZO2wX2tiIHZ2Y8&#10;/ma+b+zN9WQN2UuI2ruGLhcVJdIJ32nXN/TL/e7VmpKYuOu48U429CAjvd6+fLEZQy0v/OBNJ4Eg&#10;iIv1GBo6pBRqxqIYpOVx4YN0uKk8WJ7QhZ51wEdEt4ZdVNUlGz10AbyQMWL0Zt6k24KvlBTps1JR&#10;JmIair2lskJZ27yy7YbXPfAwaHFsgz+jC8u1w6JnqBueOHkA/QTKagE+epUWwlvmldJCFg7IZln9&#10;w+Zu4EEWLihODGeZ4v+DFZ/2t0B019DLt5Q4bnFGv75+//njG8EAqjOGWGPSXbiFoxfRzFQnBTb/&#10;kQSZiqKHs6JySkRg8Or1elWtKBG49eZqvVytMiZ7PBwgpvfSW5KNhgIOrOjI9x9jmlNPKblW9EZ3&#10;O21McaBv3xkge47D3ZVvPmvCwOdoGTCWi3NqKf0XhnEZyfmMOZfLEZZZzzyzlaZ2OpJvfXdAwcwH&#10;h0PIF+pkwMloT8ZDAN0PSGpZOGcgHGJp4Xjh8i350y+FH5/F9jd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pBAAAW0NvbnRlbnRfVHlwZXNdLnht&#10;bFBLAQIUAAoAAAAAAIdO4kAAAAAAAAAAAAAAAAAGAAAAAAAAAAAAEAAAAAsDAABfcmVscy9QSwEC&#10;FAAUAAAACACHTuJAihRmPNEAAACUAQAACwAAAAAAAAABACAAAAAvAwAAX3JlbHMvLnJlbHNQSwEC&#10;FAAKAAAAAACHTuJAAAAAAAAAAAAAAAAABAAAAAAAAAAAABAAAAAAAAAAZHJzL1BLAQIUABQAAAAI&#10;AIdO4kDc9ykk2QAAAAoBAAAPAAAAAAAAAAEAIAAAACIAAABkcnMvZG93bnJldi54bWxQSwECFAAU&#10;AAAACACHTuJANauOhLcBAABeAwAADgAAAAAAAAABACAAAAAoAQAAZHJzL2Uyb0RvYy54bWxQSwUG&#10;AAAAAAYABgBZAQAAUQUAAAAA&#10;">
                <v:fill on="t" opacity="0f" focussize="0,0"/>
                <v:stroke on="f"/>
                <v:imagedata o:title=""/>
                <o:lock v:ext="edit" aspectratio="f"/>
                <v:textbox inset="0mm,0mm,0mm,0mm">
                  <w:txbxContent>
                    <w:p>
                      <w:pPr>
                        <w:rPr>
                          <w:rFonts w:hint="eastAsia"/>
                        </w:rPr>
                      </w:pPr>
                      <w:r>
                        <w:rPr>
                          <w:rFonts w:hint="eastAsia"/>
                        </w:rPr>
                        <w:t>处理达标后</w:t>
                      </w:r>
                    </w:p>
                    <w:p>
                      <w:pPr>
                        <w:rPr>
                          <w:rFonts w:hint="eastAsia"/>
                        </w:rPr>
                      </w:pPr>
                      <w:r>
                        <w:rPr>
                          <w:rFonts w:hint="eastAsia"/>
                        </w:rPr>
                        <w:t>排入东津河</w:t>
                      </w:r>
                    </w:p>
                  </w:txbxContent>
                </v:textbox>
              </v:rect>
            </w:pict>
          </mc:Fallback>
        </mc:AlternateContent>
      </w:r>
      <w:r>
        <w:rPr>
          <w:rFonts w:hint="eastAsia"/>
          <w:b/>
          <w:color w:val="auto"/>
          <w:sz w:val="24"/>
        </w:rPr>
        <mc:AlternateContent>
          <mc:Choice Requires="wps">
            <w:drawing>
              <wp:anchor distT="0" distB="0" distL="114300" distR="114300" simplePos="0" relativeHeight="251786240" behindDoc="0" locked="0" layoutInCell="1" allowOverlap="1">
                <wp:simplePos x="0" y="0"/>
                <wp:positionH relativeFrom="column">
                  <wp:posOffset>2823845</wp:posOffset>
                </wp:positionH>
                <wp:positionV relativeFrom="paragraph">
                  <wp:posOffset>215900</wp:posOffset>
                </wp:positionV>
                <wp:extent cx="876935" cy="518160"/>
                <wp:effectExtent l="4445" t="5080" r="13970" b="10160"/>
                <wp:wrapNone/>
                <wp:docPr id="72" name="矩形 72"/>
                <wp:cNvGraphicFramePr/>
                <a:graphic xmlns:a="http://schemas.openxmlformats.org/drawingml/2006/main">
                  <a:graphicData uri="http://schemas.microsoft.com/office/word/2010/wordprocessingShape">
                    <wps:wsp>
                      <wps:cNvSpPr/>
                      <wps:spPr>
                        <a:xfrm>
                          <a:off x="0" y="0"/>
                          <a:ext cx="876935" cy="51816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auto"/>
                              <w:jc w:val="center"/>
                              <w:rPr>
                                <w:rFonts w:hint="eastAsia" w:eastAsia="宋体"/>
                                <w:lang w:eastAsia="zh-CN"/>
                              </w:rPr>
                            </w:pPr>
                            <w:r>
                              <w:rPr>
                                <w:rFonts w:hint="eastAsia"/>
                                <w:lang w:eastAsia="zh-CN"/>
                              </w:rPr>
                              <w:t>地埋式污水处理设施</w:t>
                            </w:r>
                          </w:p>
                        </w:txbxContent>
                      </wps:txbx>
                      <wps:bodyPr upright="1"/>
                    </wps:wsp>
                  </a:graphicData>
                </a:graphic>
              </wp:anchor>
            </w:drawing>
          </mc:Choice>
          <mc:Fallback>
            <w:pict>
              <v:rect id="_x0000_s1026" o:spid="_x0000_s1026" o:spt="1" style="position:absolute;left:0pt;margin-left:222.35pt;margin-top:17pt;height:40.8pt;width:69.05pt;z-index:251786240;mso-width-relative:page;mso-height-relative:page;" fillcolor="#FFFFFF" filled="t" stroked="t" coordsize="21600,21600" o:gfxdata="UEsDBAoAAAAAAIdO4kAAAAAAAAAAAAAAAAAEAAAAZHJzL1BLAwQUAAAACACHTuJAXwHXgNgAAAAK&#10;AQAADwAAAGRycy9kb3ducmV2LnhtbE2PQU+DQBCF7yb+h82YeLMLlNYWWXrQ1MRjSy/eBnYLKDtL&#10;2KVFf73jSY+T+fLe9/LdbHtxMaPvHCmIFxEIQ7XTHTUKTuX+YQPCBySNvSOj4Mt42BW3Nzlm2l3p&#10;YC7H0AgOIZ+hgjaEIZPS162x6BduMMS/sxstBj7HRuoRrxxue5lE0Vpa7IgbWhzMc2vqz+NkFVRd&#10;csLvQ/ka2e1+Gd7m8mN6f1Hq/i6OnkAEM4c/GH71WR0KdqrcRNqLXkGapo+MKlimvImB1SbhLRWT&#10;8WoNssjl/wnFD1BLAwQUAAAACACHTuJAz4wdwOoBAADcAwAADgAAAGRycy9lMm9Eb2MueG1srVNL&#10;jhMxEN0jcQfLe9LdQclkWunMghA2CEYaOEDFn25L/sn2pDunQWLHITgO4hqUnZCZARYI0Qt32S4/&#10;v/eqvL6ZjCYHEaJytqPNrKZEWOa4sn1HP37YvVhREhNYDtpZ0dGjiPRm8/zZevStmLvBaS4CQRAb&#10;29F3dEjJt1UV2SAMxJnzwuKmdMFAwmnoKx5gRHSjq3ldL6vRBe6DYyJGXN2eNumm4EspWHovZRSJ&#10;6I4it1TGUMZ9HqvNGto+gB8UO9OAf2BhQFm89AK1hQTkPqjfoIxiwUUn04w5UzkpFRNFA6pp6l/U&#10;3A3gRdGC5kR/sSn+P1j27nAbiOIdvZpTYsFgjb5/+vLt62eCC+jO6GOLSXf+NpxnEcMsdZLB5D+K&#10;IFNx9HhxVEyJMFxcXS2vXy4oYbi1aFbNsjhePRz2IaY3whmSg44GLFjxEQ5vY8ILMfVnSr4rOq34&#10;TmldJqHfv9KBHACLuytfZoxHnqRpS8aOXi/mmQdgj0kNCUPjUXW0fbnvyYn4GLgu35+AM7EtxOFE&#10;oCDkNGiNSiK7Be0ggL+2nKSjR2MtPgGayRjBKdECX0yOSmYCpf8mE9VpiyJzXU6VyFGa9hPC5HDv&#10;+BFLeu+D6ge0tCnU8w62UHHn3O65Rx/PC+jDo9z8AF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F8B&#10;14DYAAAACgEAAA8AAAAAAAAAAQAgAAAAIgAAAGRycy9kb3ducmV2LnhtbFBLAQIUABQAAAAIAIdO&#10;4kDPjB3A6gEAANwDAAAOAAAAAAAAAAEAIAAAACcBAABkcnMvZTJvRG9jLnhtbFBLBQYAAAAABgAG&#10;AFkBAACDBQAAAAA=&#10;">
                <v:fill on="t" focussize="0,0"/>
                <v:stroke color="#000000" joinstyle="miter"/>
                <v:imagedata o:title=""/>
                <o:lock v:ext="edit" aspectratio="f"/>
                <v:textbox>
                  <w:txbxContent>
                    <w:p>
                      <w:pPr>
                        <w:spacing w:line="240" w:lineRule="auto"/>
                        <w:jc w:val="center"/>
                        <w:rPr>
                          <w:rFonts w:hint="eastAsia" w:eastAsia="宋体"/>
                          <w:lang w:eastAsia="zh-CN"/>
                        </w:rPr>
                      </w:pPr>
                      <w:r>
                        <w:rPr>
                          <w:rFonts w:hint="eastAsia"/>
                          <w:lang w:eastAsia="zh-CN"/>
                        </w:rPr>
                        <w:t>地埋式污水处理设施</w:t>
                      </w:r>
                    </w:p>
                  </w:txbxContent>
                </v:textbox>
              </v:rect>
            </w:pict>
          </mc:Fallback>
        </mc:AlternateContent>
      </w:r>
      <w:r>
        <w:rPr>
          <w:rFonts w:hint="eastAsia"/>
          <w:b/>
          <w:color w:val="auto"/>
          <w:sz w:val="24"/>
        </w:rPr>
        <mc:AlternateContent>
          <mc:Choice Requires="wps">
            <w:drawing>
              <wp:anchor distT="0" distB="0" distL="114300" distR="114300" simplePos="0" relativeHeight="251779072" behindDoc="0" locked="0" layoutInCell="1" allowOverlap="1">
                <wp:simplePos x="0" y="0"/>
                <wp:positionH relativeFrom="column">
                  <wp:posOffset>1203325</wp:posOffset>
                </wp:positionH>
                <wp:positionV relativeFrom="paragraph">
                  <wp:posOffset>327025</wp:posOffset>
                </wp:positionV>
                <wp:extent cx="1149985" cy="297180"/>
                <wp:effectExtent l="4445" t="4445" r="7620" b="22225"/>
                <wp:wrapNone/>
                <wp:docPr id="66" name="矩形 66"/>
                <wp:cNvGraphicFramePr/>
                <a:graphic xmlns:a="http://schemas.openxmlformats.org/drawingml/2006/main">
                  <a:graphicData uri="http://schemas.microsoft.com/office/word/2010/wordprocessingShape">
                    <wps:wsp>
                      <wps:cNvSpPr/>
                      <wps:spPr>
                        <a:xfrm>
                          <a:off x="0" y="0"/>
                          <a:ext cx="1149985" cy="29718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rPr>
                            </w:pPr>
                            <w:r>
                              <w:rPr>
                                <w:rFonts w:hint="eastAsia"/>
                              </w:rPr>
                              <w:t>生活用水</w:t>
                            </w:r>
                          </w:p>
                        </w:txbxContent>
                      </wps:txbx>
                      <wps:bodyPr upright="1"/>
                    </wps:wsp>
                  </a:graphicData>
                </a:graphic>
              </wp:anchor>
            </w:drawing>
          </mc:Choice>
          <mc:Fallback>
            <w:pict>
              <v:rect id="_x0000_s1026" o:spid="_x0000_s1026" o:spt="1" style="position:absolute;left:0pt;margin-left:94.75pt;margin-top:25.75pt;height:23.4pt;width:90.55pt;z-index:251779072;mso-width-relative:page;mso-height-relative:page;" fillcolor="#FFFFFF" filled="t" stroked="t" coordsize="21600,21600" o:gfxdata="UEsDBAoAAAAAAIdO4kAAAAAAAAAAAAAAAAAEAAAAZHJzL1BLAwQUAAAACACHTuJAGTLYF9cAAAAJ&#10;AQAADwAAAGRycy9kb3ducmV2LnhtbE2PwU6DQBCG7ya+w2ZMvNldSloBWXrQ1MRjSy/eBlgBZWcJ&#10;u7To0zue7GnyZ778802+W+wgzmbyvSMN0UqBMFS7pqdWw6ncPyQgfEBqcHBkNHwbD7vi9ibHrHEX&#10;OpjzMbSCS8hnqKELYcyk9HVnLPqVGw3x7sNNFgPHqZXNhBcut4NcK7WVFnviCx2O5rkz9ddxthqq&#10;fn3Cn0P5qmy6j8PbUn7O7y9a399F6glEMEv4h+FPn9WhYKfKzdR4MXBO0g2jGjYRTwbiR7UFUWlI&#10;kxhkkcvrD4pfUEsDBBQAAAAIAIdO4kB7Vlxo6gEAAN0DAAAOAAAAZHJzL2Uyb0RvYy54bWytU0uO&#10;EzEQ3SNxB8t70t0RE5JWOrMghA2CkWY4QMWfbkv+yfakO6dBYschOA7iGpSdkJkBFgjRC3fZLj+/&#10;96q8vp6MJgcRonK2o82spkRY5riyfUc/3u1eLCmJCSwH7azo6FFEer15/mw9+lbM3eA0F4EgiI3t&#10;6Ds6pOTbqopsEAbizHlhcVO6YCDhNPQVDzAiutHVvK4X1egC98ExESOubk+bdFPwpRQsfZAyikR0&#10;R5FbKmMo4z6P1WYNbR/AD4qdacA/sDCgLF56gdpCAnIf1G9QRrHgopNpxpypnJSKiaIB1TT1L2pu&#10;B/CiaEFzor/YFP8fLHt/uAlE8Y4uFpRYMFij75++fPv6meACujP62GLSrb8J51nEMEudZDD5jyLI&#10;VBw9XhwVUyIMF5vm5Wq1vKKE4d589apZFsurh9M+xPRWOENy0NGAFStGwuFdTHgjpv5MyZdFpxXf&#10;Ka3LJPT71zqQA2B1d+XLlPHIkzRtydjR1dU88wBsMqkhYWg8yo62L/c9OREfA9fl+xNwJraFOJwI&#10;FIScBq1RSWS7oB0E8DeWk3T06KzFN0AzGSM4JVrgk8lRyUyg9N9kojptUWQuzKkUOUrTfkKYHO4d&#10;P2JN731Q/YCWNoV63sEeKu6c+z036eN5AX14lZsf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GTLY&#10;F9cAAAAJAQAADwAAAAAAAAABACAAAAAiAAAAZHJzL2Rvd25yZXYueG1sUEsBAhQAFAAAAAgAh07i&#10;QHtWXGjqAQAA3QMAAA4AAAAAAAAAAQAgAAAAJgEAAGRycy9lMm9Eb2MueG1sUEsFBgAAAAAGAAYA&#10;WQEAAIIFAAAAAA==&#10;">
                <v:fill on="t" focussize="0,0"/>
                <v:stroke color="#000000" joinstyle="miter"/>
                <v:imagedata o:title=""/>
                <o:lock v:ext="edit" aspectratio="f"/>
                <v:textbox>
                  <w:txbxContent>
                    <w:p>
                      <w:pPr>
                        <w:jc w:val="center"/>
                        <w:rPr>
                          <w:rFonts w:hint="eastAsia"/>
                        </w:rPr>
                      </w:pPr>
                      <w:r>
                        <w:rPr>
                          <w:rFonts w:hint="eastAsia"/>
                        </w:rPr>
                        <w:t>生活用水</w:t>
                      </w:r>
                    </w:p>
                  </w:txbxContent>
                </v:textbox>
              </v:rect>
            </w:pict>
          </mc:Fallback>
        </mc:AlternateContent>
      </w:r>
      <w:r>
        <w:rPr>
          <w:rFonts w:hint="eastAsia"/>
          <w:b/>
          <w:color w:val="auto"/>
          <w:sz w:val="24"/>
        </w:rPr>
        <mc:AlternateContent>
          <mc:Choice Requires="wps">
            <w:drawing>
              <wp:anchor distT="0" distB="0" distL="114300" distR="114300" simplePos="0" relativeHeight="251784192" behindDoc="0" locked="0" layoutInCell="1" allowOverlap="1">
                <wp:simplePos x="0" y="0"/>
                <wp:positionH relativeFrom="column">
                  <wp:posOffset>2367280</wp:posOffset>
                </wp:positionH>
                <wp:positionV relativeFrom="paragraph">
                  <wp:posOffset>268605</wp:posOffset>
                </wp:positionV>
                <wp:extent cx="536575" cy="196215"/>
                <wp:effectExtent l="0" t="0" r="0" b="0"/>
                <wp:wrapNone/>
                <wp:docPr id="70" name="矩形 70"/>
                <wp:cNvGraphicFramePr/>
                <a:graphic xmlns:a="http://schemas.openxmlformats.org/drawingml/2006/main">
                  <a:graphicData uri="http://schemas.microsoft.com/office/word/2010/wordprocessingShape">
                    <wps:wsp>
                      <wps:cNvSpPr/>
                      <wps:spPr>
                        <a:xfrm>
                          <a:off x="0" y="0"/>
                          <a:ext cx="536575" cy="196215"/>
                        </a:xfrm>
                        <a:prstGeom prst="rect">
                          <a:avLst/>
                        </a:prstGeom>
                        <a:solidFill>
                          <a:srgbClr val="FFFFFF">
                            <a:alpha val="0"/>
                          </a:srgbClr>
                        </a:solidFill>
                        <a:ln>
                          <a:noFill/>
                        </a:ln>
                      </wps:spPr>
                      <wps:txbx>
                        <w:txbxContent>
                          <w:p>
                            <w:pPr>
                              <w:ind w:firstLine="105" w:firstLineChars="50"/>
                              <w:rPr>
                                <w:rFonts w:hint="default" w:eastAsia="宋体"/>
                                <w:lang w:val="en-US" w:eastAsia="zh-CN"/>
                              </w:rPr>
                            </w:pPr>
                            <w:r>
                              <w:rPr>
                                <w:rFonts w:hint="eastAsia"/>
                                <w:lang w:val="en-US" w:eastAsia="zh-CN"/>
                              </w:rPr>
                              <w:t>2</w:t>
                            </w:r>
                          </w:p>
                        </w:txbxContent>
                      </wps:txbx>
                      <wps:bodyPr lIns="0" tIns="0" rIns="0" bIns="0" upright="1"/>
                    </wps:wsp>
                  </a:graphicData>
                </a:graphic>
              </wp:anchor>
            </w:drawing>
          </mc:Choice>
          <mc:Fallback>
            <w:pict>
              <v:rect id="_x0000_s1026" o:spid="_x0000_s1026" o:spt="1" style="position:absolute;left:0pt;margin-left:186.4pt;margin-top:21.15pt;height:15.45pt;width:42.25pt;z-index:251784192;mso-width-relative:page;mso-height-relative:page;" fillcolor="#FFFFFF" filled="t" stroked="f" coordsize="21600,21600" o:gfxdata="UEsDBAoAAAAAAIdO4kAAAAAAAAAAAAAAAAAEAAAAZHJzL1BLAwQUAAAACACHTuJAClp5KtgAAAAJ&#10;AQAADwAAAGRycy9kb3ducmV2LnhtbE2PwU7DMAyG70i8Q2QkbixdW8jUNd1h0iQQE9IK3LMmtBWJ&#10;UyXZur095gQ3W/71+fvrzcVZdjYhjh4lLBcZMIOd1yP2Ej7edw8rYDEp1Mp6NBKuJsKmub2pVaX9&#10;jAdzblPPCIKxUhKGlKaK89gNxqm48JNBun354FSiNfRcBzUT3FmeZ9kTd2pE+jCoyWwH0323JydB&#10;dG34nPe7UrTPb/tkUbxsr69S3t8tszWwZC7pLwy/+qQODTkd/Ql1ZFZCIXJSTxLKvABGgfJR0HAk&#10;epEDb2r+v0HzA1BLAwQUAAAACACHTuJADCS1YrYBAABeAwAADgAAAGRycy9lMm9Eb2MueG1srVPN&#10;jtMwEL4j8Q6W79RNUbsQNd0DqyIkBCvt8gCOYyeW/Kext0mfBokbD8HjIF6DsdN2gb2tyMGZGY+/&#10;me8be3s9WUMOEqL2rqHVYkmJdMJ32vUN/XK/f/WGkpi467jxTjb0KCO93r18sR1DLVd+8KaTQBDE&#10;xXoMDR1SCjVjUQzS8rjwQTrcVB4sT+hCzzrgI6Jbw1bL5YaNHroAXsgYMXozb9JdwVdKivRZqSgT&#10;MQ3F3lJZoaxtXtluy+seeBi0OLXBn9GF5dph0QvUDU+cPIB+AmW1AB+9SgvhLfNKaSELB2RTLf9h&#10;czfwIAsXFCeGi0zx/8GKT4dbILpr6BXK47jFGf36+v3nj28EA6jOGGKNSXfhFk5eRDNTnRTY/EcS&#10;ZCqKHi+KyikRgcH16836ak2JwK3q7WZVrTMmezwcIKb30luSjYYCDqzoyA8fY5pTzym5VvRGd3tt&#10;THGgb98ZIAeOw92Xbz5rwsDnaKGA5eKcWkr/hWFcRnI+Y87lcoRl1jPPbKWpnU7kW98dUTDzweEQ&#10;8oU6G3A22rPxEED3A5KqCucMhEMsLZwuXL4lf/ql8OOz2P0G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JwQAAFtDb250ZW50X1R5cGVzXS54bWxQ&#10;SwECFAAKAAAAAACHTuJAAAAAAAAAAAAAAAAABgAAAAAAAAAAABAAAAAJAwAAX3JlbHMvUEsBAhQA&#10;FAAAAAgAh07iQIoUZjzRAAAAlAEAAAsAAAAAAAAAAQAgAAAALQMAAF9yZWxzLy5yZWxzUEsBAhQA&#10;CgAAAAAAh07iQAAAAAAAAAAAAAAAAAQAAAAAAAAAAAAQAAAAAAAAAGRycy9QSwECFAAUAAAACACH&#10;TuJAClp5KtgAAAAJAQAADwAAAAAAAAABACAAAAAiAAAAZHJzL2Rvd25yZXYueG1sUEsBAhQAFAAA&#10;AAgAh07iQAwktWK2AQAAXgMAAA4AAAAAAAAAAQAgAAAAJwEAAGRycy9lMm9Eb2MueG1sUEsFBgAA&#10;AAAGAAYAWQEAAE8FAAAAAA==&#10;">
                <v:fill on="t" opacity="0f" focussize="0,0"/>
                <v:stroke on="f"/>
                <v:imagedata o:title=""/>
                <o:lock v:ext="edit" aspectratio="f"/>
                <v:textbox inset="0mm,0mm,0mm,0mm">
                  <w:txbxContent>
                    <w:p>
                      <w:pPr>
                        <w:ind w:firstLine="105" w:firstLineChars="50"/>
                        <w:rPr>
                          <w:rFonts w:hint="default" w:eastAsia="宋体"/>
                          <w:lang w:val="en-US" w:eastAsia="zh-CN"/>
                        </w:rPr>
                      </w:pPr>
                      <w:r>
                        <w:rPr>
                          <w:rFonts w:hint="eastAsia"/>
                          <w:lang w:val="en-US" w:eastAsia="zh-CN"/>
                        </w:rPr>
                        <w:t>2</w:t>
                      </w:r>
                    </w:p>
                  </w:txbxContent>
                </v:textbox>
              </v:rect>
            </w:pict>
          </mc:Fallback>
        </mc:AlternateContent>
      </w:r>
      <w:r>
        <w:rPr>
          <w:rFonts w:hint="eastAsia"/>
          <w:b/>
          <w:color w:val="auto"/>
          <w:sz w:val="24"/>
        </w:rPr>
        <mc:AlternateContent>
          <mc:Choice Requires="wps">
            <w:drawing>
              <wp:anchor distT="0" distB="0" distL="114300" distR="114300" simplePos="0" relativeHeight="251783168" behindDoc="0" locked="0" layoutInCell="1" allowOverlap="1">
                <wp:simplePos x="0" y="0"/>
                <wp:positionH relativeFrom="column">
                  <wp:posOffset>1887220</wp:posOffset>
                </wp:positionH>
                <wp:positionV relativeFrom="paragraph">
                  <wp:posOffset>55245</wp:posOffset>
                </wp:positionV>
                <wp:extent cx="536575" cy="196215"/>
                <wp:effectExtent l="0" t="0" r="0" b="0"/>
                <wp:wrapNone/>
                <wp:docPr id="68" name="矩形 68"/>
                <wp:cNvGraphicFramePr/>
                <a:graphic xmlns:a="http://schemas.openxmlformats.org/drawingml/2006/main">
                  <a:graphicData uri="http://schemas.microsoft.com/office/word/2010/wordprocessingShape">
                    <wps:wsp>
                      <wps:cNvSpPr/>
                      <wps:spPr>
                        <a:xfrm>
                          <a:off x="0" y="0"/>
                          <a:ext cx="536575" cy="196215"/>
                        </a:xfrm>
                        <a:prstGeom prst="rect">
                          <a:avLst/>
                        </a:prstGeom>
                        <a:solidFill>
                          <a:srgbClr val="FFFFFF">
                            <a:alpha val="0"/>
                          </a:srgbClr>
                        </a:solidFill>
                        <a:ln>
                          <a:noFill/>
                        </a:ln>
                      </wps:spPr>
                      <wps:txbx>
                        <w:txbxContent>
                          <w:p>
                            <w:pPr>
                              <w:ind w:firstLine="105" w:firstLineChars="50"/>
                              <w:rPr>
                                <w:rFonts w:hint="default" w:eastAsia="宋体"/>
                                <w:sz w:val="21"/>
                                <w:szCs w:val="21"/>
                                <w:lang w:val="en-US" w:eastAsia="zh-CN"/>
                              </w:rPr>
                            </w:pPr>
                            <w:r>
                              <w:rPr>
                                <w:rFonts w:hint="eastAsia"/>
                                <w:sz w:val="21"/>
                                <w:szCs w:val="21"/>
                                <w:lang w:val="en-US" w:eastAsia="zh-CN"/>
                              </w:rPr>
                              <w:t>0.5</w:t>
                            </w:r>
                          </w:p>
                        </w:txbxContent>
                      </wps:txbx>
                      <wps:bodyPr lIns="0" tIns="0" rIns="0" bIns="0" upright="1"/>
                    </wps:wsp>
                  </a:graphicData>
                </a:graphic>
              </wp:anchor>
            </w:drawing>
          </mc:Choice>
          <mc:Fallback>
            <w:pict>
              <v:rect id="_x0000_s1026" o:spid="_x0000_s1026" o:spt="1" style="position:absolute;left:0pt;margin-left:148.6pt;margin-top:4.35pt;height:15.45pt;width:42.25pt;z-index:251783168;mso-width-relative:page;mso-height-relative:page;" fillcolor="#FFFFFF" filled="t" stroked="f" coordsize="21600,21600" o:gfxdata="UEsDBAoAAAAAAIdO4kAAAAAAAAAAAAAAAAAEAAAAZHJzL1BLAwQUAAAACACHTuJAEfTz99cAAAAI&#10;AQAADwAAAGRycy9kb3ducmV2LnhtbE2PwU7DMBBE70j8g7VI3KiTgOo0jdNDpUogKiQCvbuxSSLs&#10;dWS7Tfv3LCe4zWpGs2/qzcVZdjYhjh4l5IsMmMHO6xF7CZ8fu4cSWEwKtbIejYSribBpbm9qVWk/&#10;47s5t6lnVIKxUhKGlKaK89gNxqm48JNB8r58cCrRGXqug5qp3FleZNmSOzUifRjUZLaD6b7bk5Mg&#10;ujYc5v3uSbTPb/tkUbxsr69S3t/l2RpYMpf0F4ZffEKHhpiO/oQ6MiuhWImCohJKAYz8xzIncSSx&#10;WgJvav5/QPMDUEsDBBQAAAAIAIdO4kDdr34ytgEAAF4DAAAOAAAAZHJzL2Uyb0RvYy54bWytU0tu&#10;2zAQ3RfIHQjuY1ou7LaC5SwaOAhQtAHSHoCiSIkAfxgylnyaAt31ED1O0Wt0SNlOP7uiWlAzw+Gb&#10;eW/I7c1kDTlIiNq7hlaLJSXSCd9p1zf008f99WtKYuKu48Y72dCjjPRmd/ViO4ZarvzgTSeBIIiL&#10;9RgaOqQUasaiGKTlceGDdLipPFie0IWedcBHRLeGrZbLDRs9dAG8kDFi9HbepLuCr5QU6YNSUSZi&#10;Goq9pbJCWdu8st2W1z3wMGhxaoP/QxeWa4dFL1C3PHHyBPovKKsF+OhVWghvmVdKC1k4IJtq+Qeb&#10;x4EHWbigODFcZIr/D1a8PzwA0V1DNzgpxy3O6Mfnr9+/fSEYQHXGEGtMegwPcPIimpnqpMDmP5Ig&#10;U1H0eFFUTokIDK5fbtav1pQI3KrebFbVOmOy58MBYrqT3pJsNBRwYEVHfngX05x6Tsm1oje622tj&#10;igN9+9YAOXAc7r5881kTBj5Hy4CxXJxTS+nfMIzLSM5nzLlcjrDMeuaZrTS104l867sjCmbuHQ4h&#10;X6izAWejPRtPAXQ/IKmqcM5AOMTSwunC5Vvyq18KPz+L3U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AmBAAAW0NvbnRlbnRfVHlwZXNdLnhtbFBL&#10;AQIUAAoAAAAAAIdO4kAAAAAAAAAAAAAAAAAGAAAAAAAAAAAAEAAAAAgDAABfcmVscy9QSwECFAAU&#10;AAAACACHTuJAihRmPNEAAACUAQAACwAAAAAAAAABACAAAAAsAwAAX3JlbHMvLnJlbHNQSwECFAAK&#10;AAAAAACHTuJAAAAAAAAAAAAAAAAABAAAAAAAAAAAABAAAAAAAAAAZHJzL1BLAQIUABQAAAAIAIdO&#10;4kAR9PP31wAAAAgBAAAPAAAAAAAAAAEAIAAAACIAAABkcnMvZG93bnJldi54bWxQSwECFAAUAAAA&#10;CACHTuJA3a9+MrYBAABeAwAADgAAAAAAAAABACAAAAAmAQAAZHJzL2Uyb0RvYy54bWxQSwUGAAAA&#10;AAYABgBZAQAATgUAAAAA&#10;">
                <v:fill on="t" opacity="0f" focussize="0,0"/>
                <v:stroke on="f"/>
                <v:imagedata o:title=""/>
                <o:lock v:ext="edit" aspectratio="f"/>
                <v:textbox inset="0mm,0mm,0mm,0mm">
                  <w:txbxContent>
                    <w:p>
                      <w:pPr>
                        <w:ind w:firstLine="105" w:firstLineChars="50"/>
                        <w:rPr>
                          <w:rFonts w:hint="default" w:eastAsia="宋体"/>
                          <w:sz w:val="21"/>
                          <w:szCs w:val="21"/>
                          <w:lang w:val="en-US" w:eastAsia="zh-CN"/>
                        </w:rPr>
                      </w:pPr>
                      <w:r>
                        <w:rPr>
                          <w:rFonts w:hint="eastAsia"/>
                          <w:sz w:val="21"/>
                          <w:szCs w:val="21"/>
                          <w:lang w:val="en-US" w:eastAsia="zh-CN"/>
                        </w:rPr>
                        <w:t>0.5</w:t>
                      </w:r>
                    </w:p>
                  </w:txbxContent>
                </v:textbox>
              </v:rect>
            </w:pict>
          </mc:Fallback>
        </mc:AlternateContent>
      </w:r>
      <w:r>
        <w:rPr>
          <w:rFonts w:hint="eastAsia"/>
          <w:b/>
          <w:color w:val="auto"/>
          <w:sz w:val="24"/>
        </w:rPr>
        <mc:AlternateContent>
          <mc:Choice Requires="wps">
            <w:drawing>
              <wp:anchor distT="0" distB="0" distL="114300" distR="114300" simplePos="0" relativeHeight="251780096" behindDoc="0" locked="0" layoutInCell="1" allowOverlap="1">
                <wp:simplePos x="0" y="0"/>
                <wp:positionH relativeFrom="column">
                  <wp:posOffset>1668145</wp:posOffset>
                </wp:positionH>
                <wp:positionV relativeFrom="paragraph">
                  <wp:posOffset>174625</wp:posOffset>
                </wp:positionV>
                <wp:extent cx="245110" cy="154305"/>
                <wp:effectExtent l="3175" t="0" r="18415" b="17145"/>
                <wp:wrapNone/>
                <wp:docPr id="76" name="任意多边形 76"/>
                <wp:cNvGraphicFramePr/>
                <a:graphic xmlns:a="http://schemas.openxmlformats.org/drawingml/2006/main">
                  <a:graphicData uri="http://schemas.microsoft.com/office/word/2010/wordprocessingShape">
                    <wps:wsp>
                      <wps:cNvSpPr/>
                      <wps:spPr>
                        <a:xfrm>
                          <a:off x="0" y="0"/>
                          <a:ext cx="245110" cy="154305"/>
                        </a:xfrm>
                        <a:custGeom>
                          <a:avLst/>
                          <a:gdLst/>
                          <a:ahLst/>
                          <a:cxnLst/>
                          <a:pathLst>
                            <a:path w="360" h="468">
                              <a:moveTo>
                                <a:pt x="0" y="468"/>
                              </a:moveTo>
                              <a:cubicBezTo>
                                <a:pt x="75" y="325"/>
                                <a:pt x="150" y="182"/>
                                <a:pt x="180" y="156"/>
                              </a:cubicBezTo>
                              <a:cubicBezTo>
                                <a:pt x="210" y="130"/>
                                <a:pt x="150" y="338"/>
                                <a:pt x="180" y="312"/>
                              </a:cubicBezTo>
                              <a:cubicBezTo>
                                <a:pt x="210" y="286"/>
                                <a:pt x="330" y="52"/>
                                <a:pt x="360" y="0"/>
                              </a:cubicBezTo>
                            </a:path>
                          </a:pathLst>
                        </a:custGeom>
                        <a:noFill/>
                        <a:ln w="9525" cap="flat" cmpd="sng">
                          <a:solidFill>
                            <a:srgbClr val="000000"/>
                          </a:solidFill>
                          <a:prstDash val="solid"/>
                          <a:headEnd type="none" w="med" len="med"/>
                          <a:tailEnd type="stealth" w="sm" len="med"/>
                        </a:ln>
                      </wps:spPr>
                      <wps:bodyPr upright="1"/>
                    </wps:wsp>
                  </a:graphicData>
                </a:graphic>
              </wp:anchor>
            </w:drawing>
          </mc:Choice>
          <mc:Fallback>
            <w:pict>
              <v:shape id="_x0000_s1026" o:spid="_x0000_s1026" o:spt="100" style="position:absolute;left:0pt;margin-left:131.35pt;margin-top:13.75pt;height:12.15pt;width:19.3pt;z-index:251780096;mso-width-relative:page;mso-height-relative:page;" filled="f" stroked="t" coordsize="360,468" o:gfxdata="UEsDBAoAAAAAAIdO4kAAAAAAAAAAAAAAAAAEAAAAZHJzL1BLAwQUAAAACACHTuJANY34EtsAAAAJ&#10;AQAADwAAAGRycy9kb3ducmV2LnhtbE2PTU/DMAyG70j8h8hI3FjSTt2m0nQHxDRxYBIbVOKWNaat&#10;aJzSZB/s12NOcLPlR6+ft1ieXS+OOIbOk4ZkokAg1d521Gh43a3uFiBCNGRN7wk1fGOAZXl9VZjc&#10;+hO94HEbG8EhFHKjoY1xyKUMdYvOhIkfkPj24UdnIq9jI+1oThzuepkqNZPOdMQfWjPgQ4v15/bg&#10;NLxX6yp87dZ1tXl+ossqZI9vTab17U2i7kFEPMc/GH71WR1Kdtr7A9kgeg3pLJ0zysM8A8HAVCVT&#10;EHsNWbIAWRbyf4PyB1BLAwQUAAAACACHTuJAX2rBd3MCAABABQAADgAAAGRycy9lMm9Eb2MueG1s&#10;rVTNbhMxEL4j8Q6W73Szu900RNlUglIuCCq1PIDj9WYt+U+288eZO3eOiJeoKngaingMxrP5acoJ&#10;RA7O2DP7fTPf2DM5X2tFlsIHaU1N85MBJcJw20gzr+n7m8tnI0pCZKZhyhpR040I9Hz69Mlk5cai&#10;sJ1VjfAEQEwYr1xNuxjdOMsC74Rm4cQ6YcDZWq9ZhK2fZ41nK0DXKisGg2G2sr5x3nIRApxe9E46&#10;Rfy2FTy+a9sgIlE1hdwirh7XWVqz6YSN5565TvJtGuwfstBMGiDdQ12wyMjCyz+gtOTeBtvGE251&#10;ZttWcoE1QDX54FE11x1zAmsBcYLbyxT+Hyx/u7zyRDY1PRtSYpiGHv24u/v58dP918+/vt/ef/tC&#10;wAMyrVwYQ/S1u/LbXQAz1bxuvU7/UA1Zo7SbvbRiHQmHw+K0ynNoAAdXXp2WgyphZoeP+SLE18Ii&#10;EFu+CbHvTLOzWLez+NrsTMdiOk7kySSrmpZDYOlqejocYUO0XYobixHxkF3y9vwHP1/MJH8hPjyM&#10;PqsogYzLAtMFFsTIK+BIhYyKhLI/Hm2PKxQMijuGPN71UEUSJUGV27t4zFCWmOdjhjJH4r9iKEaY&#10;1Q6qBMJEXB2VgOrBKSbzCB62SWTs2l54jDl0zthLqRRqokxqx/MKpCOcwdNuFYtgageXLZg5didY&#10;JZv0SVIx+PnspfJkydJjxd+2SUdhzod4wULXx6Gr70InWPPKNCRuHNxiA/OGphS0aChRAsZTsjC3&#10;yKQ6RIYomIodBgd9HAv1KQMlp9vf3/dkzWyzgWezcF7OO5gpOeaZPPBMUaDtSElz4OEekQ6Db/o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NY34EtsAAAAJAQAADwAAAAAAAAABACAAAAAiAAAAZHJz&#10;L2Rvd25yZXYueG1sUEsBAhQAFAAAAAgAh07iQF9qwXdzAgAAQAUAAA4AAAAAAAAAAQAgAAAAKgEA&#10;AGRycy9lMm9Eb2MueG1sUEsFBgAAAAAGAAYAWQEAAA8GAAAAAA==&#10;" path="m0,468c75,325,150,182,180,156c210,130,150,338,180,312c210,286,330,52,360,0e">
                <v:fill on="f" focussize="0,0"/>
                <v:stroke color="#000000" joinstyle="round" endarrow="classic" endarrowwidth="narrow"/>
                <v:imagedata o:title=""/>
                <o:lock v:ext="edit" aspectratio="f"/>
              </v:shape>
            </w:pict>
          </mc:Fallback>
        </mc:AlternateContent>
      </w:r>
    </w:p>
    <w:p>
      <w:pPr>
        <w:adjustRightInd w:val="0"/>
        <w:snapToGrid w:val="0"/>
        <w:spacing w:line="520" w:lineRule="exact"/>
        <w:ind w:firstLine="482" w:firstLineChars="200"/>
        <w:rPr>
          <w:rFonts w:hint="eastAsia"/>
          <w:color w:val="auto"/>
          <w:sz w:val="24"/>
        </w:rPr>
      </w:pPr>
      <w:r>
        <w:rPr>
          <w:rFonts w:hint="eastAsia"/>
          <w:b/>
          <w:color w:val="auto"/>
          <w:sz w:val="24"/>
        </w:rPr>
        <mc:AlternateContent>
          <mc:Choice Requires="wps">
            <w:drawing>
              <wp:anchor distT="0" distB="0" distL="114300" distR="114300" simplePos="0" relativeHeight="251778048" behindDoc="0" locked="0" layoutInCell="1" allowOverlap="1">
                <wp:simplePos x="0" y="0"/>
                <wp:positionH relativeFrom="column">
                  <wp:posOffset>605155</wp:posOffset>
                </wp:positionH>
                <wp:positionV relativeFrom="paragraph">
                  <wp:posOffset>220345</wp:posOffset>
                </wp:positionV>
                <wp:extent cx="536575" cy="196215"/>
                <wp:effectExtent l="0" t="0" r="0" b="0"/>
                <wp:wrapNone/>
                <wp:docPr id="75" name="矩形 75"/>
                <wp:cNvGraphicFramePr/>
                <a:graphic xmlns:a="http://schemas.openxmlformats.org/drawingml/2006/main">
                  <a:graphicData uri="http://schemas.microsoft.com/office/word/2010/wordprocessingShape">
                    <wps:wsp>
                      <wps:cNvSpPr/>
                      <wps:spPr>
                        <a:xfrm>
                          <a:off x="0" y="0"/>
                          <a:ext cx="536575" cy="196215"/>
                        </a:xfrm>
                        <a:prstGeom prst="rect">
                          <a:avLst/>
                        </a:prstGeom>
                        <a:solidFill>
                          <a:srgbClr val="FFFFFF">
                            <a:alpha val="0"/>
                          </a:srgbClr>
                        </a:solidFill>
                        <a:ln>
                          <a:noFill/>
                        </a:ln>
                      </wps:spPr>
                      <wps:txbx>
                        <w:txbxContent>
                          <w:p>
                            <w:pPr>
                              <w:ind w:firstLine="105" w:firstLineChars="50"/>
                              <w:rPr>
                                <w:rFonts w:hint="eastAsia"/>
                              </w:rPr>
                            </w:pPr>
                            <w:r>
                              <w:rPr>
                                <w:rFonts w:hint="eastAsia"/>
                              </w:rPr>
                              <w:t>新鲜水</w:t>
                            </w:r>
                          </w:p>
                        </w:txbxContent>
                      </wps:txbx>
                      <wps:bodyPr lIns="0" tIns="0" rIns="0" bIns="0" upright="1"/>
                    </wps:wsp>
                  </a:graphicData>
                </a:graphic>
              </wp:anchor>
            </w:drawing>
          </mc:Choice>
          <mc:Fallback>
            <w:pict>
              <v:rect id="_x0000_s1026" o:spid="_x0000_s1026" o:spt="1" style="position:absolute;left:0pt;margin-left:47.65pt;margin-top:17.35pt;height:15.45pt;width:42.25pt;z-index:251778048;mso-width-relative:page;mso-height-relative:page;" fillcolor="#FFFFFF" filled="t" stroked="f" coordsize="21600,21600" o:gfxdata="UEsDBAoAAAAAAIdO4kAAAAAAAAAAAAAAAAAEAAAAZHJzL1BLAwQUAAAACACHTuJA3Jfa4tgAAAAI&#10;AQAADwAAAGRycy9kb3ducmV2LnhtbE2PwW7CMBBE75X6D9ZW6q04FIghzYYDElKrIqSm7d3EJolq&#10;ryPbEPj7mlN7HM1o5k25vljDztqH3hHCdJIB09Q41VOL8PW5fVoCC1GSksaRRrjqAOvq/q6UhXIj&#10;fehzHVuWSigUEqGLcSg4D02nrQwTN2hK3tF5K2OSvuXKyzGVW8OfsyznVvaUFjo56E2nm5/6ZBFE&#10;U/vvcbedi/p1v4uGxNvm+o74+DDNXoBFfYl/YbjhJ3SoEtPBnUgFZhBWi1lKIszmAtjNF6t05YCQ&#10;L3LgVcn/H6h+AVBLAwQUAAAACACHTuJA+NOL97UBAABeAwAADgAAAGRycy9lMm9Eb2MueG1srVNL&#10;btswEN0XyB0I7mNaLuy2guUsGjgIULQB0h6AokiJAH8YMpZ8mgLd9RA9TtFrdEjZTj+7olpQM8Ph&#10;m3lvyO3NZA05SIjau4ZWiyUl0gnfadc39NPH/fVrSmLiruPGO9nQo4z0Znf1YjuGWq784E0ngSCI&#10;i/UYGjqkFGrGohik5XHhg3S4qTxYntCFnnXAR0S3hq2Wyw0bPXQBvJAxYvR23qS7gq+UFOmDUlEm&#10;YhqKvaWyQlnbvLLdltc98DBocWqD/0MXlmuHRS9Qtzxx8gT6LyirBfjoVVoIb5lXSgtZOCCbavkH&#10;m8eBB1m4oDgxXGSK/w9WvD88ANFdQ1+tKXHc4ox+fP76/dsXggFUZwyxxqTH8AAnL6KZqU4KbP4j&#10;CTIVRY8XReWUiMDg+uVmnYEFblVvNquqYLLnwwFiupPekmw0FHBgRUd+eBcTFsTUc0quFb3R3V4b&#10;Uxzo27cGyIHjcPflm8+aMPA5WgaMGHFOLXi/YRiXkZzPmHO5HGGZ9cwzW2lqpxP51ndHFMzcOxxC&#10;vlBnA85GezaeAuh+QFJV1rFA4hBLC6cLl2/Jr37Jen4Wu5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AmBAAAW0NvbnRlbnRfVHlwZXNdLnhtbFBL&#10;AQIUAAoAAAAAAIdO4kAAAAAAAAAAAAAAAAAGAAAAAAAAAAAAEAAAAAgDAABfcmVscy9QSwECFAAU&#10;AAAACACHTuJAihRmPNEAAACUAQAACwAAAAAAAAABACAAAAAsAwAAX3JlbHMvLnJlbHNQSwECFAAK&#10;AAAAAACHTuJAAAAAAAAAAAAAAAAABAAAAAAAAAAAABAAAAAAAAAAZHJzL1BLAQIUABQAAAAIAIdO&#10;4kDcl9ri2AAAAAgBAAAPAAAAAAAAAAEAIAAAACIAAABkcnMvZG93bnJldi54bWxQSwECFAAUAAAA&#10;CACHTuJA+NOL97UBAABeAwAADgAAAAAAAAABACAAAAAnAQAAZHJzL2Uyb0RvYy54bWxQSwUGAAAA&#10;AAYABgBZAQAATgUAAAAA&#10;">
                <v:fill on="t" opacity="0f" focussize="0,0"/>
                <v:stroke on="f"/>
                <v:imagedata o:title=""/>
                <o:lock v:ext="edit" aspectratio="f"/>
                <v:textbox inset="0mm,0mm,0mm,0mm">
                  <w:txbxContent>
                    <w:p>
                      <w:pPr>
                        <w:ind w:firstLine="105" w:firstLineChars="50"/>
                        <w:rPr>
                          <w:rFonts w:hint="eastAsia"/>
                        </w:rPr>
                      </w:pPr>
                      <w:r>
                        <w:rPr>
                          <w:rFonts w:hint="eastAsia"/>
                        </w:rPr>
                        <w:t>新鲜水</w:t>
                      </w:r>
                    </w:p>
                  </w:txbxContent>
                </v:textbox>
              </v:rect>
            </w:pict>
          </mc:Fallback>
        </mc:AlternateContent>
      </w:r>
      <w:r>
        <w:rPr>
          <w:rFonts w:hint="eastAsia"/>
          <w:b/>
          <w:color w:val="auto"/>
          <w:sz w:val="24"/>
        </w:rPr>
        <mc:AlternateContent>
          <mc:Choice Requires="wps">
            <w:drawing>
              <wp:anchor distT="0" distB="0" distL="114300" distR="114300" simplePos="0" relativeHeight="251781120" behindDoc="0" locked="0" layoutInCell="1" allowOverlap="1">
                <wp:simplePos x="0" y="0"/>
                <wp:positionH relativeFrom="column">
                  <wp:posOffset>568960</wp:posOffset>
                </wp:positionH>
                <wp:positionV relativeFrom="paragraph">
                  <wp:posOffset>179705</wp:posOffset>
                </wp:positionV>
                <wp:extent cx="641985" cy="635"/>
                <wp:effectExtent l="0" t="37465" r="5715" b="38100"/>
                <wp:wrapNone/>
                <wp:docPr id="71" name="直接连接符 71"/>
                <wp:cNvGraphicFramePr/>
                <a:graphic xmlns:a="http://schemas.openxmlformats.org/drawingml/2006/main">
                  <a:graphicData uri="http://schemas.microsoft.com/office/word/2010/wordprocessingShape">
                    <wps:wsp>
                      <wps:cNvCnPr/>
                      <wps:spPr>
                        <a:xfrm>
                          <a:off x="0" y="0"/>
                          <a:ext cx="641985" cy="635"/>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_x0000_s1026" o:spid="_x0000_s1026" o:spt="20" style="position:absolute;left:0pt;margin-left:44.8pt;margin-top:14.15pt;height:0.05pt;width:50.55pt;z-index:251781120;mso-width-relative:page;mso-height-relative:page;" filled="f" stroked="t" coordsize="21600,21600" o:gfxdata="UEsDBAoAAAAAAIdO4kAAAAAAAAAAAAAAAAAEAAAAZHJzL1BLAwQUAAAACACHTuJASKTKrtgAAAAI&#10;AQAADwAAAGRycy9kb3ducmV2LnhtbE2PwU7DMBBE70j8g7VI3Kidgoob4vSAVC4toLYIwc2NlyQi&#10;Xke204a/xznBcXZGM2+L1Wg7dkIfWkcKspkAhlQ501Kt4O2wvpHAQtRkdOcIFfxggFV5eVHo3Lgz&#10;7fC0jzVLJRRyraCJsc85D1WDVoeZ65GS9+W81TFJX3Pj9TmV247PhVhwq1tKC43u8bHB6ns/WAW7&#10;7Xoj3zfDWPnPp+zl8Lp9/ghSqeurTDwAizjGvzBM+AkdysR0dAOZwDoFcrlISQVzeQts8pfiHthx&#10;OtwBLwv+/4HyF1BLAwQUAAAACACHTuJAxsiO7uEBAACdAwAADgAAAGRycy9lMm9Eb2MueG1srVNL&#10;jhMxEN0jcQfLe9JJIGGmlc4sJgwbBJGAA1Rsd7cl/1T2pJNLcAEkdrBiyX5uw3AMyk5I+IgNohfV&#10;Zdfzc73X1YurnTVsqzBq7xo+GY05U054qV3X8Ldvbh5dcBYTOAnGO9XwvYr8avnwwWIItZr63hup&#10;kBGJi/UQGt6nFOqqiqJXFuLIB+Wo2Hq0kGiJXSURBmK3ppqOx/Nq8CgDeqFipN3VociXhb9tlUiv&#10;2jaqxEzDqbdUIpa4ybFaLqDuEEKvxbEN+IcuLGhHl56oVpCA3aL+g8pqgT76No2Et5VvWy1U0UBq&#10;JuPf1LzuIaiihcyJ4WRT/H+04uV2jUzLhj+dcObA0je6f//l67uP3+4+ULz//IlRhWwaQqwJfe3W&#10;eFzFsMasedeizW9Sw3bF2v3JWrVLTNDm/Mnk8mLGmaDS/PEsE1bnkwFjeq68ZTlpuNEuy4Yati9i&#10;OkB/QPK2cWxo+OVsmgmBpqY1kCi1gXRE15Wz0Rstb7Qx+UTEbnNtkG0hz0F5ji38AsuXrCD2B1wp&#10;ZRjUvQL5zEmW9oEMcjTKPLdgleTMKJr8nBVkAm3OyIQaXGf+giYHjCMjsrUHM3O28XJP3+Q2oO56&#10;cqO4XzA0A8W247zmIft5XZjOf9XyO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Eikyq7YAAAACAEA&#10;AA8AAAAAAAAAAQAgAAAAIgAAAGRycy9kb3ducmV2LnhtbFBLAQIUABQAAAAIAIdO4kDGyI7u4QEA&#10;AJ0DAAAOAAAAAAAAAAEAIAAAACcBAABkcnMvZTJvRG9jLnhtbFBLBQYAAAAABgAGAFkBAAB6BQAA&#10;AAA=&#10;">
                <v:fill on="f" focussize="0,0"/>
                <v:stroke color="#000000" joinstyle="round" endarrow="block"/>
                <v:imagedata o:title=""/>
                <o:lock v:ext="edit" aspectratio="f"/>
              </v:line>
            </w:pict>
          </mc:Fallback>
        </mc:AlternateContent>
      </w:r>
      <w:r>
        <w:rPr>
          <w:rFonts w:hint="eastAsia"/>
          <w:b/>
          <w:color w:val="auto"/>
          <w:sz w:val="24"/>
        </w:rPr>
        <mc:AlternateContent>
          <mc:Choice Requires="wps">
            <w:drawing>
              <wp:anchor distT="0" distB="0" distL="114300" distR="114300" simplePos="0" relativeHeight="251787264" behindDoc="0" locked="0" layoutInCell="1" allowOverlap="1">
                <wp:simplePos x="0" y="0"/>
                <wp:positionH relativeFrom="column">
                  <wp:posOffset>3716020</wp:posOffset>
                </wp:positionH>
                <wp:positionV relativeFrom="paragraph">
                  <wp:posOffset>131445</wp:posOffset>
                </wp:positionV>
                <wp:extent cx="435610" cy="6985"/>
                <wp:effectExtent l="0" t="32385" r="2540" b="36830"/>
                <wp:wrapNone/>
                <wp:docPr id="67" name="直接连接符 67"/>
                <wp:cNvGraphicFramePr/>
                <a:graphic xmlns:a="http://schemas.openxmlformats.org/drawingml/2006/main">
                  <a:graphicData uri="http://schemas.microsoft.com/office/word/2010/wordprocessingShape">
                    <wps:wsp>
                      <wps:cNvCnPr/>
                      <wps:spPr>
                        <a:xfrm>
                          <a:off x="0" y="0"/>
                          <a:ext cx="435610" cy="6985"/>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_x0000_s1026" o:spid="_x0000_s1026" o:spt="20" style="position:absolute;left:0pt;margin-left:292.6pt;margin-top:10.35pt;height:0.55pt;width:34.3pt;z-index:251787264;mso-width-relative:page;mso-height-relative:page;" filled="f" stroked="t" coordsize="21600,21600" o:gfxdata="UEsDBAoAAAAAAIdO4kAAAAAAAAAAAAAAAAAEAAAAZHJzL1BLAwQUAAAACACHTuJAKVU7EdkAAAAJ&#10;AQAADwAAAGRycy9kb3ducmV2LnhtbE2PwU7DMAyG70i8Q2QkbixpUUdUmu6ANC4boG0IwS1rQlvR&#10;OFWSbuXtMSc42v70+/ur1ewGdrIh9h4VZAsBzGLjTY+tgtfD+kYCi0mj0YNHq+DbRljVlxeVLo0/&#10;486e9qllFIKx1Aq6lMaS89h01um48KNFun364HSiMbTcBH2mcDfwXIgld7pH+tDp0T50tvnaT07B&#10;brveyLfNNDfh4zF7Prxsn96jVOr6KhP3wJKd0x8Mv/qkDjU5Hf2EJrJBQSGLnFAFubgDRsCyuKUu&#10;R1pkEnhd8f8N6h9QSwMEFAAAAAgAh07iQF1Dt4TkAQAAngMAAA4AAABkcnMvZTJvRG9jLnhtbK1T&#10;S44TMRDdI3EHy3vSSSBhppXOLCYMGwSRgANUbHe3Jf9U9qSTS3ABJHawYsl+bsNwDMpOSPiIDaIX&#10;1WXX8+t6z9WLq501bKswau8aPhmNOVNOeKld1/C3b24eXXAWEzgJxjvV8L2K/Gr58MFiCLWa+t4b&#10;qZARiYv1EBrepxTqqoqiVxbiyAflqNh6tJBoiV0lEQZit6aajsfzavAoA3qhYqTd1aHIl4W/bZVI&#10;r9o2qsRMw6m3VCKWuMmxWi6g7hBCr8WxDfiHLixoRx89Ua0gAbtF/QeV1QJ99G0aCW8r37ZaqKKB&#10;1EzGv6l53UNQRQuZE8PJpvj/aMXL7RqZlg2fP+XMgaU7un//5eu7j9/uPlC8//yJUYVsGkKsCX3t&#10;1nhcxbDGrHnXos1vUsN2xdr9yVq1S0zQ5pPHs/mELkBQaX55McuM1flowJieK29ZThputMu6oYbt&#10;i5gO0B+QvG0cGxp+OZvOiBFobFoDiVIbSEh0XTkbvdHyRhuTT0TsNtcG2RbyIJTn2MIvsPyRFcT+&#10;gCulDIO6VyCfOcnSPpBDjmaZ5xaskpwZRaOfs4JMoM0ZmVCD68xf0OSAcWRE9vbgZs42Xu7pUm4D&#10;6q4nNyal01yhISi2HQc2T9nP68J0/q2W3wF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AAAAAZHJzL1BLAQIUABQAAAAIAIdO4kApVTsR2QAA&#10;AAkBAAAPAAAAAAAAAAEAIAAAACIAAABkcnMvZG93bnJldi54bWxQSwECFAAUAAAACACHTuJAXUO3&#10;hOQBAACeAwAADgAAAAAAAAABACAAAAAoAQAAZHJzL2Uyb0RvYy54bWxQSwUGAAAAAAYABgBZAQAA&#10;fgUAAAAA&#10;">
                <v:fill on="f" focussize="0,0"/>
                <v:stroke color="#000000" joinstyle="round" endarrow="block"/>
                <v:imagedata o:title=""/>
                <o:lock v:ext="edit" aspectratio="f"/>
              </v:line>
            </w:pict>
          </mc:Fallback>
        </mc:AlternateContent>
      </w:r>
      <w:r>
        <w:rPr>
          <w:rFonts w:hint="eastAsia"/>
          <w:b/>
          <w:color w:val="auto"/>
          <w:sz w:val="24"/>
        </w:rPr>
        <mc:AlternateContent>
          <mc:Choice Requires="wps">
            <w:drawing>
              <wp:anchor distT="0" distB="0" distL="114300" distR="114300" simplePos="0" relativeHeight="251782144" behindDoc="0" locked="0" layoutInCell="1" allowOverlap="1">
                <wp:simplePos x="0" y="0"/>
                <wp:positionH relativeFrom="column">
                  <wp:posOffset>2359660</wp:posOffset>
                </wp:positionH>
                <wp:positionV relativeFrom="paragraph">
                  <wp:posOffset>141605</wp:posOffset>
                </wp:positionV>
                <wp:extent cx="466725" cy="0"/>
                <wp:effectExtent l="0" t="38100" r="9525" b="38100"/>
                <wp:wrapNone/>
                <wp:docPr id="73" name="直接连接符 73"/>
                <wp:cNvGraphicFramePr/>
                <a:graphic xmlns:a="http://schemas.openxmlformats.org/drawingml/2006/main">
                  <a:graphicData uri="http://schemas.microsoft.com/office/word/2010/wordprocessingShape">
                    <wps:wsp>
                      <wps:cNvCnPr/>
                      <wps:spPr>
                        <a:xfrm>
                          <a:off x="0" y="0"/>
                          <a:ext cx="466725" cy="0"/>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_x0000_s1026" o:spid="_x0000_s1026" o:spt="20" style="position:absolute;left:0pt;margin-left:185.8pt;margin-top:11.15pt;height:0pt;width:36.75pt;z-index:251782144;mso-width-relative:page;mso-height-relative:page;" filled="f" stroked="t" coordsize="21600,21600" o:gfxdata="UEsDBAoAAAAAAIdO4kAAAAAAAAAAAAAAAAAEAAAAZHJzL1BLAwQUAAAACACHTuJAUEx/T9oAAAAJ&#10;AQAADwAAAGRycy9kb3ducmV2LnhtbE2Py07DMBBF90j8gzVI7KjjtJQoxOkCqWxaqPpQBTs3HpKI&#10;eBzZThv+HiMWsJyZozvnFovRdOyMzreWJIhJAgypsrqlWsJhv7zLgPmgSKvOEkr4Qg+L8vqqULm2&#10;F9rieRdqFkPI50pCE0Kfc+6rBo3yE9sjxduHdUaFOLqaa6cuMdx0PE2SOTeqpfihUT0+NVh97gYj&#10;YbterrLjahgr9/4sXveb9cubz6S8vRHJI7CAY/iD4Uc/qkMZnU52IO1ZJ2H6IOYRlZCmU2ARmM3u&#10;BbDT74KXBf/foPwGUEsDBBQAAAAIAIdO4kBe2WsF4QEAAJsDAAAOAAAAZHJzL2Uyb0RvYy54bWyt&#10;U0uOEzEQ3SNxB8t70klgMkMrnVlMGDYIIgEHqNjubkv+yeVJJ5fgAkjsYMWS/dyG4RhTdjIJH7FB&#10;9KLadpVf1Xv9en65tYZtVETtXcMnozFnygkvtesa/v7d9ZMLzjCBk2C8Uw3fKeSXi8eP5kOo1dT3&#10;3kgVGYE4rIfQ8D6lUFcVil5ZwJEPylGy9dFCom3sKhlhIHRrqul4PKsGH2WIXihEOl3uk3xR8NtW&#10;ifSmbVElZhpOs6USY4nrHKvFHOouQui1OIwB/zCFBe2o6RFqCQnYTdR/QFktokffppHwtvJtq4Uq&#10;HIjNZPwbm7c9BFW4kDgYjjLh/4MVrzeryLRs+PlTzhxY+kZ3H799//D5x+0nindfvzDKkExDwJqq&#10;r9wqHnYYVjFz3rbR5jexYdsi7e4ordomJujw2Wx2Pj3jTDykqtO9EDG9VN6yvGi40S6Thho2rzBR&#10;Lyp9KMnHxrGh4c/PChyQZ1oDiZBtIBbounIXvdHyWhuTb2Ds1lcmsg1kF5QnMyLcX8pykyVgv68r&#10;qb0/egXyhZMs7QLJ48jIPI9gleTMKPJ9XhEg1Am0OVWmqMF15i/V1N44miILu5cyr9Ze7uiL3ISo&#10;u57UmJRJc4YcUGY+uDVb7Od9QTr9U4t7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UEx/T9oAAAAJ&#10;AQAADwAAAAAAAAABACAAAAAiAAAAZHJzL2Rvd25yZXYueG1sUEsBAhQAFAAAAAgAh07iQF7ZawXh&#10;AQAAmwMAAA4AAAAAAAAAAQAgAAAAKQEAAGRycy9lMm9Eb2MueG1sUEsFBgAAAAAGAAYAWQEAAHwF&#10;AAAAAA==&#10;">
                <v:fill on="f" focussize="0,0"/>
                <v:stroke color="#000000" joinstyle="round" endarrow="block"/>
                <v:imagedata o:title=""/>
                <o:lock v:ext="edit" aspectratio="f"/>
              </v:line>
            </w:pict>
          </mc:Fallback>
        </mc:AlternateContent>
      </w:r>
    </w:p>
    <w:p>
      <w:pPr>
        <w:spacing w:line="520" w:lineRule="exact"/>
        <w:jc w:val="center"/>
        <w:rPr>
          <w:b/>
          <w:color w:val="auto"/>
          <w:sz w:val="24"/>
        </w:rPr>
      </w:pPr>
    </w:p>
    <w:p>
      <w:pPr>
        <w:spacing w:line="520" w:lineRule="exact"/>
        <w:jc w:val="center"/>
        <w:rPr>
          <w:b/>
          <w:color w:val="auto"/>
          <w:sz w:val="24"/>
          <w:szCs w:val="24"/>
        </w:rPr>
      </w:pPr>
      <w:r>
        <w:rPr>
          <w:b/>
          <w:color w:val="auto"/>
          <w:sz w:val="24"/>
        </w:rPr>
        <w:t>图</w:t>
      </w:r>
      <w:r>
        <w:rPr>
          <w:rFonts w:hint="eastAsia"/>
          <w:b/>
          <w:color w:val="auto"/>
          <w:sz w:val="24"/>
          <w:lang w:val="en-US" w:eastAsia="zh-CN"/>
        </w:rPr>
        <w:t>3-</w:t>
      </w:r>
      <w:r>
        <w:rPr>
          <w:rFonts w:hint="eastAsia"/>
          <w:b/>
          <w:color w:val="auto"/>
          <w:sz w:val="24"/>
        </w:rPr>
        <w:t xml:space="preserve">2    </w:t>
      </w:r>
      <w:r>
        <w:rPr>
          <w:b/>
          <w:color w:val="auto"/>
          <w:sz w:val="24"/>
        </w:rPr>
        <w:t xml:space="preserve">项目水平衡图  </w:t>
      </w:r>
      <w:r>
        <w:rPr>
          <w:color w:val="auto"/>
          <w:sz w:val="24"/>
        </w:rPr>
        <w:t>单位：</w:t>
      </w:r>
      <w:r>
        <w:rPr>
          <w:rFonts w:hint="eastAsia"/>
          <w:color w:val="auto"/>
          <w:sz w:val="24"/>
          <w:lang w:val="en-US" w:eastAsia="zh-CN"/>
        </w:rPr>
        <w:t>t</w:t>
      </w:r>
      <w:r>
        <w:rPr>
          <w:color w:val="auto"/>
          <w:sz w:val="24"/>
        </w:rPr>
        <w:t>/</w:t>
      </w:r>
      <w:r>
        <w:rPr>
          <w:rFonts w:hint="eastAsia"/>
          <w:color w:val="auto"/>
          <w:sz w:val="24"/>
        </w:rPr>
        <w:t>d</w:t>
      </w:r>
    </w:p>
    <w:p>
      <w:pPr>
        <w:adjustRightInd w:val="0"/>
        <w:spacing w:line="500" w:lineRule="exact"/>
        <w:ind w:firstLine="480" w:firstLineChars="200"/>
        <w:rPr>
          <w:b/>
          <w:color w:val="auto"/>
          <w:sz w:val="24"/>
          <w:szCs w:val="24"/>
        </w:rPr>
      </w:pPr>
      <w:r>
        <w:rPr>
          <w:rFonts w:hint="eastAsia"/>
          <w:color w:val="auto"/>
          <w:sz w:val="24"/>
          <w:lang w:eastAsia="zh-CN"/>
        </w:rPr>
        <w:t>现有</w:t>
      </w:r>
      <w:r>
        <w:rPr>
          <w:color w:val="auto"/>
          <w:sz w:val="24"/>
        </w:rPr>
        <w:t>项目废水主要污染物产生情况见下表。</w:t>
      </w:r>
    </w:p>
    <w:p>
      <w:pPr>
        <w:pStyle w:val="2"/>
        <w:tabs>
          <w:tab w:val="left" w:pos="274"/>
        </w:tabs>
        <w:adjustRightInd w:val="0"/>
        <w:snapToGrid w:val="0"/>
        <w:spacing w:after="0" w:line="520" w:lineRule="exact"/>
        <w:ind w:right="-74" w:firstLine="482" w:firstLineChars="200"/>
        <w:jc w:val="center"/>
        <w:rPr>
          <w:b/>
          <w:color w:val="auto"/>
          <w:sz w:val="24"/>
          <w:szCs w:val="24"/>
        </w:rPr>
      </w:pPr>
    </w:p>
    <w:p>
      <w:pPr>
        <w:pStyle w:val="2"/>
        <w:tabs>
          <w:tab w:val="left" w:pos="274"/>
        </w:tabs>
        <w:adjustRightInd w:val="0"/>
        <w:snapToGrid w:val="0"/>
        <w:spacing w:after="0" w:line="520" w:lineRule="exact"/>
        <w:ind w:right="-74" w:firstLine="482" w:firstLineChars="200"/>
        <w:jc w:val="center"/>
        <w:rPr>
          <w:b/>
          <w:color w:val="auto"/>
          <w:sz w:val="24"/>
          <w:szCs w:val="24"/>
        </w:rPr>
      </w:pPr>
    </w:p>
    <w:p>
      <w:pPr>
        <w:pStyle w:val="2"/>
        <w:tabs>
          <w:tab w:val="left" w:pos="274"/>
        </w:tabs>
        <w:adjustRightInd w:val="0"/>
        <w:snapToGrid w:val="0"/>
        <w:spacing w:after="0" w:line="520" w:lineRule="exact"/>
        <w:ind w:right="-74" w:firstLine="482" w:firstLineChars="200"/>
        <w:jc w:val="center"/>
        <w:rPr>
          <w:color w:val="auto"/>
          <w:sz w:val="24"/>
          <w:szCs w:val="24"/>
        </w:rPr>
      </w:pPr>
      <w:r>
        <w:rPr>
          <w:b/>
          <w:color w:val="auto"/>
          <w:sz w:val="24"/>
          <w:szCs w:val="24"/>
        </w:rPr>
        <w:t>表</w:t>
      </w:r>
      <w:r>
        <w:rPr>
          <w:rFonts w:hint="eastAsia"/>
          <w:b/>
          <w:color w:val="auto"/>
          <w:sz w:val="24"/>
          <w:szCs w:val="24"/>
          <w:lang w:val="en-US" w:eastAsia="zh-CN"/>
        </w:rPr>
        <w:t xml:space="preserve">3-8  </w:t>
      </w:r>
      <w:r>
        <w:rPr>
          <w:b/>
          <w:color w:val="auto"/>
          <w:sz w:val="24"/>
          <w:szCs w:val="24"/>
        </w:rPr>
        <w:t>项目水污染物处理效果分析表</w:t>
      </w:r>
      <w:r>
        <w:rPr>
          <w:color w:val="auto"/>
          <w:sz w:val="24"/>
          <w:szCs w:val="24"/>
        </w:rPr>
        <w:t xml:space="preserve">    </w:t>
      </w:r>
      <w:r>
        <w:rPr>
          <w:color w:val="auto"/>
          <w:szCs w:val="21"/>
        </w:rPr>
        <w:t xml:space="preserve">       </w:t>
      </w:r>
      <w:r>
        <w:rPr>
          <w:b/>
          <w:color w:val="auto"/>
          <w:szCs w:val="21"/>
        </w:rPr>
        <w:t>单位： mg/L</w:t>
      </w:r>
    </w:p>
    <w:tbl>
      <w:tblPr>
        <w:tblStyle w:val="5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48"/>
        <w:gridCol w:w="1334"/>
        <w:gridCol w:w="1000"/>
        <w:gridCol w:w="1480"/>
        <w:gridCol w:w="1253"/>
        <w:gridCol w:w="1453"/>
        <w:gridCol w:w="12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548" w:type="dxa"/>
            <w:vMerge w:val="restart"/>
            <w:tcBorders>
              <w:tl2br w:val="nil"/>
              <w:tr2bl w:val="nil"/>
            </w:tcBorders>
            <w:noWrap w:val="0"/>
            <w:vAlign w:val="center"/>
          </w:tcPr>
          <w:p>
            <w:pPr>
              <w:adjustRightInd w:val="0"/>
              <w:snapToGrid w:val="0"/>
              <w:spacing w:line="360" w:lineRule="exact"/>
              <w:jc w:val="center"/>
              <w:rPr>
                <w:rFonts w:hint="eastAsia" w:hAnsi="宋体"/>
                <w:bCs/>
                <w:color w:val="auto"/>
                <w:szCs w:val="21"/>
                <w:lang w:eastAsia="zh-CN"/>
              </w:rPr>
            </w:pPr>
            <w:r>
              <w:rPr>
                <w:rFonts w:hint="eastAsia" w:hAnsi="宋体"/>
                <w:bCs/>
                <w:color w:val="auto"/>
                <w:szCs w:val="21"/>
                <w:lang w:eastAsia="zh-CN"/>
              </w:rPr>
              <w:t>生活污水</w:t>
            </w:r>
          </w:p>
        </w:tc>
        <w:tc>
          <w:tcPr>
            <w:tcW w:w="1334" w:type="dxa"/>
            <w:tcBorders>
              <w:tl2br w:val="nil"/>
              <w:tr2bl w:val="nil"/>
            </w:tcBorders>
            <w:noWrap w:val="0"/>
            <w:vAlign w:val="center"/>
          </w:tcPr>
          <w:p>
            <w:pPr>
              <w:adjustRightInd w:val="0"/>
              <w:snapToGrid w:val="0"/>
              <w:spacing w:line="360" w:lineRule="exact"/>
              <w:jc w:val="center"/>
              <w:rPr>
                <w:rFonts w:hAnsi="宋体"/>
                <w:bCs/>
                <w:color w:val="auto"/>
                <w:szCs w:val="21"/>
              </w:rPr>
            </w:pPr>
            <w:r>
              <w:rPr>
                <w:rFonts w:hAnsi="宋体"/>
                <w:bCs/>
                <w:color w:val="auto"/>
                <w:szCs w:val="21"/>
              </w:rPr>
              <w:t>污染物名称</w:t>
            </w:r>
          </w:p>
          <w:p>
            <w:pPr>
              <w:adjustRightInd w:val="0"/>
              <w:snapToGrid w:val="0"/>
              <w:spacing w:line="360" w:lineRule="exact"/>
              <w:jc w:val="center"/>
              <w:rPr>
                <w:rFonts w:hAnsi="宋体"/>
                <w:bCs/>
                <w:color w:val="auto"/>
                <w:szCs w:val="21"/>
              </w:rPr>
            </w:pPr>
            <w:r>
              <w:rPr>
                <w:rFonts w:hAnsi="宋体"/>
                <w:bCs/>
                <w:color w:val="auto"/>
                <w:szCs w:val="21"/>
              </w:rPr>
              <w:t>浓度</w:t>
            </w:r>
          </w:p>
        </w:tc>
        <w:tc>
          <w:tcPr>
            <w:tcW w:w="1000" w:type="dxa"/>
            <w:tcBorders>
              <w:tl2br w:val="nil"/>
              <w:tr2bl w:val="nil"/>
            </w:tcBorders>
            <w:noWrap w:val="0"/>
            <w:vAlign w:val="center"/>
          </w:tcPr>
          <w:p>
            <w:pPr>
              <w:adjustRightInd w:val="0"/>
              <w:snapToGrid w:val="0"/>
              <w:spacing w:line="360" w:lineRule="exact"/>
              <w:jc w:val="center"/>
              <w:rPr>
                <w:rFonts w:hAnsi="宋体"/>
                <w:bCs/>
                <w:color w:val="auto"/>
                <w:szCs w:val="21"/>
              </w:rPr>
            </w:pPr>
            <w:r>
              <w:rPr>
                <w:rFonts w:hAnsi="宋体"/>
                <w:bCs/>
                <w:color w:val="auto"/>
                <w:szCs w:val="21"/>
              </w:rPr>
              <w:t>废水量</w:t>
            </w:r>
          </w:p>
        </w:tc>
        <w:tc>
          <w:tcPr>
            <w:tcW w:w="1480" w:type="dxa"/>
            <w:tcBorders>
              <w:tl2br w:val="nil"/>
              <w:tr2bl w:val="nil"/>
            </w:tcBorders>
            <w:noWrap w:val="0"/>
            <w:vAlign w:val="center"/>
          </w:tcPr>
          <w:p>
            <w:pPr>
              <w:adjustRightInd w:val="0"/>
              <w:snapToGrid w:val="0"/>
              <w:spacing w:line="360" w:lineRule="exact"/>
              <w:jc w:val="center"/>
              <w:rPr>
                <w:rFonts w:hint="eastAsia" w:hAnsi="宋体"/>
                <w:bCs/>
                <w:color w:val="auto"/>
                <w:szCs w:val="21"/>
              </w:rPr>
            </w:pPr>
            <w:r>
              <w:rPr>
                <w:rFonts w:hAnsi="宋体"/>
                <w:bCs/>
                <w:color w:val="auto"/>
                <w:szCs w:val="21"/>
              </w:rPr>
              <w:t>COD</w:t>
            </w:r>
            <w:r>
              <w:rPr>
                <w:rFonts w:hint="eastAsia" w:hAnsi="宋体"/>
                <w:bCs/>
                <w:color w:val="auto"/>
                <w:szCs w:val="21"/>
                <w:lang w:val="en-US" w:eastAsia="zh-CN"/>
              </w:rPr>
              <w:t>cr</w:t>
            </w:r>
          </w:p>
        </w:tc>
        <w:tc>
          <w:tcPr>
            <w:tcW w:w="1253" w:type="dxa"/>
            <w:tcBorders>
              <w:tl2br w:val="nil"/>
              <w:tr2bl w:val="nil"/>
            </w:tcBorders>
            <w:noWrap w:val="0"/>
            <w:vAlign w:val="center"/>
          </w:tcPr>
          <w:p>
            <w:pPr>
              <w:adjustRightInd w:val="0"/>
              <w:snapToGrid w:val="0"/>
              <w:spacing w:line="360" w:lineRule="exact"/>
              <w:jc w:val="center"/>
              <w:rPr>
                <w:rFonts w:hint="eastAsia" w:hAnsi="宋体"/>
                <w:bCs/>
                <w:color w:val="auto"/>
                <w:szCs w:val="21"/>
              </w:rPr>
            </w:pPr>
            <w:r>
              <w:rPr>
                <w:rFonts w:hAnsi="宋体"/>
                <w:bCs/>
                <w:color w:val="auto"/>
                <w:szCs w:val="21"/>
              </w:rPr>
              <w:t>SS</w:t>
            </w:r>
          </w:p>
        </w:tc>
        <w:tc>
          <w:tcPr>
            <w:tcW w:w="1453" w:type="dxa"/>
            <w:tcBorders>
              <w:tl2br w:val="nil"/>
              <w:tr2bl w:val="nil"/>
            </w:tcBorders>
            <w:noWrap w:val="0"/>
            <w:vAlign w:val="center"/>
          </w:tcPr>
          <w:p>
            <w:pPr>
              <w:adjustRightInd w:val="0"/>
              <w:snapToGrid w:val="0"/>
              <w:spacing w:line="360" w:lineRule="exact"/>
              <w:jc w:val="center"/>
              <w:rPr>
                <w:rFonts w:hint="eastAsia" w:hAnsi="宋体"/>
                <w:bCs/>
                <w:color w:val="auto"/>
                <w:szCs w:val="21"/>
              </w:rPr>
            </w:pPr>
            <w:r>
              <w:rPr>
                <w:rFonts w:hint="eastAsia" w:hAnsi="宋体"/>
                <w:bCs/>
                <w:color w:val="auto"/>
                <w:szCs w:val="21"/>
                <w:lang w:val="en-US" w:eastAsia="zh-CN"/>
              </w:rPr>
              <w:t>BOD5</w:t>
            </w:r>
          </w:p>
        </w:tc>
        <w:tc>
          <w:tcPr>
            <w:tcW w:w="1215" w:type="dxa"/>
            <w:tcBorders>
              <w:tl2br w:val="nil"/>
              <w:tr2bl w:val="nil"/>
            </w:tcBorders>
            <w:noWrap w:val="0"/>
            <w:vAlign w:val="center"/>
          </w:tcPr>
          <w:p>
            <w:pPr>
              <w:adjustRightInd w:val="0"/>
              <w:snapToGrid w:val="0"/>
              <w:spacing w:line="360" w:lineRule="exact"/>
              <w:jc w:val="center"/>
              <w:rPr>
                <w:rFonts w:hint="eastAsia" w:hAnsi="宋体"/>
                <w:bCs/>
                <w:color w:val="auto"/>
                <w:szCs w:val="21"/>
                <w:lang w:val="en-US" w:eastAsia="zh-CN"/>
              </w:rPr>
            </w:pPr>
            <w:r>
              <w:rPr>
                <w:rFonts w:hAnsi="宋体"/>
                <w:bCs/>
                <w:color w:val="auto"/>
                <w:szCs w:val="21"/>
              </w:rPr>
              <w:t>氨氮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548" w:type="dxa"/>
            <w:vMerge w:val="continue"/>
            <w:tcBorders>
              <w:tl2br w:val="nil"/>
              <w:tr2bl w:val="nil"/>
            </w:tcBorders>
            <w:noWrap w:val="0"/>
            <w:vAlign w:val="center"/>
          </w:tcPr>
          <w:p>
            <w:pPr>
              <w:adjustRightInd w:val="0"/>
              <w:snapToGrid w:val="0"/>
              <w:spacing w:line="360" w:lineRule="exact"/>
              <w:jc w:val="center"/>
              <w:rPr>
                <w:rFonts w:hAnsi="宋体"/>
                <w:bCs/>
                <w:color w:val="auto"/>
                <w:szCs w:val="21"/>
              </w:rPr>
            </w:pPr>
          </w:p>
        </w:tc>
        <w:tc>
          <w:tcPr>
            <w:tcW w:w="1334" w:type="dxa"/>
            <w:tcBorders>
              <w:tl2br w:val="nil"/>
              <w:tr2bl w:val="nil"/>
            </w:tcBorders>
            <w:noWrap w:val="0"/>
            <w:vAlign w:val="center"/>
          </w:tcPr>
          <w:p>
            <w:pPr>
              <w:adjustRightInd w:val="0"/>
              <w:snapToGrid w:val="0"/>
              <w:spacing w:line="360" w:lineRule="exact"/>
              <w:jc w:val="center"/>
              <w:rPr>
                <w:rFonts w:hAnsi="宋体"/>
                <w:bCs/>
                <w:color w:val="auto"/>
                <w:szCs w:val="21"/>
              </w:rPr>
            </w:pPr>
            <w:r>
              <w:rPr>
                <w:rFonts w:hAnsi="宋体"/>
                <w:bCs/>
                <w:color w:val="auto"/>
                <w:szCs w:val="21"/>
              </w:rPr>
              <w:t>产生浓度mg/l</w:t>
            </w:r>
          </w:p>
        </w:tc>
        <w:tc>
          <w:tcPr>
            <w:tcW w:w="1000" w:type="dxa"/>
            <w:tcBorders>
              <w:tl2br w:val="nil"/>
              <w:tr2bl w:val="nil"/>
            </w:tcBorders>
            <w:noWrap w:val="0"/>
            <w:vAlign w:val="center"/>
          </w:tcPr>
          <w:p>
            <w:pPr>
              <w:adjustRightInd w:val="0"/>
              <w:snapToGrid w:val="0"/>
              <w:spacing w:line="360" w:lineRule="exact"/>
              <w:jc w:val="center"/>
              <w:rPr>
                <w:rFonts w:hAnsi="宋体"/>
                <w:bCs/>
                <w:color w:val="auto"/>
                <w:szCs w:val="21"/>
              </w:rPr>
            </w:pPr>
            <w:r>
              <w:rPr>
                <w:rFonts w:hAnsi="宋体"/>
                <w:bCs/>
                <w:color w:val="auto"/>
                <w:szCs w:val="21"/>
              </w:rPr>
              <w:t>/</w:t>
            </w:r>
          </w:p>
        </w:tc>
        <w:tc>
          <w:tcPr>
            <w:tcW w:w="1480" w:type="dxa"/>
            <w:tcBorders>
              <w:tl2br w:val="nil"/>
              <w:tr2bl w:val="nil"/>
            </w:tcBorders>
            <w:noWrap w:val="0"/>
            <w:vAlign w:val="center"/>
          </w:tcPr>
          <w:p>
            <w:pPr>
              <w:adjustRightInd w:val="0"/>
              <w:snapToGrid w:val="0"/>
              <w:spacing w:line="360" w:lineRule="exact"/>
              <w:jc w:val="center"/>
              <w:rPr>
                <w:rFonts w:hint="eastAsia" w:hAnsi="宋体"/>
                <w:bCs/>
                <w:color w:val="auto"/>
                <w:szCs w:val="21"/>
                <w:lang w:val="en-US" w:eastAsia="zh-CN"/>
              </w:rPr>
            </w:pPr>
            <w:r>
              <w:rPr>
                <w:rFonts w:hint="default" w:hAnsi="宋体"/>
                <w:bCs/>
                <w:color w:val="auto"/>
                <w:szCs w:val="21"/>
                <w:lang w:val="en-US" w:eastAsia="zh-CN"/>
              </w:rPr>
              <w:t>300</w:t>
            </w:r>
          </w:p>
        </w:tc>
        <w:tc>
          <w:tcPr>
            <w:tcW w:w="1253" w:type="dxa"/>
            <w:tcBorders>
              <w:tl2br w:val="nil"/>
              <w:tr2bl w:val="nil"/>
            </w:tcBorders>
            <w:noWrap w:val="0"/>
            <w:vAlign w:val="center"/>
          </w:tcPr>
          <w:p>
            <w:pPr>
              <w:adjustRightInd w:val="0"/>
              <w:snapToGrid w:val="0"/>
              <w:spacing w:line="360" w:lineRule="exact"/>
              <w:jc w:val="center"/>
              <w:rPr>
                <w:rFonts w:hint="eastAsia" w:hAnsi="宋体"/>
                <w:bCs/>
                <w:color w:val="auto"/>
                <w:szCs w:val="21"/>
                <w:lang w:val="en-US" w:eastAsia="zh-CN"/>
              </w:rPr>
            </w:pPr>
            <w:r>
              <w:rPr>
                <w:rFonts w:hint="default" w:hAnsi="宋体"/>
                <w:bCs/>
                <w:color w:val="auto"/>
                <w:szCs w:val="21"/>
                <w:lang w:val="en-US" w:eastAsia="zh-CN"/>
              </w:rPr>
              <w:t>250</w:t>
            </w:r>
          </w:p>
        </w:tc>
        <w:tc>
          <w:tcPr>
            <w:tcW w:w="1453" w:type="dxa"/>
            <w:tcBorders>
              <w:tl2br w:val="nil"/>
              <w:tr2bl w:val="nil"/>
            </w:tcBorders>
            <w:noWrap w:val="0"/>
            <w:vAlign w:val="center"/>
          </w:tcPr>
          <w:p>
            <w:pPr>
              <w:adjustRightInd w:val="0"/>
              <w:snapToGrid w:val="0"/>
              <w:spacing w:line="360" w:lineRule="exact"/>
              <w:jc w:val="center"/>
              <w:rPr>
                <w:rFonts w:hint="eastAsia" w:hAnsi="宋体"/>
                <w:bCs/>
                <w:color w:val="auto"/>
                <w:szCs w:val="21"/>
                <w:lang w:val="en-US" w:eastAsia="zh-CN"/>
              </w:rPr>
            </w:pPr>
            <w:r>
              <w:rPr>
                <w:rFonts w:hint="default" w:hAnsi="宋体"/>
                <w:bCs/>
                <w:color w:val="auto"/>
                <w:szCs w:val="21"/>
                <w:lang w:val="en-US" w:eastAsia="zh-CN"/>
              </w:rPr>
              <w:t>200</w:t>
            </w:r>
          </w:p>
        </w:tc>
        <w:tc>
          <w:tcPr>
            <w:tcW w:w="1215" w:type="dxa"/>
            <w:tcBorders>
              <w:tl2br w:val="nil"/>
              <w:tr2bl w:val="nil"/>
            </w:tcBorders>
            <w:noWrap w:val="0"/>
            <w:vAlign w:val="center"/>
          </w:tcPr>
          <w:p>
            <w:pPr>
              <w:adjustRightInd w:val="0"/>
              <w:snapToGrid w:val="0"/>
              <w:spacing w:line="360" w:lineRule="exact"/>
              <w:jc w:val="center"/>
              <w:rPr>
                <w:rFonts w:hint="eastAsia" w:hAnsi="宋体"/>
                <w:bCs/>
                <w:color w:val="auto"/>
                <w:szCs w:val="21"/>
                <w:lang w:val="en-US" w:eastAsia="zh-CN"/>
              </w:rPr>
            </w:pPr>
            <w:r>
              <w:rPr>
                <w:rFonts w:hint="default" w:hAnsi="宋体"/>
                <w:bCs/>
                <w:color w:val="auto"/>
                <w:szCs w:val="21"/>
                <w:lang w:val="en-US" w:eastAsia="zh-CN"/>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548" w:type="dxa"/>
            <w:vMerge w:val="continue"/>
            <w:tcBorders>
              <w:tl2br w:val="nil"/>
              <w:tr2bl w:val="nil"/>
            </w:tcBorders>
            <w:noWrap w:val="0"/>
            <w:vAlign w:val="center"/>
          </w:tcPr>
          <w:p>
            <w:pPr>
              <w:adjustRightInd w:val="0"/>
              <w:snapToGrid w:val="0"/>
              <w:spacing w:line="360" w:lineRule="exact"/>
              <w:jc w:val="center"/>
              <w:rPr>
                <w:rFonts w:hAnsi="宋体"/>
                <w:bCs/>
                <w:color w:val="auto"/>
                <w:szCs w:val="21"/>
              </w:rPr>
            </w:pPr>
          </w:p>
        </w:tc>
        <w:tc>
          <w:tcPr>
            <w:tcW w:w="1334" w:type="dxa"/>
            <w:tcBorders>
              <w:tl2br w:val="nil"/>
              <w:tr2bl w:val="nil"/>
            </w:tcBorders>
            <w:noWrap w:val="0"/>
            <w:vAlign w:val="center"/>
          </w:tcPr>
          <w:p>
            <w:pPr>
              <w:adjustRightInd w:val="0"/>
              <w:snapToGrid w:val="0"/>
              <w:spacing w:line="360" w:lineRule="exact"/>
              <w:jc w:val="center"/>
              <w:rPr>
                <w:rFonts w:hAnsi="宋体"/>
                <w:bCs/>
                <w:color w:val="auto"/>
                <w:szCs w:val="21"/>
              </w:rPr>
            </w:pPr>
            <w:r>
              <w:rPr>
                <w:rFonts w:hAnsi="宋体"/>
                <w:bCs/>
                <w:color w:val="auto"/>
                <w:szCs w:val="21"/>
              </w:rPr>
              <w:t>产生量（t/a)</w:t>
            </w:r>
          </w:p>
        </w:tc>
        <w:tc>
          <w:tcPr>
            <w:tcW w:w="1000" w:type="dxa"/>
            <w:tcBorders>
              <w:tl2br w:val="nil"/>
              <w:tr2bl w:val="nil"/>
            </w:tcBorders>
            <w:noWrap w:val="0"/>
            <w:vAlign w:val="center"/>
          </w:tcPr>
          <w:p>
            <w:pPr>
              <w:adjustRightInd w:val="0"/>
              <w:snapToGrid w:val="0"/>
              <w:spacing w:line="360" w:lineRule="exact"/>
              <w:jc w:val="center"/>
              <w:rPr>
                <w:rFonts w:hint="eastAsia" w:hAnsi="宋体"/>
                <w:bCs/>
                <w:color w:val="auto"/>
                <w:szCs w:val="21"/>
                <w:lang w:val="en-US" w:eastAsia="zh-CN"/>
              </w:rPr>
            </w:pPr>
            <w:r>
              <w:rPr>
                <w:rFonts w:hint="eastAsia" w:hAnsi="宋体"/>
                <w:bCs/>
                <w:color w:val="auto"/>
                <w:szCs w:val="21"/>
                <w:lang w:val="en-US" w:eastAsia="zh-CN"/>
              </w:rPr>
              <w:t>600</w:t>
            </w:r>
          </w:p>
        </w:tc>
        <w:tc>
          <w:tcPr>
            <w:tcW w:w="1480" w:type="dxa"/>
            <w:tcBorders>
              <w:tl2br w:val="nil"/>
              <w:tr2bl w:val="nil"/>
            </w:tcBorders>
            <w:noWrap w:val="0"/>
            <w:vAlign w:val="center"/>
          </w:tcPr>
          <w:p>
            <w:pPr>
              <w:adjustRightInd w:val="0"/>
              <w:snapToGrid w:val="0"/>
              <w:spacing w:line="360" w:lineRule="exact"/>
              <w:jc w:val="center"/>
              <w:rPr>
                <w:rFonts w:hint="eastAsia" w:hAnsi="宋体"/>
                <w:bCs/>
                <w:color w:val="auto"/>
                <w:szCs w:val="21"/>
                <w:lang w:val="en-US" w:eastAsia="zh-CN"/>
              </w:rPr>
            </w:pPr>
            <w:r>
              <w:rPr>
                <w:rFonts w:hint="default" w:hAnsi="宋体"/>
                <w:bCs/>
                <w:color w:val="auto"/>
                <w:szCs w:val="21"/>
                <w:lang w:val="en-US" w:eastAsia="zh-CN"/>
              </w:rPr>
              <w:t>0.18</w:t>
            </w:r>
          </w:p>
        </w:tc>
        <w:tc>
          <w:tcPr>
            <w:tcW w:w="1253" w:type="dxa"/>
            <w:tcBorders>
              <w:tl2br w:val="nil"/>
              <w:tr2bl w:val="nil"/>
            </w:tcBorders>
            <w:noWrap w:val="0"/>
            <w:vAlign w:val="center"/>
          </w:tcPr>
          <w:p>
            <w:pPr>
              <w:adjustRightInd w:val="0"/>
              <w:snapToGrid w:val="0"/>
              <w:spacing w:line="360" w:lineRule="exact"/>
              <w:jc w:val="center"/>
              <w:rPr>
                <w:rFonts w:hint="eastAsia" w:hAnsi="宋体"/>
                <w:bCs/>
                <w:color w:val="auto"/>
                <w:szCs w:val="21"/>
                <w:lang w:val="en-US" w:eastAsia="zh-CN"/>
              </w:rPr>
            </w:pPr>
            <w:r>
              <w:rPr>
                <w:rFonts w:hint="default" w:hAnsi="宋体"/>
                <w:bCs/>
                <w:color w:val="auto"/>
                <w:szCs w:val="21"/>
                <w:lang w:val="en-US" w:eastAsia="zh-CN"/>
              </w:rPr>
              <w:t>0.15</w:t>
            </w:r>
          </w:p>
        </w:tc>
        <w:tc>
          <w:tcPr>
            <w:tcW w:w="1453" w:type="dxa"/>
            <w:tcBorders>
              <w:tl2br w:val="nil"/>
              <w:tr2bl w:val="nil"/>
            </w:tcBorders>
            <w:noWrap w:val="0"/>
            <w:vAlign w:val="center"/>
          </w:tcPr>
          <w:p>
            <w:pPr>
              <w:adjustRightInd w:val="0"/>
              <w:snapToGrid w:val="0"/>
              <w:spacing w:line="360" w:lineRule="exact"/>
              <w:jc w:val="center"/>
              <w:rPr>
                <w:rFonts w:hint="eastAsia" w:hAnsi="宋体"/>
                <w:bCs/>
                <w:color w:val="auto"/>
                <w:szCs w:val="21"/>
                <w:lang w:val="en-US" w:eastAsia="zh-CN"/>
              </w:rPr>
            </w:pPr>
            <w:r>
              <w:rPr>
                <w:rFonts w:hint="default" w:hAnsi="宋体"/>
                <w:bCs/>
                <w:color w:val="auto"/>
                <w:szCs w:val="21"/>
                <w:lang w:val="en-US" w:eastAsia="zh-CN"/>
              </w:rPr>
              <w:t>0.12</w:t>
            </w:r>
          </w:p>
        </w:tc>
        <w:tc>
          <w:tcPr>
            <w:tcW w:w="1215" w:type="dxa"/>
            <w:tcBorders>
              <w:tl2br w:val="nil"/>
              <w:tr2bl w:val="nil"/>
            </w:tcBorders>
            <w:noWrap w:val="0"/>
            <w:vAlign w:val="center"/>
          </w:tcPr>
          <w:p>
            <w:pPr>
              <w:adjustRightInd w:val="0"/>
              <w:snapToGrid w:val="0"/>
              <w:spacing w:line="360" w:lineRule="exact"/>
              <w:jc w:val="center"/>
              <w:rPr>
                <w:rFonts w:hint="eastAsia" w:hAnsi="宋体"/>
                <w:bCs/>
                <w:color w:val="auto"/>
                <w:szCs w:val="21"/>
                <w:lang w:val="en-US" w:eastAsia="zh-CN"/>
              </w:rPr>
            </w:pPr>
            <w:r>
              <w:rPr>
                <w:rFonts w:hint="default" w:hAnsi="宋体"/>
                <w:bCs/>
                <w:color w:val="auto"/>
                <w:szCs w:val="21"/>
                <w:lang w:val="en-US" w:eastAsia="zh-CN"/>
              </w:rPr>
              <w:t>0.018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548" w:type="dxa"/>
            <w:vMerge w:val="continue"/>
            <w:tcBorders>
              <w:tl2br w:val="nil"/>
              <w:tr2bl w:val="nil"/>
            </w:tcBorders>
            <w:noWrap w:val="0"/>
            <w:vAlign w:val="center"/>
          </w:tcPr>
          <w:p>
            <w:pPr>
              <w:adjustRightInd w:val="0"/>
              <w:snapToGrid w:val="0"/>
              <w:spacing w:line="360" w:lineRule="exact"/>
              <w:jc w:val="center"/>
              <w:rPr>
                <w:rFonts w:hAnsi="宋体"/>
                <w:bCs/>
                <w:color w:val="auto"/>
                <w:szCs w:val="21"/>
              </w:rPr>
            </w:pPr>
          </w:p>
        </w:tc>
        <w:tc>
          <w:tcPr>
            <w:tcW w:w="1334" w:type="dxa"/>
            <w:tcBorders>
              <w:tl2br w:val="nil"/>
              <w:tr2bl w:val="nil"/>
            </w:tcBorders>
            <w:noWrap w:val="0"/>
            <w:vAlign w:val="center"/>
          </w:tcPr>
          <w:p>
            <w:pPr>
              <w:adjustRightInd w:val="0"/>
              <w:snapToGrid w:val="0"/>
              <w:spacing w:line="360" w:lineRule="exact"/>
              <w:jc w:val="center"/>
              <w:rPr>
                <w:rFonts w:hAnsi="宋体"/>
                <w:bCs/>
                <w:color w:val="auto"/>
                <w:szCs w:val="21"/>
              </w:rPr>
            </w:pPr>
            <w:r>
              <w:rPr>
                <w:rFonts w:hAnsi="宋体"/>
                <w:bCs/>
                <w:color w:val="auto"/>
                <w:szCs w:val="21"/>
              </w:rPr>
              <w:t>排放浓度mg/l</w:t>
            </w:r>
          </w:p>
        </w:tc>
        <w:tc>
          <w:tcPr>
            <w:tcW w:w="1000" w:type="dxa"/>
            <w:tcBorders>
              <w:tl2br w:val="nil"/>
              <w:tr2bl w:val="nil"/>
            </w:tcBorders>
            <w:noWrap w:val="0"/>
            <w:vAlign w:val="center"/>
          </w:tcPr>
          <w:p>
            <w:pPr>
              <w:adjustRightInd w:val="0"/>
              <w:snapToGrid w:val="0"/>
              <w:spacing w:line="360" w:lineRule="exact"/>
              <w:jc w:val="center"/>
              <w:rPr>
                <w:rFonts w:hAnsi="宋体"/>
                <w:bCs/>
                <w:color w:val="auto"/>
                <w:szCs w:val="21"/>
              </w:rPr>
            </w:pPr>
            <w:r>
              <w:rPr>
                <w:rFonts w:hAnsi="宋体"/>
                <w:bCs/>
                <w:color w:val="auto"/>
                <w:szCs w:val="21"/>
              </w:rPr>
              <w:t>/</w:t>
            </w:r>
          </w:p>
        </w:tc>
        <w:tc>
          <w:tcPr>
            <w:tcW w:w="1480" w:type="dxa"/>
            <w:tcBorders>
              <w:tl2br w:val="nil"/>
              <w:tr2bl w:val="nil"/>
            </w:tcBorders>
            <w:noWrap w:val="0"/>
            <w:vAlign w:val="center"/>
          </w:tcPr>
          <w:p>
            <w:pPr>
              <w:adjustRightInd w:val="0"/>
              <w:snapToGrid w:val="0"/>
              <w:spacing w:line="360" w:lineRule="exact"/>
              <w:jc w:val="center"/>
              <w:rPr>
                <w:rFonts w:hint="eastAsia" w:hAnsi="宋体"/>
                <w:bCs/>
                <w:color w:val="auto"/>
                <w:szCs w:val="21"/>
                <w:lang w:val="en-US" w:eastAsia="zh-CN"/>
              </w:rPr>
            </w:pPr>
            <w:r>
              <w:rPr>
                <w:rFonts w:hint="eastAsia" w:hAnsi="宋体"/>
                <w:bCs/>
                <w:color w:val="auto"/>
                <w:szCs w:val="21"/>
                <w:lang w:val="en-US" w:eastAsia="zh-CN"/>
              </w:rPr>
              <w:t>100</w:t>
            </w:r>
          </w:p>
        </w:tc>
        <w:tc>
          <w:tcPr>
            <w:tcW w:w="1253" w:type="dxa"/>
            <w:tcBorders>
              <w:tl2br w:val="nil"/>
              <w:tr2bl w:val="nil"/>
            </w:tcBorders>
            <w:noWrap w:val="0"/>
            <w:vAlign w:val="center"/>
          </w:tcPr>
          <w:p>
            <w:pPr>
              <w:adjustRightInd w:val="0"/>
              <w:snapToGrid w:val="0"/>
              <w:spacing w:line="360" w:lineRule="exact"/>
              <w:jc w:val="center"/>
              <w:rPr>
                <w:rFonts w:hint="eastAsia" w:hAnsi="宋体"/>
                <w:bCs/>
                <w:color w:val="auto"/>
                <w:szCs w:val="21"/>
                <w:lang w:val="en-US" w:eastAsia="zh-CN"/>
              </w:rPr>
            </w:pPr>
            <w:r>
              <w:rPr>
                <w:rFonts w:hint="eastAsia" w:hAnsi="宋体"/>
                <w:bCs/>
                <w:color w:val="auto"/>
                <w:szCs w:val="21"/>
                <w:lang w:val="en-US" w:eastAsia="zh-CN"/>
              </w:rPr>
              <w:t>70</w:t>
            </w:r>
          </w:p>
        </w:tc>
        <w:tc>
          <w:tcPr>
            <w:tcW w:w="1453" w:type="dxa"/>
            <w:tcBorders>
              <w:tl2br w:val="nil"/>
              <w:tr2bl w:val="nil"/>
            </w:tcBorders>
            <w:noWrap w:val="0"/>
            <w:vAlign w:val="center"/>
          </w:tcPr>
          <w:p>
            <w:pPr>
              <w:adjustRightInd w:val="0"/>
              <w:snapToGrid w:val="0"/>
              <w:spacing w:line="360" w:lineRule="exact"/>
              <w:jc w:val="center"/>
              <w:rPr>
                <w:rFonts w:hint="eastAsia" w:hAnsi="宋体"/>
                <w:bCs/>
                <w:color w:val="auto"/>
                <w:szCs w:val="21"/>
                <w:lang w:val="en-US" w:eastAsia="zh-CN"/>
              </w:rPr>
            </w:pPr>
            <w:r>
              <w:rPr>
                <w:rFonts w:hint="eastAsia" w:hAnsi="宋体"/>
                <w:bCs/>
                <w:color w:val="auto"/>
                <w:szCs w:val="21"/>
                <w:lang w:val="en-US" w:eastAsia="zh-CN"/>
              </w:rPr>
              <w:t>15</w:t>
            </w:r>
          </w:p>
        </w:tc>
        <w:tc>
          <w:tcPr>
            <w:tcW w:w="1215" w:type="dxa"/>
            <w:tcBorders>
              <w:tl2br w:val="nil"/>
              <w:tr2bl w:val="nil"/>
            </w:tcBorders>
            <w:noWrap w:val="0"/>
            <w:vAlign w:val="center"/>
          </w:tcPr>
          <w:p>
            <w:pPr>
              <w:adjustRightInd w:val="0"/>
              <w:snapToGrid w:val="0"/>
              <w:spacing w:line="360" w:lineRule="exact"/>
              <w:jc w:val="center"/>
              <w:rPr>
                <w:rFonts w:hint="eastAsia" w:hAnsi="宋体"/>
                <w:bCs/>
                <w:color w:val="auto"/>
                <w:szCs w:val="21"/>
                <w:lang w:val="en-US" w:eastAsia="zh-CN"/>
              </w:rPr>
            </w:pPr>
            <w:r>
              <w:rPr>
                <w:rFonts w:hint="eastAsia" w:hAnsi="宋体"/>
                <w:bCs/>
                <w:color w:val="auto"/>
                <w:szCs w:val="21"/>
                <w:lang w:val="en-US" w:eastAsia="zh-CN"/>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548" w:type="dxa"/>
            <w:vMerge w:val="continue"/>
            <w:tcBorders>
              <w:tl2br w:val="nil"/>
              <w:tr2bl w:val="nil"/>
            </w:tcBorders>
            <w:noWrap w:val="0"/>
            <w:vAlign w:val="center"/>
          </w:tcPr>
          <w:p>
            <w:pPr>
              <w:adjustRightInd w:val="0"/>
              <w:snapToGrid w:val="0"/>
              <w:spacing w:line="360" w:lineRule="exact"/>
              <w:jc w:val="center"/>
              <w:rPr>
                <w:rFonts w:hAnsi="宋体"/>
                <w:bCs/>
                <w:color w:val="auto"/>
                <w:szCs w:val="21"/>
              </w:rPr>
            </w:pPr>
          </w:p>
        </w:tc>
        <w:tc>
          <w:tcPr>
            <w:tcW w:w="1334" w:type="dxa"/>
            <w:tcBorders>
              <w:tl2br w:val="nil"/>
              <w:tr2bl w:val="nil"/>
            </w:tcBorders>
            <w:noWrap w:val="0"/>
            <w:vAlign w:val="center"/>
          </w:tcPr>
          <w:p>
            <w:pPr>
              <w:adjustRightInd w:val="0"/>
              <w:snapToGrid w:val="0"/>
              <w:spacing w:line="360" w:lineRule="exact"/>
              <w:jc w:val="center"/>
              <w:rPr>
                <w:rFonts w:hAnsi="宋体"/>
                <w:bCs/>
                <w:color w:val="auto"/>
                <w:szCs w:val="21"/>
              </w:rPr>
            </w:pPr>
            <w:r>
              <w:rPr>
                <w:rFonts w:hAnsi="宋体"/>
                <w:bCs/>
                <w:color w:val="auto"/>
                <w:szCs w:val="21"/>
              </w:rPr>
              <w:t>排放量（t/a)</w:t>
            </w:r>
          </w:p>
        </w:tc>
        <w:tc>
          <w:tcPr>
            <w:tcW w:w="1000" w:type="dxa"/>
            <w:tcBorders>
              <w:tl2br w:val="nil"/>
              <w:tr2bl w:val="nil"/>
            </w:tcBorders>
            <w:noWrap w:val="0"/>
            <w:vAlign w:val="center"/>
          </w:tcPr>
          <w:p>
            <w:pPr>
              <w:adjustRightInd w:val="0"/>
              <w:snapToGrid w:val="0"/>
              <w:spacing w:line="360" w:lineRule="exact"/>
              <w:jc w:val="center"/>
              <w:rPr>
                <w:rFonts w:hint="eastAsia" w:hAnsi="宋体"/>
                <w:bCs/>
                <w:color w:val="auto"/>
                <w:szCs w:val="21"/>
                <w:lang w:val="en-US" w:eastAsia="zh-CN"/>
              </w:rPr>
            </w:pPr>
            <w:r>
              <w:rPr>
                <w:rFonts w:hint="eastAsia" w:hAnsi="宋体"/>
                <w:bCs/>
                <w:color w:val="auto"/>
                <w:szCs w:val="21"/>
                <w:lang w:val="en-US" w:eastAsia="zh-CN"/>
              </w:rPr>
              <w:t>600</w:t>
            </w:r>
          </w:p>
        </w:tc>
        <w:tc>
          <w:tcPr>
            <w:tcW w:w="1480" w:type="dxa"/>
            <w:tcBorders>
              <w:tl2br w:val="nil"/>
              <w:tr2bl w:val="nil"/>
            </w:tcBorders>
            <w:noWrap w:val="0"/>
            <w:vAlign w:val="center"/>
          </w:tcPr>
          <w:p>
            <w:pPr>
              <w:adjustRightInd w:val="0"/>
              <w:snapToGrid w:val="0"/>
              <w:spacing w:line="360" w:lineRule="exact"/>
              <w:jc w:val="center"/>
              <w:rPr>
                <w:rFonts w:hint="eastAsia" w:hAnsi="宋体"/>
                <w:bCs/>
                <w:color w:val="auto"/>
                <w:szCs w:val="21"/>
                <w:lang w:val="en-US" w:eastAsia="zh-CN"/>
              </w:rPr>
            </w:pPr>
            <w:r>
              <w:rPr>
                <w:rFonts w:hint="default" w:hAnsi="宋体"/>
                <w:bCs/>
                <w:color w:val="auto"/>
                <w:szCs w:val="21"/>
                <w:lang w:val="en-US" w:eastAsia="zh-CN"/>
              </w:rPr>
              <w:t>0.06</w:t>
            </w:r>
          </w:p>
        </w:tc>
        <w:tc>
          <w:tcPr>
            <w:tcW w:w="1253" w:type="dxa"/>
            <w:tcBorders>
              <w:tl2br w:val="nil"/>
              <w:tr2bl w:val="nil"/>
            </w:tcBorders>
            <w:noWrap w:val="0"/>
            <w:vAlign w:val="center"/>
          </w:tcPr>
          <w:p>
            <w:pPr>
              <w:adjustRightInd w:val="0"/>
              <w:snapToGrid w:val="0"/>
              <w:spacing w:line="360" w:lineRule="exact"/>
              <w:jc w:val="center"/>
              <w:rPr>
                <w:rFonts w:hint="eastAsia" w:hAnsi="宋体"/>
                <w:bCs/>
                <w:color w:val="auto"/>
                <w:szCs w:val="21"/>
                <w:lang w:val="en-US" w:eastAsia="zh-CN"/>
              </w:rPr>
            </w:pPr>
            <w:r>
              <w:rPr>
                <w:rFonts w:hint="default" w:hAnsi="宋体"/>
                <w:bCs/>
                <w:color w:val="auto"/>
                <w:szCs w:val="21"/>
                <w:lang w:val="en-US" w:eastAsia="zh-CN"/>
              </w:rPr>
              <w:t>0.042</w:t>
            </w:r>
          </w:p>
        </w:tc>
        <w:tc>
          <w:tcPr>
            <w:tcW w:w="1453" w:type="dxa"/>
            <w:tcBorders>
              <w:tl2br w:val="nil"/>
              <w:tr2bl w:val="nil"/>
            </w:tcBorders>
            <w:noWrap w:val="0"/>
            <w:vAlign w:val="center"/>
          </w:tcPr>
          <w:p>
            <w:pPr>
              <w:adjustRightInd w:val="0"/>
              <w:snapToGrid w:val="0"/>
              <w:spacing w:line="360" w:lineRule="exact"/>
              <w:jc w:val="center"/>
              <w:rPr>
                <w:rFonts w:hint="eastAsia" w:hAnsi="宋体"/>
                <w:bCs/>
                <w:color w:val="auto"/>
                <w:szCs w:val="21"/>
                <w:lang w:val="en-US" w:eastAsia="zh-CN"/>
              </w:rPr>
            </w:pPr>
            <w:r>
              <w:rPr>
                <w:rFonts w:hint="default" w:hAnsi="宋体"/>
                <w:bCs/>
                <w:color w:val="auto"/>
                <w:szCs w:val="21"/>
                <w:lang w:val="en-US" w:eastAsia="zh-CN"/>
              </w:rPr>
              <w:t>0.009</w:t>
            </w:r>
          </w:p>
        </w:tc>
        <w:tc>
          <w:tcPr>
            <w:tcW w:w="1215" w:type="dxa"/>
            <w:tcBorders>
              <w:tl2br w:val="nil"/>
              <w:tr2bl w:val="nil"/>
            </w:tcBorders>
            <w:noWrap w:val="0"/>
            <w:vAlign w:val="center"/>
          </w:tcPr>
          <w:p>
            <w:pPr>
              <w:adjustRightInd w:val="0"/>
              <w:snapToGrid w:val="0"/>
              <w:spacing w:line="360" w:lineRule="exact"/>
              <w:jc w:val="center"/>
              <w:rPr>
                <w:rFonts w:hint="eastAsia" w:hAnsi="宋体"/>
                <w:bCs/>
                <w:color w:val="auto"/>
                <w:szCs w:val="21"/>
                <w:lang w:val="en-US" w:eastAsia="zh-CN"/>
              </w:rPr>
            </w:pPr>
            <w:r>
              <w:rPr>
                <w:rFonts w:hint="default" w:hAnsi="宋体"/>
                <w:bCs/>
                <w:color w:val="auto"/>
                <w:szCs w:val="21"/>
                <w:lang w:val="en-US" w:eastAsia="zh-CN"/>
              </w:rPr>
              <w:t>0.012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548" w:type="dxa"/>
            <w:vMerge w:val="continue"/>
            <w:tcBorders>
              <w:tl2br w:val="nil"/>
              <w:tr2bl w:val="nil"/>
            </w:tcBorders>
            <w:noWrap w:val="0"/>
            <w:vAlign w:val="center"/>
          </w:tcPr>
          <w:p>
            <w:pPr>
              <w:adjustRightInd w:val="0"/>
              <w:snapToGrid w:val="0"/>
              <w:spacing w:line="360" w:lineRule="exact"/>
              <w:jc w:val="center"/>
              <w:rPr>
                <w:rFonts w:hAnsi="宋体"/>
                <w:bCs/>
                <w:color w:val="auto"/>
                <w:szCs w:val="21"/>
              </w:rPr>
            </w:pPr>
          </w:p>
        </w:tc>
        <w:tc>
          <w:tcPr>
            <w:tcW w:w="1334" w:type="dxa"/>
            <w:tcBorders>
              <w:tl2br w:val="nil"/>
              <w:tr2bl w:val="nil"/>
            </w:tcBorders>
            <w:noWrap w:val="0"/>
            <w:vAlign w:val="center"/>
          </w:tcPr>
          <w:p>
            <w:pPr>
              <w:adjustRightInd w:val="0"/>
              <w:snapToGrid w:val="0"/>
              <w:spacing w:line="360" w:lineRule="exact"/>
              <w:jc w:val="center"/>
              <w:rPr>
                <w:rFonts w:hAnsi="宋体"/>
                <w:bCs/>
                <w:color w:val="auto"/>
                <w:szCs w:val="21"/>
              </w:rPr>
            </w:pPr>
            <w:r>
              <w:rPr>
                <w:rFonts w:hAnsi="宋体"/>
                <w:bCs/>
                <w:color w:val="auto"/>
                <w:szCs w:val="21"/>
              </w:rPr>
              <w:t>排放标准mg/l</w:t>
            </w:r>
          </w:p>
        </w:tc>
        <w:tc>
          <w:tcPr>
            <w:tcW w:w="1000" w:type="dxa"/>
            <w:tcBorders>
              <w:tl2br w:val="nil"/>
              <w:tr2bl w:val="nil"/>
            </w:tcBorders>
            <w:noWrap w:val="0"/>
            <w:vAlign w:val="center"/>
          </w:tcPr>
          <w:p>
            <w:pPr>
              <w:adjustRightInd w:val="0"/>
              <w:snapToGrid w:val="0"/>
              <w:spacing w:line="360" w:lineRule="exact"/>
              <w:jc w:val="center"/>
              <w:rPr>
                <w:rFonts w:hAnsi="宋体"/>
                <w:bCs/>
                <w:color w:val="auto"/>
                <w:szCs w:val="21"/>
              </w:rPr>
            </w:pPr>
            <w:r>
              <w:rPr>
                <w:rFonts w:hAnsi="宋体"/>
                <w:bCs/>
                <w:color w:val="auto"/>
                <w:szCs w:val="21"/>
              </w:rPr>
              <w:t>/</w:t>
            </w:r>
          </w:p>
        </w:tc>
        <w:tc>
          <w:tcPr>
            <w:tcW w:w="1480" w:type="dxa"/>
            <w:tcBorders>
              <w:tl2br w:val="nil"/>
              <w:tr2bl w:val="nil"/>
            </w:tcBorders>
            <w:noWrap w:val="0"/>
            <w:vAlign w:val="center"/>
          </w:tcPr>
          <w:p>
            <w:pPr>
              <w:adjustRightInd w:val="0"/>
              <w:snapToGrid w:val="0"/>
              <w:spacing w:line="360" w:lineRule="exact"/>
              <w:jc w:val="center"/>
              <w:rPr>
                <w:rFonts w:hint="eastAsia" w:hAnsi="宋体"/>
                <w:bCs/>
                <w:color w:val="auto"/>
                <w:szCs w:val="21"/>
              </w:rPr>
            </w:pPr>
            <w:r>
              <w:rPr>
                <w:rFonts w:hint="default" w:hAnsi="宋体"/>
                <w:bCs/>
                <w:color w:val="auto"/>
                <w:szCs w:val="21"/>
                <w:lang w:val="en-US" w:eastAsia="zh-CN"/>
              </w:rPr>
              <w:t>300</w:t>
            </w:r>
          </w:p>
        </w:tc>
        <w:tc>
          <w:tcPr>
            <w:tcW w:w="1253" w:type="dxa"/>
            <w:tcBorders>
              <w:tl2br w:val="nil"/>
              <w:tr2bl w:val="nil"/>
            </w:tcBorders>
            <w:noWrap w:val="0"/>
            <w:vAlign w:val="center"/>
          </w:tcPr>
          <w:p>
            <w:pPr>
              <w:adjustRightInd w:val="0"/>
              <w:snapToGrid w:val="0"/>
              <w:spacing w:line="360" w:lineRule="exact"/>
              <w:jc w:val="center"/>
              <w:rPr>
                <w:rFonts w:hint="eastAsia" w:hAnsi="宋体"/>
                <w:bCs/>
                <w:color w:val="auto"/>
                <w:szCs w:val="21"/>
              </w:rPr>
            </w:pPr>
            <w:r>
              <w:rPr>
                <w:rFonts w:hint="default" w:hAnsi="宋体"/>
                <w:bCs/>
                <w:color w:val="auto"/>
                <w:szCs w:val="21"/>
                <w:lang w:val="en-US" w:eastAsia="zh-CN"/>
              </w:rPr>
              <w:t>250</w:t>
            </w:r>
          </w:p>
        </w:tc>
        <w:tc>
          <w:tcPr>
            <w:tcW w:w="1453" w:type="dxa"/>
            <w:tcBorders>
              <w:tl2br w:val="nil"/>
              <w:tr2bl w:val="nil"/>
            </w:tcBorders>
            <w:noWrap w:val="0"/>
            <w:vAlign w:val="center"/>
          </w:tcPr>
          <w:p>
            <w:pPr>
              <w:adjustRightInd w:val="0"/>
              <w:snapToGrid w:val="0"/>
              <w:spacing w:line="360" w:lineRule="exact"/>
              <w:jc w:val="center"/>
              <w:rPr>
                <w:rFonts w:hint="eastAsia" w:hAnsi="宋体"/>
                <w:bCs/>
                <w:color w:val="auto"/>
                <w:szCs w:val="21"/>
              </w:rPr>
            </w:pPr>
            <w:r>
              <w:rPr>
                <w:rFonts w:hint="default" w:hAnsi="宋体"/>
                <w:bCs/>
                <w:color w:val="auto"/>
                <w:szCs w:val="21"/>
                <w:lang w:val="en-US" w:eastAsia="zh-CN"/>
              </w:rPr>
              <w:t>200</w:t>
            </w:r>
          </w:p>
        </w:tc>
        <w:tc>
          <w:tcPr>
            <w:tcW w:w="1215" w:type="dxa"/>
            <w:tcBorders>
              <w:tl2br w:val="nil"/>
              <w:tr2bl w:val="nil"/>
            </w:tcBorders>
            <w:noWrap w:val="0"/>
            <w:vAlign w:val="center"/>
          </w:tcPr>
          <w:p>
            <w:pPr>
              <w:adjustRightInd w:val="0"/>
              <w:snapToGrid w:val="0"/>
              <w:spacing w:line="360" w:lineRule="exact"/>
              <w:jc w:val="center"/>
              <w:rPr>
                <w:rFonts w:hint="eastAsia" w:hAnsi="宋体"/>
                <w:bCs/>
                <w:color w:val="auto"/>
                <w:szCs w:val="21"/>
                <w:lang w:eastAsia="zh-CN"/>
              </w:rPr>
            </w:pPr>
            <w:r>
              <w:rPr>
                <w:rFonts w:hint="default" w:hAnsi="宋体"/>
                <w:bCs/>
                <w:color w:val="auto"/>
                <w:szCs w:val="21"/>
                <w:lang w:val="en-US" w:eastAsia="zh-CN"/>
              </w:rPr>
              <w:t>30</w:t>
            </w:r>
          </w:p>
        </w:tc>
      </w:tr>
    </w:tbl>
    <w:p>
      <w:pPr>
        <w:adjustRightInd w:val="0"/>
        <w:spacing w:line="500" w:lineRule="exact"/>
        <w:rPr>
          <w:color w:val="auto"/>
          <w:sz w:val="24"/>
        </w:rPr>
      </w:pPr>
    </w:p>
    <w:p>
      <w:pPr>
        <w:spacing w:line="520" w:lineRule="exact"/>
        <w:rPr>
          <w:b/>
          <w:color w:val="auto"/>
          <w:sz w:val="24"/>
        </w:rPr>
      </w:pPr>
      <w:r>
        <w:rPr>
          <w:rFonts w:hint="eastAsia"/>
          <w:b/>
          <w:color w:val="auto"/>
          <w:sz w:val="24"/>
        </w:rPr>
        <w:t xml:space="preserve">3.3.3 </w:t>
      </w:r>
      <w:r>
        <w:rPr>
          <w:b/>
          <w:color w:val="auto"/>
          <w:sz w:val="24"/>
        </w:rPr>
        <w:t>噪声</w:t>
      </w:r>
    </w:p>
    <w:p>
      <w:pPr>
        <w:keepNext w:val="0"/>
        <w:keepLines w:val="0"/>
        <w:pageBreakBefore w:val="0"/>
        <w:widowControl w:val="0"/>
        <w:kinsoku/>
        <w:wordWrap/>
        <w:overflowPunct/>
        <w:topLinePunct w:val="0"/>
        <w:autoSpaceDE/>
        <w:autoSpaceDN/>
        <w:bidi w:val="0"/>
        <w:adjustRightInd w:val="0"/>
        <w:snapToGrid w:val="0"/>
        <w:spacing w:line="520" w:lineRule="exact"/>
        <w:ind w:left="0" w:leftChars="0" w:right="0" w:rightChars="0" w:firstLine="480" w:firstLineChars="200"/>
        <w:jc w:val="both"/>
        <w:textAlignment w:val="auto"/>
        <w:outlineLvl w:val="9"/>
        <w:rPr>
          <w:color w:val="auto"/>
          <w:sz w:val="24"/>
        </w:rPr>
      </w:pPr>
      <w:r>
        <w:rPr>
          <w:rFonts w:hint="eastAsia" w:cs="Times New Roman"/>
          <w:bCs/>
          <w:color w:val="auto"/>
          <w:sz w:val="24"/>
          <w:lang w:eastAsia="zh-CN"/>
        </w:rPr>
        <w:t>现有</w:t>
      </w:r>
      <w:r>
        <w:rPr>
          <w:rFonts w:hint="default" w:ascii="Times New Roman" w:hAnsi="Times New Roman" w:eastAsia="宋体" w:cs="Times New Roman"/>
          <w:bCs/>
          <w:color w:val="auto"/>
          <w:sz w:val="24"/>
        </w:rPr>
        <w:t>项目</w:t>
      </w:r>
      <w:r>
        <w:rPr>
          <w:rFonts w:hint="default" w:ascii="Times New Roman" w:hAnsi="Times New Roman" w:eastAsia="宋体" w:cs="Times New Roman"/>
          <w:bCs/>
          <w:snapToGrid w:val="0"/>
          <w:color w:val="auto"/>
          <w:kern w:val="0"/>
          <w:sz w:val="24"/>
        </w:rPr>
        <w:t>噪声主要来自于</w:t>
      </w:r>
      <w:r>
        <w:rPr>
          <w:rFonts w:hint="eastAsia" w:ascii="Times New Roman" w:hAnsi="Times New Roman" w:eastAsia="宋体" w:cs="Times New Roman"/>
          <w:bCs/>
          <w:snapToGrid w:val="0"/>
          <w:color w:val="auto"/>
          <w:kern w:val="0"/>
          <w:sz w:val="24"/>
          <w:lang w:eastAsia="zh-CN"/>
        </w:rPr>
        <w:t>搅拌机</w:t>
      </w:r>
      <w:r>
        <w:rPr>
          <w:rFonts w:hint="default" w:ascii="Times New Roman" w:hAnsi="Times New Roman" w:eastAsia="宋体" w:cs="Times New Roman"/>
          <w:bCs/>
          <w:snapToGrid w:val="0"/>
          <w:color w:val="auto"/>
          <w:kern w:val="0"/>
          <w:sz w:val="24"/>
        </w:rPr>
        <w:t>、</w:t>
      </w:r>
      <w:r>
        <w:rPr>
          <w:rFonts w:hint="eastAsia" w:ascii="Times New Roman" w:hAnsi="Times New Roman" w:eastAsia="宋体" w:cs="Times New Roman"/>
          <w:bCs/>
          <w:snapToGrid w:val="0"/>
          <w:color w:val="auto"/>
          <w:kern w:val="0"/>
          <w:sz w:val="24"/>
          <w:lang w:eastAsia="zh-CN"/>
        </w:rPr>
        <w:t>剪板机、辊涂机、风机等设备</w:t>
      </w:r>
      <w:r>
        <w:rPr>
          <w:rFonts w:hint="default" w:ascii="Times New Roman" w:hAnsi="Times New Roman" w:eastAsia="宋体" w:cs="Times New Roman"/>
          <w:bCs/>
          <w:snapToGrid w:val="0"/>
          <w:color w:val="auto"/>
          <w:kern w:val="0"/>
          <w:sz w:val="24"/>
        </w:rPr>
        <w:t>运行产生的噪声</w:t>
      </w:r>
      <w:r>
        <w:rPr>
          <w:rFonts w:hint="default" w:ascii="Times New Roman" w:hAnsi="Times New Roman" w:eastAsia="宋体" w:cs="Times New Roman"/>
          <w:color w:val="auto"/>
          <w:sz w:val="24"/>
        </w:rPr>
        <w:t>，噪声级在</w:t>
      </w:r>
      <w:r>
        <w:rPr>
          <w:rFonts w:hint="eastAsia" w:ascii="Times New Roman" w:hAnsi="Times New Roman" w:eastAsia="宋体" w:cs="Times New Roman"/>
          <w:color w:val="auto"/>
          <w:sz w:val="24"/>
          <w:lang w:val="en-US" w:eastAsia="zh-CN"/>
        </w:rPr>
        <w:t>7</w:t>
      </w:r>
      <w:r>
        <w:rPr>
          <w:rFonts w:hint="eastAsia" w:cs="Times New Roman"/>
          <w:color w:val="auto"/>
          <w:sz w:val="24"/>
          <w:lang w:val="en-US" w:eastAsia="zh-CN"/>
        </w:rPr>
        <w:t>5</w:t>
      </w:r>
      <w:r>
        <w:rPr>
          <w:rFonts w:hint="default" w:ascii="Times New Roman" w:hAnsi="Times New Roman" w:eastAsia="宋体" w:cs="Times New Roman"/>
          <w:color w:val="auto"/>
          <w:sz w:val="24"/>
        </w:rPr>
        <w:t>~</w:t>
      </w:r>
      <w:r>
        <w:rPr>
          <w:rFonts w:hint="eastAsia" w:ascii="Times New Roman" w:hAnsi="Times New Roman" w:eastAsia="宋体" w:cs="Times New Roman"/>
          <w:color w:val="auto"/>
          <w:sz w:val="24"/>
          <w:lang w:val="en-US" w:eastAsia="zh-CN"/>
        </w:rPr>
        <w:t>95</w:t>
      </w:r>
      <w:r>
        <w:rPr>
          <w:rFonts w:hint="default" w:ascii="Times New Roman" w:hAnsi="Times New Roman" w:eastAsia="宋体" w:cs="Times New Roman"/>
          <w:color w:val="auto"/>
          <w:sz w:val="24"/>
        </w:rPr>
        <w:t>dB(A)之间。因此必须在厂界布局、隔声降噪、设备维护等方面考虑噪声防治措施。</w:t>
      </w:r>
    </w:p>
    <w:p>
      <w:pPr>
        <w:keepNext w:val="0"/>
        <w:keepLines w:val="0"/>
        <w:pageBreakBefore w:val="0"/>
        <w:widowControl w:val="0"/>
        <w:kinsoku/>
        <w:wordWrap/>
        <w:overflowPunct/>
        <w:topLinePunct w:val="0"/>
        <w:autoSpaceDE/>
        <w:autoSpaceDN/>
        <w:bidi w:val="0"/>
        <w:adjustRightInd w:val="0"/>
        <w:snapToGrid w:val="0"/>
        <w:spacing w:line="520" w:lineRule="exact"/>
        <w:ind w:left="0" w:leftChars="0" w:right="0" w:rightChars="0" w:firstLine="482" w:firstLineChars="200"/>
        <w:jc w:val="center"/>
        <w:textAlignment w:val="auto"/>
        <w:outlineLvl w:val="9"/>
        <w:rPr>
          <w:rFonts w:hint="eastAsia"/>
          <w:color w:val="auto"/>
          <w:sz w:val="24"/>
          <w:lang w:val="en-US" w:eastAsia="zh-CN"/>
        </w:rPr>
      </w:pPr>
      <w:r>
        <w:rPr>
          <w:b/>
          <w:smallCaps/>
          <w:color w:val="auto"/>
          <w:sz w:val="24"/>
        </w:rPr>
        <w:t>表</w:t>
      </w:r>
      <w:r>
        <w:rPr>
          <w:rFonts w:hint="eastAsia"/>
          <w:b/>
          <w:smallCaps/>
          <w:color w:val="auto"/>
          <w:sz w:val="24"/>
          <w:lang w:val="en-US" w:eastAsia="zh-CN"/>
        </w:rPr>
        <w:t>3-9</w:t>
      </w:r>
      <w:r>
        <w:rPr>
          <w:b/>
          <w:smallCaps/>
          <w:color w:val="auto"/>
          <w:sz w:val="24"/>
        </w:rPr>
        <w:t xml:space="preserve">  </w:t>
      </w:r>
      <w:r>
        <w:rPr>
          <w:rFonts w:hint="eastAsia"/>
          <w:b/>
          <w:smallCaps/>
          <w:color w:val="auto"/>
          <w:sz w:val="24"/>
          <w:lang w:val="en-US" w:eastAsia="zh-CN"/>
        </w:rPr>
        <w:t xml:space="preserve"> </w:t>
      </w:r>
      <w:r>
        <w:rPr>
          <w:b/>
          <w:smallCaps/>
          <w:color w:val="auto"/>
          <w:sz w:val="24"/>
        </w:rPr>
        <w:t xml:space="preserve"> </w:t>
      </w:r>
      <w:r>
        <w:rPr>
          <w:rFonts w:hint="default"/>
          <w:b/>
          <w:smallCaps/>
          <w:color w:val="auto"/>
          <w:sz w:val="24"/>
        </w:rPr>
        <w:t>项目噪声源的平均声压级</w:t>
      </w:r>
    </w:p>
    <w:tbl>
      <w:tblPr>
        <w:tblStyle w:val="53"/>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47"/>
        <w:gridCol w:w="1755"/>
        <w:gridCol w:w="1087"/>
        <w:gridCol w:w="1366"/>
        <w:gridCol w:w="2487"/>
        <w:gridCol w:w="134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2" w:hRule="atLeast"/>
          <w:jc w:val="center"/>
        </w:trPr>
        <w:tc>
          <w:tcPr>
            <w:tcW w:w="425" w:type="pct"/>
            <w:tcBorders>
              <w:tl2br w:val="nil"/>
              <w:tr2bl w:val="nil"/>
            </w:tcBorders>
            <w:noWrap w:val="0"/>
            <w:tcMar>
              <w:left w:w="28" w:type="dxa"/>
              <w:right w:w="28" w:type="dxa"/>
            </w:tcMar>
            <w:vAlign w:val="center"/>
          </w:tcPr>
          <w:p>
            <w:pPr>
              <w:pStyle w:val="407"/>
              <w:spacing w:line="240" w:lineRule="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序号</w:t>
            </w:r>
          </w:p>
        </w:tc>
        <w:tc>
          <w:tcPr>
            <w:tcW w:w="998" w:type="pct"/>
            <w:tcBorders>
              <w:tl2br w:val="nil"/>
              <w:tr2bl w:val="nil"/>
            </w:tcBorders>
            <w:noWrap w:val="0"/>
            <w:tcMar>
              <w:left w:w="28" w:type="dxa"/>
              <w:right w:w="28" w:type="dxa"/>
            </w:tcMar>
            <w:vAlign w:val="center"/>
          </w:tcPr>
          <w:p>
            <w:pPr>
              <w:pStyle w:val="407"/>
              <w:spacing w:line="240" w:lineRule="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产噪设备</w:t>
            </w:r>
          </w:p>
        </w:tc>
        <w:tc>
          <w:tcPr>
            <w:tcW w:w="618" w:type="pct"/>
            <w:tcBorders>
              <w:tl2br w:val="nil"/>
              <w:tr2bl w:val="nil"/>
            </w:tcBorders>
            <w:noWrap w:val="0"/>
            <w:tcMar>
              <w:left w:w="28" w:type="dxa"/>
              <w:right w:w="28" w:type="dxa"/>
            </w:tcMar>
            <w:vAlign w:val="center"/>
          </w:tcPr>
          <w:p>
            <w:pPr>
              <w:pStyle w:val="407"/>
              <w:spacing w:line="240" w:lineRule="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数量</w:t>
            </w:r>
          </w:p>
          <w:p>
            <w:pPr>
              <w:pStyle w:val="407"/>
              <w:spacing w:line="240" w:lineRule="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（台/套）</w:t>
            </w:r>
          </w:p>
        </w:tc>
        <w:tc>
          <w:tcPr>
            <w:tcW w:w="777" w:type="pct"/>
            <w:tcBorders>
              <w:tl2br w:val="nil"/>
              <w:tr2bl w:val="nil"/>
            </w:tcBorders>
            <w:noWrap w:val="0"/>
            <w:tcMar>
              <w:left w:w="28" w:type="dxa"/>
              <w:right w:w="28" w:type="dxa"/>
            </w:tcMar>
            <w:vAlign w:val="center"/>
          </w:tcPr>
          <w:p>
            <w:pPr>
              <w:pStyle w:val="407"/>
              <w:spacing w:line="240" w:lineRule="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噪声声压级（dB(A)）</w:t>
            </w:r>
          </w:p>
        </w:tc>
        <w:tc>
          <w:tcPr>
            <w:tcW w:w="1414" w:type="pct"/>
            <w:tcBorders>
              <w:tl2br w:val="nil"/>
              <w:tr2bl w:val="nil"/>
            </w:tcBorders>
            <w:noWrap w:val="0"/>
            <w:tcMar>
              <w:left w:w="28" w:type="dxa"/>
              <w:right w:w="28" w:type="dxa"/>
            </w:tcMar>
            <w:vAlign w:val="center"/>
          </w:tcPr>
          <w:p>
            <w:pPr>
              <w:pStyle w:val="407"/>
              <w:spacing w:line="240" w:lineRule="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治理措施</w:t>
            </w:r>
          </w:p>
        </w:tc>
        <w:tc>
          <w:tcPr>
            <w:tcW w:w="765" w:type="pct"/>
            <w:tcBorders>
              <w:tl2br w:val="nil"/>
              <w:tr2bl w:val="nil"/>
            </w:tcBorders>
            <w:noWrap w:val="0"/>
            <w:tcMar>
              <w:left w:w="28" w:type="dxa"/>
              <w:right w:w="28" w:type="dxa"/>
            </w:tcMar>
            <w:vAlign w:val="center"/>
          </w:tcPr>
          <w:p>
            <w:pPr>
              <w:pStyle w:val="407"/>
              <w:spacing w:line="240" w:lineRule="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降噪效果（dB(A)）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425" w:type="pct"/>
            <w:tcBorders>
              <w:tl2br w:val="nil"/>
              <w:tr2bl w:val="nil"/>
            </w:tcBorders>
            <w:shd w:val="clear" w:color="auto" w:fill="auto"/>
            <w:noWrap w:val="0"/>
            <w:tcMar>
              <w:left w:w="28" w:type="dxa"/>
              <w:right w:w="28" w:type="dxa"/>
            </w:tcMar>
            <w:vAlign w:val="center"/>
          </w:tcPr>
          <w:p>
            <w:pPr>
              <w:contextualSpacing/>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1</w:t>
            </w:r>
          </w:p>
        </w:tc>
        <w:tc>
          <w:tcPr>
            <w:tcW w:w="998" w:type="pct"/>
            <w:tcBorders>
              <w:tl2br w:val="nil"/>
              <w:tr2bl w:val="nil"/>
            </w:tcBorders>
            <w:shd w:val="clear" w:color="000000" w:fill="FFFFFF"/>
            <w:noWrap w:val="0"/>
            <w:tcMar>
              <w:left w:w="28" w:type="dxa"/>
              <w:right w:w="28" w:type="dxa"/>
            </w:tcMar>
            <w:vAlign w:val="center"/>
          </w:tcPr>
          <w:p>
            <w:pPr>
              <w:spacing w:line="240" w:lineRule="auto"/>
              <w:jc w:val="center"/>
              <w:rPr>
                <w:rFonts w:hint="default" w:ascii="Times New Roman" w:hAnsi="Times New Roman" w:eastAsia="宋体" w:cs="Times New Roman"/>
                <w:color w:val="auto"/>
                <w:sz w:val="21"/>
                <w:szCs w:val="21"/>
                <w:u w:val="none" w:color="auto"/>
              </w:rPr>
            </w:pPr>
            <w:r>
              <w:rPr>
                <w:rFonts w:hint="eastAsia" w:ascii="Times New Roman" w:hAnsi="Times New Roman" w:eastAsia="宋体" w:cs="Times New Roman"/>
                <w:color w:val="auto"/>
                <w:sz w:val="21"/>
                <w:szCs w:val="21"/>
                <w:lang w:eastAsia="zh-CN"/>
              </w:rPr>
              <w:t>搅拌机</w:t>
            </w:r>
          </w:p>
        </w:tc>
        <w:tc>
          <w:tcPr>
            <w:tcW w:w="618" w:type="pct"/>
            <w:tcBorders>
              <w:tl2br w:val="nil"/>
              <w:tr2bl w:val="nil"/>
            </w:tcBorders>
            <w:shd w:val="clear" w:color="000000" w:fill="FFFFFF"/>
            <w:noWrap w:val="0"/>
            <w:tcMar>
              <w:left w:w="28" w:type="dxa"/>
              <w:right w:w="28" w:type="dxa"/>
            </w:tcMar>
            <w:vAlign w:val="center"/>
          </w:tcPr>
          <w:p>
            <w:pPr>
              <w:spacing w:line="240" w:lineRule="auto"/>
              <w:jc w:val="center"/>
              <w:rPr>
                <w:rFonts w:hint="default" w:ascii="Times New Roman" w:hAnsi="Times New Roman" w:eastAsia="宋体" w:cs="Times New Roman"/>
                <w:color w:val="auto"/>
                <w:sz w:val="21"/>
                <w:szCs w:val="21"/>
                <w:u w:val="none" w:color="auto"/>
                <w:lang w:eastAsia="zh-CN"/>
              </w:rPr>
            </w:pPr>
            <w:r>
              <w:rPr>
                <w:rFonts w:hint="eastAsia" w:ascii="Times New Roman" w:hAnsi="Times New Roman" w:eastAsia="宋体" w:cs="Times New Roman"/>
                <w:color w:val="auto"/>
                <w:sz w:val="21"/>
                <w:szCs w:val="21"/>
                <w:lang w:val="en-US" w:eastAsia="zh-CN"/>
              </w:rPr>
              <w:t>8</w:t>
            </w:r>
          </w:p>
        </w:tc>
        <w:tc>
          <w:tcPr>
            <w:tcW w:w="777" w:type="pct"/>
            <w:tcBorders>
              <w:tl2br w:val="nil"/>
              <w:tr2bl w:val="nil"/>
            </w:tcBorders>
            <w:noWrap w:val="0"/>
            <w:tcMar>
              <w:left w:w="28" w:type="dxa"/>
              <w:right w:w="28" w:type="dxa"/>
            </w:tcMar>
            <w:vAlign w:val="center"/>
          </w:tcPr>
          <w:p>
            <w:pPr>
              <w:spacing w:line="240" w:lineRule="auto"/>
              <w:jc w:val="center"/>
              <w:rPr>
                <w:rFonts w:hint="default"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zh-CN"/>
              </w:rPr>
              <w:t>80-90</w:t>
            </w:r>
          </w:p>
        </w:tc>
        <w:tc>
          <w:tcPr>
            <w:tcW w:w="1414" w:type="pct"/>
            <w:tcBorders>
              <w:tl2br w:val="nil"/>
              <w:tr2bl w:val="nil"/>
            </w:tcBorders>
            <w:noWrap w:val="0"/>
            <w:tcMar>
              <w:left w:w="28" w:type="dxa"/>
              <w:right w:w="28" w:type="dxa"/>
            </w:tcMar>
            <w:vAlign w:val="center"/>
          </w:tcPr>
          <w:p>
            <w:pPr>
              <w:spacing w:line="240" w:lineRule="auto"/>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eastAsia="zh-CN"/>
              </w:rPr>
              <w:t>经</w:t>
            </w:r>
            <w:r>
              <w:rPr>
                <w:rFonts w:hint="default" w:ascii="Times New Roman" w:hAnsi="Times New Roman" w:eastAsia="宋体" w:cs="Times New Roman"/>
                <w:color w:val="auto"/>
                <w:sz w:val="21"/>
                <w:szCs w:val="21"/>
                <w:u w:val="none" w:color="auto"/>
              </w:rPr>
              <w:t>减震</w:t>
            </w: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rPr>
              <w:t>降噪</w:t>
            </w:r>
            <w:r>
              <w:rPr>
                <w:rFonts w:hint="default" w:ascii="Times New Roman" w:hAnsi="Times New Roman" w:eastAsia="宋体" w:cs="Times New Roman"/>
                <w:color w:val="auto"/>
                <w:sz w:val="21"/>
                <w:szCs w:val="21"/>
                <w:u w:val="none" w:color="auto"/>
                <w:lang w:eastAsia="zh-CN"/>
              </w:rPr>
              <w:t>、厂房隔音</w:t>
            </w:r>
          </w:p>
        </w:tc>
        <w:tc>
          <w:tcPr>
            <w:tcW w:w="765" w:type="pct"/>
            <w:tcBorders>
              <w:tl2br w:val="nil"/>
              <w:tr2bl w:val="nil"/>
            </w:tcBorders>
            <w:noWrap w:val="0"/>
            <w:tcMar>
              <w:left w:w="28" w:type="dxa"/>
              <w:right w:w="28" w:type="dxa"/>
            </w:tcMar>
            <w:vAlign w:val="center"/>
          </w:tcPr>
          <w:p>
            <w:pPr>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15~20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425" w:type="pct"/>
            <w:tcBorders>
              <w:tl2br w:val="nil"/>
              <w:tr2bl w:val="nil"/>
            </w:tcBorders>
            <w:shd w:val="clear" w:color="auto" w:fill="auto"/>
            <w:noWrap w:val="0"/>
            <w:tcMar>
              <w:left w:w="28" w:type="dxa"/>
              <w:right w:w="28" w:type="dxa"/>
            </w:tcMar>
            <w:vAlign w:val="center"/>
          </w:tcPr>
          <w:p>
            <w:pPr>
              <w:contextualSpacing/>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2</w:t>
            </w:r>
          </w:p>
        </w:tc>
        <w:tc>
          <w:tcPr>
            <w:tcW w:w="998" w:type="pct"/>
            <w:tcBorders>
              <w:tl2br w:val="nil"/>
              <w:tr2bl w:val="nil"/>
            </w:tcBorders>
            <w:shd w:val="clear" w:color="000000" w:fill="FFFFFF"/>
            <w:noWrap w:val="0"/>
            <w:tcMar>
              <w:left w:w="28" w:type="dxa"/>
              <w:right w:w="28" w:type="dxa"/>
            </w:tcMar>
            <w:vAlign w:val="center"/>
          </w:tcPr>
          <w:p>
            <w:pPr>
              <w:spacing w:line="240" w:lineRule="auto"/>
              <w:jc w:val="center"/>
              <w:rPr>
                <w:rFonts w:hint="default" w:ascii="Times New Roman" w:hAnsi="Times New Roman" w:eastAsia="宋体" w:cs="Times New Roman"/>
                <w:color w:val="auto"/>
                <w:sz w:val="21"/>
                <w:szCs w:val="21"/>
                <w:u w:val="none" w:color="auto"/>
              </w:rPr>
            </w:pPr>
            <w:r>
              <w:rPr>
                <w:rFonts w:hint="eastAsia" w:ascii="Times New Roman" w:hAnsi="Times New Roman" w:eastAsia="宋体" w:cs="Times New Roman"/>
                <w:color w:val="auto"/>
                <w:sz w:val="21"/>
                <w:szCs w:val="21"/>
                <w:lang w:eastAsia="zh-CN"/>
              </w:rPr>
              <w:t>剪板机</w:t>
            </w:r>
          </w:p>
        </w:tc>
        <w:tc>
          <w:tcPr>
            <w:tcW w:w="618" w:type="pct"/>
            <w:tcBorders>
              <w:tl2br w:val="nil"/>
              <w:tr2bl w:val="nil"/>
            </w:tcBorders>
            <w:shd w:val="clear" w:color="000000" w:fill="FFFFFF"/>
            <w:noWrap w:val="0"/>
            <w:tcMar>
              <w:left w:w="28" w:type="dxa"/>
              <w:right w:w="28" w:type="dxa"/>
            </w:tcMar>
            <w:vAlign w:val="center"/>
          </w:tcPr>
          <w:p>
            <w:pPr>
              <w:spacing w:line="240" w:lineRule="auto"/>
              <w:jc w:val="center"/>
              <w:rPr>
                <w:rFonts w:hint="eastAsia" w:ascii="Times New Roman" w:hAnsi="Times New Roman" w:eastAsia="宋体" w:cs="Times New Roman"/>
                <w:color w:val="auto"/>
                <w:sz w:val="21"/>
                <w:szCs w:val="21"/>
                <w:u w:val="none" w:color="auto"/>
                <w:lang w:eastAsia="zh-CN"/>
              </w:rPr>
            </w:pPr>
            <w:r>
              <w:rPr>
                <w:rFonts w:hint="eastAsia" w:ascii="Times New Roman" w:hAnsi="Times New Roman" w:eastAsia="宋体" w:cs="Times New Roman"/>
                <w:color w:val="auto"/>
                <w:sz w:val="21"/>
                <w:szCs w:val="21"/>
                <w:lang w:val="en-US" w:eastAsia="zh-CN"/>
              </w:rPr>
              <w:t>1</w:t>
            </w:r>
          </w:p>
        </w:tc>
        <w:tc>
          <w:tcPr>
            <w:tcW w:w="777" w:type="pct"/>
            <w:tcBorders>
              <w:tl2br w:val="nil"/>
              <w:tr2bl w:val="nil"/>
            </w:tcBorders>
            <w:noWrap w:val="0"/>
            <w:tcMar>
              <w:left w:w="28" w:type="dxa"/>
              <w:right w:w="28" w:type="dxa"/>
            </w:tcMar>
            <w:vAlign w:val="center"/>
          </w:tcPr>
          <w:p>
            <w:pPr>
              <w:spacing w:line="240" w:lineRule="auto"/>
              <w:jc w:val="center"/>
              <w:rPr>
                <w:rFonts w:hint="default"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zh-CN"/>
              </w:rPr>
              <w:t>80-95</w:t>
            </w:r>
          </w:p>
        </w:tc>
        <w:tc>
          <w:tcPr>
            <w:tcW w:w="1414" w:type="pct"/>
            <w:tcBorders>
              <w:tl2br w:val="nil"/>
              <w:tr2bl w:val="nil"/>
            </w:tcBorders>
            <w:noWrap w:val="0"/>
            <w:tcMar>
              <w:left w:w="28" w:type="dxa"/>
              <w:right w:w="28" w:type="dxa"/>
            </w:tcMar>
            <w:vAlign w:val="center"/>
          </w:tcPr>
          <w:p>
            <w:pPr>
              <w:spacing w:line="240" w:lineRule="auto"/>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eastAsia="zh-CN"/>
              </w:rPr>
              <w:t>经</w:t>
            </w:r>
            <w:r>
              <w:rPr>
                <w:rFonts w:hint="default" w:ascii="Times New Roman" w:hAnsi="Times New Roman" w:eastAsia="宋体" w:cs="Times New Roman"/>
                <w:color w:val="auto"/>
                <w:sz w:val="21"/>
                <w:szCs w:val="21"/>
                <w:u w:val="none" w:color="auto"/>
              </w:rPr>
              <w:t>减震</w:t>
            </w: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rPr>
              <w:t>降噪</w:t>
            </w:r>
            <w:r>
              <w:rPr>
                <w:rFonts w:hint="default" w:ascii="Times New Roman" w:hAnsi="Times New Roman" w:eastAsia="宋体" w:cs="Times New Roman"/>
                <w:color w:val="auto"/>
                <w:sz w:val="21"/>
                <w:szCs w:val="21"/>
                <w:u w:val="none" w:color="auto"/>
                <w:lang w:eastAsia="zh-CN"/>
              </w:rPr>
              <w:t>、厂房隔音</w:t>
            </w:r>
          </w:p>
        </w:tc>
        <w:tc>
          <w:tcPr>
            <w:tcW w:w="765" w:type="pct"/>
            <w:tcBorders>
              <w:tl2br w:val="nil"/>
              <w:tr2bl w:val="nil"/>
            </w:tcBorders>
            <w:noWrap w:val="0"/>
            <w:tcMar>
              <w:left w:w="28" w:type="dxa"/>
              <w:right w:w="28" w:type="dxa"/>
            </w:tcMar>
            <w:vAlign w:val="center"/>
          </w:tcPr>
          <w:p>
            <w:pPr>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15~20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425" w:type="pct"/>
            <w:tcBorders>
              <w:tl2br w:val="nil"/>
              <w:tr2bl w:val="nil"/>
            </w:tcBorders>
            <w:shd w:val="clear" w:color="auto" w:fill="auto"/>
            <w:noWrap w:val="0"/>
            <w:tcMar>
              <w:left w:w="28" w:type="dxa"/>
              <w:right w:w="28" w:type="dxa"/>
            </w:tcMar>
            <w:vAlign w:val="center"/>
          </w:tcPr>
          <w:p>
            <w:pPr>
              <w:contextualSpacing/>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3</w:t>
            </w:r>
          </w:p>
        </w:tc>
        <w:tc>
          <w:tcPr>
            <w:tcW w:w="998" w:type="pct"/>
            <w:tcBorders>
              <w:tl2br w:val="nil"/>
              <w:tr2bl w:val="nil"/>
            </w:tcBorders>
            <w:shd w:val="clear" w:color="000000" w:fill="FFFFFF"/>
            <w:noWrap w:val="0"/>
            <w:tcMar>
              <w:left w:w="28" w:type="dxa"/>
              <w:right w:w="28" w:type="dxa"/>
            </w:tcMar>
            <w:vAlign w:val="center"/>
          </w:tcPr>
          <w:p>
            <w:pPr>
              <w:spacing w:line="240" w:lineRule="auto"/>
              <w:jc w:val="center"/>
              <w:rPr>
                <w:rFonts w:hint="default" w:ascii="Times New Roman" w:hAnsi="Times New Roman" w:eastAsia="宋体" w:cs="Times New Roman"/>
                <w:color w:val="auto"/>
                <w:sz w:val="21"/>
                <w:szCs w:val="21"/>
                <w:u w:val="none" w:color="auto"/>
              </w:rPr>
            </w:pPr>
            <w:r>
              <w:rPr>
                <w:rFonts w:hint="eastAsia" w:ascii="Times New Roman" w:hAnsi="Times New Roman" w:eastAsia="宋体" w:cs="Times New Roman"/>
                <w:color w:val="auto"/>
                <w:sz w:val="21"/>
                <w:szCs w:val="21"/>
                <w:lang w:eastAsia="zh-CN"/>
              </w:rPr>
              <w:t>辊涂机</w:t>
            </w:r>
          </w:p>
        </w:tc>
        <w:tc>
          <w:tcPr>
            <w:tcW w:w="618" w:type="pct"/>
            <w:tcBorders>
              <w:tl2br w:val="nil"/>
              <w:tr2bl w:val="nil"/>
            </w:tcBorders>
            <w:shd w:val="clear" w:color="000000" w:fill="FFFFFF"/>
            <w:noWrap w:val="0"/>
            <w:tcMar>
              <w:left w:w="28" w:type="dxa"/>
              <w:right w:w="28" w:type="dxa"/>
            </w:tcMar>
            <w:vAlign w:val="center"/>
          </w:tcPr>
          <w:p>
            <w:pPr>
              <w:spacing w:line="240" w:lineRule="auto"/>
              <w:jc w:val="center"/>
              <w:rPr>
                <w:rFonts w:hint="default" w:ascii="Times New Roman" w:hAnsi="Times New Roman" w:eastAsia="宋体" w:cs="Times New Roman"/>
                <w:color w:val="auto"/>
                <w:sz w:val="21"/>
                <w:szCs w:val="21"/>
                <w:u w:val="none" w:color="auto"/>
              </w:rPr>
            </w:pPr>
            <w:r>
              <w:rPr>
                <w:rFonts w:hint="eastAsia" w:ascii="Times New Roman" w:hAnsi="Times New Roman" w:eastAsia="宋体" w:cs="Times New Roman"/>
                <w:color w:val="auto"/>
                <w:sz w:val="21"/>
                <w:szCs w:val="21"/>
                <w:lang w:val="en-US" w:eastAsia="zh-CN"/>
              </w:rPr>
              <w:t>2</w:t>
            </w:r>
          </w:p>
        </w:tc>
        <w:tc>
          <w:tcPr>
            <w:tcW w:w="777" w:type="pct"/>
            <w:tcBorders>
              <w:tl2br w:val="nil"/>
              <w:tr2bl w:val="nil"/>
            </w:tcBorders>
            <w:noWrap w:val="0"/>
            <w:tcMar>
              <w:left w:w="28" w:type="dxa"/>
              <w:right w:w="28" w:type="dxa"/>
            </w:tcMar>
            <w:vAlign w:val="center"/>
          </w:tcPr>
          <w:p>
            <w:pPr>
              <w:spacing w:line="240" w:lineRule="auto"/>
              <w:jc w:val="center"/>
              <w:rPr>
                <w:rFonts w:hint="default"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zh-CN"/>
              </w:rPr>
              <w:t>80-90</w:t>
            </w:r>
          </w:p>
        </w:tc>
        <w:tc>
          <w:tcPr>
            <w:tcW w:w="1414" w:type="pct"/>
            <w:tcBorders>
              <w:tl2br w:val="nil"/>
              <w:tr2bl w:val="nil"/>
            </w:tcBorders>
            <w:noWrap w:val="0"/>
            <w:tcMar>
              <w:left w:w="28" w:type="dxa"/>
              <w:right w:w="28" w:type="dxa"/>
            </w:tcMar>
            <w:vAlign w:val="center"/>
          </w:tcPr>
          <w:p>
            <w:pPr>
              <w:spacing w:line="240" w:lineRule="auto"/>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eastAsia="zh-CN"/>
              </w:rPr>
              <w:t>经</w:t>
            </w:r>
            <w:r>
              <w:rPr>
                <w:rFonts w:hint="default" w:ascii="Times New Roman" w:hAnsi="Times New Roman" w:eastAsia="宋体" w:cs="Times New Roman"/>
                <w:color w:val="auto"/>
                <w:sz w:val="21"/>
                <w:szCs w:val="21"/>
                <w:u w:val="none" w:color="auto"/>
              </w:rPr>
              <w:t>减震</w:t>
            </w: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rPr>
              <w:t>降噪</w:t>
            </w:r>
            <w:r>
              <w:rPr>
                <w:rFonts w:hint="default" w:ascii="Times New Roman" w:hAnsi="Times New Roman" w:eastAsia="宋体" w:cs="Times New Roman"/>
                <w:color w:val="auto"/>
                <w:sz w:val="21"/>
                <w:szCs w:val="21"/>
                <w:u w:val="none" w:color="auto"/>
                <w:lang w:eastAsia="zh-CN"/>
              </w:rPr>
              <w:t>、厂房隔音</w:t>
            </w:r>
          </w:p>
        </w:tc>
        <w:tc>
          <w:tcPr>
            <w:tcW w:w="765" w:type="pct"/>
            <w:tcBorders>
              <w:tl2br w:val="nil"/>
              <w:tr2bl w:val="nil"/>
            </w:tcBorders>
            <w:noWrap w:val="0"/>
            <w:tcMar>
              <w:left w:w="28" w:type="dxa"/>
              <w:right w:w="28" w:type="dxa"/>
            </w:tcMar>
            <w:vAlign w:val="center"/>
          </w:tcPr>
          <w:p>
            <w:pPr>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15~20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425" w:type="pct"/>
            <w:tcBorders>
              <w:tl2br w:val="nil"/>
              <w:tr2bl w:val="nil"/>
            </w:tcBorders>
            <w:shd w:val="clear" w:color="auto" w:fill="auto"/>
            <w:noWrap w:val="0"/>
            <w:tcMar>
              <w:left w:w="28" w:type="dxa"/>
              <w:right w:w="28" w:type="dxa"/>
            </w:tcMar>
            <w:vAlign w:val="center"/>
          </w:tcPr>
          <w:p>
            <w:pPr>
              <w:contextualSpacing/>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4</w:t>
            </w:r>
          </w:p>
        </w:tc>
        <w:tc>
          <w:tcPr>
            <w:tcW w:w="998" w:type="pct"/>
            <w:tcBorders>
              <w:tl2br w:val="nil"/>
              <w:tr2bl w:val="nil"/>
            </w:tcBorders>
            <w:shd w:val="clear" w:color="000000" w:fill="FFFFFF"/>
            <w:noWrap w:val="0"/>
            <w:tcMar>
              <w:left w:w="28" w:type="dxa"/>
              <w:right w:w="28" w:type="dxa"/>
            </w:tcMar>
            <w:vAlign w:val="center"/>
          </w:tcPr>
          <w:p>
            <w:pPr>
              <w:spacing w:line="240" w:lineRule="auto"/>
              <w:jc w:val="center"/>
              <w:rPr>
                <w:rFonts w:hint="default" w:ascii="Times New Roman" w:hAnsi="Times New Roman" w:eastAsia="宋体" w:cs="Times New Roman"/>
                <w:color w:val="auto"/>
                <w:sz w:val="21"/>
                <w:szCs w:val="21"/>
                <w:u w:val="none" w:color="auto"/>
              </w:rPr>
            </w:pPr>
            <w:r>
              <w:rPr>
                <w:rFonts w:hint="eastAsia" w:ascii="Times New Roman" w:hAnsi="Times New Roman" w:eastAsia="宋体" w:cs="Times New Roman"/>
                <w:color w:val="auto"/>
                <w:sz w:val="21"/>
                <w:szCs w:val="21"/>
                <w:u w:val="none" w:color="auto"/>
                <w:lang w:eastAsia="zh-CN"/>
              </w:rPr>
              <w:t>风机</w:t>
            </w:r>
          </w:p>
        </w:tc>
        <w:tc>
          <w:tcPr>
            <w:tcW w:w="618" w:type="pct"/>
            <w:tcBorders>
              <w:tl2br w:val="nil"/>
              <w:tr2bl w:val="nil"/>
            </w:tcBorders>
            <w:shd w:val="clear" w:color="000000" w:fill="FFFFFF"/>
            <w:noWrap w:val="0"/>
            <w:tcMar>
              <w:left w:w="28" w:type="dxa"/>
              <w:right w:w="28" w:type="dxa"/>
            </w:tcMar>
            <w:vAlign w:val="center"/>
          </w:tcPr>
          <w:p>
            <w:pPr>
              <w:spacing w:line="240" w:lineRule="auto"/>
              <w:jc w:val="center"/>
              <w:rPr>
                <w:rFonts w:hint="eastAsia" w:ascii="Times New Roman" w:hAnsi="Times New Roman" w:eastAsia="宋体" w:cs="Times New Roman"/>
                <w:color w:val="auto"/>
                <w:sz w:val="21"/>
                <w:szCs w:val="21"/>
                <w:u w:val="none" w:color="auto"/>
                <w:lang w:eastAsia="zh-CN"/>
              </w:rPr>
            </w:pPr>
            <w:r>
              <w:rPr>
                <w:rFonts w:hint="eastAsia" w:ascii="Times New Roman" w:hAnsi="Times New Roman" w:eastAsia="宋体" w:cs="Times New Roman"/>
                <w:color w:val="auto"/>
                <w:sz w:val="21"/>
                <w:szCs w:val="21"/>
                <w:u w:val="none" w:color="auto"/>
                <w:lang w:val="en-US" w:eastAsia="zh-CN"/>
              </w:rPr>
              <w:t>5</w:t>
            </w:r>
          </w:p>
        </w:tc>
        <w:tc>
          <w:tcPr>
            <w:tcW w:w="777" w:type="pct"/>
            <w:tcBorders>
              <w:tl2br w:val="nil"/>
              <w:tr2bl w:val="nil"/>
            </w:tcBorders>
            <w:noWrap w:val="0"/>
            <w:tcMar>
              <w:left w:w="28" w:type="dxa"/>
              <w:right w:w="28" w:type="dxa"/>
            </w:tcMar>
            <w:vAlign w:val="center"/>
          </w:tcPr>
          <w:p>
            <w:pPr>
              <w:spacing w:line="240" w:lineRule="auto"/>
              <w:jc w:val="center"/>
              <w:rPr>
                <w:rFonts w:hint="default"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zh-CN"/>
              </w:rPr>
              <w:t>75-90</w:t>
            </w:r>
          </w:p>
        </w:tc>
        <w:tc>
          <w:tcPr>
            <w:tcW w:w="1414" w:type="pct"/>
            <w:tcBorders>
              <w:tl2br w:val="nil"/>
              <w:tr2bl w:val="nil"/>
            </w:tcBorders>
            <w:noWrap w:val="0"/>
            <w:tcMar>
              <w:left w:w="28" w:type="dxa"/>
              <w:right w:w="28" w:type="dxa"/>
            </w:tcMar>
            <w:vAlign w:val="center"/>
          </w:tcPr>
          <w:p>
            <w:pPr>
              <w:spacing w:line="240" w:lineRule="auto"/>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eastAsia="zh-CN"/>
              </w:rPr>
              <w:t>经</w:t>
            </w:r>
            <w:r>
              <w:rPr>
                <w:rFonts w:hint="default" w:ascii="Times New Roman" w:hAnsi="Times New Roman" w:eastAsia="宋体" w:cs="Times New Roman"/>
                <w:color w:val="auto"/>
                <w:sz w:val="21"/>
                <w:szCs w:val="21"/>
                <w:u w:val="none" w:color="auto"/>
              </w:rPr>
              <w:t>减震</w:t>
            </w: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rPr>
              <w:t>降噪</w:t>
            </w:r>
            <w:r>
              <w:rPr>
                <w:rFonts w:hint="default" w:ascii="Times New Roman" w:hAnsi="Times New Roman" w:eastAsia="宋体" w:cs="Times New Roman"/>
                <w:color w:val="auto"/>
                <w:sz w:val="21"/>
                <w:szCs w:val="21"/>
                <w:u w:val="none" w:color="auto"/>
                <w:lang w:eastAsia="zh-CN"/>
              </w:rPr>
              <w:t>、厂房隔音</w:t>
            </w:r>
          </w:p>
        </w:tc>
        <w:tc>
          <w:tcPr>
            <w:tcW w:w="765" w:type="pct"/>
            <w:tcBorders>
              <w:tl2br w:val="nil"/>
              <w:tr2bl w:val="nil"/>
            </w:tcBorders>
            <w:noWrap w:val="0"/>
            <w:tcMar>
              <w:left w:w="28" w:type="dxa"/>
              <w:right w:w="28" w:type="dxa"/>
            </w:tcMar>
            <w:vAlign w:val="center"/>
          </w:tcPr>
          <w:p>
            <w:pPr>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15~20</w:t>
            </w:r>
          </w:p>
        </w:tc>
      </w:tr>
    </w:tbl>
    <w:p>
      <w:pPr>
        <w:pStyle w:val="22"/>
        <w:ind w:firstLine="472" w:firstLineChars="196"/>
        <w:rPr>
          <w:color w:val="auto"/>
          <w:sz w:val="24"/>
        </w:rPr>
      </w:pPr>
    </w:p>
    <w:p>
      <w:pPr>
        <w:spacing w:line="520" w:lineRule="exact"/>
        <w:rPr>
          <w:b/>
          <w:color w:val="auto"/>
          <w:sz w:val="24"/>
        </w:rPr>
      </w:pPr>
      <w:bookmarkStart w:id="160" w:name="_Toc171782164"/>
      <w:r>
        <w:rPr>
          <w:rFonts w:hint="eastAsia"/>
          <w:b/>
          <w:color w:val="auto"/>
          <w:sz w:val="24"/>
        </w:rPr>
        <w:t xml:space="preserve">3.3.4 </w:t>
      </w:r>
      <w:r>
        <w:rPr>
          <w:b/>
          <w:color w:val="auto"/>
          <w:sz w:val="24"/>
        </w:rPr>
        <w:t>固体废物</w:t>
      </w:r>
      <w:bookmarkEnd w:id="160"/>
    </w:p>
    <w:p>
      <w:pPr>
        <w:adjustRightInd w:val="0"/>
        <w:snapToGrid w:val="0"/>
        <w:spacing w:line="520" w:lineRule="exact"/>
        <w:ind w:firstLine="480" w:firstLineChars="200"/>
        <w:rPr>
          <w:rFonts w:hint="eastAsia"/>
          <w:color w:val="auto"/>
          <w:sz w:val="24"/>
        </w:rPr>
      </w:pPr>
      <w:r>
        <w:rPr>
          <w:rFonts w:hint="eastAsia"/>
          <w:color w:val="auto"/>
          <w:sz w:val="24"/>
        </w:rPr>
        <w:t>根据工程分析，本项目固废包括一般工业固废</w:t>
      </w:r>
      <w:r>
        <w:rPr>
          <w:rFonts w:hint="eastAsia"/>
          <w:color w:val="auto"/>
          <w:sz w:val="24"/>
          <w:lang w:eastAsia="zh-CN"/>
        </w:rPr>
        <w:t>、危险废物及生活垃圾</w:t>
      </w:r>
      <w:r>
        <w:rPr>
          <w:rFonts w:hint="eastAsia"/>
          <w:color w:val="auto"/>
          <w:sz w:val="24"/>
        </w:rPr>
        <w:t>，一般工业固废为</w:t>
      </w:r>
      <w:r>
        <w:rPr>
          <w:rFonts w:hint="eastAsia"/>
          <w:color w:val="auto"/>
          <w:sz w:val="24"/>
          <w:lang w:eastAsia="zh-CN"/>
        </w:rPr>
        <w:t>回收乙酸乙酯、</w:t>
      </w:r>
      <w:r>
        <w:rPr>
          <w:rFonts w:hint="eastAsia"/>
          <w:color w:val="auto"/>
          <w:sz w:val="24"/>
        </w:rPr>
        <w:t>金属边角料</w:t>
      </w:r>
      <w:r>
        <w:rPr>
          <w:rFonts w:hint="eastAsia"/>
          <w:color w:val="auto"/>
          <w:sz w:val="24"/>
          <w:lang w:eastAsia="zh-CN"/>
        </w:rPr>
        <w:t>；危险废物为废活性炭</w:t>
      </w:r>
      <w:r>
        <w:rPr>
          <w:rFonts w:hint="eastAsia"/>
          <w:color w:val="auto"/>
          <w:sz w:val="24"/>
        </w:rPr>
        <w:t>。</w:t>
      </w:r>
    </w:p>
    <w:p>
      <w:pPr>
        <w:adjustRightInd w:val="0"/>
        <w:snapToGrid w:val="0"/>
        <w:spacing w:line="520" w:lineRule="exact"/>
        <w:ind w:firstLine="480" w:firstLineChars="200"/>
        <w:rPr>
          <w:color w:val="auto"/>
          <w:kern w:val="0"/>
          <w:sz w:val="24"/>
        </w:rPr>
      </w:pPr>
      <w:r>
        <w:rPr>
          <w:rFonts w:hint="eastAsia"/>
          <w:color w:val="auto"/>
          <w:kern w:val="0"/>
          <w:sz w:val="24"/>
        </w:rPr>
        <w:t>根据建设单位提供的资料分析，</w:t>
      </w:r>
      <w:r>
        <w:rPr>
          <w:color w:val="auto"/>
          <w:kern w:val="0"/>
          <w:sz w:val="24"/>
        </w:rPr>
        <w:t>本项目各类固废产生情况见下表：</w:t>
      </w:r>
    </w:p>
    <w:p>
      <w:pPr>
        <w:adjustRightInd w:val="0"/>
        <w:snapToGrid w:val="0"/>
        <w:spacing w:line="520" w:lineRule="exact"/>
        <w:ind w:firstLine="477" w:firstLineChars="198"/>
        <w:jc w:val="center"/>
        <w:rPr>
          <w:b/>
          <w:color w:val="auto"/>
          <w:kern w:val="0"/>
          <w:sz w:val="24"/>
        </w:rPr>
      </w:pPr>
      <w:r>
        <w:rPr>
          <w:b/>
          <w:color w:val="auto"/>
          <w:kern w:val="0"/>
          <w:sz w:val="24"/>
        </w:rPr>
        <w:t>表</w:t>
      </w:r>
      <w:r>
        <w:rPr>
          <w:rFonts w:hint="eastAsia"/>
          <w:b/>
          <w:color w:val="auto"/>
          <w:kern w:val="0"/>
          <w:sz w:val="24"/>
          <w:lang w:val="en-US" w:eastAsia="zh-CN"/>
        </w:rPr>
        <w:t>3-10</w:t>
      </w:r>
      <w:r>
        <w:rPr>
          <w:rFonts w:hint="eastAsia"/>
          <w:b/>
          <w:color w:val="auto"/>
          <w:kern w:val="0"/>
          <w:sz w:val="24"/>
        </w:rPr>
        <w:t xml:space="preserve">   </w:t>
      </w:r>
      <w:r>
        <w:rPr>
          <w:b/>
          <w:color w:val="auto"/>
          <w:kern w:val="0"/>
          <w:sz w:val="24"/>
        </w:rPr>
        <w:t>本项目固体废物产排情况</w:t>
      </w:r>
    </w:p>
    <w:tbl>
      <w:tblPr>
        <w:tblStyle w:val="5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45"/>
        <w:gridCol w:w="1847"/>
        <w:gridCol w:w="1308"/>
        <w:gridCol w:w="1133"/>
        <w:gridCol w:w="924"/>
        <w:gridCol w:w="25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45" w:type="dxa"/>
            <w:tcBorders>
              <w:tl2br w:val="nil"/>
              <w:tr2bl w:val="nil"/>
            </w:tcBorders>
            <w:noWrap w:val="0"/>
            <w:vAlign w:val="center"/>
          </w:tcPr>
          <w:p>
            <w:pPr>
              <w:jc w:val="center"/>
              <w:rPr>
                <w:color w:val="auto"/>
                <w:szCs w:val="21"/>
              </w:rPr>
            </w:pPr>
            <w:r>
              <w:rPr>
                <w:color w:val="auto"/>
                <w:szCs w:val="21"/>
              </w:rPr>
              <w:t>类别</w:t>
            </w:r>
          </w:p>
        </w:tc>
        <w:tc>
          <w:tcPr>
            <w:tcW w:w="1847" w:type="dxa"/>
            <w:tcBorders>
              <w:tl2br w:val="nil"/>
              <w:tr2bl w:val="nil"/>
            </w:tcBorders>
            <w:noWrap w:val="0"/>
            <w:vAlign w:val="center"/>
          </w:tcPr>
          <w:p>
            <w:pPr>
              <w:jc w:val="center"/>
              <w:rPr>
                <w:color w:val="auto"/>
                <w:szCs w:val="21"/>
              </w:rPr>
            </w:pPr>
            <w:r>
              <w:rPr>
                <w:color w:val="auto"/>
                <w:szCs w:val="21"/>
              </w:rPr>
              <w:t>名称</w:t>
            </w:r>
          </w:p>
        </w:tc>
        <w:tc>
          <w:tcPr>
            <w:tcW w:w="1308" w:type="dxa"/>
            <w:tcBorders>
              <w:tl2br w:val="nil"/>
              <w:tr2bl w:val="nil"/>
            </w:tcBorders>
            <w:noWrap w:val="0"/>
            <w:vAlign w:val="center"/>
          </w:tcPr>
          <w:p>
            <w:pPr>
              <w:jc w:val="center"/>
              <w:rPr>
                <w:rFonts w:hint="eastAsia"/>
                <w:color w:val="auto"/>
                <w:szCs w:val="21"/>
              </w:rPr>
            </w:pPr>
            <w:r>
              <w:rPr>
                <w:rFonts w:hint="eastAsia"/>
                <w:color w:val="auto"/>
                <w:szCs w:val="21"/>
                <w:lang w:eastAsia="zh-CN"/>
              </w:rPr>
              <w:t>废物</w:t>
            </w:r>
            <w:r>
              <w:rPr>
                <w:rFonts w:hint="eastAsia"/>
                <w:color w:val="auto"/>
                <w:szCs w:val="21"/>
              </w:rPr>
              <w:t>代码</w:t>
            </w:r>
          </w:p>
        </w:tc>
        <w:tc>
          <w:tcPr>
            <w:tcW w:w="1133" w:type="dxa"/>
            <w:tcBorders>
              <w:tl2br w:val="nil"/>
              <w:tr2bl w:val="nil"/>
            </w:tcBorders>
            <w:noWrap w:val="0"/>
            <w:vAlign w:val="center"/>
          </w:tcPr>
          <w:p>
            <w:pPr>
              <w:jc w:val="center"/>
              <w:rPr>
                <w:color w:val="auto"/>
                <w:szCs w:val="21"/>
              </w:rPr>
            </w:pPr>
            <w:r>
              <w:rPr>
                <w:color w:val="auto"/>
                <w:szCs w:val="21"/>
              </w:rPr>
              <w:t>产生量</w:t>
            </w:r>
          </w:p>
          <w:p>
            <w:pPr>
              <w:jc w:val="center"/>
              <w:rPr>
                <w:color w:val="auto"/>
                <w:szCs w:val="21"/>
              </w:rPr>
            </w:pPr>
            <w:r>
              <w:rPr>
                <w:color w:val="auto"/>
                <w:szCs w:val="21"/>
              </w:rPr>
              <w:t>(t/a)</w:t>
            </w:r>
          </w:p>
        </w:tc>
        <w:tc>
          <w:tcPr>
            <w:tcW w:w="924" w:type="dxa"/>
            <w:tcBorders>
              <w:tl2br w:val="nil"/>
              <w:tr2bl w:val="nil"/>
            </w:tcBorders>
            <w:noWrap w:val="0"/>
            <w:vAlign w:val="center"/>
          </w:tcPr>
          <w:p>
            <w:pPr>
              <w:jc w:val="center"/>
              <w:rPr>
                <w:color w:val="auto"/>
                <w:szCs w:val="21"/>
              </w:rPr>
            </w:pPr>
            <w:r>
              <w:rPr>
                <w:color w:val="auto"/>
                <w:szCs w:val="21"/>
              </w:rPr>
              <w:t>含水率</w:t>
            </w:r>
          </w:p>
          <w:p>
            <w:pPr>
              <w:jc w:val="center"/>
              <w:rPr>
                <w:color w:val="auto"/>
                <w:szCs w:val="21"/>
              </w:rPr>
            </w:pPr>
            <w:r>
              <w:rPr>
                <w:color w:val="auto"/>
                <w:szCs w:val="21"/>
              </w:rPr>
              <w:t>(%)</w:t>
            </w:r>
          </w:p>
        </w:tc>
        <w:tc>
          <w:tcPr>
            <w:tcW w:w="2581" w:type="dxa"/>
            <w:tcBorders>
              <w:tl2br w:val="nil"/>
              <w:tr2bl w:val="nil"/>
            </w:tcBorders>
            <w:noWrap w:val="0"/>
            <w:vAlign w:val="center"/>
          </w:tcPr>
          <w:p>
            <w:pPr>
              <w:jc w:val="center"/>
              <w:rPr>
                <w:color w:val="auto"/>
                <w:szCs w:val="21"/>
              </w:rPr>
            </w:pPr>
            <w:r>
              <w:rPr>
                <w:color w:val="auto"/>
                <w:szCs w:val="21"/>
              </w:rPr>
              <w:t>处理处置方式及其数量</w:t>
            </w:r>
          </w:p>
          <w:p>
            <w:pPr>
              <w:jc w:val="center"/>
              <w:rPr>
                <w:color w:val="auto"/>
                <w:szCs w:val="21"/>
              </w:rPr>
            </w:pPr>
            <w:r>
              <w:rPr>
                <w:color w:val="auto"/>
                <w:szCs w:val="21"/>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5" w:type="dxa"/>
            <w:vMerge w:val="restart"/>
            <w:tcBorders>
              <w:tl2br w:val="nil"/>
              <w:tr2bl w:val="nil"/>
            </w:tcBorders>
            <w:noWrap w:val="0"/>
            <w:vAlign w:val="center"/>
          </w:tcPr>
          <w:p>
            <w:pPr>
              <w:jc w:val="center"/>
              <w:rPr>
                <w:rFonts w:hint="eastAsia"/>
                <w:color w:val="auto"/>
                <w:szCs w:val="21"/>
              </w:rPr>
            </w:pPr>
            <w:r>
              <w:rPr>
                <w:rFonts w:hint="eastAsia"/>
                <w:color w:val="auto"/>
                <w:szCs w:val="21"/>
              </w:rPr>
              <w:t>一般</w:t>
            </w:r>
          </w:p>
          <w:p>
            <w:pPr>
              <w:jc w:val="center"/>
              <w:rPr>
                <w:rFonts w:hint="eastAsia"/>
                <w:color w:val="auto"/>
                <w:szCs w:val="21"/>
              </w:rPr>
            </w:pPr>
            <w:r>
              <w:rPr>
                <w:rFonts w:hint="eastAsia"/>
                <w:color w:val="auto"/>
                <w:szCs w:val="21"/>
              </w:rPr>
              <w:t>固废</w:t>
            </w:r>
          </w:p>
        </w:tc>
        <w:tc>
          <w:tcPr>
            <w:tcW w:w="1847" w:type="dxa"/>
            <w:tcBorders>
              <w:tl2br w:val="nil"/>
              <w:tr2bl w:val="nil"/>
            </w:tcBorders>
            <w:noWrap w:val="0"/>
            <w:vAlign w:val="center"/>
          </w:tcPr>
          <w:p>
            <w:pPr>
              <w:jc w:val="center"/>
              <w:rPr>
                <w:rFonts w:hint="eastAsia" w:eastAsia="宋体"/>
                <w:color w:val="auto"/>
                <w:szCs w:val="21"/>
                <w:lang w:eastAsia="zh-CN"/>
              </w:rPr>
            </w:pPr>
            <w:r>
              <w:rPr>
                <w:rFonts w:hint="eastAsia" w:eastAsia="宋体"/>
                <w:color w:val="auto"/>
                <w:szCs w:val="21"/>
                <w:lang w:eastAsia="zh-CN"/>
              </w:rPr>
              <w:t>回收乙酸丁酯</w:t>
            </w:r>
          </w:p>
        </w:tc>
        <w:tc>
          <w:tcPr>
            <w:tcW w:w="1308" w:type="dxa"/>
            <w:tcBorders>
              <w:tl2br w:val="nil"/>
              <w:tr2bl w:val="nil"/>
            </w:tcBorders>
            <w:noWrap w:val="0"/>
            <w:vAlign w:val="center"/>
          </w:tcPr>
          <w:p>
            <w:pPr>
              <w:jc w:val="center"/>
              <w:rPr>
                <w:rFonts w:hint="eastAsia" w:eastAsia="宋体"/>
                <w:color w:val="auto"/>
                <w:szCs w:val="21"/>
                <w:lang w:eastAsia="zh-CN"/>
              </w:rPr>
            </w:pPr>
            <w:r>
              <w:rPr>
                <w:rFonts w:hint="eastAsia"/>
                <w:color w:val="auto"/>
                <w:szCs w:val="21"/>
              </w:rPr>
              <w:t>/</w:t>
            </w:r>
          </w:p>
        </w:tc>
        <w:tc>
          <w:tcPr>
            <w:tcW w:w="1133" w:type="dxa"/>
            <w:tcBorders>
              <w:tl2br w:val="nil"/>
              <w:tr2bl w:val="nil"/>
            </w:tcBorders>
            <w:noWrap w:val="0"/>
            <w:vAlign w:val="center"/>
          </w:tcPr>
          <w:p>
            <w:pPr>
              <w:jc w:val="center"/>
              <w:rPr>
                <w:rFonts w:hint="eastAsia" w:eastAsia="宋体"/>
                <w:color w:val="auto"/>
                <w:szCs w:val="21"/>
                <w:lang w:val="en-US" w:eastAsia="zh-CN"/>
              </w:rPr>
            </w:pPr>
            <w:r>
              <w:rPr>
                <w:rFonts w:hint="eastAsia" w:eastAsia="宋体"/>
                <w:color w:val="auto"/>
                <w:szCs w:val="21"/>
                <w:lang w:val="en-US" w:eastAsia="zh-CN"/>
              </w:rPr>
              <w:t>5</w:t>
            </w:r>
          </w:p>
        </w:tc>
        <w:tc>
          <w:tcPr>
            <w:tcW w:w="924" w:type="dxa"/>
            <w:tcBorders>
              <w:tl2br w:val="nil"/>
              <w:tr2bl w:val="nil"/>
            </w:tcBorders>
            <w:noWrap w:val="0"/>
            <w:vAlign w:val="center"/>
          </w:tcPr>
          <w:p>
            <w:pPr>
              <w:jc w:val="center"/>
              <w:rPr>
                <w:color w:val="auto"/>
                <w:szCs w:val="21"/>
              </w:rPr>
            </w:pPr>
            <w:r>
              <w:rPr>
                <w:color w:val="auto"/>
                <w:szCs w:val="21"/>
              </w:rPr>
              <w:t>—</w:t>
            </w:r>
          </w:p>
        </w:tc>
        <w:tc>
          <w:tcPr>
            <w:tcW w:w="2581" w:type="dxa"/>
            <w:tcBorders>
              <w:tl2br w:val="nil"/>
              <w:tr2bl w:val="nil"/>
            </w:tcBorders>
            <w:noWrap w:val="0"/>
            <w:vAlign w:val="center"/>
          </w:tcPr>
          <w:p>
            <w:pPr>
              <w:jc w:val="center"/>
              <w:rPr>
                <w:rFonts w:hint="eastAsia" w:eastAsia="宋体"/>
                <w:color w:val="auto"/>
                <w:szCs w:val="21"/>
                <w:lang w:eastAsia="zh-CN"/>
              </w:rPr>
            </w:pPr>
            <w:r>
              <w:rPr>
                <w:rFonts w:hint="eastAsia"/>
                <w:color w:val="auto"/>
                <w:szCs w:val="21"/>
                <w:lang w:eastAsia="zh-CN"/>
              </w:rPr>
              <w:t>收集后回用于生产</w:t>
            </w:r>
            <w:r>
              <w:rPr>
                <w:rFonts w:hint="eastAsia"/>
                <w:color w:val="auto"/>
                <w:szCs w:val="21"/>
                <w:lang w:val="en-US" w:eastAsia="zh-CN"/>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5" w:type="dxa"/>
            <w:vMerge w:val="continue"/>
            <w:tcBorders>
              <w:tl2br w:val="nil"/>
              <w:tr2bl w:val="nil"/>
            </w:tcBorders>
            <w:noWrap w:val="0"/>
            <w:vAlign w:val="center"/>
          </w:tcPr>
          <w:p>
            <w:pPr>
              <w:jc w:val="center"/>
              <w:rPr>
                <w:rFonts w:hint="eastAsia"/>
                <w:color w:val="auto"/>
                <w:szCs w:val="21"/>
              </w:rPr>
            </w:pPr>
          </w:p>
        </w:tc>
        <w:tc>
          <w:tcPr>
            <w:tcW w:w="1847" w:type="dxa"/>
            <w:tcBorders>
              <w:tl2br w:val="nil"/>
              <w:tr2bl w:val="nil"/>
            </w:tcBorders>
            <w:noWrap w:val="0"/>
            <w:vAlign w:val="center"/>
          </w:tcPr>
          <w:p>
            <w:pPr>
              <w:jc w:val="center"/>
              <w:rPr>
                <w:rFonts w:hint="eastAsia" w:eastAsia="宋体"/>
                <w:color w:val="auto"/>
                <w:szCs w:val="21"/>
                <w:lang w:eastAsia="zh-CN"/>
              </w:rPr>
            </w:pPr>
            <w:r>
              <w:rPr>
                <w:rFonts w:hint="eastAsia"/>
                <w:color w:val="auto"/>
                <w:szCs w:val="21"/>
                <w:lang w:eastAsia="zh-CN"/>
              </w:rPr>
              <w:t>金属边角料</w:t>
            </w:r>
          </w:p>
        </w:tc>
        <w:tc>
          <w:tcPr>
            <w:tcW w:w="1308" w:type="dxa"/>
            <w:tcBorders>
              <w:tl2br w:val="nil"/>
              <w:tr2bl w:val="nil"/>
            </w:tcBorders>
            <w:noWrap w:val="0"/>
            <w:vAlign w:val="center"/>
          </w:tcPr>
          <w:p>
            <w:pPr>
              <w:jc w:val="center"/>
              <w:rPr>
                <w:rFonts w:hint="eastAsia" w:eastAsia="宋体"/>
                <w:color w:val="auto"/>
                <w:szCs w:val="21"/>
                <w:lang w:val="en-US" w:eastAsia="zh-CN"/>
              </w:rPr>
            </w:pPr>
            <w:r>
              <w:rPr>
                <w:rFonts w:hint="eastAsia"/>
                <w:color w:val="auto"/>
                <w:szCs w:val="21"/>
                <w:lang w:val="en-US" w:eastAsia="zh-CN"/>
              </w:rPr>
              <w:t>/</w:t>
            </w:r>
          </w:p>
        </w:tc>
        <w:tc>
          <w:tcPr>
            <w:tcW w:w="1133" w:type="dxa"/>
            <w:tcBorders>
              <w:tl2br w:val="nil"/>
              <w:tr2bl w:val="nil"/>
            </w:tcBorders>
            <w:noWrap w:val="0"/>
            <w:vAlign w:val="center"/>
          </w:tcPr>
          <w:p>
            <w:pPr>
              <w:jc w:val="center"/>
              <w:rPr>
                <w:rFonts w:hint="eastAsia" w:eastAsia="宋体"/>
                <w:color w:val="auto"/>
                <w:szCs w:val="21"/>
                <w:lang w:val="en-US" w:eastAsia="zh-CN"/>
              </w:rPr>
            </w:pPr>
            <w:r>
              <w:rPr>
                <w:rFonts w:hint="eastAsia"/>
                <w:color w:val="auto"/>
                <w:szCs w:val="21"/>
                <w:lang w:val="en-US" w:eastAsia="zh-CN"/>
              </w:rPr>
              <w:t>1.2</w:t>
            </w:r>
          </w:p>
        </w:tc>
        <w:tc>
          <w:tcPr>
            <w:tcW w:w="924" w:type="dxa"/>
            <w:tcBorders>
              <w:tl2br w:val="nil"/>
              <w:tr2bl w:val="nil"/>
            </w:tcBorders>
            <w:noWrap w:val="0"/>
            <w:vAlign w:val="center"/>
          </w:tcPr>
          <w:p>
            <w:pPr>
              <w:jc w:val="center"/>
              <w:rPr>
                <w:color w:val="auto"/>
                <w:szCs w:val="21"/>
              </w:rPr>
            </w:pPr>
            <w:r>
              <w:rPr>
                <w:color w:val="auto"/>
                <w:szCs w:val="21"/>
              </w:rPr>
              <w:t>—</w:t>
            </w:r>
          </w:p>
        </w:tc>
        <w:tc>
          <w:tcPr>
            <w:tcW w:w="2581" w:type="dxa"/>
            <w:tcBorders>
              <w:tl2br w:val="nil"/>
              <w:tr2bl w:val="nil"/>
            </w:tcBorders>
            <w:noWrap w:val="0"/>
            <w:vAlign w:val="center"/>
          </w:tcPr>
          <w:p>
            <w:pPr>
              <w:jc w:val="center"/>
              <w:rPr>
                <w:color w:val="auto"/>
                <w:szCs w:val="21"/>
              </w:rPr>
            </w:pPr>
            <w:r>
              <w:rPr>
                <w:rFonts w:hint="eastAsia"/>
                <w:color w:val="auto"/>
                <w:szCs w:val="21"/>
                <w:lang w:eastAsia="zh-CN"/>
              </w:rPr>
              <w:t>外售物资回收部门</w:t>
            </w:r>
            <w:r>
              <w:rPr>
                <w:rFonts w:hint="eastAsia"/>
                <w:color w:val="auto"/>
                <w:szCs w:val="21"/>
                <w:lang w:val="en-US" w:eastAsia="zh-CN"/>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5" w:type="dxa"/>
            <w:tcBorders>
              <w:tl2br w:val="nil"/>
              <w:tr2bl w:val="nil"/>
            </w:tcBorders>
            <w:noWrap w:val="0"/>
            <w:vAlign w:val="center"/>
          </w:tcPr>
          <w:p>
            <w:pPr>
              <w:jc w:val="center"/>
              <w:rPr>
                <w:rFonts w:hint="eastAsia" w:eastAsia="宋体"/>
                <w:color w:val="auto"/>
                <w:szCs w:val="21"/>
                <w:lang w:eastAsia="zh-CN"/>
              </w:rPr>
            </w:pPr>
            <w:r>
              <w:rPr>
                <w:rFonts w:hint="eastAsia"/>
                <w:color w:val="auto"/>
                <w:szCs w:val="21"/>
                <w:lang w:eastAsia="zh-CN"/>
              </w:rPr>
              <w:t>危险废物</w:t>
            </w:r>
          </w:p>
        </w:tc>
        <w:tc>
          <w:tcPr>
            <w:tcW w:w="1847" w:type="dxa"/>
            <w:tcBorders>
              <w:tl2br w:val="nil"/>
              <w:tr2bl w:val="nil"/>
            </w:tcBorders>
            <w:noWrap w:val="0"/>
            <w:vAlign w:val="center"/>
          </w:tcPr>
          <w:p>
            <w:pPr>
              <w:adjustRightInd w:val="0"/>
              <w:snapToGrid w:val="0"/>
              <w:jc w:val="center"/>
              <w:rPr>
                <w:rFonts w:hint="eastAsia"/>
                <w:color w:val="auto"/>
                <w:szCs w:val="21"/>
                <w:lang w:eastAsia="zh-CN"/>
              </w:rPr>
            </w:pPr>
            <w:r>
              <w:rPr>
                <w:rFonts w:hint="eastAsia"/>
                <w:color w:val="auto"/>
                <w:szCs w:val="21"/>
              </w:rPr>
              <w:t>废活性炭</w:t>
            </w:r>
          </w:p>
        </w:tc>
        <w:tc>
          <w:tcPr>
            <w:tcW w:w="1308" w:type="dxa"/>
            <w:tcBorders>
              <w:tl2br w:val="nil"/>
              <w:tr2bl w:val="nil"/>
            </w:tcBorders>
            <w:noWrap w:val="0"/>
            <w:vAlign w:val="center"/>
          </w:tcPr>
          <w:p>
            <w:pPr>
              <w:jc w:val="center"/>
              <w:rPr>
                <w:rFonts w:hint="eastAsia"/>
                <w:color w:val="auto"/>
                <w:szCs w:val="21"/>
                <w:lang w:val="en-US" w:eastAsia="zh-CN"/>
              </w:rPr>
            </w:pPr>
            <w:r>
              <w:rPr>
                <w:rFonts w:hint="eastAsia" w:ascii="Times New Roman" w:hAnsi="Times New Roman" w:eastAsia="宋体" w:cs="Times New Roman"/>
                <w:color w:val="auto"/>
                <w:sz w:val="21"/>
                <w:szCs w:val="21"/>
                <w:lang w:val="en-US" w:eastAsia="zh-CN"/>
              </w:rPr>
              <w:t>900-405-06</w:t>
            </w:r>
          </w:p>
        </w:tc>
        <w:tc>
          <w:tcPr>
            <w:tcW w:w="1133" w:type="dxa"/>
            <w:tcBorders>
              <w:tl2br w:val="nil"/>
              <w:tr2bl w:val="nil"/>
            </w:tcBorders>
            <w:noWrap w:val="0"/>
            <w:vAlign w:val="center"/>
          </w:tcPr>
          <w:p>
            <w:pPr>
              <w:adjustRightInd w:val="0"/>
              <w:snapToGrid w:val="0"/>
              <w:jc w:val="center"/>
              <w:rPr>
                <w:rFonts w:hint="eastAsia" w:eastAsia="宋体"/>
                <w:color w:val="auto"/>
                <w:szCs w:val="21"/>
                <w:lang w:val="en-US" w:eastAsia="zh-CN"/>
              </w:rPr>
            </w:pPr>
            <w:r>
              <w:rPr>
                <w:rFonts w:hint="eastAsia"/>
                <w:color w:val="auto"/>
                <w:szCs w:val="21"/>
                <w:lang w:val="en-US" w:eastAsia="zh-CN"/>
              </w:rPr>
              <w:t>2</w:t>
            </w:r>
          </w:p>
        </w:tc>
        <w:tc>
          <w:tcPr>
            <w:tcW w:w="924" w:type="dxa"/>
            <w:tcBorders>
              <w:tl2br w:val="nil"/>
              <w:tr2bl w:val="nil"/>
            </w:tcBorders>
            <w:noWrap w:val="0"/>
            <w:vAlign w:val="center"/>
          </w:tcPr>
          <w:p>
            <w:pPr>
              <w:jc w:val="center"/>
              <w:rPr>
                <w:rFonts w:hint="eastAsia" w:eastAsia="宋体"/>
                <w:color w:val="auto"/>
                <w:szCs w:val="21"/>
                <w:lang w:eastAsia="zh-CN"/>
              </w:rPr>
            </w:pPr>
            <w:r>
              <w:rPr>
                <w:color w:val="auto"/>
                <w:szCs w:val="21"/>
              </w:rPr>
              <w:t>—</w:t>
            </w:r>
          </w:p>
        </w:tc>
        <w:tc>
          <w:tcPr>
            <w:tcW w:w="2581" w:type="dxa"/>
            <w:tcBorders>
              <w:tl2br w:val="nil"/>
              <w:tr2bl w:val="nil"/>
            </w:tcBorders>
            <w:noWrap w:val="0"/>
            <w:vAlign w:val="center"/>
          </w:tcPr>
          <w:p>
            <w:pPr>
              <w:jc w:val="center"/>
              <w:rPr>
                <w:rFonts w:hint="eastAsia"/>
                <w:color w:val="auto"/>
                <w:szCs w:val="21"/>
                <w:lang w:eastAsia="zh-CN"/>
              </w:rPr>
            </w:pPr>
            <w:r>
              <w:rPr>
                <w:rFonts w:hint="eastAsia"/>
                <w:color w:val="auto"/>
                <w:szCs w:val="21"/>
                <w:lang w:eastAsia="zh-CN"/>
              </w:rPr>
              <w:t>交有资质单位处置</w:t>
            </w:r>
            <w:r>
              <w:rPr>
                <w:rFonts w:hint="eastAsia"/>
                <w:color w:val="auto"/>
                <w:szCs w:val="21"/>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5" w:type="dxa"/>
            <w:tcBorders>
              <w:tl2br w:val="nil"/>
              <w:tr2bl w:val="nil"/>
            </w:tcBorders>
            <w:noWrap w:val="0"/>
            <w:vAlign w:val="center"/>
          </w:tcPr>
          <w:p>
            <w:pPr>
              <w:jc w:val="center"/>
              <w:rPr>
                <w:rFonts w:hint="eastAsia" w:eastAsia="宋体"/>
                <w:color w:val="auto"/>
                <w:szCs w:val="21"/>
                <w:lang w:eastAsia="zh-CN"/>
              </w:rPr>
            </w:pPr>
            <w:r>
              <w:rPr>
                <w:rFonts w:hint="eastAsia"/>
                <w:color w:val="auto"/>
                <w:szCs w:val="21"/>
                <w:lang w:eastAsia="zh-CN"/>
              </w:rPr>
              <w:t>生活垃圾</w:t>
            </w:r>
          </w:p>
        </w:tc>
        <w:tc>
          <w:tcPr>
            <w:tcW w:w="1847" w:type="dxa"/>
            <w:tcBorders>
              <w:tl2br w:val="nil"/>
              <w:tr2bl w:val="nil"/>
            </w:tcBorders>
            <w:noWrap w:val="0"/>
            <w:vAlign w:val="center"/>
          </w:tcPr>
          <w:p>
            <w:pPr>
              <w:jc w:val="center"/>
              <w:rPr>
                <w:rFonts w:hint="eastAsia" w:eastAsia="宋体"/>
                <w:color w:val="auto"/>
                <w:szCs w:val="21"/>
                <w:lang w:eastAsia="zh-CN"/>
              </w:rPr>
            </w:pPr>
            <w:r>
              <w:rPr>
                <w:rFonts w:hint="eastAsia"/>
                <w:color w:val="auto"/>
                <w:szCs w:val="21"/>
                <w:lang w:eastAsia="zh-CN"/>
              </w:rPr>
              <w:t>生活垃圾</w:t>
            </w:r>
          </w:p>
        </w:tc>
        <w:tc>
          <w:tcPr>
            <w:tcW w:w="1308" w:type="dxa"/>
            <w:tcBorders>
              <w:tl2br w:val="nil"/>
              <w:tr2bl w:val="nil"/>
            </w:tcBorders>
            <w:noWrap w:val="0"/>
            <w:vAlign w:val="center"/>
          </w:tcPr>
          <w:p>
            <w:pPr>
              <w:jc w:val="center"/>
              <w:rPr>
                <w:rFonts w:hint="eastAsia" w:eastAsia="宋体"/>
                <w:color w:val="auto"/>
                <w:szCs w:val="21"/>
                <w:lang w:val="en-US" w:eastAsia="zh-CN"/>
              </w:rPr>
            </w:pPr>
            <w:r>
              <w:rPr>
                <w:rFonts w:hint="eastAsia" w:eastAsia="宋体"/>
                <w:color w:val="auto"/>
                <w:szCs w:val="21"/>
                <w:lang w:val="en-US" w:eastAsia="zh-CN"/>
              </w:rPr>
              <w:t>/</w:t>
            </w:r>
          </w:p>
        </w:tc>
        <w:tc>
          <w:tcPr>
            <w:tcW w:w="1133" w:type="dxa"/>
            <w:tcBorders>
              <w:tl2br w:val="nil"/>
              <w:tr2bl w:val="nil"/>
            </w:tcBorders>
            <w:noWrap w:val="0"/>
            <w:vAlign w:val="center"/>
          </w:tcPr>
          <w:p>
            <w:pPr>
              <w:jc w:val="center"/>
              <w:rPr>
                <w:rFonts w:hint="eastAsia" w:eastAsia="宋体"/>
                <w:color w:val="auto"/>
                <w:szCs w:val="21"/>
                <w:lang w:val="en-US" w:eastAsia="zh-CN"/>
              </w:rPr>
            </w:pPr>
            <w:r>
              <w:rPr>
                <w:rFonts w:hint="eastAsia"/>
                <w:color w:val="auto"/>
                <w:szCs w:val="21"/>
                <w:lang w:val="en-US" w:eastAsia="zh-CN"/>
              </w:rPr>
              <w:t>19.2</w:t>
            </w:r>
          </w:p>
        </w:tc>
        <w:tc>
          <w:tcPr>
            <w:tcW w:w="924" w:type="dxa"/>
            <w:tcBorders>
              <w:tl2br w:val="nil"/>
              <w:tr2bl w:val="nil"/>
            </w:tcBorders>
            <w:noWrap w:val="0"/>
            <w:vAlign w:val="center"/>
          </w:tcPr>
          <w:p>
            <w:pPr>
              <w:jc w:val="center"/>
              <w:rPr>
                <w:rFonts w:hint="eastAsia" w:eastAsia="宋体"/>
                <w:color w:val="auto"/>
                <w:szCs w:val="21"/>
                <w:lang w:val="en-US" w:eastAsia="zh-CN"/>
              </w:rPr>
            </w:pPr>
            <w:r>
              <w:rPr>
                <w:rFonts w:hint="eastAsia"/>
                <w:color w:val="auto"/>
                <w:szCs w:val="21"/>
                <w:lang w:val="en-US" w:eastAsia="zh-CN"/>
              </w:rPr>
              <w:t>40%</w:t>
            </w:r>
          </w:p>
        </w:tc>
        <w:tc>
          <w:tcPr>
            <w:tcW w:w="2581" w:type="dxa"/>
            <w:tcBorders>
              <w:tl2br w:val="nil"/>
              <w:tr2bl w:val="nil"/>
            </w:tcBorders>
            <w:noWrap w:val="0"/>
            <w:vAlign w:val="center"/>
          </w:tcPr>
          <w:p>
            <w:pPr>
              <w:jc w:val="center"/>
              <w:rPr>
                <w:rFonts w:hint="eastAsia" w:eastAsia="宋体"/>
                <w:color w:val="auto"/>
                <w:szCs w:val="21"/>
                <w:lang w:eastAsia="zh-CN"/>
              </w:rPr>
            </w:pPr>
            <w:r>
              <w:rPr>
                <w:rFonts w:hint="eastAsia"/>
                <w:color w:val="auto"/>
                <w:szCs w:val="21"/>
                <w:lang w:eastAsia="zh-CN"/>
              </w:rPr>
              <w:t>交环卫部门统一清运</w:t>
            </w:r>
            <w:r>
              <w:rPr>
                <w:rFonts w:hint="eastAsia"/>
                <w:color w:val="auto"/>
                <w:szCs w:val="21"/>
                <w:lang w:val="en-US" w:eastAsia="zh-CN"/>
              </w:rPr>
              <w:t>19.2</w:t>
            </w:r>
          </w:p>
        </w:tc>
      </w:tr>
    </w:tbl>
    <w:p>
      <w:pPr>
        <w:pStyle w:val="5"/>
        <w:spacing w:before="0" w:after="0" w:line="520" w:lineRule="exact"/>
        <w:rPr>
          <w:b/>
          <w:color w:val="auto"/>
          <w:sz w:val="24"/>
        </w:rPr>
      </w:pPr>
      <w:bookmarkStart w:id="161" w:name="_Toc469517415"/>
      <w:bookmarkStart w:id="162" w:name="_Toc20575"/>
      <w:bookmarkStart w:id="163" w:name="_Toc11038"/>
      <w:r>
        <w:rPr>
          <w:color w:val="auto"/>
          <w:sz w:val="24"/>
          <w:szCs w:val="24"/>
        </w:rPr>
        <w:t>3.</w:t>
      </w:r>
      <w:r>
        <w:rPr>
          <w:rFonts w:hint="eastAsia"/>
          <w:color w:val="auto"/>
          <w:sz w:val="24"/>
          <w:szCs w:val="24"/>
        </w:rPr>
        <w:t>3</w:t>
      </w:r>
      <w:r>
        <w:rPr>
          <w:color w:val="auto"/>
          <w:sz w:val="24"/>
          <w:szCs w:val="24"/>
        </w:rPr>
        <w:t>.</w:t>
      </w:r>
      <w:r>
        <w:rPr>
          <w:rFonts w:hint="eastAsia"/>
          <w:color w:val="auto"/>
          <w:sz w:val="24"/>
          <w:szCs w:val="24"/>
        </w:rPr>
        <w:t>5</w:t>
      </w:r>
      <w:r>
        <w:rPr>
          <w:color w:val="auto"/>
          <w:sz w:val="24"/>
          <w:szCs w:val="24"/>
        </w:rPr>
        <w:t>污染物排放量汇总</w:t>
      </w:r>
    </w:p>
    <w:p>
      <w:pPr>
        <w:adjustRightInd w:val="0"/>
        <w:snapToGrid w:val="0"/>
        <w:spacing w:line="520" w:lineRule="exact"/>
        <w:jc w:val="center"/>
        <w:rPr>
          <w:b/>
          <w:color w:val="auto"/>
          <w:sz w:val="24"/>
        </w:rPr>
      </w:pPr>
      <w:r>
        <w:rPr>
          <w:b/>
          <w:color w:val="auto"/>
          <w:sz w:val="24"/>
        </w:rPr>
        <w:t>表3-</w:t>
      </w:r>
      <w:r>
        <w:rPr>
          <w:rFonts w:hint="eastAsia"/>
          <w:b/>
          <w:color w:val="auto"/>
          <w:sz w:val="24"/>
          <w:lang w:val="en-US" w:eastAsia="zh-CN"/>
        </w:rPr>
        <w:t>11</w:t>
      </w:r>
      <w:r>
        <w:rPr>
          <w:b/>
          <w:color w:val="auto"/>
          <w:sz w:val="24"/>
        </w:rPr>
        <w:t xml:space="preserve">   现有项目污染物排放</w:t>
      </w:r>
      <w:r>
        <w:rPr>
          <w:rFonts w:hint="eastAsia"/>
          <w:b/>
          <w:color w:val="auto"/>
          <w:sz w:val="24"/>
          <w:lang w:eastAsia="zh-CN"/>
        </w:rPr>
        <w:t>情况一览表</w:t>
      </w:r>
      <w:r>
        <w:rPr>
          <w:b/>
          <w:color w:val="auto"/>
          <w:sz w:val="24"/>
        </w:rPr>
        <w:t xml:space="preserve">   单位：t/a</w:t>
      </w:r>
    </w:p>
    <w:tbl>
      <w:tblPr>
        <w:tblStyle w:val="5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87"/>
        <w:gridCol w:w="1037"/>
        <w:gridCol w:w="1037"/>
        <w:gridCol w:w="1907"/>
        <w:gridCol w:w="1952"/>
        <w:gridCol w:w="20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987" w:type="dxa"/>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种类</w:t>
            </w:r>
          </w:p>
        </w:tc>
        <w:tc>
          <w:tcPr>
            <w:tcW w:w="2074" w:type="dxa"/>
            <w:gridSpan w:val="2"/>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污染物名称</w:t>
            </w:r>
          </w:p>
        </w:tc>
        <w:tc>
          <w:tcPr>
            <w:tcW w:w="1907" w:type="dxa"/>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产生量</w:t>
            </w:r>
          </w:p>
        </w:tc>
        <w:tc>
          <w:tcPr>
            <w:tcW w:w="1952" w:type="dxa"/>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削减量</w:t>
            </w:r>
          </w:p>
        </w:tc>
        <w:tc>
          <w:tcPr>
            <w:tcW w:w="2032" w:type="dxa"/>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排放量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987" w:type="dxa"/>
            <w:vMerge w:val="restart"/>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废水</w:t>
            </w:r>
          </w:p>
        </w:tc>
        <w:tc>
          <w:tcPr>
            <w:tcW w:w="2074" w:type="dxa"/>
            <w:gridSpan w:val="2"/>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废水量</w:t>
            </w:r>
          </w:p>
        </w:tc>
        <w:tc>
          <w:tcPr>
            <w:tcW w:w="1907" w:type="dxa"/>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eastAsia" w:ascii="Times New Roman" w:hAnsi="Times New Roman" w:eastAsia="宋体" w:cs="Times New Roman"/>
                <w:i w:val="0"/>
                <w:color w:val="000000"/>
                <w:kern w:val="0"/>
                <w:sz w:val="21"/>
                <w:szCs w:val="21"/>
                <w:u w:val="none"/>
                <w:lang w:val="en-US" w:eastAsia="zh-CN" w:bidi="ar"/>
              </w:rPr>
              <w:t>600</w:t>
            </w:r>
          </w:p>
        </w:tc>
        <w:tc>
          <w:tcPr>
            <w:tcW w:w="1952" w:type="dxa"/>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0</w:t>
            </w:r>
          </w:p>
        </w:tc>
        <w:tc>
          <w:tcPr>
            <w:tcW w:w="2032" w:type="dxa"/>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600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987" w:type="dxa"/>
            <w:vMerge w:val="continue"/>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p>
        </w:tc>
        <w:tc>
          <w:tcPr>
            <w:tcW w:w="2074" w:type="dxa"/>
            <w:gridSpan w:val="2"/>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COD</w:t>
            </w:r>
          </w:p>
        </w:tc>
        <w:tc>
          <w:tcPr>
            <w:tcW w:w="1907" w:type="dxa"/>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0.18</w:t>
            </w:r>
          </w:p>
        </w:tc>
        <w:tc>
          <w:tcPr>
            <w:tcW w:w="1952" w:type="dxa"/>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eastAsia" w:ascii="Times New Roman" w:hAnsi="Times New Roman" w:eastAsia="宋体" w:cs="Times New Roman"/>
                <w:i w:val="0"/>
                <w:color w:val="000000"/>
                <w:kern w:val="0"/>
                <w:sz w:val="21"/>
                <w:szCs w:val="21"/>
                <w:u w:val="none"/>
                <w:lang w:val="en-US" w:eastAsia="zh-CN" w:bidi="ar"/>
              </w:rPr>
              <w:t>0.12</w:t>
            </w:r>
          </w:p>
        </w:tc>
        <w:tc>
          <w:tcPr>
            <w:tcW w:w="2032" w:type="dxa"/>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0.06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987" w:type="dxa"/>
            <w:vMerge w:val="continue"/>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p>
        </w:tc>
        <w:tc>
          <w:tcPr>
            <w:tcW w:w="2074" w:type="dxa"/>
            <w:gridSpan w:val="2"/>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BOD</w:t>
            </w:r>
            <w:r>
              <w:rPr>
                <w:rFonts w:hint="default" w:ascii="Times New Roman" w:hAnsi="Times New Roman" w:eastAsia="宋体" w:cs="Times New Roman"/>
                <w:i w:val="0"/>
                <w:color w:val="000000"/>
                <w:kern w:val="0"/>
                <w:sz w:val="21"/>
                <w:szCs w:val="21"/>
                <w:u w:val="none"/>
                <w:vertAlign w:val="subscript"/>
                <w:lang w:val="en-US" w:eastAsia="zh-CN" w:bidi="ar"/>
              </w:rPr>
              <w:t>5</w:t>
            </w:r>
          </w:p>
        </w:tc>
        <w:tc>
          <w:tcPr>
            <w:tcW w:w="1907" w:type="dxa"/>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0.15</w:t>
            </w:r>
          </w:p>
        </w:tc>
        <w:tc>
          <w:tcPr>
            <w:tcW w:w="1952" w:type="dxa"/>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eastAsia" w:ascii="Times New Roman" w:hAnsi="Times New Roman" w:eastAsia="宋体" w:cs="Times New Roman"/>
                <w:i w:val="0"/>
                <w:color w:val="000000"/>
                <w:kern w:val="0"/>
                <w:sz w:val="21"/>
                <w:szCs w:val="21"/>
                <w:u w:val="none"/>
                <w:lang w:val="en-US" w:eastAsia="zh-CN" w:bidi="ar"/>
              </w:rPr>
              <w:t>0.108</w:t>
            </w:r>
          </w:p>
        </w:tc>
        <w:tc>
          <w:tcPr>
            <w:tcW w:w="2032" w:type="dxa"/>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0.042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987" w:type="dxa"/>
            <w:vMerge w:val="continue"/>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p>
        </w:tc>
        <w:tc>
          <w:tcPr>
            <w:tcW w:w="2074" w:type="dxa"/>
            <w:gridSpan w:val="2"/>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SS</w:t>
            </w:r>
          </w:p>
        </w:tc>
        <w:tc>
          <w:tcPr>
            <w:tcW w:w="1907" w:type="dxa"/>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0.12</w:t>
            </w:r>
          </w:p>
        </w:tc>
        <w:tc>
          <w:tcPr>
            <w:tcW w:w="1952" w:type="dxa"/>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eastAsia" w:ascii="Times New Roman" w:hAnsi="Times New Roman" w:eastAsia="宋体" w:cs="Times New Roman"/>
                <w:i w:val="0"/>
                <w:color w:val="000000"/>
                <w:kern w:val="0"/>
                <w:sz w:val="21"/>
                <w:szCs w:val="21"/>
                <w:u w:val="none"/>
                <w:lang w:val="en-US" w:eastAsia="zh-CN" w:bidi="ar"/>
              </w:rPr>
              <w:t>0.111</w:t>
            </w:r>
          </w:p>
        </w:tc>
        <w:tc>
          <w:tcPr>
            <w:tcW w:w="2032" w:type="dxa"/>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0.009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987" w:type="dxa"/>
            <w:vMerge w:val="continue"/>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p>
        </w:tc>
        <w:tc>
          <w:tcPr>
            <w:tcW w:w="2074" w:type="dxa"/>
            <w:gridSpan w:val="2"/>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氨氮</w:t>
            </w:r>
          </w:p>
        </w:tc>
        <w:tc>
          <w:tcPr>
            <w:tcW w:w="1907" w:type="dxa"/>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0.018</w:t>
            </w:r>
          </w:p>
        </w:tc>
        <w:tc>
          <w:tcPr>
            <w:tcW w:w="1952" w:type="dxa"/>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eastAsia" w:ascii="Times New Roman" w:hAnsi="Times New Roman" w:eastAsia="宋体" w:cs="Times New Roman"/>
                <w:i w:val="0"/>
                <w:color w:val="000000"/>
                <w:kern w:val="0"/>
                <w:sz w:val="21"/>
                <w:szCs w:val="21"/>
                <w:u w:val="none"/>
                <w:lang w:val="en-US" w:eastAsia="zh-CN" w:bidi="ar"/>
              </w:rPr>
              <w:t>0.006</w:t>
            </w:r>
          </w:p>
        </w:tc>
        <w:tc>
          <w:tcPr>
            <w:tcW w:w="2032" w:type="dxa"/>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0.012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987" w:type="dxa"/>
            <w:vMerge w:val="restart"/>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废气</w:t>
            </w:r>
          </w:p>
        </w:tc>
        <w:tc>
          <w:tcPr>
            <w:tcW w:w="1037" w:type="dxa"/>
            <w:vMerge w:val="restart"/>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eastAsia" w:ascii="Times New Roman" w:hAnsi="Times New Roman" w:eastAsia="宋体" w:cs="Times New Roman"/>
                <w:i w:val="0"/>
                <w:color w:val="000000"/>
                <w:kern w:val="0"/>
                <w:sz w:val="21"/>
                <w:szCs w:val="21"/>
                <w:u w:val="none"/>
                <w:lang w:val="en-US" w:eastAsia="zh-CN" w:bidi="ar"/>
              </w:rPr>
              <w:t>VOCs</w:t>
            </w:r>
          </w:p>
        </w:tc>
        <w:tc>
          <w:tcPr>
            <w:tcW w:w="1037" w:type="dxa"/>
            <w:vAlign w:val="center"/>
          </w:tcPr>
          <w:p>
            <w:pPr>
              <w:keepNext w:val="0"/>
              <w:keepLines w:val="0"/>
              <w:widowControl/>
              <w:suppressLineNumbers w:val="0"/>
              <w:jc w:val="center"/>
              <w:textAlignment w:val="center"/>
              <w:rPr>
                <w:rFonts w:hint="eastAsia" w:ascii="Times New Roman" w:hAnsi="Times New Roman" w:eastAsia="宋体" w:cs="Times New Roman"/>
                <w:i w:val="0"/>
                <w:color w:val="000000"/>
                <w:kern w:val="0"/>
                <w:sz w:val="21"/>
                <w:szCs w:val="21"/>
                <w:u w:val="none"/>
                <w:lang w:val="en-US" w:eastAsia="zh-CN" w:bidi="ar"/>
              </w:rPr>
            </w:pPr>
            <w:r>
              <w:rPr>
                <w:rFonts w:hint="eastAsia" w:ascii="Times New Roman" w:hAnsi="Times New Roman" w:eastAsia="宋体" w:cs="Times New Roman"/>
                <w:i w:val="0"/>
                <w:color w:val="000000"/>
                <w:kern w:val="0"/>
                <w:sz w:val="21"/>
                <w:szCs w:val="21"/>
                <w:u w:val="none"/>
                <w:lang w:val="en-US" w:eastAsia="zh-CN" w:bidi="ar"/>
              </w:rPr>
              <w:t>有组织</w:t>
            </w:r>
          </w:p>
        </w:tc>
        <w:tc>
          <w:tcPr>
            <w:tcW w:w="1907" w:type="dxa"/>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eastAsia" w:ascii="Times New Roman" w:hAnsi="Times New Roman" w:eastAsia="宋体" w:cs="Times New Roman"/>
                <w:i w:val="0"/>
                <w:color w:val="000000"/>
                <w:kern w:val="0"/>
                <w:sz w:val="21"/>
                <w:szCs w:val="21"/>
                <w:u w:val="none"/>
                <w:lang w:val="en-US" w:eastAsia="zh-CN" w:bidi="ar"/>
              </w:rPr>
              <w:t>7.2</w:t>
            </w:r>
          </w:p>
        </w:tc>
        <w:tc>
          <w:tcPr>
            <w:tcW w:w="1952" w:type="dxa"/>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6.48</w:t>
            </w:r>
          </w:p>
        </w:tc>
        <w:tc>
          <w:tcPr>
            <w:tcW w:w="2032" w:type="dxa"/>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eastAsia" w:ascii="Times New Roman" w:hAnsi="Times New Roman" w:eastAsia="宋体" w:cs="Times New Roman"/>
                <w:i w:val="0"/>
                <w:color w:val="000000"/>
                <w:kern w:val="0"/>
                <w:sz w:val="21"/>
                <w:szCs w:val="21"/>
                <w:u w:val="none"/>
                <w:lang w:val="en-US" w:eastAsia="zh-CN" w:bidi="ar"/>
              </w:rPr>
              <w:t>0.72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987" w:type="dxa"/>
            <w:vMerge w:val="continue"/>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p>
        </w:tc>
        <w:tc>
          <w:tcPr>
            <w:tcW w:w="1037" w:type="dxa"/>
            <w:vMerge w:val="continue"/>
            <w:vAlign w:val="center"/>
          </w:tcPr>
          <w:p>
            <w:pPr>
              <w:keepNext w:val="0"/>
              <w:keepLines w:val="0"/>
              <w:widowControl/>
              <w:suppressLineNumbers w:val="0"/>
              <w:jc w:val="center"/>
              <w:textAlignment w:val="center"/>
              <w:rPr>
                <w:rFonts w:hint="eastAsia" w:ascii="Times New Roman" w:hAnsi="Times New Roman" w:eastAsia="宋体" w:cs="Times New Roman"/>
                <w:i w:val="0"/>
                <w:color w:val="000000"/>
                <w:kern w:val="0"/>
                <w:sz w:val="21"/>
                <w:szCs w:val="21"/>
                <w:u w:val="none"/>
                <w:lang w:val="en-US" w:eastAsia="zh-CN" w:bidi="ar"/>
              </w:rPr>
            </w:pPr>
          </w:p>
        </w:tc>
        <w:tc>
          <w:tcPr>
            <w:tcW w:w="1037" w:type="dxa"/>
            <w:vAlign w:val="center"/>
          </w:tcPr>
          <w:p>
            <w:pPr>
              <w:keepNext w:val="0"/>
              <w:keepLines w:val="0"/>
              <w:widowControl/>
              <w:suppressLineNumbers w:val="0"/>
              <w:jc w:val="center"/>
              <w:textAlignment w:val="center"/>
              <w:rPr>
                <w:rFonts w:hint="eastAsia" w:ascii="Times New Roman" w:hAnsi="Times New Roman" w:eastAsia="宋体" w:cs="Times New Roman"/>
                <w:i w:val="0"/>
                <w:color w:val="000000"/>
                <w:kern w:val="0"/>
                <w:sz w:val="21"/>
                <w:szCs w:val="21"/>
                <w:u w:val="none"/>
                <w:lang w:val="en-US" w:eastAsia="zh-CN" w:bidi="ar"/>
              </w:rPr>
            </w:pPr>
            <w:r>
              <w:rPr>
                <w:rFonts w:hint="eastAsia" w:ascii="Times New Roman" w:hAnsi="Times New Roman" w:eastAsia="宋体" w:cs="Times New Roman"/>
                <w:i w:val="0"/>
                <w:color w:val="000000"/>
                <w:kern w:val="0"/>
                <w:sz w:val="21"/>
                <w:szCs w:val="21"/>
                <w:u w:val="none"/>
                <w:lang w:val="en-US" w:eastAsia="zh-CN" w:bidi="ar"/>
              </w:rPr>
              <w:t>无组织</w:t>
            </w:r>
          </w:p>
        </w:tc>
        <w:tc>
          <w:tcPr>
            <w:tcW w:w="1907" w:type="dxa"/>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eastAsia" w:ascii="Times New Roman" w:hAnsi="Times New Roman" w:eastAsia="宋体" w:cs="Times New Roman"/>
                <w:i w:val="0"/>
                <w:color w:val="000000"/>
                <w:kern w:val="0"/>
                <w:sz w:val="21"/>
                <w:szCs w:val="21"/>
                <w:u w:val="none"/>
                <w:lang w:val="en-US" w:eastAsia="zh-CN" w:bidi="ar"/>
              </w:rPr>
              <w:t>0.8</w:t>
            </w:r>
          </w:p>
        </w:tc>
        <w:tc>
          <w:tcPr>
            <w:tcW w:w="1952" w:type="dxa"/>
            <w:vAlign w:val="center"/>
          </w:tcPr>
          <w:p>
            <w:pPr>
              <w:keepNext w:val="0"/>
              <w:keepLines w:val="0"/>
              <w:widowControl/>
              <w:suppressLineNumbers w:val="0"/>
              <w:jc w:val="center"/>
              <w:textAlignment w:val="center"/>
              <w:rPr>
                <w:rFonts w:hint="eastAsia" w:ascii="Times New Roman" w:hAnsi="Times New Roman" w:eastAsia="宋体" w:cs="Times New Roman"/>
                <w:i w:val="0"/>
                <w:color w:val="000000"/>
                <w:kern w:val="0"/>
                <w:sz w:val="21"/>
                <w:szCs w:val="21"/>
                <w:u w:val="none"/>
                <w:lang w:val="en-US" w:eastAsia="zh-CN" w:bidi="ar"/>
              </w:rPr>
            </w:pPr>
            <w:r>
              <w:rPr>
                <w:rFonts w:hint="eastAsia" w:ascii="Times New Roman" w:hAnsi="Times New Roman" w:eastAsia="宋体" w:cs="Times New Roman"/>
                <w:i w:val="0"/>
                <w:color w:val="000000"/>
                <w:kern w:val="0"/>
                <w:sz w:val="21"/>
                <w:szCs w:val="21"/>
                <w:u w:val="none"/>
                <w:lang w:val="en-US" w:eastAsia="zh-CN" w:bidi="ar"/>
              </w:rPr>
              <w:t>0</w:t>
            </w:r>
          </w:p>
        </w:tc>
        <w:tc>
          <w:tcPr>
            <w:tcW w:w="2032" w:type="dxa"/>
            <w:vAlign w:val="center"/>
          </w:tcPr>
          <w:p>
            <w:pPr>
              <w:keepNext w:val="0"/>
              <w:keepLines w:val="0"/>
              <w:widowControl/>
              <w:suppressLineNumbers w:val="0"/>
              <w:jc w:val="center"/>
              <w:textAlignment w:val="center"/>
              <w:rPr>
                <w:rFonts w:hint="eastAsia" w:ascii="Times New Roman" w:hAnsi="Times New Roman" w:eastAsia="宋体" w:cs="Times New Roman"/>
                <w:i w:val="0"/>
                <w:color w:val="000000"/>
                <w:kern w:val="0"/>
                <w:sz w:val="21"/>
                <w:szCs w:val="21"/>
                <w:u w:val="none"/>
                <w:lang w:val="en-US" w:eastAsia="zh-CN" w:bidi="ar"/>
              </w:rPr>
            </w:pPr>
            <w:r>
              <w:rPr>
                <w:rFonts w:hint="eastAsia" w:ascii="Times New Roman" w:hAnsi="Times New Roman" w:eastAsia="宋体" w:cs="Times New Roman"/>
                <w:i w:val="0"/>
                <w:color w:val="000000"/>
                <w:kern w:val="0"/>
                <w:sz w:val="21"/>
                <w:szCs w:val="21"/>
                <w:u w:val="none"/>
                <w:lang w:val="en-US" w:eastAsia="zh-CN" w:bidi="ar"/>
              </w:rPr>
              <w:t>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987" w:type="dxa"/>
            <w:vMerge w:val="restart"/>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固体废物</w:t>
            </w:r>
          </w:p>
        </w:tc>
        <w:tc>
          <w:tcPr>
            <w:tcW w:w="2074" w:type="dxa"/>
            <w:gridSpan w:val="2"/>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hint="eastAsia" w:ascii="Times New Roman" w:hAnsi="Times New Roman" w:eastAsia="宋体" w:cs="Times New Roman"/>
                <w:i w:val="0"/>
                <w:color w:val="000000"/>
                <w:kern w:val="0"/>
                <w:sz w:val="21"/>
                <w:szCs w:val="21"/>
                <w:u w:val="none"/>
                <w:lang w:val="en-US" w:eastAsia="zh-CN" w:bidi="ar"/>
              </w:rPr>
            </w:pPr>
            <w:r>
              <w:rPr>
                <w:rFonts w:hint="eastAsia" w:ascii="Times New Roman" w:hAnsi="Times New Roman" w:eastAsia="宋体" w:cs="Times New Roman"/>
                <w:i w:val="0"/>
                <w:color w:val="000000"/>
                <w:kern w:val="0"/>
                <w:sz w:val="21"/>
                <w:szCs w:val="21"/>
                <w:u w:val="none"/>
                <w:lang w:val="en-US" w:eastAsia="zh-CN" w:bidi="ar"/>
              </w:rPr>
              <w:t>回收乙酸丁酯</w:t>
            </w:r>
          </w:p>
        </w:tc>
        <w:tc>
          <w:tcPr>
            <w:tcW w:w="1907" w:type="dxa"/>
            <w:tcBorders>
              <w:top w:val="single" w:color="auto" w:sz="4" w:space="0"/>
              <w:left w:val="single" w:color="auto" w:sz="4" w:space="0"/>
              <w:right w:val="single" w:color="auto" w:sz="4" w:space="0"/>
            </w:tcBorders>
            <w:vAlign w:val="center"/>
          </w:tcPr>
          <w:p>
            <w:pPr>
              <w:keepNext w:val="0"/>
              <w:keepLines w:val="0"/>
              <w:widowControl/>
              <w:suppressLineNumbers w:val="0"/>
              <w:jc w:val="center"/>
              <w:textAlignment w:val="center"/>
              <w:rPr>
                <w:rFonts w:hint="eastAsia" w:ascii="Times New Roman" w:hAnsi="Times New Roman" w:eastAsia="宋体" w:cs="Times New Roman"/>
                <w:i w:val="0"/>
                <w:color w:val="000000"/>
                <w:kern w:val="0"/>
                <w:sz w:val="21"/>
                <w:szCs w:val="21"/>
                <w:u w:val="none"/>
                <w:lang w:val="en-US" w:eastAsia="zh-CN" w:bidi="ar"/>
              </w:rPr>
            </w:pPr>
            <w:r>
              <w:rPr>
                <w:rFonts w:hint="eastAsia" w:ascii="Times New Roman" w:hAnsi="Times New Roman" w:eastAsia="宋体" w:cs="Times New Roman"/>
                <w:i w:val="0"/>
                <w:color w:val="000000"/>
                <w:kern w:val="0"/>
                <w:sz w:val="21"/>
                <w:szCs w:val="21"/>
                <w:u w:val="none"/>
                <w:lang w:val="en-US" w:eastAsia="zh-CN" w:bidi="ar"/>
              </w:rPr>
              <w:t>5</w:t>
            </w:r>
          </w:p>
        </w:tc>
        <w:tc>
          <w:tcPr>
            <w:tcW w:w="1952" w:type="dxa"/>
            <w:tcBorders>
              <w:top w:val="single" w:color="auto" w:sz="4" w:space="0"/>
              <w:left w:val="single" w:color="auto" w:sz="4" w:space="0"/>
              <w:right w:val="single" w:color="auto" w:sz="4" w:space="0"/>
            </w:tcBorders>
            <w:vAlign w:val="center"/>
          </w:tcPr>
          <w:p>
            <w:pPr>
              <w:keepNext w:val="0"/>
              <w:keepLines w:val="0"/>
              <w:widowControl/>
              <w:suppressLineNumbers w:val="0"/>
              <w:jc w:val="center"/>
              <w:textAlignment w:val="center"/>
              <w:rPr>
                <w:rFonts w:hint="eastAsia" w:ascii="Times New Roman" w:hAnsi="Times New Roman" w:eastAsia="宋体" w:cs="Times New Roman"/>
                <w:i w:val="0"/>
                <w:color w:val="000000"/>
                <w:kern w:val="0"/>
                <w:sz w:val="21"/>
                <w:szCs w:val="21"/>
                <w:u w:val="none"/>
                <w:lang w:val="en-US" w:eastAsia="zh-CN" w:bidi="ar"/>
              </w:rPr>
            </w:pPr>
            <w:r>
              <w:rPr>
                <w:rFonts w:hint="eastAsia" w:ascii="Times New Roman" w:hAnsi="Times New Roman" w:eastAsia="宋体" w:cs="Times New Roman"/>
                <w:i w:val="0"/>
                <w:color w:val="000000"/>
                <w:kern w:val="0"/>
                <w:sz w:val="21"/>
                <w:szCs w:val="21"/>
                <w:u w:val="none"/>
                <w:lang w:val="en-US" w:eastAsia="zh-CN" w:bidi="ar"/>
              </w:rPr>
              <w:t>5</w:t>
            </w:r>
          </w:p>
        </w:tc>
        <w:tc>
          <w:tcPr>
            <w:tcW w:w="2032" w:type="dxa"/>
            <w:tcBorders>
              <w:top w:val="single" w:color="auto" w:sz="4" w:space="0"/>
              <w:left w:val="single" w:color="auto" w:sz="4" w:space="0"/>
              <w:right w:val="single" w:color="auto" w:sz="4" w:space="0"/>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987" w:type="dxa"/>
            <w:vMerge w:val="continue"/>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p>
        </w:tc>
        <w:tc>
          <w:tcPr>
            <w:tcW w:w="2074" w:type="dxa"/>
            <w:gridSpan w:val="2"/>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hint="eastAsia" w:ascii="Times New Roman" w:hAnsi="Times New Roman" w:eastAsia="宋体" w:cs="Times New Roman"/>
                <w:i w:val="0"/>
                <w:color w:val="000000"/>
                <w:kern w:val="0"/>
                <w:sz w:val="21"/>
                <w:szCs w:val="21"/>
                <w:u w:val="none"/>
                <w:lang w:val="en-US" w:eastAsia="zh-CN" w:bidi="ar"/>
              </w:rPr>
            </w:pPr>
            <w:r>
              <w:rPr>
                <w:rFonts w:hint="eastAsia" w:ascii="Times New Roman" w:hAnsi="Times New Roman" w:eastAsia="宋体" w:cs="Times New Roman"/>
                <w:i w:val="0"/>
                <w:color w:val="000000"/>
                <w:kern w:val="0"/>
                <w:sz w:val="21"/>
                <w:szCs w:val="21"/>
                <w:u w:val="none"/>
                <w:lang w:val="en-US" w:eastAsia="zh-CN" w:bidi="ar"/>
              </w:rPr>
              <w:t>金属边角料</w:t>
            </w:r>
          </w:p>
        </w:tc>
        <w:tc>
          <w:tcPr>
            <w:tcW w:w="1907" w:type="dxa"/>
            <w:tcBorders>
              <w:left w:val="single" w:color="auto" w:sz="4" w:space="0"/>
              <w:right w:val="single" w:color="auto" w:sz="4" w:space="0"/>
            </w:tcBorders>
            <w:vAlign w:val="center"/>
          </w:tcPr>
          <w:p>
            <w:pPr>
              <w:keepNext w:val="0"/>
              <w:keepLines w:val="0"/>
              <w:widowControl/>
              <w:suppressLineNumbers w:val="0"/>
              <w:jc w:val="center"/>
              <w:textAlignment w:val="center"/>
              <w:rPr>
                <w:rFonts w:hint="eastAsia" w:ascii="Times New Roman" w:hAnsi="Times New Roman" w:eastAsia="宋体" w:cs="Times New Roman"/>
                <w:i w:val="0"/>
                <w:color w:val="000000"/>
                <w:kern w:val="0"/>
                <w:sz w:val="21"/>
                <w:szCs w:val="21"/>
                <w:u w:val="none"/>
                <w:lang w:val="en-US" w:eastAsia="zh-CN" w:bidi="ar"/>
              </w:rPr>
            </w:pPr>
            <w:r>
              <w:rPr>
                <w:rFonts w:hint="eastAsia" w:ascii="Times New Roman" w:hAnsi="Times New Roman" w:eastAsia="宋体" w:cs="Times New Roman"/>
                <w:i w:val="0"/>
                <w:color w:val="000000"/>
                <w:kern w:val="0"/>
                <w:sz w:val="21"/>
                <w:szCs w:val="21"/>
                <w:u w:val="none"/>
                <w:lang w:val="en-US" w:eastAsia="zh-CN" w:bidi="ar"/>
              </w:rPr>
              <w:t>1.2</w:t>
            </w:r>
          </w:p>
        </w:tc>
        <w:tc>
          <w:tcPr>
            <w:tcW w:w="1952" w:type="dxa"/>
            <w:tcBorders>
              <w:left w:val="single" w:color="auto" w:sz="4" w:space="0"/>
              <w:right w:val="single" w:color="auto" w:sz="4" w:space="0"/>
            </w:tcBorders>
            <w:vAlign w:val="center"/>
          </w:tcPr>
          <w:p>
            <w:pPr>
              <w:keepNext w:val="0"/>
              <w:keepLines w:val="0"/>
              <w:widowControl/>
              <w:suppressLineNumbers w:val="0"/>
              <w:jc w:val="center"/>
              <w:textAlignment w:val="center"/>
              <w:rPr>
                <w:rFonts w:hint="eastAsia" w:ascii="Times New Roman" w:hAnsi="Times New Roman" w:eastAsia="宋体" w:cs="Times New Roman"/>
                <w:i w:val="0"/>
                <w:color w:val="000000"/>
                <w:kern w:val="0"/>
                <w:sz w:val="21"/>
                <w:szCs w:val="21"/>
                <w:u w:val="none"/>
                <w:lang w:val="en-US" w:eastAsia="zh-CN" w:bidi="ar"/>
              </w:rPr>
            </w:pPr>
            <w:r>
              <w:rPr>
                <w:rFonts w:hint="eastAsia" w:ascii="Times New Roman" w:hAnsi="Times New Roman" w:eastAsia="宋体" w:cs="Times New Roman"/>
                <w:i w:val="0"/>
                <w:color w:val="000000"/>
                <w:kern w:val="0"/>
                <w:sz w:val="21"/>
                <w:szCs w:val="21"/>
                <w:u w:val="none"/>
                <w:lang w:val="en-US" w:eastAsia="zh-CN" w:bidi="ar"/>
              </w:rPr>
              <w:t>1.2</w:t>
            </w:r>
          </w:p>
        </w:tc>
        <w:tc>
          <w:tcPr>
            <w:tcW w:w="2032" w:type="dxa"/>
            <w:tcBorders>
              <w:left w:val="single" w:color="auto" w:sz="4" w:space="0"/>
              <w:right w:val="single" w:color="auto" w:sz="4" w:space="0"/>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987" w:type="dxa"/>
            <w:vMerge w:val="continue"/>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p>
        </w:tc>
        <w:tc>
          <w:tcPr>
            <w:tcW w:w="0" w:type="auto"/>
            <w:gridSpan w:val="2"/>
            <w:vAlign w:val="center"/>
          </w:tcPr>
          <w:p>
            <w:pPr>
              <w:keepNext w:val="0"/>
              <w:keepLines w:val="0"/>
              <w:widowControl/>
              <w:suppressLineNumbers w:val="0"/>
              <w:jc w:val="center"/>
              <w:textAlignment w:val="center"/>
              <w:rPr>
                <w:rFonts w:hint="eastAsia" w:ascii="Times New Roman" w:hAnsi="Times New Roman" w:eastAsia="宋体" w:cs="Times New Roman"/>
                <w:i w:val="0"/>
                <w:color w:val="000000"/>
                <w:kern w:val="0"/>
                <w:sz w:val="21"/>
                <w:szCs w:val="21"/>
                <w:u w:val="none"/>
                <w:lang w:val="en-US" w:eastAsia="zh-CN" w:bidi="ar"/>
              </w:rPr>
            </w:pPr>
            <w:r>
              <w:rPr>
                <w:rFonts w:hint="eastAsia" w:ascii="Times New Roman" w:hAnsi="Times New Roman" w:eastAsia="宋体" w:cs="Times New Roman"/>
                <w:i w:val="0"/>
                <w:color w:val="000000"/>
                <w:kern w:val="0"/>
                <w:sz w:val="21"/>
                <w:szCs w:val="21"/>
                <w:u w:val="none"/>
                <w:lang w:val="en-US" w:eastAsia="zh-CN" w:bidi="ar"/>
              </w:rPr>
              <w:t>废活性炭</w:t>
            </w:r>
          </w:p>
        </w:tc>
        <w:tc>
          <w:tcPr>
            <w:tcW w:w="0" w:type="auto"/>
            <w:vAlign w:val="center"/>
          </w:tcPr>
          <w:p>
            <w:pPr>
              <w:keepNext w:val="0"/>
              <w:keepLines w:val="0"/>
              <w:widowControl/>
              <w:suppressLineNumbers w:val="0"/>
              <w:jc w:val="center"/>
              <w:textAlignment w:val="center"/>
              <w:rPr>
                <w:rFonts w:hint="eastAsia" w:ascii="Times New Roman" w:hAnsi="Times New Roman" w:eastAsia="宋体" w:cs="Times New Roman"/>
                <w:i w:val="0"/>
                <w:color w:val="000000"/>
                <w:kern w:val="0"/>
                <w:sz w:val="21"/>
                <w:szCs w:val="21"/>
                <w:u w:val="none"/>
                <w:lang w:val="en-US" w:eastAsia="zh-CN" w:bidi="ar"/>
              </w:rPr>
            </w:pPr>
            <w:r>
              <w:rPr>
                <w:rFonts w:hint="eastAsia" w:ascii="Times New Roman" w:hAnsi="Times New Roman" w:eastAsia="宋体" w:cs="Times New Roman"/>
                <w:i w:val="0"/>
                <w:color w:val="000000"/>
                <w:kern w:val="0"/>
                <w:sz w:val="21"/>
                <w:szCs w:val="21"/>
                <w:u w:val="none"/>
                <w:lang w:val="en-US" w:eastAsia="zh-CN" w:bidi="ar"/>
              </w:rPr>
              <w:t>2</w:t>
            </w:r>
          </w:p>
        </w:tc>
        <w:tc>
          <w:tcPr>
            <w:tcW w:w="0" w:type="auto"/>
            <w:vAlign w:val="center"/>
          </w:tcPr>
          <w:p>
            <w:pPr>
              <w:keepNext w:val="0"/>
              <w:keepLines w:val="0"/>
              <w:widowControl/>
              <w:suppressLineNumbers w:val="0"/>
              <w:jc w:val="center"/>
              <w:textAlignment w:val="center"/>
              <w:rPr>
                <w:rFonts w:hint="eastAsia" w:ascii="Times New Roman" w:hAnsi="Times New Roman" w:eastAsia="宋体" w:cs="Times New Roman"/>
                <w:i w:val="0"/>
                <w:color w:val="000000"/>
                <w:kern w:val="0"/>
                <w:sz w:val="21"/>
                <w:szCs w:val="21"/>
                <w:u w:val="none"/>
                <w:lang w:val="en-US" w:eastAsia="zh-CN" w:bidi="ar"/>
              </w:rPr>
            </w:pPr>
            <w:r>
              <w:rPr>
                <w:rFonts w:hint="eastAsia" w:ascii="Times New Roman" w:hAnsi="Times New Roman" w:eastAsia="宋体" w:cs="Times New Roman"/>
                <w:i w:val="0"/>
                <w:color w:val="000000"/>
                <w:kern w:val="0"/>
                <w:sz w:val="21"/>
                <w:szCs w:val="21"/>
                <w:u w:val="none"/>
                <w:lang w:val="en-US" w:eastAsia="zh-CN" w:bidi="ar"/>
              </w:rPr>
              <w:t>2</w:t>
            </w:r>
          </w:p>
        </w:tc>
        <w:tc>
          <w:tcPr>
            <w:tcW w:w="0" w:type="auto"/>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987" w:type="dxa"/>
            <w:vMerge w:val="continue"/>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p>
        </w:tc>
        <w:tc>
          <w:tcPr>
            <w:tcW w:w="0" w:type="auto"/>
            <w:gridSpan w:val="2"/>
            <w:vAlign w:val="center"/>
          </w:tcPr>
          <w:p>
            <w:pPr>
              <w:keepNext w:val="0"/>
              <w:keepLines w:val="0"/>
              <w:widowControl/>
              <w:suppressLineNumbers w:val="0"/>
              <w:jc w:val="center"/>
              <w:textAlignment w:val="center"/>
              <w:rPr>
                <w:rFonts w:hint="eastAsia" w:ascii="Times New Roman" w:hAnsi="Times New Roman" w:eastAsia="宋体" w:cs="Times New Roman"/>
                <w:i w:val="0"/>
                <w:color w:val="000000"/>
                <w:kern w:val="0"/>
                <w:sz w:val="21"/>
                <w:szCs w:val="21"/>
                <w:u w:val="none"/>
                <w:lang w:val="en-US" w:eastAsia="zh-CN" w:bidi="ar"/>
              </w:rPr>
            </w:pPr>
            <w:r>
              <w:rPr>
                <w:rFonts w:hint="eastAsia" w:ascii="Times New Roman" w:hAnsi="Times New Roman" w:eastAsia="宋体" w:cs="Times New Roman"/>
                <w:i w:val="0"/>
                <w:color w:val="000000"/>
                <w:kern w:val="0"/>
                <w:sz w:val="21"/>
                <w:szCs w:val="21"/>
                <w:u w:val="none"/>
                <w:lang w:val="en-US" w:eastAsia="zh-CN" w:bidi="ar"/>
              </w:rPr>
              <w:t>生活垃圾</w:t>
            </w:r>
          </w:p>
        </w:tc>
        <w:tc>
          <w:tcPr>
            <w:tcW w:w="0" w:type="auto"/>
            <w:vAlign w:val="center"/>
          </w:tcPr>
          <w:p>
            <w:pPr>
              <w:keepNext w:val="0"/>
              <w:keepLines w:val="0"/>
              <w:widowControl/>
              <w:suppressLineNumbers w:val="0"/>
              <w:jc w:val="center"/>
              <w:textAlignment w:val="center"/>
              <w:rPr>
                <w:rFonts w:hint="eastAsia" w:ascii="Times New Roman" w:hAnsi="Times New Roman" w:eastAsia="宋体" w:cs="Times New Roman"/>
                <w:i w:val="0"/>
                <w:color w:val="000000"/>
                <w:kern w:val="0"/>
                <w:sz w:val="21"/>
                <w:szCs w:val="21"/>
                <w:u w:val="none"/>
                <w:lang w:val="en-US" w:eastAsia="zh-CN" w:bidi="ar"/>
              </w:rPr>
            </w:pPr>
            <w:r>
              <w:rPr>
                <w:rFonts w:hint="eastAsia" w:ascii="Times New Roman" w:hAnsi="Times New Roman" w:eastAsia="宋体" w:cs="Times New Roman"/>
                <w:i w:val="0"/>
                <w:color w:val="000000"/>
                <w:kern w:val="0"/>
                <w:sz w:val="21"/>
                <w:szCs w:val="21"/>
                <w:u w:val="none"/>
                <w:lang w:val="en-US" w:eastAsia="zh-CN" w:bidi="ar"/>
              </w:rPr>
              <w:t>19.2</w:t>
            </w:r>
          </w:p>
        </w:tc>
        <w:tc>
          <w:tcPr>
            <w:tcW w:w="0" w:type="auto"/>
            <w:vAlign w:val="center"/>
          </w:tcPr>
          <w:p>
            <w:pPr>
              <w:keepNext w:val="0"/>
              <w:keepLines w:val="0"/>
              <w:widowControl/>
              <w:suppressLineNumbers w:val="0"/>
              <w:jc w:val="center"/>
              <w:textAlignment w:val="center"/>
              <w:rPr>
                <w:rFonts w:hint="eastAsia" w:ascii="Times New Roman" w:hAnsi="Times New Roman" w:eastAsia="宋体" w:cs="Times New Roman"/>
                <w:i w:val="0"/>
                <w:color w:val="000000"/>
                <w:kern w:val="0"/>
                <w:sz w:val="21"/>
                <w:szCs w:val="21"/>
                <w:u w:val="none"/>
                <w:lang w:val="en-US" w:eastAsia="zh-CN" w:bidi="ar"/>
              </w:rPr>
            </w:pPr>
            <w:r>
              <w:rPr>
                <w:rFonts w:hint="eastAsia" w:ascii="Times New Roman" w:hAnsi="Times New Roman" w:eastAsia="宋体" w:cs="Times New Roman"/>
                <w:i w:val="0"/>
                <w:color w:val="000000"/>
                <w:kern w:val="0"/>
                <w:sz w:val="21"/>
                <w:szCs w:val="21"/>
                <w:u w:val="none"/>
                <w:lang w:val="en-US" w:eastAsia="zh-CN" w:bidi="ar"/>
              </w:rPr>
              <w:t>19.2</w:t>
            </w:r>
          </w:p>
        </w:tc>
        <w:tc>
          <w:tcPr>
            <w:tcW w:w="0" w:type="auto"/>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0</w:t>
            </w:r>
          </w:p>
        </w:tc>
      </w:tr>
    </w:tbl>
    <w:p>
      <w:pPr>
        <w:rPr>
          <w:color w:val="auto"/>
        </w:rPr>
      </w:pPr>
    </w:p>
    <w:bookmarkEnd w:id="161"/>
    <w:bookmarkEnd w:id="162"/>
    <w:bookmarkEnd w:id="163"/>
    <w:p>
      <w:pPr>
        <w:adjustRightInd w:val="0"/>
        <w:snapToGrid w:val="0"/>
        <w:spacing w:line="480" w:lineRule="exact"/>
        <w:ind w:firstLine="482" w:firstLineChars="200"/>
        <w:rPr>
          <w:b/>
          <w:bCs/>
          <w:color w:val="auto"/>
        </w:rPr>
        <w:sectPr>
          <w:headerReference r:id="rId4" w:type="default"/>
          <w:footerReference r:id="rId5" w:type="default"/>
          <w:pgSz w:w="11911" w:h="16849"/>
          <w:pgMar w:top="1440" w:right="1587" w:bottom="1440" w:left="1587" w:header="680" w:footer="652" w:gutter="0"/>
          <w:pgBorders>
            <w:top w:val="none" w:sz="0" w:space="0"/>
            <w:left w:val="none" w:sz="0" w:space="0"/>
            <w:bottom w:val="none" w:sz="0" w:space="0"/>
            <w:right w:val="none" w:sz="0" w:space="0"/>
          </w:pgBorders>
          <w:cols w:space="720" w:num="1"/>
          <w:docGrid w:linePitch="322" w:charSpace="0"/>
        </w:sectPr>
      </w:pPr>
      <w:bookmarkStart w:id="164" w:name="_Toc366874103"/>
      <w:bookmarkStart w:id="165" w:name="_Toc333388586"/>
      <w:bookmarkStart w:id="166" w:name="_Toc335291746"/>
      <w:bookmarkStart w:id="167" w:name="_Toc333178544"/>
      <w:bookmarkStart w:id="168" w:name="_Toc287813381"/>
      <w:bookmarkStart w:id="169" w:name="_Toc367091862"/>
      <w:bookmarkStart w:id="170" w:name="_Toc202063744"/>
      <w:bookmarkStart w:id="171" w:name="_Toc333177967"/>
      <w:bookmarkStart w:id="172" w:name="_Toc10031"/>
      <w:r>
        <w:rPr>
          <w:rFonts w:hint="eastAsia"/>
          <w:b/>
          <w:bCs/>
          <w:color w:val="auto"/>
          <w:sz w:val="24"/>
          <w:lang w:eastAsia="zh-CN"/>
        </w:rPr>
        <w:t>现有项目未进行环保竣工验收，待新建项目建设完成后，现有项目设备均均搬至扩建项目厂址，原有项目污染源将不复存在</w:t>
      </w:r>
      <w:r>
        <w:rPr>
          <w:rFonts w:hint="eastAsia"/>
          <w:b/>
          <w:bCs/>
          <w:color w:val="auto"/>
          <w:sz w:val="24"/>
        </w:rPr>
        <w:t>。</w:t>
      </w:r>
    </w:p>
    <w:p>
      <w:pPr>
        <w:pStyle w:val="3"/>
        <w:spacing w:before="120" w:after="0" w:line="360" w:lineRule="auto"/>
        <w:jc w:val="center"/>
        <w:rPr>
          <w:color w:val="auto"/>
          <w:sz w:val="36"/>
          <w:szCs w:val="36"/>
        </w:rPr>
      </w:pPr>
      <w:bookmarkStart w:id="173" w:name="_Toc30874"/>
      <w:r>
        <w:rPr>
          <w:color w:val="auto"/>
          <w:sz w:val="36"/>
          <w:szCs w:val="36"/>
        </w:rPr>
        <w:t>第</w:t>
      </w:r>
      <w:r>
        <w:rPr>
          <w:rFonts w:hint="eastAsia"/>
          <w:color w:val="auto"/>
          <w:sz w:val="36"/>
          <w:szCs w:val="36"/>
        </w:rPr>
        <w:t>四</w:t>
      </w:r>
      <w:r>
        <w:rPr>
          <w:color w:val="auto"/>
          <w:sz w:val="36"/>
          <w:szCs w:val="36"/>
        </w:rPr>
        <w:t>章 改扩建项目工程分析</w:t>
      </w:r>
      <w:bookmarkEnd w:id="173"/>
    </w:p>
    <w:p>
      <w:pPr>
        <w:pStyle w:val="4"/>
        <w:spacing w:line="520" w:lineRule="exact"/>
        <w:rPr>
          <w:rFonts w:hint="eastAsia" w:ascii="Times New Roman" w:hAnsi="Times New Roman"/>
          <w:b/>
          <w:color w:val="auto"/>
          <w:szCs w:val="28"/>
        </w:rPr>
      </w:pPr>
      <w:bookmarkStart w:id="174" w:name="_Toc15768"/>
    </w:p>
    <w:p>
      <w:pPr>
        <w:pStyle w:val="4"/>
        <w:spacing w:line="520" w:lineRule="exact"/>
        <w:rPr>
          <w:rFonts w:ascii="Times New Roman" w:hAnsi="Times New Roman"/>
          <w:b/>
          <w:color w:val="auto"/>
          <w:szCs w:val="28"/>
        </w:rPr>
      </w:pPr>
      <w:r>
        <w:rPr>
          <w:rFonts w:hint="eastAsia" w:ascii="Times New Roman" w:hAnsi="Times New Roman"/>
          <w:b/>
          <w:color w:val="auto"/>
          <w:szCs w:val="28"/>
        </w:rPr>
        <w:t>4</w:t>
      </w:r>
      <w:r>
        <w:rPr>
          <w:rFonts w:ascii="Times New Roman" w:hAnsi="Times New Roman"/>
          <w:b/>
          <w:color w:val="auto"/>
          <w:szCs w:val="28"/>
        </w:rPr>
        <w:t>.1改扩建项目概况</w:t>
      </w:r>
      <w:bookmarkEnd w:id="174"/>
    </w:p>
    <w:p>
      <w:pPr>
        <w:pStyle w:val="5"/>
        <w:spacing w:before="0" w:after="0" w:line="520" w:lineRule="exact"/>
        <w:rPr>
          <w:color w:val="auto"/>
          <w:sz w:val="24"/>
          <w:szCs w:val="24"/>
        </w:rPr>
      </w:pPr>
      <w:r>
        <w:rPr>
          <w:rFonts w:hint="eastAsia"/>
          <w:color w:val="auto"/>
          <w:sz w:val="24"/>
          <w:szCs w:val="24"/>
        </w:rPr>
        <w:t>4</w:t>
      </w:r>
      <w:r>
        <w:rPr>
          <w:color w:val="auto"/>
          <w:sz w:val="24"/>
          <w:szCs w:val="24"/>
        </w:rPr>
        <w:t>.1.1工程概况</w:t>
      </w:r>
    </w:p>
    <w:p>
      <w:pPr>
        <w:spacing w:line="520" w:lineRule="exact"/>
        <w:ind w:left="2205" w:leftChars="250" w:hanging="1680" w:hangingChars="700"/>
        <w:rPr>
          <w:rFonts w:hint="eastAsia" w:eastAsia="宋体"/>
          <w:color w:val="auto"/>
          <w:sz w:val="24"/>
          <w:lang w:eastAsia="zh-CN"/>
        </w:rPr>
      </w:pPr>
      <w:r>
        <w:rPr>
          <w:color w:val="auto"/>
          <w:sz w:val="24"/>
        </w:rPr>
        <w:t>（1）项目名称：</w:t>
      </w:r>
      <w:r>
        <w:rPr>
          <w:rFonts w:hint="eastAsia"/>
          <w:bCs/>
          <w:color w:val="auto"/>
          <w:kern w:val="0"/>
          <w:sz w:val="24"/>
          <w:lang w:eastAsia="zh-CN"/>
        </w:rPr>
        <w:t>汽车平面密封材料和汽车橡胶密封件生产项目</w:t>
      </w:r>
    </w:p>
    <w:p>
      <w:pPr>
        <w:spacing w:line="520" w:lineRule="exact"/>
        <w:ind w:firstLine="480" w:firstLineChars="200"/>
        <w:rPr>
          <w:rFonts w:hint="eastAsia" w:eastAsia="宋体"/>
          <w:bCs/>
          <w:color w:val="auto"/>
          <w:kern w:val="0"/>
          <w:sz w:val="24"/>
          <w:lang w:eastAsia="zh-CN"/>
        </w:rPr>
      </w:pPr>
      <w:r>
        <w:rPr>
          <w:color w:val="auto"/>
          <w:sz w:val="24"/>
        </w:rPr>
        <w:t>（2）建设单位：</w:t>
      </w:r>
      <w:r>
        <w:rPr>
          <w:rFonts w:hint="eastAsia"/>
          <w:bCs/>
          <w:color w:val="auto"/>
          <w:kern w:val="0"/>
          <w:sz w:val="24"/>
          <w:lang w:eastAsia="zh-CN"/>
        </w:rPr>
        <w:t>宁国市天马复合材料有限公司</w:t>
      </w:r>
    </w:p>
    <w:p>
      <w:pPr>
        <w:widowControl/>
        <w:spacing w:line="520" w:lineRule="exact"/>
        <w:ind w:firstLine="480" w:firstLineChars="200"/>
        <w:rPr>
          <w:rFonts w:hint="eastAsia" w:eastAsia="宋体"/>
          <w:b/>
          <w:bCs/>
          <w:color w:val="auto"/>
          <w:kern w:val="0"/>
          <w:sz w:val="24"/>
          <w:lang w:val="en-US" w:eastAsia="zh-CN"/>
        </w:rPr>
      </w:pPr>
      <w:r>
        <w:rPr>
          <w:color w:val="auto"/>
          <w:sz w:val="24"/>
        </w:rPr>
        <w:t>（3）建设规模：</w:t>
      </w:r>
      <w:r>
        <w:rPr>
          <w:rFonts w:hint="eastAsia"/>
          <w:color w:val="auto"/>
          <w:kern w:val="0"/>
          <w:sz w:val="24"/>
          <w:lang w:val="en-US" w:eastAsia="zh-CN"/>
        </w:rPr>
        <w:t>租赁宁国市德胜建筑机械有限公司厂房2640平方米，购置搅拌机、切条机、复合机等设备</w:t>
      </w:r>
      <w:r>
        <w:rPr>
          <w:rFonts w:hint="eastAsia"/>
          <w:bCs/>
          <w:color w:val="auto"/>
          <w:kern w:val="0"/>
          <w:sz w:val="24"/>
          <w:lang w:val="en-US" w:eastAsia="zh-CN"/>
        </w:rPr>
        <w:t>若干台（套），一期建设生产的主要产品为100万平方米金属橡胶复合密封材料。</w:t>
      </w:r>
    </w:p>
    <w:p>
      <w:pPr>
        <w:spacing w:line="520" w:lineRule="exact"/>
        <w:ind w:firstLine="480" w:firstLineChars="200"/>
        <w:rPr>
          <w:rFonts w:hint="eastAsia" w:eastAsia="宋体"/>
          <w:bCs/>
          <w:color w:val="auto"/>
          <w:kern w:val="0"/>
          <w:sz w:val="24"/>
          <w:lang w:eastAsia="zh-CN"/>
        </w:rPr>
      </w:pPr>
      <w:r>
        <w:rPr>
          <w:color w:val="auto"/>
          <w:sz w:val="24"/>
        </w:rPr>
        <w:t>（4）</w:t>
      </w:r>
      <w:r>
        <w:rPr>
          <w:bCs/>
          <w:color w:val="auto"/>
          <w:kern w:val="0"/>
          <w:sz w:val="24"/>
        </w:rPr>
        <w:t>行业类别：</w:t>
      </w:r>
      <w:r>
        <w:rPr>
          <w:rFonts w:hint="eastAsia"/>
          <w:bCs/>
          <w:color w:val="auto"/>
          <w:kern w:val="0"/>
          <w:sz w:val="24"/>
          <w:lang w:eastAsia="zh-CN"/>
        </w:rPr>
        <w:t>C2912 橡胶板、管、带制造</w:t>
      </w:r>
    </w:p>
    <w:p>
      <w:pPr>
        <w:spacing w:line="520" w:lineRule="exact"/>
        <w:ind w:firstLine="480" w:firstLineChars="200"/>
        <w:rPr>
          <w:bCs/>
          <w:color w:val="auto"/>
          <w:kern w:val="0"/>
          <w:sz w:val="24"/>
        </w:rPr>
      </w:pPr>
      <w:r>
        <w:rPr>
          <w:color w:val="auto"/>
          <w:sz w:val="24"/>
        </w:rPr>
        <w:t>（5）建设</w:t>
      </w:r>
      <w:r>
        <w:rPr>
          <w:bCs/>
          <w:color w:val="auto"/>
          <w:kern w:val="0"/>
          <w:sz w:val="24"/>
        </w:rPr>
        <w:t>性质：</w:t>
      </w:r>
      <w:r>
        <w:rPr>
          <w:rFonts w:hint="eastAsia"/>
          <w:bCs/>
          <w:color w:val="auto"/>
          <w:kern w:val="0"/>
          <w:sz w:val="24"/>
        </w:rPr>
        <w:t>改扩建</w:t>
      </w:r>
    </w:p>
    <w:p>
      <w:pPr>
        <w:spacing w:line="520" w:lineRule="exact"/>
        <w:ind w:firstLine="480" w:firstLineChars="200"/>
        <w:rPr>
          <w:rFonts w:hint="eastAsia" w:eastAsia="宋体"/>
          <w:color w:val="auto"/>
          <w:kern w:val="0"/>
          <w:sz w:val="24"/>
          <w:lang w:eastAsia="zh-CN"/>
        </w:rPr>
      </w:pPr>
      <w:r>
        <w:rPr>
          <w:color w:val="auto"/>
          <w:sz w:val="24"/>
        </w:rPr>
        <w:t>（5）</w:t>
      </w:r>
      <w:r>
        <w:rPr>
          <w:color w:val="auto"/>
          <w:kern w:val="0"/>
          <w:sz w:val="24"/>
        </w:rPr>
        <w:t>建设地点：</w:t>
      </w:r>
      <w:r>
        <w:rPr>
          <w:rFonts w:hint="eastAsia"/>
          <w:bCs/>
          <w:color w:val="auto"/>
          <w:kern w:val="0"/>
          <w:sz w:val="24"/>
          <w:lang w:eastAsia="zh-CN"/>
        </w:rPr>
        <w:t>安徽省宁国经济技术开发区河沥园区振宁路（宁国市德胜建筑机械有限公司内）</w:t>
      </w:r>
    </w:p>
    <w:p>
      <w:pPr>
        <w:spacing w:line="520" w:lineRule="exact"/>
        <w:ind w:firstLine="480" w:firstLineChars="200"/>
        <w:rPr>
          <w:rFonts w:hint="eastAsia" w:eastAsia="宋体"/>
          <w:color w:val="auto"/>
          <w:sz w:val="24"/>
          <w:lang w:eastAsia="zh-CN"/>
        </w:rPr>
      </w:pPr>
      <w:r>
        <w:rPr>
          <w:color w:val="auto"/>
          <w:sz w:val="24"/>
        </w:rPr>
        <w:t>（6）投资总额：</w:t>
      </w:r>
      <w:r>
        <w:rPr>
          <w:rFonts w:hint="eastAsia"/>
          <w:color w:val="auto"/>
          <w:sz w:val="24"/>
          <w:lang w:eastAsia="zh-CN"/>
        </w:rPr>
        <w:t>11000万元</w:t>
      </w:r>
    </w:p>
    <w:p>
      <w:pPr>
        <w:pStyle w:val="5"/>
        <w:spacing w:before="0" w:after="0" w:line="520" w:lineRule="exact"/>
        <w:rPr>
          <w:color w:val="auto"/>
          <w:sz w:val="24"/>
          <w:szCs w:val="24"/>
        </w:rPr>
      </w:pPr>
      <w:r>
        <w:rPr>
          <w:rFonts w:hint="eastAsia"/>
          <w:color w:val="auto"/>
          <w:sz w:val="24"/>
          <w:szCs w:val="24"/>
        </w:rPr>
        <w:t>4</w:t>
      </w:r>
      <w:r>
        <w:rPr>
          <w:color w:val="auto"/>
          <w:sz w:val="24"/>
          <w:szCs w:val="24"/>
        </w:rPr>
        <w:t>.1.2项目建设内容</w:t>
      </w:r>
    </w:p>
    <w:p>
      <w:pPr>
        <w:spacing w:line="520" w:lineRule="exact"/>
        <w:ind w:firstLine="480" w:firstLineChars="200"/>
        <w:rPr>
          <w:b/>
          <w:color w:val="auto"/>
          <w:sz w:val="24"/>
        </w:rPr>
      </w:pPr>
      <w:r>
        <w:rPr>
          <w:color w:val="auto"/>
          <w:kern w:val="0"/>
          <w:sz w:val="24"/>
        </w:rPr>
        <w:t>主要建设内容见下表。</w:t>
      </w:r>
    </w:p>
    <w:p>
      <w:pPr>
        <w:spacing w:line="440" w:lineRule="exact"/>
        <w:jc w:val="center"/>
        <w:rPr>
          <w:b/>
          <w:color w:val="auto"/>
          <w:sz w:val="24"/>
        </w:rPr>
      </w:pPr>
      <w:r>
        <w:rPr>
          <w:b/>
          <w:color w:val="auto"/>
          <w:sz w:val="24"/>
        </w:rPr>
        <w:t>表</w:t>
      </w:r>
      <w:r>
        <w:rPr>
          <w:rFonts w:hint="eastAsia"/>
          <w:b/>
          <w:color w:val="auto"/>
          <w:sz w:val="24"/>
        </w:rPr>
        <w:t>4</w:t>
      </w:r>
      <w:r>
        <w:rPr>
          <w:b/>
          <w:color w:val="auto"/>
          <w:sz w:val="24"/>
        </w:rPr>
        <w:t>-1 项目建设内容一览表</w:t>
      </w:r>
    </w:p>
    <w:tbl>
      <w:tblPr>
        <w:tblStyle w:val="53"/>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41"/>
        <w:gridCol w:w="972"/>
        <w:gridCol w:w="2422"/>
        <w:gridCol w:w="3725"/>
        <w:gridCol w:w="108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9" w:hRule="atLeast"/>
          <w:jc w:val="center"/>
        </w:trPr>
        <w:tc>
          <w:tcPr>
            <w:tcW w:w="414" w:type="pct"/>
            <w:vAlign w:val="center"/>
          </w:tcPr>
          <w:p>
            <w:pPr>
              <w:tabs>
                <w:tab w:val="left" w:pos="210"/>
              </w:tabs>
              <w:ind w:firstLine="2" w:firstLineChars="1"/>
              <w:jc w:val="center"/>
              <w:rPr>
                <w:bCs/>
                <w:color w:val="auto"/>
                <w:szCs w:val="21"/>
              </w:rPr>
            </w:pPr>
            <w:r>
              <w:rPr>
                <w:bCs/>
                <w:color w:val="auto"/>
                <w:szCs w:val="21"/>
              </w:rPr>
              <w:t>工程类别</w:t>
            </w:r>
          </w:p>
        </w:tc>
        <w:tc>
          <w:tcPr>
            <w:tcW w:w="543" w:type="pct"/>
            <w:vAlign w:val="center"/>
          </w:tcPr>
          <w:p>
            <w:pPr>
              <w:tabs>
                <w:tab w:val="left" w:pos="210"/>
              </w:tabs>
              <w:jc w:val="center"/>
              <w:rPr>
                <w:bCs/>
                <w:color w:val="auto"/>
                <w:szCs w:val="21"/>
              </w:rPr>
            </w:pPr>
            <w:r>
              <w:rPr>
                <w:bCs/>
                <w:color w:val="auto"/>
                <w:szCs w:val="21"/>
              </w:rPr>
              <w:t>工程名称</w:t>
            </w:r>
          </w:p>
        </w:tc>
        <w:tc>
          <w:tcPr>
            <w:tcW w:w="3434" w:type="pct"/>
            <w:gridSpan w:val="2"/>
            <w:vAlign w:val="center"/>
          </w:tcPr>
          <w:p>
            <w:pPr>
              <w:tabs>
                <w:tab w:val="left" w:pos="210"/>
              </w:tabs>
              <w:jc w:val="center"/>
              <w:rPr>
                <w:bCs/>
                <w:color w:val="auto"/>
                <w:szCs w:val="21"/>
              </w:rPr>
            </w:pPr>
            <w:r>
              <w:rPr>
                <w:bCs/>
                <w:color w:val="auto"/>
                <w:szCs w:val="21"/>
              </w:rPr>
              <w:t>工程内容及规模</w:t>
            </w:r>
          </w:p>
        </w:tc>
        <w:tc>
          <w:tcPr>
            <w:tcW w:w="607" w:type="pct"/>
            <w:vAlign w:val="center"/>
          </w:tcPr>
          <w:p>
            <w:pPr>
              <w:tabs>
                <w:tab w:val="left" w:pos="210"/>
              </w:tabs>
              <w:jc w:val="center"/>
              <w:rPr>
                <w:bCs/>
                <w:color w:val="auto"/>
                <w:szCs w:val="21"/>
              </w:rPr>
            </w:pPr>
            <w:r>
              <w:rPr>
                <w:bCs/>
                <w:color w:val="auto"/>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9" w:hRule="atLeast"/>
          <w:jc w:val="center"/>
        </w:trPr>
        <w:tc>
          <w:tcPr>
            <w:tcW w:w="414" w:type="pct"/>
            <w:vMerge w:val="restart"/>
            <w:vAlign w:val="center"/>
          </w:tcPr>
          <w:p>
            <w:pPr>
              <w:tabs>
                <w:tab w:val="left" w:pos="210"/>
              </w:tabs>
              <w:ind w:firstLine="2" w:firstLineChars="1"/>
              <w:jc w:val="center"/>
              <w:rPr>
                <w:bCs/>
                <w:color w:val="auto"/>
                <w:szCs w:val="21"/>
              </w:rPr>
            </w:pPr>
            <w:r>
              <w:rPr>
                <w:bCs/>
                <w:color w:val="auto"/>
                <w:szCs w:val="21"/>
              </w:rPr>
              <w:t>主体工程</w:t>
            </w:r>
          </w:p>
        </w:tc>
        <w:tc>
          <w:tcPr>
            <w:tcW w:w="543" w:type="pct"/>
            <w:vAlign w:val="center"/>
          </w:tcPr>
          <w:p>
            <w:pPr>
              <w:tabs>
                <w:tab w:val="left" w:pos="210"/>
              </w:tabs>
              <w:jc w:val="center"/>
              <w:rPr>
                <w:rFonts w:hint="eastAsia" w:eastAsia="宋体"/>
                <w:bCs/>
                <w:color w:val="auto"/>
                <w:szCs w:val="21"/>
                <w:lang w:eastAsia="zh-CN"/>
              </w:rPr>
            </w:pPr>
            <w:r>
              <w:rPr>
                <w:rFonts w:hint="eastAsia"/>
                <w:bCs/>
                <w:color w:val="auto"/>
                <w:szCs w:val="21"/>
                <w:lang w:eastAsia="zh-CN"/>
              </w:rPr>
              <w:t>炼胶车间</w:t>
            </w:r>
          </w:p>
        </w:tc>
        <w:tc>
          <w:tcPr>
            <w:tcW w:w="3434" w:type="pct"/>
            <w:gridSpan w:val="2"/>
            <w:vAlign w:val="center"/>
          </w:tcPr>
          <w:p>
            <w:pPr>
              <w:tabs>
                <w:tab w:val="left" w:pos="210"/>
              </w:tabs>
              <w:jc w:val="center"/>
              <w:rPr>
                <w:rFonts w:hint="default" w:eastAsia="宋体"/>
                <w:bCs/>
                <w:color w:val="auto"/>
                <w:szCs w:val="21"/>
                <w:lang w:val="en-US" w:eastAsia="zh-CN"/>
              </w:rPr>
            </w:pPr>
            <w:r>
              <w:rPr>
                <w:rFonts w:hint="eastAsia"/>
                <w:bCs/>
                <w:color w:val="auto"/>
                <w:szCs w:val="21"/>
                <w:lang w:val="en-US" w:eastAsia="zh-CN"/>
              </w:rPr>
              <w:t>位于厂房南侧，布置开炼、密炼、搅拌、配料、试验检验等工序，建筑面积2000m</w:t>
            </w:r>
            <w:r>
              <w:rPr>
                <w:rFonts w:hint="eastAsia"/>
                <w:bCs/>
                <w:color w:val="auto"/>
                <w:szCs w:val="21"/>
                <w:vertAlign w:val="superscript"/>
                <w:lang w:val="en-US" w:eastAsia="zh-CN"/>
              </w:rPr>
              <w:t>2</w:t>
            </w:r>
            <w:r>
              <w:rPr>
                <w:rFonts w:hint="eastAsia"/>
                <w:bCs/>
                <w:color w:val="auto"/>
                <w:szCs w:val="21"/>
                <w:lang w:val="en-US" w:eastAsia="zh-CN"/>
              </w:rPr>
              <w:t>。</w:t>
            </w:r>
          </w:p>
        </w:tc>
        <w:tc>
          <w:tcPr>
            <w:tcW w:w="607" w:type="pct"/>
            <w:vAlign w:val="center"/>
          </w:tcPr>
          <w:p>
            <w:pPr>
              <w:tabs>
                <w:tab w:val="left" w:pos="210"/>
              </w:tabs>
              <w:jc w:val="center"/>
              <w:rPr>
                <w:rFonts w:hint="eastAsia" w:eastAsia="宋体"/>
                <w:bCs/>
                <w:color w:val="auto"/>
                <w:szCs w:val="21"/>
                <w:lang w:val="en-US" w:eastAsia="zh-CN"/>
              </w:rPr>
            </w:pPr>
            <w:r>
              <w:rPr>
                <w:rFonts w:hint="eastAsia"/>
                <w:bCs/>
                <w:color w:val="auto"/>
                <w:szCs w:val="21"/>
                <w:lang w:val="en-US" w:eastAsia="zh-C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414" w:type="pct"/>
            <w:vMerge w:val="continue"/>
            <w:vAlign w:val="center"/>
          </w:tcPr>
          <w:p>
            <w:pPr>
              <w:tabs>
                <w:tab w:val="left" w:pos="210"/>
              </w:tabs>
              <w:ind w:firstLine="2" w:firstLineChars="1"/>
              <w:jc w:val="center"/>
              <w:rPr>
                <w:bCs/>
                <w:color w:val="auto"/>
                <w:szCs w:val="21"/>
              </w:rPr>
            </w:pPr>
          </w:p>
        </w:tc>
        <w:tc>
          <w:tcPr>
            <w:tcW w:w="543" w:type="pct"/>
            <w:vAlign w:val="center"/>
          </w:tcPr>
          <w:p>
            <w:pPr>
              <w:tabs>
                <w:tab w:val="left" w:pos="210"/>
              </w:tabs>
              <w:jc w:val="center"/>
              <w:rPr>
                <w:rFonts w:hint="eastAsia" w:eastAsia="宋体"/>
                <w:snapToGrid w:val="0"/>
                <w:color w:val="auto"/>
                <w:kern w:val="0"/>
                <w:szCs w:val="21"/>
                <w:lang w:eastAsia="zh-CN"/>
              </w:rPr>
            </w:pPr>
            <w:r>
              <w:rPr>
                <w:rFonts w:hint="eastAsia"/>
                <w:snapToGrid w:val="0"/>
                <w:color w:val="auto"/>
                <w:kern w:val="0"/>
                <w:szCs w:val="21"/>
                <w:lang w:eastAsia="zh-CN"/>
              </w:rPr>
              <w:t>涂胶车间</w:t>
            </w:r>
          </w:p>
        </w:tc>
        <w:tc>
          <w:tcPr>
            <w:tcW w:w="3434" w:type="pct"/>
            <w:gridSpan w:val="2"/>
            <w:vAlign w:val="center"/>
          </w:tcPr>
          <w:p>
            <w:pPr>
              <w:tabs>
                <w:tab w:val="left" w:pos="210"/>
              </w:tabs>
              <w:jc w:val="center"/>
              <w:rPr>
                <w:rFonts w:hint="default"/>
                <w:snapToGrid w:val="0"/>
                <w:color w:val="auto"/>
                <w:kern w:val="0"/>
                <w:szCs w:val="21"/>
                <w:lang w:val="en-US"/>
              </w:rPr>
            </w:pPr>
            <w:r>
              <w:rPr>
                <w:rFonts w:hint="eastAsia"/>
                <w:snapToGrid w:val="0"/>
                <w:color w:val="auto"/>
                <w:kern w:val="0"/>
                <w:szCs w:val="21"/>
                <w:lang w:val="en-US" w:eastAsia="zh-CN"/>
              </w:rPr>
              <w:t>位于厂房北侧，布置2条自动涂胶线，1条半自动涂胶线，</w:t>
            </w:r>
            <w:r>
              <w:rPr>
                <w:rFonts w:hint="eastAsia"/>
                <w:bCs/>
                <w:color w:val="auto"/>
                <w:szCs w:val="21"/>
                <w:lang w:val="en-US" w:eastAsia="zh-CN"/>
              </w:rPr>
              <w:t>建筑面积2000m</w:t>
            </w:r>
            <w:r>
              <w:rPr>
                <w:rFonts w:hint="eastAsia"/>
                <w:bCs/>
                <w:color w:val="auto"/>
                <w:szCs w:val="21"/>
                <w:vertAlign w:val="superscript"/>
                <w:lang w:val="en-US" w:eastAsia="zh-CN"/>
              </w:rPr>
              <w:t>2</w:t>
            </w:r>
            <w:r>
              <w:rPr>
                <w:rFonts w:hint="eastAsia"/>
                <w:bCs/>
                <w:color w:val="auto"/>
                <w:szCs w:val="21"/>
                <w:lang w:val="en-US" w:eastAsia="zh-CN"/>
              </w:rPr>
              <w:t>。</w:t>
            </w:r>
          </w:p>
        </w:tc>
        <w:tc>
          <w:tcPr>
            <w:tcW w:w="607" w:type="pct"/>
            <w:vAlign w:val="center"/>
          </w:tcPr>
          <w:p>
            <w:pPr>
              <w:jc w:val="center"/>
              <w:rPr>
                <w:snapToGrid w:val="0"/>
                <w:color w:val="auto"/>
                <w:kern w:val="0"/>
                <w:szCs w:val="21"/>
              </w:rPr>
            </w:pPr>
            <w:r>
              <w:rPr>
                <w:snapToGrid w:val="0"/>
                <w:color w:val="auto"/>
                <w:kern w:val="0"/>
                <w:szCs w:val="21"/>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414" w:type="pct"/>
            <w:vMerge w:val="restart"/>
            <w:vAlign w:val="center"/>
          </w:tcPr>
          <w:p>
            <w:pPr>
              <w:tabs>
                <w:tab w:val="left" w:pos="210"/>
              </w:tabs>
              <w:ind w:firstLine="2" w:firstLineChars="1"/>
              <w:jc w:val="center"/>
              <w:rPr>
                <w:bCs/>
                <w:color w:val="auto"/>
                <w:szCs w:val="21"/>
              </w:rPr>
            </w:pPr>
            <w:r>
              <w:rPr>
                <w:bCs/>
                <w:color w:val="auto"/>
                <w:szCs w:val="21"/>
              </w:rPr>
              <w:t>辅助工程</w:t>
            </w:r>
          </w:p>
        </w:tc>
        <w:tc>
          <w:tcPr>
            <w:tcW w:w="543" w:type="pct"/>
            <w:vAlign w:val="center"/>
          </w:tcPr>
          <w:p>
            <w:pPr>
              <w:adjustRightInd w:val="0"/>
              <w:snapToGrid w:val="0"/>
              <w:spacing w:line="360" w:lineRule="exact"/>
              <w:jc w:val="center"/>
              <w:rPr>
                <w:bCs/>
                <w:color w:val="auto"/>
                <w:szCs w:val="21"/>
              </w:rPr>
            </w:pPr>
            <w:r>
              <w:rPr>
                <w:rFonts w:hint="eastAsia"/>
                <w:bCs/>
                <w:color w:val="auto"/>
                <w:szCs w:val="21"/>
              </w:rPr>
              <w:t>办公室</w:t>
            </w:r>
          </w:p>
        </w:tc>
        <w:tc>
          <w:tcPr>
            <w:tcW w:w="3434" w:type="pct"/>
            <w:gridSpan w:val="2"/>
            <w:vAlign w:val="center"/>
          </w:tcPr>
          <w:p>
            <w:pPr>
              <w:adjustRightInd w:val="0"/>
              <w:snapToGrid w:val="0"/>
              <w:spacing w:line="360" w:lineRule="exact"/>
              <w:jc w:val="center"/>
              <w:rPr>
                <w:color w:val="auto"/>
                <w:szCs w:val="21"/>
              </w:rPr>
            </w:pPr>
            <w:r>
              <w:rPr>
                <w:rFonts w:hint="eastAsia"/>
                <w:color w:val="auto"/>
                <w:szCs w:val="21"/>
                <w:lang w:eastAsia="zh-CN"/>
              </w:rPr>
              <w:t>位于</w:t>
            </w:r>
            <w:r>
              <w:rPr>
                <w:rFonts w:hint="eastAsia"/>
                <w:bCs/>
                <w:color w:val="auto"/>
                <w:szCs w:val="21"/>
                <w:lang w:eastAsia="zh-CN"/>
              </w:rPr>
              <w:t>炼胶车间东侧，</w:t>
            </w:r>
            <w:r>
              <w:rPr>
                <w:rFonts w:hint="eastAsia"/>
                <w:color w:val="auto"/>
                <w:szCs w:val="21"/>
                <w:lang w:eastAsia="zh-CN"/>
              </w:rPr>
              <w:t>用于员工办公，</w:t>
            </w:r>
            <w:r>
              <w:rPr>
                <w:rFonts w:hint="eastAsia"/>
                <w:snapToGrid w:val="0"/>
                <w:color w:val="auto"/>
                <w:kern w:val="0"/>
                <w:szCs w:val="21"/>
              </w:rPr>
              <w:t>建筑面积约为800</w:t>
            </w:r>
            <w:r>
              <w:rPr>
                <w:snapToGrid w:val="0"/>
                <w:color w:val="auto"/>
                <w:kern w:val="0"/>
                <w:szCs w:val="21"/>
              </w:rPr>
              <w:t>m</w:t>
            </w:r>
            <w:r>
              <w:rPr>
                <w:snapToGrid w:val="0"/>
                <w:color w:val="auto"/>
                <w:kern w:val="0"/>
                <w:szCs w:val="21"/>
                <w:vertAlign w:val="superscript"/>
              </w:rPr>
              <w:t>2</w:t>
            </w:r>
            <w:r>
              <w:rPr>
                <w:snapToGrid w:val="0"/>
                <w:color w:val="auto"/>
                <w:kern w:val="0"/>
                <w:szCs w:val="21"/>
              </w:rPr>
              <w:t>。</w:t>
            </w:r>
          </w:p>
        </w:tc>
        <w:tc>
          <w:tcPr>
            <w:tcW w:w="607" w:type="pct"/>
            <w:vAlign w:val="center"/>
          </w:tcPr>
          <w:p>
            <w:pPr>
              <w:jc w:val="center"/>
              <w:rPr>
                <w:bCs/>
                <w:color w:val="auto"/>
                <w:szCs w:val="21"/>
              </w:rPr>
            </w:pPr>
            <w:r>
              <w:rPr>
                <w:snapToGrid w:val="0"/>
                <w:color w:val="auto"/>
                <w:kern w:val="0"/>
                <w:szCs w:val="21"/>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414" w:type="pct"/>
            <w:vMerge w:val="continue"/>
            <w:vAlign w:val="center"/>
          </w:tcPr>
          <w:p>
            <w:pPr>
              <w:tabs>
                <w:tab w:val="left" w:pos="210"/>
              </w:tabs>
              <w:ind w:firstLine="2" w:firstLineChars="1"/>
              <w:jc w:val="center"/>
              <w:rPr>
                <w:bCs/>
                <w:color w:val="auto"/>
                <w:szCs w:val="21"/>
              </w:rPr>
            </w:pPr>
          </w:p>
        </w:tc>
        <w:tc>
          <w:tcPr>
            <w:tcW w:w="543" w:type="pct"/>
            <w:vAlign w:val="center"/>
          </w:tcPr>
          <w:p>
            <w:pPr>
              <w:adjustRightInd w:val="0"/>
              <w:snapToGrid w:val="0"/>
              <w:spacing w:line="360" w:lineRule="exact"/>
              <w:jc w:val="center"/>
              <w:rPr>
                <w:rFonts w:hint="eastAsia" w:eastAsia="宋体"/>
                <w:bCs/>
                <w:color w:val="auto"/>
                <w:szCs w:val="21"/>
                <w:lang w:eastAsia="zh-CN"/>
              </w:rPr>
            </w:pPr>
            <w:r>
              <w:rPr>
                <w:rFonts w:hint="eastAsia"/>
                <w:bCs/>
                <w:color w:val="auto"/>
                <w:szCs w:val="21"/>
                <w:lang w:eastAsia="zh-CN"/>
              </w:rPr>
              <w:t>五金仓库</w:t>
            </w:r>
          </w:p>
        </w:tc>
        <w:tc>
          <w:tcPr>
            <w:tcW w:w="3434" w:type="pct"/>
            <w:gridSpan w:val="2"/>
            <w:vAlign w:val="center"/>
          </w:tcPr>
          <w:p>
            <w:pPr>
              <w:adjustRightInd w:val="0"/>
              <w:snapToGrid w:val="0"/>
              <w:spacing w:line="360" w:lineRule="exact"/>
              <w:jc w:val="center"/>
              <w:rPr>
                <w:rFonts w:hint="eastAsia" w:eastAsia="宋体"/>
                <w:color w:val="auto"/>
                <w:szCs w:val="21"/>
                <w:lang w:val="en-US" w:eastAsia="zh-CN"/>
              </w:rPr>
            </w:pPr>
            <w:r>
              <w:rPr>
                <w:rFonts w:hint="eastAsia"/>
                <w:color w:val="auto"/>
                <w:szCs w:val="21"/>
                <w:lang w:eastAsia="zh-CN"/>
              </w:rPr>
              <w:t>位于</w:t>
            </w:r>
            <w:r>
              <w:rPr>
                <w:rFonts w:hint="eastAsia"/>
                <w:bCs/>
                <w:color w:val="auto"/>
                <w:szCs w:val="21"/>
                <w:lang w:eastAsia="zh-CN"/>
              </w:rPr>
              <w:t>炼胶车间东侧，用于五金物件的存储，</w:t>
            </w:r>
            <w:r>
              <w:rPr>
                <w:rFonts w:hint="eastAsia"/>
                <w:snapToGrid w:val="0"/>
                <w:color w:val="auto"/>
                <w:kern w:val="0"/>
                <w:szCs w:val="21"/>
              </w:rPr>
              <w:t>建筑面积约为800</w:t>
            </w:r>
            <w:r>
              <w:rPr>
                <w:snapToGrid w:val="0"/>
                <w:color w:val="auto"/>
                <w:kern w:val="0"/>
                <w:szCs w:val="21"/>
              </w:rPr>
              <w:t>m</w:t>
            </w:r>
            <w:r>
              <w:rPr>
                <w:snapToGrid w:val="0"/>
                <w:color w:val="auto"/>
                <w:kern w:val="0"/>
                <w:szCs w:val="21"/>
                <w:vertAlign w:val="superscript"/>
              </w:rPr>
              <w:t>2</w:t>
            </w:r>
            <w:r>
              <w:rPr>
                <w:snapToGrid w:val="0"/>
                <w:color w:val="auto"/>
                <w:kern w:val="0"/>
                <w:szCs w:val="21"/>
              </w:rPr>
              <w:t>。</w:t>
            </w:r>
          </w:p>
        </w:tc>
        <w:tc>
          <w:tcPr>
            <w:tcW w:w="607" w:type="pct"/>
            <w:vAlign w:val="center"/>
          </w:tcPr>
          <w:p>
            <w:pPr>
              <w:jc w:val="center"/>
              <w:rPr>
                <w:snapToGrid w:val="0"/>
                <w:color w:val="auto"/>
                <w:kern w:val="0"/>
                <w:szCs w:val="21"/>
              </w:rPr>
            </w:pPr>
            <w:r>
              <w:rPr>
                <w:snapToGrid w:val="0"/>
                <w:color w:val="auto"/>
                <w:kern w:val="0"/>
                <w:szCs w:val="21"/>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414" w:type="pct"/>
            <w:vMerge w:val="continue"/>
            <w:vAlign w:val="center"/>
          </w:tcPr>
          <w:p>
            <w:pPr>
              <w:tabs>
                <w:tab w:val="left" w:pos="210"/>
              </w:tabs>
              <w:ind w:firstLine="2" w:firstLineChars="1"/>
              <w:jc w:val="center"/>
              <w:rPr>
                <w:bCs/>
                <w:color w:val="auto"/>
                <w:szCs w:val="21"/>
              </w:rPr>
            </w:pPr>
          </w:p>
        </w:tc>
        <w:tc>
          <w:tcPr>
            <w:tcW w:w="543" w:type="pct"/>
            <w:vAlign w:val="center"/>
          </w:tcPr>
          <w:p>
            <w:pPr>
              <w:adjustRightInd w:val="0"/>
              <w:snapToGrid w:val="0"/>
              <w:spacing w:line="360" w:lineRule="exact"/>
              <w:jc w:val="center"/>
              <w:rPr>
                <w:rFonts w:hint="eastAsia" w:eastAsia="宋体"/>
                <w:bCs/>
                <w:color w:val="auto"/>
                <w:szCs w:val="21"/>
                <w:lang w:eastAsia="zh-CN"/>
              </w:rPr>
            </w:pPr>
            <w:r>
              <w:rPr>
                <w:rFonts w:hint="eastAsia"/>
                <w:bCs/>
                <w:color w:val="auto"/>
                <w:szCs w:val="21"/>
                <w:lang w:eastAsia="zh-CN"/>
              </w:rPr>
              <w:t>实验室</w:t>
            </w:r>
          </w:p>
        </w:tc>
        <w:tc>
          <w:tcPr>
            <w:tcW w:w="3434" w:type="pct"/>
            <w:gridSpan w:val="2"/>
            <w:vAlign w:val="center"/>
          </w:tcPr>
          <w:p>
            <w:pPr>
              <w:adjustRightInd w:val="0"/>
              <w:snapToGrid w:val="0"/>
              <w:spacing w:line="360" w:lineRule="exact"/>
              <w:jc w:val="center"/>
              <w:rPr>
                <w:rFonts w:hint="eastAsia"/>
                <w:color w:val="auto"/>
                <w:szCs w:val="21"/>
                <w:lang w:eastAsia="zh-CN"/>
              </w:rPr>
            </w:pPr>
            <w:r>
              <w:rPr>
                <w:rFonts w:hint="eastAsia"/>
                <w:color w:val="auto"/>
                <w:szCs w:val="21"/>
                <w:lang w:eastAsia="zh-CN"/>
              </w:rPr>
              <w:t>位于</w:t>
            </w:r>
            <w:r>
              <w:rPr>
                <w:rFonts w:hint="eastAsia"/>
                <w:bCs/>
                <w:color w:val="auto"/>
                <w:szCs w:val="21"/>
                <w:lang w:eastAsia="zh-CN"/>
              </w:rPr>
              <w:t>炼胶车间东侧，用于成品的抽样实验，</w:t>
            </w:r>
            <w:r>
              <w:rPr>
                <w:rFonts w:hint="eastAsia"/>
                <w:snapToGrid w:val="0"/>
                <w:color w:val="auto"/>
                <w:kern w:val="0"/>
                <w:szCs w:val="21"/>
              </w:rPr>
              <w:t>建筑面积约为800</w:t>
            </w:r>
            <w:r>
              <w:rPr>
                <w:snapToGrid w:val="0"/>
                <w:color w:val="auto"/>
                <w:kern w:val="0"/>
                <w:szCs w:val="21"/>
              </w:rPr>
              <w:t>m</w:t>
            </w:r>
            <w:r>
              <w:rPr>
                <w:snapToGrid w:val="0"/>
                <w:color w:val="auto"/>
                <w:kern w:val="0"/>
                <w:szCs w:val="21"/>
                <w:vertAlign w:val="superscript"/>
              </w:rPr>
              <w:t>2</w:t>
            </w:r>
            <w:r>
              <w:rPr>
                <w:snapToGrid w:val="0"/>
                <w:color w:val="auto"/>
                <w:kern w:val="0"/>
                <w:szCs w:val="21"/>
              </w:rPr>
              <w:t>。</w:t>
            </w:r>
          </w:p>
        </w:tc>
        <w:tc>
          <w:tcPr>
            <w:tcW w:w="607" w:type="pct"/>
            <w:vAlign w:val="center"/>
          </w:tcPr>
          <w:p>
            <w:pPr>
              <w:jc w:val="center"/>
              <w:rPr>
                <w:snapToGrid w:val="0"/>
                <w:color w:val="auto"/>
                <w:kern w:val="0"/>
                <w:szCs w:val="21"/>
              </w:rPr>
            </w:pPr>
            <w:r>
              <w:rPr>
                <w:snapToGrid w:val="0"/>
                <w:color w:val="auto"/>
                <w:kern w:val="0"/>
                <w:szCs w:val="21"/>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414" w:type="pct"/>
            <w:vMerge w:val="continue"/>
            <w:vAlign w:val="center"/>
          </w:tcPr>
          <w:p>
            <w:pPr>
              <w:tabs>
                <w:tab w:val="left" w:pos="210"/>
              </w:tabs>
              <w:ind w:firstLine="2" w:firstLineChars="1"/>
              <w:jc w:val="center"/>
              <w:rPr>
                <w:bCs/>
                <w:color w:val="auto"/>
                <w:szCs w:val="21"/>
              </w:rPr>
            </w:pPr>
          </w:p>
        </w:tc>
        <w:tc>
          <w:tcPr>
            <w:tcW w:w="543" w:type="pct"/>
            <w:vAlign w:val="center"/>
          </w:tcPr>
          <w:p>
            <w:pPr>
              <w:adjustRightInd w:val="0"/>
              <w:snapToGrid w:val="0"/>
              <w:spacing w:line="360" w:lineRule="exact"/>
              <w:jc w:val="center"/>
              <w:rPr>
                <w:rFonts w:hint="eastAsia"/>
                <w:bCs/>
                <w:color w:val="auto"/>
                <w:szCs w:val="21"/>
                <w:lang w:eastAsia="zh-CN"/>
              </w:rPr>
            </w:pPr>
            <w:r>
              <w:rPr>
                <w:rFonts w:hint="eastAsia"/>
                <w:bCs/>
                <w:color w:val="auto"/>
                <w:szCs w:val="21"/>
                <w:lang w:eastAsia="zh-CN"/>
              </w:rPr>
              <w:t>检验包装区</w:t>
            </w:r>
          </w:p>
        </w:tc>
        <w:tc>
          <w:tcPr>
            <w:tcW w:w="3434" w:type="pct"/>
            <w:gridSpan w:val="2"/>
            <w:vAlign w:val="center"/>
          </w:tcPr>
          <w:p>
            <w:pPr>
              <w:adjustRightInd w:val="0"/>
              <w:snapToGrid w:val="0"/>
              <w:spacing w:line="360" w:lineRule="exact"/>
              <w:jc w:val="center"/>
              <w:rPr>
                <w:rFonts w:hint="eastAsia"/>
                <w:color w:val="auto"/>
                <w:szCs w:val="21"/>
                <w:lang w:eastAsia="zh-CN"/>
              </w:rPr>
            </w:pPr>
            <w:r>
              <w:rPr>
                <w:rFonts w:hint="eastAsia"/>
                <w:color w:val="auto"/>
                <w:szCs w:val="21"/>
                <w:lang w:eastAsia="zh-CN"/>
              </w:rPr>
              <w:t>位于</w:t>
            </w:r>
            <w:r>
              <w:rPr>
                <w:rFonts w:hint="eastAsia"/>
                <w:bCs/>
                <w:color w:val="auto"/>
                <w:szCs w:val="21"/>
                <w:lang w:eastAsia="zh-CN"/>
              </w:rPr>
              <w:t>炼胶车间东侧，用于成品的检验包装，</w:t>
            </w:r>
            <w:r>
              <w:rPr>
                <w:rFonts w:hint="eastAsia"/>
                <w:snapToGrid w:val="0"/>
                <w:color w:val="auto"/>
                <w:kern w:val="0"/>
                <w:szCs w:val="21"/>
              </w:rPr>
              <w:t>建筑面积约为800</w:t>
            </w:r>
            <w:r>
              <w:rPr>
                <w:snapToGrid w:val="0"/>
                <w:color w:val="auto"/>
                <w:kern w:val="0"/>
                <w:szCs w:val="21"/>
              </w:rPr>
              <w:t>m</w:t>
            </w:r>
            <w:r>
              <w:rPr>
                <w:snapToGrid w:val="0"/>
                <w:color w:val="auto"/>
                <w:kern w:val="0"/>
                <w:szCs w:val="21"/>
                <w:vertAlign w:val="superscript"/>
              </w:rPr>
              <w:t>2</w:t>
            </w:r>
            <w:r>
              <w:rPr>
                <w:snapToGrid w:val="0"/>
                <w:color w:val="auto"/>
                <w:kern w:val="0"/>
                <w:szCs w:val="21"/>
              </w:rPr>
              <w:t>。</w:t>
            </w:r>
          </w:p>
        </w:tc>
        <w:tc>
          <w:tcPr>
            <w:tcW w:w="607" w:type="pct"/>
            <w:vAlign w:val="center"/>
          </w:tcPr>
          <w:p>
            <w:pPr>
              <w:jc w:val="center"/>
              <w:rPr>
                <w:snapToGrid w:val="0"/>
                <w:color w:val="auto"/>
                <w:kern w:val="0"/>
                <w:szCs w:val="21"/>
              </w:rPr>
            </w:pPr>
            <w:r>
              <w:rPr>
                <w:snapToGrid w:val="0"/>
                <w:color w:val="auto"/>
                <w:kern w:val="0"/>
                <w:szCs w:val="21"/>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14" w:type="pct"/>
            <w:vMerge w:val="restart"/>
            <w:vAlign w:val="center"/>
          </w:tcPr>
          <w:p>
            <w:pPr>
              <w:tabs>
                <w:tab w:val="left" w:pos="210"/>
              </w:tabs>
              <w:ind w:firstLine="2" w:firstLineChars="1"/>
              <w:jc w:val="center"/>
              <w:rPr>
                <w:bCs/>
                <w:color w:val="auto"/>
                <w:szCs w:val="21"/>
              </w:rPr>
            </w:pPr>
            <w:r>
              <w:rPr>
                <w:bCs/>
                <w:color w:val="auto"/>
                <w:szCs w:val="21"/>
              </w:rPr>
              <w:t>储运工程</w:t>
            </w:r>
          </w:p>
        </w:tc>
        <w:tc>
          <w:tcPr>
            <w:tcW w:w="543" w:type="pct"/>
            <w:vAlign w:val="center"/>
          </w:tcPr>
          <w:p>
            <w:pPr>
              <w:tabs>
                <w:tab w:val="left" w:pos="210"/>
              </w:tabs>
              <w:jc w:val="center"/>
              <w:rPr>
                <w:rFonts w:hint="eastAsia" w:eastAsia="宋体"/>
                <w:color w:val="auto"/>
                <w:szCs w:val="21"/>
                <w:lang w:eastAsia="zh-CN"/>
              </w:rPr>
            </w:pPr>
            <w:r>
              <w:rPr>
                <w:color w:val="auto"/>
                <w:szCs w:val="21"/>
              </w:rPr>
              <w:t>原料</w:t>
            </w:r>
            <w:r>
              <w:rPr>
                <w:rFonts w:hint="eastAsia"/>
                <w:color w:val="auto"/>
                <w:szCs w:val="21"/>
                <w:lang w:eastAsia="zh-CN"/>
              </w:rPr>
              <w:t>堆放区</w:t>
            </w:r>
          </w:p>
        </w:tc>
        <w:tc>
          <w:tcPr>
            <w:tcW w:w="3434" w:type="pct"/>
            <w:gridSpan w:val="2"/>
            <w:vAlign w:val="center"/>
          </w:tcPr>
          <w:p>
            <w:pPr>
              <w:tabs>
                <w:tab w:val="left" w:pos="210"/>
              </w:tabs>
              <w:jc w:val="center"/>
              <w:rPr>
                <w:color w:val="auto"/>
              </w:rPr>
            </w:pPr>
            <w:r>
              <w:rPr>
                <w:color w:val="auto"/>
                <w:szCs w:val="21"/>
              </w:rPr>
              <w:t>位于</w:t>
            </w:r>
            <w:r>
              <w:rPr>
                <w:rFonts w:hint="eastAsia"/>
                <w:bCs/>
                <w:color w:val="auto"/>
                <w:szCs w:val="21"/>
                <w:lang w:eastAsia="zh-CN"/>
              </w:rPr>
              <w:t>炼胶车间东侧</w:t>
            </w:r>
            <w:r>
              <w:rPr>
                <w:color w:val="auto"/>
                <w:szCs w:val="21"/>
              </w:rPr>
              <w:t>，</w:t>
            </w:r>
            <w:r>
              <w:rPr>
                <w:rFonts w:hint="eastAsia"/>
                <w:color w:val="auto"/>
                <w:szCs w:val="21"/>
                <w:lang w:eastAsia="zh-CN"/>
              </w:rPr>
              <w:t>用于原材料的存储堆放，</w:t>
            </w:r>
            <w:r>
              <w:rPr>
                <w:color w:val="auto"/>
                <w:szCs w:val="21"/>
              </w:rPr>
              <w:t>建筑面积1141</w:t>
            </w:r>
            <w:r>
              <w:rPr>
                <w:color w:val="auto"/>
                <w:kern w:val="0"/>
                <w:szCs w:val="21"/>
              </w:rPr>
              <w:t xml:space="preserve"> m</w:t>
            </w:r>
            <w:r>
              <w:rPr>
                <w:color w:val="auto"/>
                <w:kern w:val="0"/>
                <w:szCs w:val="21"/>
                <w:vertAlign w:val="superscript"/>
              </w:rPr>
              <w:t>2</w:t>
            </w:r>
          </w:p>
        </w:tc>
        <w:tc>
          <w:tcPr>
            <w:tcW w:w="607" w:type="pct"/>
            <w:vAlign w:val="center"/>
          </w:tcPr>
          <w:p>
            <w:pPr>
              <w:jc w:val="center"/>
              <w:rPr>
                <w:bCs/>
                <w:color w:val="auto"/>
                <w:szCs w:val="21"/>
              </w:rPr>
            </w:pPr>
            <w:r>
              <w:rPr>
                <w:snapToGrid w:val="0"/>
                <w:color w:val="auto"/>
                <w:kern w:val="0"/>
                <w:szCs w:val="21"/>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414" w:type="pct"/>
            <w:vMerge w:val="continue"/>
            <w:vAlign w:val="center"/>
          </w:tcPr>
          <w:p>
            <w:pPr>
              <w:tabs>
                <w:tab w:val="left" w:pos="210"/>
              </w:tabs>
              <w:ind w:firstLine="2" w:firstLineChars="1"/>
              <w:jc w:val="center"/>
              <w:rPr>
                <w:bCs/>
                <w:color w:val="auto"/>
                <w:szCs w:val="21"/>
              </w:rPr>
            </w:pPr>
          </w:p>
        </w:tc>
        <w:tc>
          <w:tcPr>
            <w:tcW w:w="543" w:type="pct"/>
            <w:vAlign w:val="center"/>
          </w:tcPr>
          <w:p>
            <w:pPr>
              <w:tabs>
                <w:tab w:val="left" w:pos="210"/>
              </w:tabs>
              <w:jc w:val="center"/>
              <w:rPr>
                <w:rFonts w:hint="eastAsia" w:eastAsia="宋体"/>
                <w:color w:val="auto"/>
                <w:szCs w:val="21"/>
                <w:lang w:eastAsia="zh-CN"/>
              </w:rPr>
            </w:pPr>
            <w:r>
              <w:rPr>
                <w:color w:val="auto"/>
                <w:szCs w:val="21"/>
              </w:rPr>
              <w:t>成品</w:t>
            </w:r>
            <w:r>
              <w:rPr>
                <w:rFonts w:hint="eastAsia"/>
                <w:color w:val="auto"/>
                <w:szCs w:val="21"/>
                <w:lang w:eastAsia="zh-CN"/>
              </w:rPr>
              <w:t>堆放区</w:t>
            </w:r>
          </w:p>
        </w:tc>
        <w:tc>
          <w:tcPr>
            <w:tcW w:w="3434" w:type="pct"/>
            <w:gridSpan w:val="2"/>
            <w:vAlign w:val="center"/>
          </w:tcPr>
          <w:p>
            <w:pPr>
              <w:tabs>
                <w:tab w:val="left" w:pos="210"/>
              </w:tabs>
              <w:jc w:val="center"/>
              <w:rPr>
                <w:rFonts w:ascii="Times New Roman" w:hAnsi="Times New Roman" w:eastAsia="宋体" w:cs="Times New Roman"/>
                <w:color w:val="auto"/>
                <w:kern w:val="2"/>
                <w:sz w:val="21"/>
                <w:szCs w:val="24"/>
                <w:lang w:val="en-US" w:eastAsia="zh-CN" w:bidi="ar-SA"/>
              </w:rPr>
            </w:pPr>
            <w:r>
              <w:rPr>
                <w:color w:val="auto"/>
                <w:szCs w:val="21"/>
              </w:rPr>
              <w:t>位于</w:t>
            </w:r>
            <w:r>
              <w:rPr>
                <w:rFonts w:hint="eastAsia"/>
                <w:bCs/>
                <w:color w:val="auto"/>
                <w:szCs w:val="21"/>
                <w:lang w:eastAsia="zh-CN"/>
              </w:rPr>
              <w:t>炼胶车间东侧</w:t>
            </w:r>
            <w:r>
              <w:rPr>
                <w:color w:val="auto"/>
                <w:szCs w:val="21"/>
              </w:rPr>
              <w:t>，</w:t>
            </w:r>
            <w:r>
              <w:rPr>
                <w:rFonts w:hint="eastAsia"/>
                <w:color w:val="auto"/>
                <w:szCs w:val="21"/>
                <w:lang w:eastAsia="zh-CN"/>
              </w:rPr>
              <w:t>用于成品的存储堆放，</w:t>
            </w:r>
            <w:r>
              <w:rPr>
                <w:color w:val="auto"/>
                <w:szCs w:val="21"/>
              </w:rPr>
              <w:t>建筑面积1141</w:t>
            </w:r>
            <w:r>
              <w:rPr>
                <w:color w:val="auto"/>
                <w:kern w:val="0"/>
                <w:szCs w:val="21"/>
              </w:rPr>
              <w:t xml:space="preserve"> m</w:t>
            </w:r>
            <w:r>
              <w:rPr>
                <w:color w:val="auto"/>
                <w:kern w:val="0"/>
                <w:szCs w:val="21"/>
                <w:vertAlign w:val="superscript"/>
              </w:rPr>
              <w:t>2</w:t>
            </w:r>
          </w:p>
        </w:tc>
        <w:tc>
          <w:tcPr>
            <w:tcW w:w="607" w:type="pct"/>
            <w:vAlign w:val="center"/>
          </w:tcPr>
          <w:p>
            <w:pPr>
              <w:jc w:val="center"/>
              <w:rPr>
                <w:rFonts w:ascii="Times New Roman" w:hAnsi="Times New Roman" w:eastAsia="宋体" w:cs="Times New Roman"/>
                <w:bCs/>
                <w:color w:val="auto"/>
                <w:kern w:val="2"/>
                <w:sz w:val="21"/>
                <w:szCs w:val="21"/>
                <w:lang w:val="en-US" w:eastAsia="zh-CN" w:bidi="ar-SA"/>
              </w:rPr>
            </w:pPr>
            <w:r>
              <w:rPr>
                <w:snapToGrid w:val="0"/>
                <w:color w:val="auto"/>
                <w:kern w:val="0"/>
                <w:szCs w:val="21"/>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414" w:type="pct"/>
            <w:vMerge w:val="restart"/>
            <w:vAlign w:val="center"/>
          </w:tcPr>
          <w:p>
            <w:pPr>
              <w:tabs>
                <w:tab w:val="left" w:pos="210"/>
              </w:tabs>
              <w:ind w:firstLine="2" w:firstLineChars="1"/>
              <w:jc w:val="center"/>
              <w:rPr>
                <w:bCs/>
                <w:color w:val="auto"/>
                <w:szCs w:val="21"/>
              </w:rPr>
            </w:pPr>
            <w:r>
              <w:rPr>
                <w:bCs/>
                <w:color w:val="auto"/>
                <w:szCs w:val="21"/>
              </w:rPr>
              <w:t>公用工程</w:t>
            </w:r>
          </w:p>
        </w:tc>
        <w:tc>
          <w:tcPr>
            <w:tcW w:w="543" w:type="pct"/>
            <w:vAlign w:val="center"/>
          </w:tcPr>
          <w:p>
            <w:pPr>
              <w:tabs>
                <w:tab w:val="left" w:pos="210"/>
              </w:tabs>
              <w:jc w:val="center"/>
              <w:rPr>
                <w:bCs/>
                <w:color w:val="auto"/>
                <w:szCs w:val="21"/>
              </w:rPr>
            </w:pPr>
            <w:r>
              <w:rPr>
                <w:bCs/>
                <w:color w:val="auto"/>
                <w:szCs w:val="21"/>
              </w:rPr>
              <w:t>供电</w:t>
            </w:r>
          </w:p>
        </w:tc>
        <w:tc>
          <w:tcPr>
            <w:tcW w:w="3434" w:type="pct"/>
            <w:gridSpan w:val="2"/>
            <w:vAlign w:val="center"/>
          </w:tcPr>
          <w:p>
            <w:pPr>
              <w:tabs>
                <w:tab w:val="left" w:pos="210"/>
              </w:tabs>
              <w:jc w:val="center"/>
              <w:rPr>
                <w:bCs/>
                <w:color w:val="auto"/>
                <w:szCs w:val="21"/>
              </w:rPr>
            </w:pPr>
            <w:r>
              <w:rPr>
                <w:color w:val="auto"/>
                <w:szCs w:val="21"/>
              </w:rPr>
              <w:t>项目用电由</w:t>
            </w:r>
            <w:r>
              <w:rPr>
                <w:rFonts w:hint="eastAsia"/>
                <w:color w:val="auto"/>
                <w:szCs w:val="21"/>
                <w:lang w:eastAsia="zh-CN"/>
              </w:rPr>
              <w:t>市政</w:t>
            </w:r>
            <w:r>
              <w:rPr>
                <w:color w:val="auto"/>
                <w:szCs w:val="21"/>
              </w:rPr>
              <w:t>供电</w:t>
            </w:r>
            <w:r>
              <w:rPr>
                <w:rFonts w:hint="eastAsia"/>
                <w:color w:val="auto"/>
                <w:szCs w:val="21"/>
                <w:lang w:eastAsia="zh-CN"/>
              </w:rPr>
              <w:t>电</w:t>
            </w:r>
            <w:r>
              <w:rPr>
                <w:color w:val="auto"/>
                <w:szCs w:val="21"/>
              </w:rPr>
              <w:t>网供给</w:t>
            </w:r>
            <w:r>
              <w:rPr>
                <w:rFonts w:hint="eastAsia"/>
                <w:color w:val="auto"/>
                <w:szCs w:val="21"/>
                <w:lang w:eastAsia="zh-CN"/>
              </w:rPr>
              <w:t>，</w:t>
            </w:r>
            <w:r>
              <w:rPr>
                <w:color w:val="auto"/>
                <w:szCs w:val="21"/>
              </w:rPr>
              <w:t>用电量</w:t>
            </w:r>
            <w:r>
              <w:rPr>
                <w:rFonts w:hint="eastAsia"/>
                <w:color w:val="auto"/>
                <w:szCs w:val="21"/>
                <w:lang w:val="en-US" w:eastAsia="zh-CN"/>
              </w:rPr>
              <w:t>4</w:t>
            </w:r>
            <w:r>
              <w:rPr>
                <w:color w:val="auto"/>
                <w:szCs w:val="21"/>
              </w:rPr>
              <w:t>0万kwh/a。</w:t>
            </w:r>
          </w:p>
        </w:tc>
        <w:tc>
          <w:tcPr>
            <w:tcW w:w="607" w:type="pct"/>
            <w:vAlign w:val="center"/>
          </w:tcPr>
          <w:p>
            <w:pPr>
              <w:tabs>
                <w:tab w:val="left" w:pos="210"/>
              </w:tabs>
              <w:jc w:val="center"/>
              <w:rPr>
                <w:bCs/>
                <w:color w:val="auto"/>
                <w:szCs w:val="21"/>
              </w:rPr>
            </w:pPr>
            <w:r>
              <w:rPr>
                <w:bCs/>
                <w:color w:val="auto"/>
                <w:szCs w:val="21"/>
              </w:rPr>
              <w:t>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414" w:type="pct"/>
            <w:vMerge w:val="continue"/>
            <w:vAlign w:val="center"/>
          </w:tcPr>
          <w:p>
            <w:pPr>
              <w:tabs>
                <w:tab w:val="left" w:pos="210"/>
              </w:tabs>
              <w:ind w:firstLine="2" w:firstLineChars="1"/>
              <w:jc w:val="center"/>
              <w:rPr>
                <w:bCs/>
                <w:color w:val="auto"/>
                <w:szCs w:val="21"/>
              </w:rPr>
            </w:pPr>
          </w:p>
        </w:tc>
        <w:tc>
          <w:tcPr>
            <w:tcW w:w="543" w:type="pct"/>
            <w:vAlign w:val="center"/>
          </w:tcPr>
          <w:p>
            <w:pPr>
              <w:tabs>
                <w:tab w:val="left" w:pos="210"/>
              </w:tabs>
              <w:jc w:val="center"/>
              <w:rPr>
                <w:bCs/>
                <w:color w:val="auto"/>
                <w:szCs w:val="21"/>
              </w:rPr>
            </w:pPr>
            <w:r>
              <w:rPr>
                <w:bCs/>
                <w:color w:val="auto"/>
                <w:szCs w:val="21"/>
              </w:rPr>
              <w:t>给水</w:t>
            </w:r>
          </w:p>
        </w:tc>
        <w:tc>
          <w:tcPr>
            <w:tcW w:w="3434" w:type="pct"/>
            <w:gridSpan w:val="2"/>
            <w:vAlign w:val="center"/>
          </w:tcPr>
          <w:p>
            <w:pPr>
              <w:tabs>
                <w:tab w:val="left" w:pos="210"/>
              </w:tabs>
              <w:jc w:val="center"/>
              <w:rPr>
                <w:rFonts w:hint="eastAsia"/>
                <w:bCs/>
                <w:color w:val="auto"/>
                <w:szCs w:val="21"/>
                <w:lang w:eastAsia="zh-CN"/>
              </w:rPr>
            </w:pPr>
            <w:r>
              <w:rPr>
                <w:color w:val="auto"/>
                <w:szCs w:val="21"/>
              </w:rPr>
              <w:t>本项目用水</w:t>
            </w:r>
            <w:r>
              <w:rPr>
                <w:rFonts w:hint="eastAsia"/>
                <w:color w:val="auto"/>
                <w:szCs w:val="21"/>
                <w:lang w:eastAsia="zh-CN"/>
              </w:rPr>
              <w:t>市政</w:t>
            </w:r>
            <w:r>
              <w:rPr>
                <w:color w:val="auto"/>
                <w:szCs w:val="21"/>
              </w:rPr>
              <w:t>供水管网供给，用水量</w:t>
            </w:r>
            <w:r>
              <w:rPr>
                <w:rFonts w:hint="eastAsia"/>
                <w:color w:val="auto"/>
                <w:szCs w:val="21"/>
                <w:lang w:val="en-US" w:eastAsia="zh-CN"/>
              </w:rPr>
              <w:t>3001.5</w:t>
            </w:r>
            <w:r>
              <w:rPr>
                <w:color w:val="auto"/>
                <w:szCs w:val="21"/>
              </w:rPr>
              <w:t>t/a。</w:t>
            </w:r>
          </w:p>
        </w:tc>
        <w:tc>
          <w:tcPr>
            <w:tcW w:w="607" w:type="pct"/>
            <w:vAlign w:val="center"/>
          </w:tcPr>
          <w:p>
            <w:pPr>
              <w:tabs>
                <w:tab w:val="left" w:pos="210"/>
              </w:tabs>
              <w:jc w:val="center"/>
              <w:rPr>
                <w:bCs/>
                <w:color w:val="auto"/>
                <w:szCs w:val="21"/>
              </w:rPr>
            </w:pPr>
            <w:r>
              <w:rPr>
                <w:bCs/>
                <w:color w:val="auto"/>
                <w:szCs w:val="21"/>
              </w:rPr>
              <w:t>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414" w:type="pct"/>
            <w:vMerge w:val="continue"/>
            <w:vAlign w:val="center"/>
          </w:tcPr>
          <w:p>
            <w:pPr>
              <w:tabs>
                <w:tab w:val="left" w:pos="210"/>
              </w:tabs>
              <w:ind w:firstLine="2" w:firstLineChars="1"/>
              <w:jc w:val="center"/>
              <w:rPr>
                <w:bCs/>
                <w:color w:val="auto"/>
                <w:szCs w:val="21"/>
              </w:rPr>
            </w:pPr>
          </w:p>
        </w:tc>
        <w:tc>
          <w:tcPr>
            <w:tcW w:w="543" w:type="pct"/>
            <w:vAlign w:val="center"/>
          </w:tcPr>
          <w:p>
            <w:pPr>
              <w:tabs>
                <w:tab w:val="left" w:pos="210"/>
              </w:tabs>
              <w:jc w:val="center"/>
              <w:rPr>
                <w:bCs/>
                <w:color w:val="auto"/>
                <w:szCs w:val="21"/>
              </w:rPr>
            </w:pPr>
            <w:r>
              <w:rPr>
                <w:bCs/>
                <w:color w:val="auto"/>
                <w:szCs w:val="21"/>
              </w:rPr>
              <w:t>排水</w:t>
            </w:r>
          </w:p>
        </w:tc>
        <w:tc>
          <w:tcPr>
            <w:tcW w:w="3434" w:type="pct"/>
            <w:gridSpan w:val="2"/>
            <w:vAlign w:val="center"/>
          </w:tcPr>
          <w:p>
            <w:pPr>
              <w:adjustRightInd w:val="0"/>
              <w:jc w:val="center"/>
              <w:rPr>
                <w:color w:val="auto"/>
                <w:szCs w:val="21"/>
              </w:rPr>
            </w:pPr>
            <w:r>
              <w:rPr>
                <w:color w:val="auto"/>
                <w:szCs w:val="21"/>
              </w:rPr>
              <w:t>厂区雨、污分流，</w:t>
            </w:r>
          </w:p>
          <w:p>
            <w:pPr>
              <w:adjustRightInd w:val="0"/>
              <w:jc w:val="center"/>
              <w:rPr>
                <w:rFonts w:hint="eastAsia" w:eastAsia="宋体"/>
                <w:color w:val="auto"/>
                <w:szCs w:val="21"/>
                <w:lang w:eastAsia="zh-CN"/>
              </w:rPr>
            </w:pPr>
            <w:r>
              <w:rPr>
                <w:rFonts w:hint="eastAsia"/>
                <w:color w:val="auto"/>
                <w:szCs w:val="21"/>
                <w:lang w:eastAsia="zh-CN"/>
              </w:rPr>
              <w:t>生活污水经化粪池预处理后排入市政污水管网</w:t>
            </w:r>
            <w:r>
              <w:rPr>
                <w:color w:val="auto"/>
                <w:szCs w:val="21"/>
              </w:rPr>
              <w:t>，</w:t>
            </w:r>
            <w:r>
              <w:rPr>
                <w:rFonts w:hint="eastAsia"/>
                <w:color w:val="auto"/>
                <w:szCs w:val="21"/>
                <w:lang w:eastAsia="zh-CN"/>
              </w:rPr>
              <w:t>进入宁国市污水处理厂</w:t>
            </w:r>
          </w:p>
        </w:tc>
        <w:tc>
          <w:tcPr>
            <w:tcW w:w="607" w:type="pct"/>
            <w:vAlign w:val="center"/>
          </w:tcPr>
          <w:p>
            <w:pPr>
              <w:tabs>
                <w:tab w:val="left" w:pos="210"/>
              </w:tabs>
              <w:jc w:val="center"/>
              <w:rPr>
                <w:bCs/>
                <w:color w:val="auto"/>
                <w:szCs w:val="21"/>
              </w:rPr>
            </w:pPr>
            <w:r>
              <w:rPr>
                <w:bCs/>
                <w:color w:val="auto"/>
                <w:szCs w:val="21"/>
              </w:rPr>
              <w:t>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414" w:type="pct"/>
            <w:vMerge w:val="restart"/>
            <w:vAlign w:val="center"/>
          </w:tcPr>
          <w:p>
            <w:pPr>
              <w:tabs>
                <w:tab w:val="left" w:pos="210"/>
              </w:tabs>
              <w:ind w:firstLine="2" w:firstLineChars="1"/>
              <w:jc w:val="center"/>
              <w:rPr>
                <w:bCs/>
                <w:color w:val="auto"/>
                <w:szCs w:val="21"/>
              </w:rPr>
            </w:pPr>
            <w:r>
              <w:rPr>
                <w:bCs/>
                <w:color w:val="auto"/>
                <w:szCs w:val="21"/>
              </w:rPr>
              <w:t>环保工程</w:t>
            </w:r>
          </w:p>
        </w:tc>
        <w:tc>
          <w:tcPr>
            <w:tcW w:w="543" w:type="pct"/>
            <w:vAlign w:val="center"/>
          </w:tcPr>
          <w:p>
            <w:pPr>
              <w:tabs>
                <w:tab w:val="left" w:pos="210"/>
              </w:tabs>
              <w:jc w:val="center"/>
              <w:rPr>
                <w:bCs/>
                <w:color w:val="auto"/>
                <w:szCs w:val="21"/>
              </w:rPr>
            </w:pPr>
            <w:r>
              <w:rPr>
                <w:bCs/>
                <w:color w:val="auto"/>
                <w:szCs w:val="21"/>
              </w:rPr>
              <w:t>废水治理</w:t>
            </w:r>
          </w:p>
        </w:tc>
        <w:tc>
          <w:tcPr>
            <w:tcW w:w="4042" w:type="pct"/>
            <w:gridSpan w:val="3"/>
            <w:vAlign w:val="center"/>
          </w:tcPr>
          <w:p>
            <w:pPr>
              <w:tabs>
                <w:tab w:val="left" w:pos="210"/>
              </w:tabs>
              <w:jc w:val="center"/>
              <w:rPr>
                <w:color w:val="auto"/>
              </w:rPr>
            </w:pPr>
            <w:r>
              <w:rPr>
                <w:color w:val="auto"/>
              </w:rPr>
              <w:t>厂内雨污分流，</w:t>
            </w:r>
          </w:p>
          <w:p>
            <w:pPr>
              <w:tabs>
                <w:tab w:val="left" w:pos="210"/>
              </w:tabs>
              <w:jc w:val="center"/>
              <w:rPr>
                <w:rFonts w:hint="eastAsia" w:eastAsia="宋体"/>
                <w:color w:val="auto"/>
                <w:lang w:eastAsia="zh-CN"/>
              </w:rPr>
            </w:pPr>
            <w:r>
              <w:rPr>
                <w:rFonts w:hint="eastAsia"/>
                <w:color w:val="auto"/>
                <w:lang w:eastAsia="zh-CN"/>
              </w:rPr>
              <w:t>生活污水经化粪池预处理后排入市政污水管网</w:t>
            </w:r>
            <w:r>
              <w:rPr>
                <w:color w:val="auto"/>
              </w:rPr>
              <w:t>，</w:t>
            </w:r>
            <w:r>
              <w:rPr>
                <w:rFonts w:hint="eastAsia"/>
                <w:color w:val="auto"/>
                <w:lang w:eastAsia="zh-CN"/>
              </w:rPr>
              <w:t>进入宁国市污水处理厂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6" w:hRule="atLeast"/>
          <w:jc w:val="center"/>
        </w:trPr>
        <w:tc>
          <w:tcPr>
            <w:tcW w:w="414" w:type="pct"/>
            <w:vMerge w:val="continue"/>
            <w:vAlign w:val="center"/>
          </w:tcPr>
          <w:p>
            <w:pPr>
              <w:tabs>
                <w:tab w:val="left" w:pos="210"/>
              </w:tabs>
              <w:ind w:firstLine="2" w:firstLineChars="1"/>
              <w:jc w:val="center"/>
              <w:rPr>
                <w:bCs/>
                <w:color w:val="auto"/>
                <w:szCs w:val="21"/>
              </w:rPr>
            </w:pPr>
          </w:p>
        </w:tc>
        <w:tc>
          <w:tcPr>
            <w:tcW w:w="543" w:type="pct"/>
            <w:vMerge w:val="restart"/>
            <w:vAlign w:val="center"/>
          </w:tcPr>
          <w:p>
            <w:pPr>
              <w:tabs>
                <w:tab w:val="left" w:pos="210"/>
              </w:tabs>
              <w:jc w:val="center"/>
              <w:rPr>
                <w:bCs/>
                <w:color w:val="auto"/>
                <w:szCs w:val="21"/>
              </w:rPr>
            </w:pPr>
            <w:r>
              <w:rPr>
                <w:bCs/>
                <w:color w:val="auto"/>
                <w:szCs w:val="21"/>
              </w:rPr>
              <w:t>废气治理</w:t>
            </w:r>
          </w:p>
        </w:tc>
        <w:tc>
          <w:tcPr>
            <w:tcW w:w="1353" w:type="pct"/>
            <w:vAlign w:val="center"/>
          </w:tcPr>
          <w:p>
            <w:pPr>
              <w:spacing w:line="260" w:lineRule="exact"/>
              <w:jc w:val="center"/>
              <w:rPr>
                <w:rFonts w:hint="eastAsia" w:eastAsia="宋体"/>
                <w:bCs/>
                <w:color w:val="FF0000"/>
                <w:szCs w:val="21"/>
                <w:lang w:val="en-US" w:eastAsia="zh-CN"/>
              </w:rPr>
            </w:pPr>
            <w:r>
              <w:rPr>
                <w:rFonts w:hint="eastAsia"/>
                <w:bCs/>
                <w:color w:val="auto"/>
                <w:szCs w:val="21"/>
                <w:lang w:eastAsia="zh-CN"/>
              </w:rPr>
              <w:t>配料</w:t>
            </w:r>
          </w:p>
        </w:tc>
        <w:tc>
          <w:tcPr>
            <w:tcW w:w="2688" w:type="pct"/>
            <w:gridSpan w:val="2"/>
            <w:vAlign w:val="center"/>
          </w:tcPr>
          <w:p>
            <w:pPr>
              <w:pStyle w:val="109"/>
              <w:spacing w:line="260" w:lineRule="exact"/>
              <w:rPr>
                <w:rFonts w:hint="eastAsia" w:eastAsia="宋体"/>
                <w:color w:val="FF0000"/>
                <w:lang w:eastAsia="zh-CN"/>
              </w:rPr>
            </w:pPr>
            <w:r>
              <w:rPr>
                <w:rFonts w:hint="eastAsia"/>
                <w:color w:val="auto"/>
              </w:rPr>
              <w:t>集气装置</w:t>
            </w:r>
            <w:r>
              <w:rPr>
                <w:color w:val="auto"/>
              </w:rPr>
              <w:t>+</w:t>
            </w:r>
            <w:r>
              <w:rPr>
                <w:rFonts w:hint="eastAsia"/>
                <w:bCs/>
                <w:color w:val="auto"/>
                <w:szCs w:val="21"/>
                <w:lang w:eastAsia="zh-CN"/>
              </w:rPr>
              <w:t>布袋除尘器</w:t>
            </w:r>
            <w:r>
              <w:rPr>
                <w:color w:val="auto"/>
              </w:rPr>
              <w:t>+1根15m高排气筒</w:t>
            </w:r>
            <w:r>
              <w:rPr>
                <w:rFonts w:hint="eastAsia"/>
                <w:color w:val="auto"/>
                <w:lang w:eastAsia="zh-CN"/>
              </w:rPr>
              <w:t>（</w:t>
            </w:r>
            <w:r>
              <w:rPr>
                <w:rFonts w:hint="eastAsia"/>
                <w:color w:val="auto"/>
                <w:lang w:val="en-US" w:eastAsia="zh-CN"/>
              </w:rPr>
              <w:t>1#排气筒</w:t>
            </w:r>
            <w:r>
              <w:rPr>
                <w:rFonts w:hint="eastAsia"/>
                <w:color w:val="auto"/>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6" w:hRule="atLeast"/>
          <w:jc w:val="center"/>
        </w:trPr>
        <w:tc>
          <w:tcPr>
            <w:tcW w:w="414" w:type="pct"/>
            <w:vMerge w:val="continue"/>
            <w:vAlign w:val="center"/>
          </w:tcPr>
          <w:p>
            <w:pPr>
              <w:tabs>
                <w:tab w:val="left" w:pos="210"/>
              </w:tabs>
              <w:ind w:firstLine="2" w:firstLineChars="1"/>
              <w:jc w:val="center"/>
              <w:rPr>
                <w:bCs/>
                <w:color w:val="auto"/>
                <w:szCs w:val="21"/>
              </w:rPr>
            </w:pPr>
          </w:p>
        </w:tc>
        <w:tc>
          <w:tcPr>
            <w:tcW w:w="543" w:type="pct"/>
            <w:vMerge w:val="continue"/>
            <w:vAlign w:val="center"/>
          </w:tcPr>
          <w:p>
            <w:pPr>
              <w:tabs>
                <w:tab w:val="left" w:pos="210"/>
              </w:tabs>
              <w:jc w:val="center"/>
              <w:rPr>
                <w:bCs/>
                <w:color w:val="auto"/>
                <w:szCs w:val="21"/>
              </w:rPr>
            </w:pPr>
          </w:p>
        </w:tc>
        <w:tc>
          <w:tcPr>
            <w:tcW w:w="1353" w:type="pct"/>
            <w:vAlign w:val="center"/>
          </w:tcPr>
          <w:p>
            <w:pPr>
              <w:pStyle w:val="109"/>
              <w:spacing w:line="260" w:lineRule="exact"/>
              <w:rPr>
                <w:rFonts w:hint="eastAsia" w:eastAsia="宋体"/>
                <w:bCs/>
                <w:color w:val="FF0000"/>
                <w:szCs w:val="21"/>
                <w:lang w:val="en-US" w:eastAsia="zh-CN"/>
              </w:rPr>
            </w:pPr>
            <w:r>
              <w:rPr>
                <w:rFonts w:hint="eastAsia"/>
                <w:bCs/>
                <w:color w:val="auto"/>
                <w:szCs w:val="21"/>
              </w:rPr>
              <w:t>配胶、开炼、密炼</w:t>
            </w:r>
          </w:p>
        </w:tc>
        <w:tc>
          <w:tcPr>
            <w:tcW w:w="2688" w:type="pct"/>
            <w:gridSpan w:val="2"/>
            <w:vAlign w:val="center"/>
          </w:tcPr>
          <w:p>
            <w:pPr>
              <w:spacing w:line="260" w:lineRule="exact"/>
              <w:jc w:val="center"/>
              <w:rPr>
                <w:color w:val="FF0000"/>
              </w:rPr>
            </w:pPr>
            <w:r>
              <w:rPr>
                <w:rFonts w:hint="eastAsia"/>
                <w:color w:val="auto"/>
                <w:lang w:eastAsia="zh-CN"/>
              </w:rPr>
              <w:t>集气装置+布袋除尘器（2套）+二级活性炭净化装置+1根15m高排气筒（</w:t>
            </w:r>
            <w:r>
              <w:rPr>
                <w:rFonts w:hint="eastAsia"/>
                <w:color w:val="auto"/>
                <w:lang w:val="en-US" w:eastAsia="zh-CN"/>
              </w:rPr>
              <w:t>2#排气筒</w:t>
            </w:r>
            <w:r>
              <w:rPr>
                <w:rFonts w:hint="eastAsia"/>
                <w:color w:val="auto"/>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6" w:hRule="atLeast"/>
          <w:jc w:val="center"/>
        </w:trPr>
        <w:tc>
          <w:tcPr>
            <w:tcW w:w="414" w:type="pct"/>
            <w:vMerge w:val="continue"/>
            <w:vAlign w:val="center"/>
          </w:tcPr>
          <w:p>
            <w:pPr>
              <w:tabs>
                <w:tab w:val="left" w:pos="210"/>
              </w:tabs>
              <w:ind w:firstLine="2" w:firstLineChars="1"/>
              <w:jc w:val="center"/>
              <w:rPr>
                <w:bCs/>
                <w:color w:val="auto"/>
                <w:szCs w:val="21"/>
              </w:rPr>
            </w:pPr>
          </w:p>
        </w:tc>
        <w:tc>
          <w:tcPr>
            <w:tcW w:w="543" w:type="pct"/>
            <w:vMerge w:val="continue"/>
            <w:vAlign w:val="center"/>
          </w:tcPr>
          <w:p>
            <w:pPr>
              <w:tabs>
                <w:tab w:val="left" w:pos="210"/>
              </w:tabs>
              <w:jc w:val="center"/>
              <w:rPr>
                <w:bCs/>
                <w:color w:val="auto"/>
                <w:szCs w:val="21"/>
              </w:rPr>
            </w:pPr>
          </w:p>
        </w:tc>
        <w:tc>
          <w:tcPr>
            <w:tcW w:w="1353" w:type="pct"/>
            <w:vAlign w:val="center"/>
          </w:tcPr>
          <w:p>
            <w:pPr>
              <w:spacing w:line="260" w:lineRule="exact"/>
              <w:jc w:val="center"/>
              <w:rPr>
                <w:bCs/>
                <w:color w:val="FF0000"/>
                <w:szCs w:val="21"/>
              </w:rPr>
            </w:pPr>
            <w:r>
              <w:rPr>
                <w:rFonts w:hint="eastAsia"/>
                <w:bCs/>
                <w:color w:val="auto"/>
                <w:szCs w:val="21"/>
                <w:lang w:eastAsia="zh-CN"/>
              </w:rPr>
              <w:t>涂胶、晾干、烘干</w:t>
            </w:r>
          </w:p>
        </w:tc>
        <w:tc>
          <w:tcPr>
            <w:tcW w:w="2688" w:type="pct"/>
            <w:gridSpan w:val="2"/>
            <w:vAlign w:val="center"/>
          </w:tcPr>
          <w:p>
            <w:pPr>
              <w:spacing w:line="260" w:lineRule="exact"/>
              <w:jc w:val="center"/>
              <w:rPr>
                <w:rFonts w:hint="eastAsia" w:eastAsia="宋体"/>
                <w:bCs/>
                <w:color w:val="FF0000"/>
                <w:szCs w:val="21"/>
                <w:lang w:eastAsia="zh-CN"/>
              </w:rPr>
            </w:pPr>
            <w:r>
              <w:rPr>
                <w:rFonts w:hint="eastAsia"/>
                <w:color w:val="auto"/>
              </w:rPr>
              <w:t>集气装置</w:t>
            </w:r>
            <w:r>
              <w:rPr>
                <w:rFonts w:hint="eastAsia"/>
                <w:color w:val="auto"/>
                <w:lang w:val="en-US" w:eastAsia="zh-CN"/>
              </w:rPr>
              <w:t>+</w:t>
            </w:r>
            <w:r>
              <w:rPr>
                <w:rFonts w:hint="eastAsia"/>
                <w:bCs/>
                <w:color w:val="auto"/>
                <w:szCs w:val="21"/>
                <w:lang w:eastAsia="zh-CN"/>
              </w:rPr>
              <w:t>催化燃烧装置</w:t>
            </w:r>
            <w:r>
              <w:rPr>
                <w:color w:val="auto"/>
              </w:rPr>
              <w:t>+1根15m高排气筒</w:t>
            </w:r>
            <w:r>
              <w:rPr>
                <w:rFonts w:hint="eastAsia"/>
                <w:color w:val="auto"/>
                <w:lang w:eastAsia="zh-CN"/>
              </w:rPr>
              <w:t>（</w:t>
            </w:r>
            <w:r>
              <w:rPr>
                <w:rFonts w:hint="eastAsia"/>
                <w:color w:val="auto"/>
                <w:lang w:val="en-US" w:eastAsia="zh-CN"/>
              </w:rPr>
              <w:t>3#排气筒</w:t>
            </w:r>
            <w:r>
              <w:rPr>
                <w:rFonts w:hint="eastAsia"/>
                <w:color w:val="auto"/>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14" w:type="pct"/>
            <w:vMerge w:val="continue"/>
            <w:vAlign w:val="center"/>
          </w:tcPr>
          <w:p>
            <w:pPr>
              <w:tabs>
                <w:tab w:val="left" w:pos="210"/>
              </w:tabs>
              <w:jc w:val="center"/>
              <w:rPr>
                <w:bCs/>
                <w:color w:val="auto"/>
                <w:szCs w:val="21"/>
              </w:rPr>
            </w:pPr>
          </w:p>
        </w:tc>
        <w:tc>
          <w:tcPr>
            <w:tcW w:w="543" w:type="pct"/>
            <w:vAlign w:val="center"/>
          </w:tcPr>
          <w:p>
            <w:pPr>
              <w:tabs>
                <w:tab w:val="left" w:pos="210"/>
              </w:tabs>
              <w:jc w:val="center"/>
              <w:rPr>
                <w:bCs/>
                <w:color w:val="auto"/>
                <w:szCs w:val="21"/>
              </w:rPr>
            </w:pPr>
            <w:r>
              <w:rPr>
                <w:bCs/>
                <w:color w:val="auto"/>
                <w:szCs w:val="21"/>
              </w:rPr>
              <w:t>噪声治理</w:t>
            </w:r>
          </w:p>
        </w:tc>
        <w:tc>
          <w:tcPr>
            <w:tcW w:w="4042" w:type="pct"/>
            <w:gridSpan w:val="3"/>
            <w:vAlign w:val="center"/>
          </w:tcPr>
          <w:p>
            <w:pPr>
              <w:tabs>
                <w:tab w:val="left" w:pos="210"/>
              </w:tabs>
              <w:jc w:val="center"/>
              <w:rPr>
                <w:bCs/>
                <w:color w:val="auto"/>
                <w:szCs w:val="21"/>
              </w:rPr>
            </w:pPr>
            <w:r>
              <w:rPr>
                <w:color w:val="auto"/>
              </w:rPr>
              <w:t>安装减震垫和消声器等降噪措施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414" w:type="pct"/>
            <w:vMerge w:val="continue"/>
            <w:vAlign w:val="center"/>
          </w:tcPr>
          <w:p>
            <w:pPr>
              <w:tabs>
                <w:tab w:val="left" w:pos="210"/>
              </w:tabs>
              <w:ind w:firstLine="210" w:firstLineChars="100"/>
              <w:jc w:val="center"/>
              <w:rPr>
                <w:bCs/>
                <w:color w:val="auto"/>
                <w:szCs w:val="21"/>
              </w:rPr>
            </w:pPr>
          </w:p>
        </w:tc>
        <w:tc>
          <w:tcPr>
            <w:tcW w:w="543" w:type="pct"/>
            <w:vMerge w:val="restart"/>
            <w:vAlign w:val="center"/>
          </w:tcPr>
          <w:p>
            <w:pPr>
              <w:tabs>
                <w:tab w:val="left" w:pos="210"/>
              </w:tabs>
              <w:jc w:val="center"/>
              <w:rPr>
                <w:bCs/>
                <w:color w:val="auto"/>
                <w:szCs w:val="21"/>
              </w:rPr>
            </w:pPr>
            <w:r>
              <w:rPr>
                <w:bCs/>
                <w:color w:val="auto"/>
                <w:szCs w:val="21"/>
              </w:rPr>
              <w:t>固废治理</w:t>
            </w:r>
          </w:p>
        </w:tc>
        <w:tc>
          <w:tcPr>
            <w:tcW w:w="1353" w:type="pct"/>
            <w:vAlign w:val="center"/>
          </w:tcPr>
          <w:p>
            <w:pPr>
              <w:adjustRightInd w:val="0"/>
              <w:snapToGrid w:val="0"/>
              <w:jc w:val="center"/>
              <w:rPr>
                <w:color w:val="auto"/>
              </w:rPr>
            </w:pPr>
            <w:r>
              <w:rPr>
                <w:color w:val="auto"/>
              </w:rPr>
              <w:t>生活垃圾</w:t>
            </w:r>
          </w:p>
        </w:tc>
        <w:tc>
          <w:tcPr>
            <w:tcW w:w="2688" w:type="pct"/>
            <w:gridSpan w:val="2"/>
            <w:vAlign w:val="center"/>
          </w:tcPr>
          <w:p>
            <w:pPr>
              <w:adjustRightInd w:val="0"/>
              <w:snapToGrid w:val="0"/>
              <w:jc w:val="center"/>
              <w:rPr>
                <w:color w:val="auto"/>
              </w:rPr>
            </w:pPr>
            <w:r>
              <w:rPr>
                <w:color w:val="auto"/>
              </w:rPr>
              <w:t>设置多个垃圾收容装置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414" w:type="pct"/>
            <w:vMerge w:val="continue"/>
            <w:vAlign w:val="center"/>
          </w:tcPr>
          <w:p>
            <w:pPr>
              <w:tabs>
                <w:tab w:val="left" w:pos="210"/>
              </w:tabs>
              <w:ind w:firstLine="210" w:firstLineChars="100"/>
              <w:jc w:val="center"/>
              <w:rPr>
                <w:bCs/>
                <w:color w:val="auto"/>
                <w:szCs w:val="21"/>
              </w:rPr>
            </w:pPr>
          </w:p>
        </w:tc>
        <w:tc>
          <w:tcPr>
            <w:tcW w:w="543" w:type="pct"/>
            <w:vMerge w:val="continue"/>
            <w:vAlign w:val="center"/>
          </w:tcPr>
          <w:p>
            <w:pPr>
              <w:tabs>
                <w:tab w:val="left" w:pos="210"/>
              </w:tabs>
              <w:jc w:val="center"/>
              <w:rPr>
                <w:bCs/>
                <w:color w:val="auto"/>
                <w:szCs w:val="21"/>
              </w:rPr>
            </w:pPr>
          </w:p>
        </w:tc>
        <w:tc>
          <w:tcPr>
            <w:tcW w:w="1353" w:type="pct"/>
            <w:vAlign w:val="center"/>
          </w:tcPr>
          <w:p>
            <w:pPr>
              <w:tabs>
                <w:tab w:val="left" w:pos="210"/>
              </w:tabs>
              <w:jc w:val="center"/>
              <w:rPr>
                <w:color w:val="auto"/>
                <w:szCs w:val="21"/>
              </w:rPr>
            </w:pPr>
            <w:r>
              <w:rPr>
                <w:color w:val="auto"/>
              </w:rPr>
              <w:t>一般</w:t>
            </w:r>
            <w:r>
              <w:rPr>
                <w:rFonts w:hint="eastAsia"/>
                <w:color w:val="auto"/>
                <w:szCs w:val="21"/>
                <w:lang w:eastAsia="zh-CN"/>
              </w:rPr>
              <w:t>固体废物</w:t>
            </w:r>
          </w:p>
        </w:tc>
        <w:tc>
          <w:tcPr>
            <w:tcW w:w="2688" w:type="pct"/>
            <w:gridSpan w:val="2"/>
            <w:vAlign w:val="center"/>
          </w:tcPr>
          <w:p>
            <w:pPr>
              <w:tabs>
                <w:tab w:val="left" w:pos="210"/>
              </w:tabs>
              <w:jc w:val="center"/>
              <w:rPr>
                <w:color w:val="auto"/>
                <w:szCs w:val="21"/>
              </w:rPr>
            </w:pPr>
            <w:r>
              <w:rPr>
                <w:color w:val="auto"/>
                <w:szCs w:val="21"/>
              </w:rPr>
              <w:t>设置1个</w:t>
            </w:r>
            <w:r>
              <w:rPr>
                <w:color w:val="auto"/>
              </w:rPr>
              <w:t>一般固废</w:t>
            </w:r>
            <w:r>
              <w:rPr>
                <w:rFonts w:hint="eastAsia"/>
                <w:color w:val="auto"/>
                <w:lang w:eastAsia="zh-CN"/>
              </w:rPr>
              <w:t>暂存间</w:t>
            </w:r>
            <w:r>
              <w:rPr>
                <w:rFonts w:hint="eastAsia"/>
                <w:color w:val="auto"/>
              </w:rPr>
              <w:t>，</w:t>
            </w:r>
            <w:r>
              <w:rPr>
                <w:rFonts w:hint="eastAsia"/>
                <w:color w:val="auto"/>
                <w:szCs w:val="21"/>
                <w:lang w:eastAsia="zh-CN"/>
              </w:rPr>
              <w:t>位于项目西北角，</w:t>
            </w:r>
            <w:r>
              <w:rPr>
                <w:color w:val="auto"/>
              </w:rPr>
              <w:t>建筑面积</w:t>
            </w:r>
            <w:r>
              <w:rPr>
                <w:rFonts w:hint="eastAsia"/>
                <w:color w:val="auto"/>
                <w:lang w:val="en-US" w:eastAsia="zh-CN"/>
              </w:rPr>
              <w:t>20</w:t>
            </w:r>
            <w:r>
              <w:rPr>
                <w:color w:val="auto"/>
              </w:rPr>
              <w:t>m</w:t>
            </w:r>
            <w:r>
              <w:rPr>
                <w:color w:val="auto"/>
                <w:vertAlign w:val="superscript"/>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414" w:type="pct"/>
            <w:vMerge w:val="continue"/>
            <w:vAlign w:val="center"/>
          </w:tcPr>
          <w:p>
            <w:pPr>
              <w:tabs>
                <w:tab w:val="left" w:pos="210"/>
              </w:tabs>
              <w:ind w:firstLine="210" w:firstLineChars="100"/>
              <w:jc w:val="center"/>
              <w:rPr>
                <w:bCs/>
                <w:color w:val="auto"/>
                <w:szCs w:val="21"/>
              </w:rPr>
            </w:pPr>
          </w:p>
        </w:tc>
        <w:tc>
          <w:tcPr>
            <w:tcW w:w="543" w:type="pct"/>
            <w:vMerge w:val="continue"/>
            <w:vAlign w:val="center"/>
          </w:tcPr>
          <w:p>
            <w:pPr>
              <w:tabs>
                <w:tab w:val="left" w:pos="210"/>
              </w:tabs>
              <w:jc w:val="center"/>
              <w:rPr>
                <w:bCs/>
                <w:color w:val="auto"/>
                <w:szCs w:val="21"/>
              </w:rPr>
            </w:pPr>
          </w:p>
        </w:tc>
        <w:tc>
          <w:tcPr>
            <w:tcW w:w="1353" w:type="pct"/>
            <w:vAlign w:val="center"/>
          </w:tcPr>
          <w:p>
            <w:pPr>
              <w:tabs>
                <w:tab w:val="left" w:pos="210"/>
              </w:tabs>
              <w:jc w:val="center"/>
              <w:rPr>
                <w:rFonts w:hint="eastAsia" w:eastAsia="宋体"/>
                <w:color w:val="auto"/>
                <w:szCs w:val="21"/>
                <w:lang w:eastAsia="zh-CN"/>
              </w:rPr>
            </w:pPr>
            <w:r>
              <w:rPr>
                <w:rFonts w:hint="eastAsia"/>
                <w:color w:val="auto"/>
                <w:szCs w:val="21"/>
                <w:lang w:eastAsia="zh-CN"/>
              </w:rPr>
              <w:t>危险固体废物</w:t>
            </w:r>
          </w:p>
        </w:tc>
        <w:tc>
          <w:tcPr>
            <w:tcW w:w="2688" w:type="pct"/>
            <w:gridSpan w:val="2"/>
            <w:vAlign w:val="center"/>
          </w:tcPr>
          <w:p>
            <w:pPr>
              <w:tabs>
                <w:tab w:val="left" w:pos="210"/>
              </w:tabs>
              <w:jc w:val="center"/>
              <w:rPr>
                <w:rFonts w:hint="eastAsia" w:eastAsia="宋体"/>
                <w:color w:val="auto"/>
                <w:szCs w:val="21"/>
                <w:lang w:eastAsia="zh-CN"/>
              </w:rPr>
            </w:pPr>
            <w:r>
              <w:rPr>
                <w:rFonts w:hint="eastAsia"/>
                <w:color w:val="auto"/>
                <w:szCs w:val="21"/>
                <w:lang w:eastAsia="zh-CN"/>
              </w:rPr>
              <w:t>设置一间危废暂存间，位于项目西北角，</w:t>
            </w:r>
            <w:r>
              <w:rPr>
                <w:color w:val="auto"/>
              </w:rPr>
              <w:t>建筑面积</w:t>
            </w:r>
            <w:r>
              <w:rPr>
                <w:rFonts w:hint="eastAsia"/>
                <w:color w:val="auto"/>
                <w:lang w:val="en-US" w:eastAsia="zh-CN"/>
              </w:rPr>
              <w:t>15</w:t>
            </w:r>
            <w:r>
              <w:rPr>
                <w:color w:val="auto"/>
              </w:rPr>
              <w:t>m</w:t>
            </w:r>
            <w:r>
              <w:rPr>
                <w:color w:val="auto"/>
                <w:vertAlign w:val="superscript"/>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2" w:hRule="atLeast"/>
          <w:jc w:val="center"/>
        </w:trPr>
        <w:tc>
          <w:tcPr>
            <w:tcW w:w="414" w:type="pct"/>
            <w:vMerge w:val="continue"/>
            <w:vAlign w:val="center"/>
          </w:tcPr>
          <w:p>
            <w:pPr>
              <w:tabs>
                <w:tab w:val="left" w:pos="210"/>
              </w:tabs>
              <w:ind w:firstLine="210" w:firstLineChars="100"/>
              <w:jc w:val="center"/>
              <w:rPr>
                <w:bCs/>
                <w:color w:val="auto"/>
                <w:szCs w:val="21"/>
              </w:rPr>
            </w:pPr>
          </w:p>
        </w:tc>
        <w:tc>
          <w:tcPr>
            <w:tcW w:w="543" w:type="pct"/>
            <w:vAlign w:val="center"/>
          </w:tcPr>
          <w:p>
            <w:pPr>
              <w:tabs>
                <w:tab w:val="left" w:pos="210"/>
              </w:tabs>
              <w:jc w:val="center"/>
              <w:rPr>
                <w:bCs/>
                <w:color w:val="auto"/>
                <w:szCs w:val="21"/>
              </w:rPr>
            </w:pPr>
            <w:r>
              <w:rPr>
                <w:bCs/>
                <w:color w:val="auto"/>
                <w:szCs w:val="21"/>
              </w:rPr>
              <w:t>地下水防治</w:t>
            </w:r>
          </w:p>
        </w:tc>
        <w:tc>
          <w:tcPr>
            <w:tcW w:w="4042" w:type="pct"/>
            <w:gridSpan w:val="3"/>
            <w:vAlign w:val="center"/>
          </w:tcPr>
          <w:p>
            <w:pPr>
              <w:tabs>
                <w:tab w:val="left" w:pos="210"/>
              </w:tabs>
              <w:jc w:val="center"/>
              <w:rPr>
                <w:color w:val="auto"/>
                <w:szCs w:val="21"/>
              </w:rPr>
            </w:pPr>
            <w:r>
              <w:rPr>
                <w:color w:val="auto"/>
                <w:szCs w:val="21"/>
              </w:rPr>
              <w:t>地下水分区防渗（重点防渗区等效黏土防渗层Mb</w:t>
            </w:r>
            <w:r>
              <w:rPr>
                <w:color w:val="auto"/>
                <w:szCs w:val="21"/>
                <w:shd w:val="clear" w:color="auto" w:fill="FFFFFF"/>
              </w:rPr>
              <w:t>≧6m，</w:t>
            </w:r>
            <w:r>
              <w:rPr>
                <w:color w:val="auto"/>
                <w:szCs w:val="21"/>
              </w:rPr>
              <w:t>K≦1*10</w:t>
            </w:r>
            <w:r>
              <w:rPr>
                <w:color w:val="auto"/>
                <w:szCs w:val="21"/>
                <w:vertAlign w:val="superscript"/>
              </w:rPr>
              <w:t>-7</w:t>
            </w:r>
            <w:r>
              <w:rPr>
                <w:color w:val="auto"/>
                <w:szCs w:val="21"/>
              </w:rPr>
              <w:t>cm/s；一般防渗区等效黏土防渗层Mb</w:t>
            </w:r>
            <w:r>
              <w:rPr>
                <w:color w:val="auto"/>
                <w:szCs w:val="21"/>
                <w:shd w:val="clear" w:color="auto" w:fill="FFFFFF"/>
              </w:rPr>
              <w:t>≧1.5m，</w:t>
            </w:r>
            <w:r>
              <w:rPr>
                <w:color w:val="auto"/>
                <w:szCs w:val="21"/>
              </w:rPr>
              <w:t>K≦1*10</w:t>
            </w:r>
            <w:r>
              <w:rPr>
                <w:color w:val="auto"/>
                <w:szCs w:val="21"/>
                <w:vertAlign w:val="superscript"/>
              </w:rPr>
              <w:t>-7</w:t>
            </w:r>
            <w:r>
              <w:rPr>
                <w:color w:val="auto"/>
                <w:szCs w:val="21"/>
              </w:rPr>
              <w:t>cm/s）及环境监测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414" w:type="pct"/>
            <w:vMerge w:val="continue"/>
            <w:vAlign w:val="center"/>
          </w:tcPr>
          <w:p>
            <w:pPr>
              <w:tabs>
                <w:tab w:val="left" w:pos="210"/>
              </w:tabs>
              <w:ind w:firstLine="210" w:firstLineChars="100"/>
              <w:jc w:val="center"/>
              <w:rPr>
                <w:bCs/>
                <w:color w:val="auto"/>
                <w:szCs w:val="21"/>
              </w:rPr>
            </w:pPr>
          </w:p>
        </w:tc>
        <w:tc>
          <w:tcPr>
            <w:tcW w:w="543" w:type="pct"/>
            <w:vAlign w:val="center"/>
          </w:tcPr>
          <w:p>
            <w:pPr>
              <w:tabs>
                <w:tab w:val="left" w:pos="210"/>
              </w:tabs>
              <w:jc w:val="center"/>
              <w:rPr>
                <w:bCs/>
                <w:color w:val="auto"/>
                <w:szCs w:val="21"/>
              </w:rPr>
            </w:pPr>
            <w:r>
              <w:rPr>
                <w:bCs/>
                <w:color w:val="auto"/>
              </w:rPr>
              <w:t>环境风险</w:t>
            </w:r>
          </w:p>
        </w:tc>
        <w:tc>
          <w:tcPr>
            <w:tcW w:w="4042" w:type="pct"/>
            <w:gridSpan w:val="3"/>
            <w:vAlign w:val="center"/>
          </w:tcPr>
          <w:p>
            <w:pPr>
              <w:tabs>
                <w:tab w:val="left" w:pos="210"/>
              </w:tabs>
              <w:jc w:val="center"/>
              <w:rPr>
                <w:color w:val="auto"/>
                <w:szCs w:val="21"/>
              </w:rPr>
            </w:pPr>
            <w:r>
              <w:rPr>
                <w:rFonts w:hint="eastAsia"/>
                <w:bCs/>
                <w:color w:val="auto"/>
                <w:szCs w:val="21"/>
                <w:lang w:eastAsia="zh-CN"/>
              </w:rPr>
              <w:t>消防系统、事故池（容积为</w:t>
            </w:r>
            <w:r>
              <w:rPr>
                <w:rFonts w:hint="eastAsia"/>
                <w:bCs/>
                <w:color w:val="auto"/>
                <w:szCs w:val="21"/>
                <w:lang w:val="en-US" w:eastAsia="zh-CN"/>
              </w:rPr>
              <w:t>70m</w:t>
            </w:r>
            <w:r>
              <w:rPr>
                <w:rFonts w:hint="eastAsia"/>
                <w:bCs/>
                <w:color w:val="auto"/>
                <w:szCs w:val="21"/>
                <w:vertAlign w:val="superscript"/>
                <w:lang w:val="en-US" w:eastAsia="zh-CN"/>
              </w:rPr>
              <w:t>3</w:t>
            </w:r>
            <w:r>
              <w:rPr>
                <w:rFonts w:hint="eastAsia"/>
                <w:bCs/>
                <w:color w:val="auto"/>
                <w:szCs w:val="21"/>
                <w:lang w:eastAsia="zh-CN"/>
              </w:rPr>
              <w:t>）</w:t>
            </w:r>
          </w:p>
        </w:tc>
      </w:tr>
    </w:tbl>
    <w:p>
      <w:pPr>
        <w:pStyle w:val="5"/>
        <w:spacing w:before="0" w:after="0" w:line="520" w:lineRule="exact"/>
        <w:rPr>
          <w:color w:val="auto"/>
          <w:sz w:val="24"/>
          <w:szCs w:val="24"/>
        </w:rPr>
      </w:pPr>
      <w:r>
        <w:rPr>
          <w:rFonts w:hint="eastAsia"/>
          <w:color w:val="auto"/>
          <w:sz w:val="24"/>
          <w:szCs w:val="24"/>
        </w:rPr>
        <w:t>4</w:t>
      </w:r>
      <w:r>
        <w:rPr>
          <w:color w:val="auto"/>
          <w:sz w:val="24"/>
          <w:szCs w:val="24"/>
        </w:rPr>
        <w:t>.1.3总平面布置</w:t>
      </w:r>
    </w:p>
    <w:p>
      <w:pPr>
        <w:spacing w:line="540" w:lineRule="exact"/>
        <w:ind w:firstLine="480" w:firstLineChars="200"/>
        <w:rPr>
          <w:color w:val="auto"/>
          <w:sz w:val="24"/>
        </w:rPr>
      </w:pPr>
      <w:r>
        <w:rPr>
          <w:color w:val="auto"/>
          <w:sz w:val="24"/>
        </w:rPr>
        <w:t>（1）项目区外部关系</w:t>
      </w:r>
    </w:p>
    <w:p>
      <w:pPr>
        <w:spacing w:line="540" w:lineRule="exact"/>
        <w:ind w:firstLine="480" w:firstLineChars="200"/>
        <w:rPr>
          <w:rFonts w:hint="default"/>
          <w:color w:val="auto"/>
          <w:sz w:val="24"/>
          <w:lang w:val="zh-CN"/>
        </w:rPr>
      </w:pPr>
      <w:r>
        <w:rPr>
          <w:rFonts w:hint="eastAsia"/>
          <w:color w:val="auto"/>
          <w:sz w:val="24"/>
        </w:rPr>
        <w:t>本项目选址位于</w:t>
      </w:r>
      <w:r>
        <w:rPr>
          <w:rFonts w:hint="eastAsia"/>
          <w:color w:val="auto"/>
          <w:sz w:val="24"/>
          <w:lang w:eastAsia="zh-CN"/>
        </w:rPr>
        <w:t>安徽省宁国经济技术开发区河沥园区振宁路（宁国市德胜建筑机械有限公司内）</w:t>
      </w:r>
      <w:r>
        <w:rPr>
          <w:rFonts w:hint="eastAsia"/>
          <w:color w:val="auto"/>
          <w:sz w:val="24"/>
        </w:rPr>
        <w:t>，项目场址东</w:t>
      </w:r>
      <w:r>
        <w:rPr>
          <w:rFonts w:hint="eastAsia"/>
          <w:color w:val="auto"/>
          <w:sz w:val="24"/>
          <w:lang w:eastAsia="zh-CN"/>
        </w:rPr>
        <w:t>、西、北侧均为空地，南侧为振宁中路，隔路为</w:t>
      </w:r>
      <w:r>
        <w:rPr>
          <w:rFonts w:hint="eastAsia"/>
          <w:color w:val="auto"/>
          <w:sz w:val="24"/>
          <w:lang w:val="zh-CN"/>
        </w:rPr>
        <w:t>宁国市裕华电器有限公司。</w:t>
      </w:r>
    </w:p>
    <w:p>
      <w:pPr>
        <w:spacing w:line="540" w:lineRule="exact"/>
        <w:ind w:firstLine="480" w:firstLineChars="200"/>
        <w:rPr>
          <w:color w:val="auto"/>
          <w:sz w:val="24"/>
        </w:rPr>
      </w:pPr>
      <w:r>
        <w:rPr>
          <w:color w:val="auto"/>
          <w:sz w:val="24"/>
        </w:rPr>
        <w:t>（2）场区布局</w:t>
      </w:r>
    </w:p>
    <w:p>
      <w:pPr>
        <w:spacing w:line="540" w:lineRule="exact"/>
        <w:ind w:firstLine="480" w:firstLineChars="200"/>
        <w:rPr>
          <w:rFonts w:hint="eastAsia"/>
          <w:color w:val="auto"/>
          <w:sz w:val="24"/>
          <w:lang w:val="en-US" w:eastAsia="zh-CN"/>
        </w:rPr>
      </w:pPr>
      <w:r>
        <w:rPr>
          <w:rFonts w:hint="eastAsia"/>
          <w:color w:val="auto"/>
          <w:sz w:val="24"/>
          <w:lang w:eastAsia="zh-CN"/>
        </w:rPr>
        <w:t>本项目建设利用宁国市德胜建筑机械有限公司现有厂房中的</w:t>
      </w:r>
      <w:r>
        <w:rPr>
          <w:rFonts w:hint="eastAsia"/>
          <w:color w:val="auto"/>
          <w:sz w:val="24"/>
          <w:lang w:val="en-US" w:eastAsia="zh-CN"/>
        </w:rPr>
        <w:t>2跨</w:t>
      </w:r>
      <w:r>
        <w:rPr>
          <w:rFonts w:hint="eastAsia"/>
          <w:color w:val="auto"/>
          <w:sz w:val="24"/>
          <w:lang w:eastAsia="zh-CN"/>
        </w:rPr>
        <w:t>。南侧布置炼胶车间，主要布置开炼机、密炼机、搅拌机等生产设备，开炼机、密炼机在一个封闭的车间内进行生产（大车间内隔出一块区域），确保废气收集效率可达</w:t>
      </w:r>
      <w:r>
        <w:rPr>
          <w:rFonts w:hint="eastAsia"/>
          <w:color w:val="auto"/>
          <w:sz w:val="24"/>
          <w:lang w:val="en-US" w:eastAsia="zh-CN"/>
        </w:rPr>
        <w:t>90%以上，有利于废气的收集，以及设备降噪。搅拌机、配料间、实验室均布置在封闭的车间内，位于炼胶车间西北侧，可有效减少废气无组织排放及设备降噪。东侧布置办公区，检验区，生产于员工办公分开，便于生产办公。</w:t>
      </w:r>
    </w:p>
    <w:p>
      <w:pPr>
        <w:spacing w:line="540" w:lineRule="exact"/>
        <w:ind w:firstLine="480" w:firstLineChars="200"/>
        <w:rPr>
          <w:rFonts w:hint="default"/>
          <w:color w:val="auto"/>
          <w:sz w:val="24"/>
          <w:lang w:val="en-US" w:eastAsia="zh-CN"/>
        </w:rPr>
      </w:pPr>
      <w:r>
        <w:rPr>
          <w:rFonts w:hint="eastAsia"/>
          <w:color w:val="auto"/>
          <w:sz w:val="24"/>
          <w:lang w:val="en-US" w:eastAsia="zh-CN"/>
        </w:rPr>
        <w:t>车间北侧一跨布置涂胶车间，布置3条涂胶线，其中2条为全自动涂胶线，1条为半自动涂胶线。半自动涂胶线仅在前道涂胶工序使用人工，后道烘干及晾干均为自动化操作。全自动涂胶线仅在上钢板时采用人工上架，其他工序均为自动化生产。</w:t>
      </w:r>
    </w:p>
    <w:p>
      <w:pPr>
        <w:spacing w:line="540" w:lineRule="exact"/>
        <w:ind w:firstLine="480" w:firstLineChars="200"/>
        <w:rPr>
          <w:color w:val="auto"/>
          <w:sz w:val="24"/>
        </w:rPr>
      </w:pPr>
      <w:r>
        <w:rPr>
          <w:rFonts w:hint="eastAsia"/>
          <w:color w:val="auto"/>
          <w:sz w:val="24"/>
          <w:lang w:eastAsia="zh-CN"/>
        </w:rPr>
        <w:t>各个生产区域中间留有过道，成品区和原材料区单独堆放，集中处理，生产于办公分开，</w:t>
      </w:r>
      <w:r>
        <w:rPr>
          <w:rFonts w:hint="eastAsia"/>
          <w:color w:val="auto"/>
          <w:sz w:val="24"/>
        </w:rPr>
        <w:t>综上所述，本项目生产布局合理，生产办公便捷，生产自动化程度较高，平面布局较为合理。</w:t>
      </w:r>
    </w:p>
    <w:p>
      <w:pPr>
        <w:pStyle w:val="5"/>
        <w:spacing w:before="0" w:after="0" w:line="520" w:lineRule="exact"/>
        <w:rPr>
          <w:color w:val="auto"/>
          <w:sz w:val="24"/>
          <w:szCs w:val="24"/>
        </w:rPr>
        <w:sectPr>
          <w:pgSz w:w="11911" w:h="16849"/>
          <w:pgMar w:top="1440" w:right="1587" w:bottom="1440" w:left="1587" w:header="680" w:footer="652" w:gutter="0"/>
          <w:pgBorders>
            <w:top w:val="none" w:sz="0" w:space="0"/>
            <w:left w:val="none" w:sz="0" w:space="0"/>
            <w:bottom w:val="none" w:sz="0" w:space="0"/>
            <w:right w:val="none" w:sz="0" w:space="0"/>
          </w:pgBorders>
          <w:cols w:space="720" w:num="1"/>
          <w:docGrid w:linePitch="322" w:charSpace="0"/>
        </w:sectPr>
      </w:pPr>
    </w:p>
    <w:p>
      <w:pPr>
        <w:rPr>
          <w:rFonts w:eastAsia="黑体"/>
          <w:color w:val="auto"/>
          <w:szCs w:val="21"/>
        </w:rPr>
      </w:pPr>
      <w:r>
        <w:rPr>
          <w:rFonts w:eastAsia="黑体"/>
          <w:color w:val="auto"/>
          <w:szCs w:val="21"/>
        </w:rPr>
        <w:pict>
          <v:shape id="_x0000_s1028" o:spid="_x0000_s1028" o:spt="75" type="#_x0000_t75" style="position:absolute;left:0pt;margin-left:2.25pt;margin-top:1.7pt;height:373.75pt;width:698.45pt;z-index:-251526144;mso-width-relative:page;mso-height-relative:page;" o:ole="t" filled="f" o:preferrelative="t" stroked="f" coordsize="21600,21600">
            <v:path/>
            <v:fill on="f" focussize="0,0"/>
            <v:stroke on="f"/>
            <v:imagedata r:id="rId15" o:title=""/>
            <o:lock v:ext="edit" aspectratio="f"/>
          </v:shape>
          <o:OLEObject Type="Embed" ProgID="Visio.Drawing.11" ShapeID="_x0000_s1028" DrawAspect="Content" ObjectID="_1468075727" r:id="rId14">
            <o:LockedField>false</o:LockedField>
          </o:OLEObject>
        </w:pict>
      </w:r>
    </w:p>
    <w:p>
      <w:pPr>
        <w:rPr>
          <w:rFonts w:eastAsia="黑体"/>
          <w:color w:val="auto"/>
          <w:szCs w:val="21"/>
        </w:rPr>
      </w:pPr>
      <w:r>
        <w:rPr>
          <w:color w:val="auto"/>
        </w:rPr>
        <w:drawing>
          <wp:anchor distT="0" distB="0" distL="114300" distR="114300" simplePos="0" relativeHeight="251680768" behindDoc="0" locked="0" layoutInCell="1" allowOverlap="1">
            <wp:simplePos x="0" y="0"/>
            <wp:positionH relativeFrom="column">
              <wp:posOffset>7891145</wp:posOffset>
            </wp:positionH>
            <wp:positionV relativeFrom="paragraph">
              <wp:posOffset>24130</wp:posOffset>
            </wp:positionV>
            <wp:extent cx="922655" cy="979170"/>
            <wp:effectExtent l="0" t="0" r="10795" b="11430"/>
            <wp:wrapNone/>
            <wp:docPr id="15" name="图片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255"/>
                    <pic:cNvPicPr>
                      <a:picLocks noChangeAspect="1"/>
                    </pic:cNvPicPr>
                  </pic:nvPicPr>
                  <pic:blipFill>
                    <a:blip r:embed="rId11"/>
                    <a:stretch>
                      <a:fillRect/>
                    </a:stretch>
                  </pic:blipFill>
                  <pic:spPr>
                    <a:xfrm>
                      <a:off x="0" y="0"/>
                      <a:ext cx="922655" cy="979170"/>
                    </a:xfrm>
                    <a:prstGeom prst="rect">
                      <a:avLst/>
                    </a:prstGeom>
                    <a:noFill/>
                    <a:ln>
                      <a:noFill/>
                    </a:ln>
                  </pic:spPr>
                </pic:pic>
              </a:graphicData>
            </a:graphic>
          </wp:anchor>
        </w:drawing>
      </w:r>
    </w:p>
    <w:p>
      <w:pPr>
        <w:rPr>
          <w:rFonts w:eastAsia="黑体"/>
          <w:color w:val="auto"/>
          <w:szCs w:val="21"/>
        </w:rPr>
      </w:pPr>
    </w:p>
    <w:p>
      <w:pPr>
        <w:rPr>
          <w:rFonts w:eastAsia="黑体"/>
          <w:color w:val="auto"/>
          <w:szCs w:val="21"/>
        </w:rPr>
      </w:pPr>
    </w:p>
    <w:p>
      <w:pPr>
        <w:rPr>
          <w:rFonts w:eastAsia="黑体"/>
          <w:color w:val="auto"/>
          <w:szCs w:val="21"/>
        </w:rPr>
      </w:pPr>
    </w:p>
    <w:p>
      <w:pPr>
        <w:rPr>
          <w:rFonts w:eastAsia="黑体"/>
          <w:color w:val="auto"/>
          <w:szCs w:val="21"/>
        </w:rPr>
      </w:pPr>
    </w:p>
    <w:p>
      <w:pPr>
        <w:rPr>
          <w:rFonts w:eastAsia="黑体"/>
          <w:color w:val="auto"/>
          <w:szCs w:val="21"/>
        </w:rPr>
      </w:pPr>
    </w:p>
    <w:p>
      <w:pPr>
        <w:pStyle w:val="2"/>
        <w:rPr>
          <w:rFonts w:eastAsia="黑体"/>
          <w:color w:val="auto"/>
          <w:szCs w:val="21"/>
        </w:rPr>
      </w:pPr>
    </w:p>
    <w:p>
      <w:pPr>
        <w:pStyle w:val="85"/>
        <w:rPr>
          <w:rFonts w:eastAsia="黑体"/>
          <w:color w:val="auto"/>
          <w:sz w:val="21"/>
          <w:szCs w:val="21"/>
        </w:rPr>
      </w:pPr>
    </w:p>
    <w:p>
      <w:pPr>
        <w:pStyle w:val="85"/>
        <w:rPr>
          <w:rFonts w:eastAsia="黑体"/>
          <w:color w:val="auto"/>
          <w:sz w:val="21"/>
          <w:szCs w:val="21"/>
        </w:rPr>
      </w:pPr>
    </w:p>
    <w:p>
      <w:pPr>
        <w:pStyle w:val="85"/>
        <w:rPr>
          <w:rFonts w:eastAsia="黑体"/>
          <w:color w:val="auto"/>
          <w:sz w:val="21"/>
          <w:szCs w:val="21"/>
        </w:rPr>
      </w:pPr>
    </w:p>
    <w:p>
      <w:pPr>
        <w:pStyle w:val="85"/>
        <w:rPr>
          <w:rFonts w:eastAsia="黑体"/>
          <w:color w:val="auto"/>
          <w:sz w:val="21"/>
          <w:szCs w:val="21"/>
        </w:rPr>
      </w:pPr>
    </w:p>
    <w:p>
      <w:pPr>
        <w:pStyle w:val="85"/>
        <w:rPr>
          <w:rFonts w:eastAsia="黑体"/>
          <w:color w:val="auto"/>
          <w:sz w:val="21"/>
          <w:szCs w:val="21"/>
        </w:rPr>
      </w:pPr>
    </w:p>
    <w:p>
      <w:pPr>
        <w:pStyle w:val="85"/>
        <w:rPr>
          <w:rFonts w:eastAsia="黑体"/>
          <w:color w:val="auto"/>
          <w:sz w:val="21"/>
          <w:szCs w:val="21"/>
        </w:rPr>
      </w:pPr>
    </w:p>
    <w:p>
      <w:pPr>
        <w:pStyle w:val="85"/>
        <w:rPr>
          <w:rFonts w:eastAsia="黑体"/>
          <w:color w:val="auto"/>
          <w:sz w:val="21"/>
          <w:szCs w:val="21"/>
        </w:rPr>
      </w:pPr>
    </w:p>
    <w:p>
      <w:pPr>
        <w:rPr>
          <w:rFonts w:eastAsia="黑体"/>
          <w:color w:val="auto"/>
          <w:szCs w:val="21"/>
        </w:rPr>
      </w:pPr>
    </w:p>
    <w:p>
      <w:pPr>
        <w:rPr>
          <w:rFonts w:eastAsia="黑体"/>
          <w:color w:val="auto"/>
          <w:szCs w:val="21"/>
        </w:rPr>
      </w:pPr>
    </w:p>
    <w:p>
      <w:pPr>
        <w:rPr>
          <w:rFonts w:eastAsia="黑体"/>
          <w:color w:val="auto"/>
          <w:szCs w:val="21"/>
        </w:rPr>
      </w:pPr>
    </w:p>
    <w:p>
      <w:pPr>
        <w:rPr>
          <w:rFonts w:eastAsia="黑体"/>
          <w:color w:val="auto"/>
          <w:szCs w:val="21"/>
        </w:rPr>
      </w:pPr>
    </w:p>
    <w:p>
      <w:pPr>
        <w:pStyle w:val="2"/>
        <w:rPr>
          <w:color w:val="auto"/>
        </w:rPr>
      </w:pPr>
    </w:p>
    <w:p>
      <w:pPr>
        <w:rPr>
          <w:rFonts w:eastAsia="黑体"/>
          <w:color w:val="auto"/>
          <w:szCs w:val="21"/>
        </w:rPr>
      </w:pPr>
    </w:p>
    <w:p>
      <w:pPr>
        <w:rPr>
          <w:rFonts w:eastAsia="黑体"/>
          <w:color w:val="auto"/>
          <w:szCs w:val="21"/>
        </w:rPr>
      </w:pPr>
    </w:p>
    <w:p>
      <w:pPr>
        <w:spacing w:line="440" w:lineRule="exact"/>
        <w:jc w:val="center"/>
        <w:rPr>
          <w:b/>
          <w:color w:val="auto"/>
          <w:sz w:val="24"/>
        </w:rPr>
      </w:pPr>
      <w:r>
        <w:rPr>
          <w:b/>
          <w:color w:val="auto"/>
          <w:sz w:val="24"/>
        </w:rPr>
        <w:t>图</w:t>
      </w:r>
      <w:r>
        <w:rPr>
          <w:rFonts w:hint="eastAsia"/>
          <w:b/>
          <w:color w:val="auto"/>
          <w:sz w:val="24"/>
        </w:rPr>
        <w:t>4-1</w:t>
      </w:r>
      <w:r>
        <w:rPr>
          <w:b/>
          <w:color w:val="auto"/>
          <w:sz w:val="24"/>
        </w:rPr>
        <w:t xml:space="preserve"> </w:t>
      </w:r>
      <w:r>
        <w:rPr>
          <w:rFonts w:hint="eastAsia"/>
          <w:b/>
          <w:color w:val="auto"/>
          <w:sz w:val="24"/>
        </w:rPr>
        <w:t xml:space="preserve">  </w:t>
      </w:r>
      <w:r>
        <w:rPr>
          <w:b/>
          <w:color w:val="auto"/>
          <w:sz w:val="24"/>
        </w:rPr>
        <w:t>项目地理位置图</w:t>
      </w:r>
    </w:p>
    <w:p>
      <w:pPr>
        <w:pStyle w:val="2"/>
        <w:rPr>
          <w:color w:val="auto"/>
        </w:rPr>
      </w:pPr>
    </w:p>
    <w:p>
      <w:pPr>
        <w:pStyle w:val="5"/>
        <w:spacing w:before="0" w:after="0" w:line="520" w:lineRule="exact"/>
        <w:rPr>
          <w:color w:val="auto"/>
          <w:sz w:val="24"/>
          <w:szCs w:val="24"/>
        </w:rPr>
      </w:pPr>
      <w:r>
        <w:rPr>
          <w:color w:val="auto"/>
        </w:rPr>
        <w:drawing>
          <wp:anchor distT="0" distB="0" distL="114300" distR="114300" simplePos="0" relativeHeight="251822080" behindDoc="0" locked="0" layoutInCell="1" allowOverlap="1">
            <wp:simplePos x="0" y="0"/>
            <wp:positionH relativeFrom="column">
              <wp:posOffset>8214995</wp:posOffset>
            </wp:positionH>
            <wp:positionV relativeFrom="paragraph">
              <wp:posOffset>43815</wp:posOffset>
            </wp:positionV>
            <wp:extent cx="922655" cy="979170"/>
            <wp:effectExtent l="172085" t="156210" r="181610" b="160020"/>
            <wp:wrapNone/>
            <wp:docPr id="84" name="图片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255"/>
                    <pic:cNvPicPr>
                      <a:picLocks noChangeAspect="1"/>
                    </pic:cNvPicPr>
                  </pic:nvPicPr>
                  <pic:blipFill>
                    <a:blip r:embed="rId11"/>
                    <a:stretch>
                      <a:fillRect/>
                    </a:stretch>
                  </pic:blipFill>
                  <pic:spPr>
                    <a:xfrm rot="1620000">
                      <a:off x="0" y="0"/>
                      <a:ext cx="922655" cy="979170"/>
                    </a:xfrm>
                    <a:prstGeom prst="rect">
                      <a:avLst/>
                    </a:prstGeom>
                    <a:noFill/>
                    <a:ln>
                      <a:noFill/>
                    </a:ln>
                  </pic:spPr>
                </pic:pic>
              </a:graphicData>
            </a:graphic>
          </wp:anchor>
        </w:drawing>
      </w:r>
      <w:r>
        <w:rPr>
          <w:color w:val="auto"/>
          <w:sz w:val="24"/>
          <w:szCs w:val="24"/>
        </w:rPr>
        <w:pict>
          <v:shape id="_x0000_s1037" o:spid="_x0000_s1037" o:spt="75" type="#_x0000_t75" style="position:absolute;left:0pt;margin-left:36pt;margin-top:-0.45pt;height:393pt;width:592.5pt;z-index:-251517952;mso-width-relative:page;mso-height-relative:page;" o:ole="t" filled="f" o:preferrelative="t" stroked="f" coordsize="21600,21600">
            <v:path/>
            <v:fill on="f" focussize="0,0"/>
            <v:stroke on="f"/>
            <v:imagedata r:id="rId17" o:title=""/>
            <o:lock v:ext="edit" aspectratio="f"/>
          </v:shape>
          <o:OLEObject Type="Embed" ProgID="Visio.Drawing.11" ShapeID="_x0000_s1037" DrawAspect="Content" ObjectID="_1468075728" r:id="rId16">
            <o:LockedField>false</o:LockedField>
          </o:OLEObject>
        </w:pict>
      </w:r>
    </w:p>
    <w:p>
      <w:pPr>
        <w:pStyle w:val="5"/>
        <w:spacing w:before="0" w:after="0" w:line="520" w:lineRule="exact"/>
        <w:rPr>
          <w:color w:val="auto"/>
          <w:sz w:val="24"/>
          <w:szCs w:val="24"/>
        </w:rPr>
      </w:pPr>
    </w:p>
    <w:p>
      <w:pPr>
        <w:pStyle w:val="5"/>
        <w:spacing w:before="0" w:after="0" w:line="520" w:lineRule="exact"/>
        <w:rPr>
          <w:color w:val="auto"/>
          <w:sz w:val="24"/>
          <w:szCs w:val="24"/>
        </w:rPr>
      </w:pPr>
    </w:p>
    <w:p>
      <w:pPr>
        <w:rPr>
          <w:color w:val="auto"/>
          <w:sz w:val="24"/>
        </w:rPr>
      </w:pPr>
    </w:p>
    <w:p>
      <w:pPr>
        <w:pStyle w:val="2"/>
        <w:rPr>
          <w:color w:val="auto"/>
          <w:sz w:val="24"/>
        </w:rPr>
      </w:pPr>
    </w:p>
    <w:p>
      <w:pPr>
        <w:pStyle w:val="85"/>
        <w:rPr>
          <w:color w:val="auto"/>
        </w:rPr>
      </w:pPr>
    </w:p>
    <w:p>
      <w:pPr>
        <w:pStyle w:val="85"/>
        <w:rPr>
          <w:color w:val="auto"/>
        </w:rPr>
      </w:pPr>
    </w:p>
    <w:p>
      <w:pPr>
        <w:pStyle w:val="85"/>
        <w:rPr>
          <w:color w:val="auto"/>
        </w:rPr>
      </w:pPr>
    </w:p>
    <w:p>
      <w:pPr>
        <w:pStyle w:val="85"/>
        <w:rPr>
          <w:color w:val="auto"/>
        </w:rPr>
      </w:pPr>
    </w:p>
    <w:p>
      <w:pPr>
        <w:pStyle w:val="85"/>
        <w:rPr>
          <w:color w:val="auto"/>
        </w:rPr>
      </w:pPr>
    </w:p>
    <w:p>
      <w:pPr>
        <w:pStyle w:val="85"/>
        <w:rPr>
          <w:color w:val="auto"/>
        </w:rPr>
      </w:pPr>
    </w:p>
    <w:p>
      <w:pPr>
        <w:pStyle w:val="85"/>
        <w:rPr>
          <w:color w:val="auto"/>
        </w:rPr>
      </w:pPr>
    </w:p>
    <w:p>
      <w:pPr>
        <w:pStyle w:val="85"/>
        <w:rPr>
          <w:color w:val="auto"/>
        </w:rPr>
      </w:pPr>
    </w:p>
    <w:p>
      <w:pPr>
        <w:pStyle w:val="85"/>
        <w:rPr>
          <w:color w:val="auto"/>
        </w:rPr>
      </w:pPr>
    </w:p>
    <w:p>
      <w:pPr>
        <w:pStyle w:val="85"/>
        <w:rPr>
          <w:color w:val="auto"/>
        </w:rPr>
      </w:pPr>
    </w:p>
    <w:p>
      <w:pPr>
        <w:spacing w:line="440" w:lineRule="exact"/>
        <w:jc w:val="center"/>
        <w:rPr>
          <w:b/>
          <w:color w:val="auto"/>
          <w:sz w:val="24"/>
        </w:rPr>
      </w:pPr>
      <w:r>
        <w:rPr>
          <w:b/>
          <w:color w:val="auto"/>
          <w:sz w:val="24"/>
        </w:rPr>
        <w:t>图</w:t>
      </w:r>
      <w:r>
        <w:rPr>
          <w:rFonts w:hint="eastAsia"/>
          <w:b/>
          <w:color w:val="auto"/>
          <w:sz w:val="24"/>
        </w:rPr>
        <w:t>4-2</w:t>
      </w:r>
      <w:r>
        <w:rPr>
          <w:b/>
          <w:color w:val="auto"/>
          <w:sz w:val="24"/>
        </w:rPr>
        <w:t xml:space="preserve"> </w:t>
      </w:r>
      <w:r>
        <w:rPr>
          <w:rFonts w:hint="eastAsia"/>
          <w:b/>
          <w:color w:val="auto"/>
          <w:sz w:val="24"/>
        </w:rPr>
        <w:t xml:space="preserve"> </w:t>
      </w:r>
      <w:r>
        <w:rPr>
          <w:b/>
          <w:color w:val="auto"/>
          <w:sz w:val="24"/>
        </w:rPr>
        <w:t>项目</w:t>
      </w:r>
      <w:r>
        <w:rPr>
          <w:rFonts w:hint="eastAsia"/>
          <w:b/>
          <w:color w:val="auto"/>
          <w:sz w:val="24"/>
        </w:rPr>
        <w:t>厂区总平面布置</w:t>
      </w:r>
      <w:r>
        <w:rPr>
          <w:b/>
          <w:color w:val="auto"/>
          <w:sz w:val="24"/>
        </w:rPr>
        <w:t>图</w:t>
      </w:r>
    </w:p>
    <w:p>
      <w:pPr>
        <w:pStyle w:val="5"/>
        <w:spacing w:before="0" w:after="0" w:line="520" w:lineRule="exact"/>
        <w:rPr>
          <w:color w:val="auto"/>
          <w:sz w:val="24"/>
          <w:szCs w:val="24"/>
        </w:rPr>
      </w:pPr>
      <w:r>
        <w:rPr>
          <w:color w:val="auto"/>
        </w:rPr>
        <w:drawing>
          <wp:anchor distT="0" distB="0" distL="114300" distR="114300" simplePos="0" relativeHeight="251730944" behindDoc="0" locked="0" layoutInCell="1" allowOverlap="1">
            <wp:simplePos x="0" y="0"/>
            <wp:positionH relativeFrom="column">
              <wp:posOffset>7910195</wp:posOffset>
            </wp:positionH>
            <wp:positionV relativeFrom="paragraph">
              <wp:posOffset>139065</wp:posOffset>
            </wp:positionV>
            <wp:extent cx="836930" cy="979170"/>
            <wp:effectExtent l="0" t="0" r="1270" b="11430"/>
            <wp:wrapNone/>
            <wp:docPr id="16" name="图片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255"/>
                    <pic:cNvPicPr>
                      <a:picLocks noChangeAspect="1"/>
                    </pic:cNvPicPr>
                  </pic:nvPicPr>
                  <pic:blipFill>
                    <a:blip r:embed="rId11"/>
                    <a:stretch>
                      <a:fillRect/>
                    </a:stretch>
                  </pic:blipFill>
                  <pic:spPr>
                    <a:xfrm>
                      <a:off x="0" y="0"/>
                      <a:ext cx="836930" cy="979170"/>
                    </a:xfrm>
                    <a:prstGeom prst="rect">
                      <a:avLst/>
                    </a:prstGeom>
                    <a:noFill/>
                    <a:ln>
                      <a:noFill/>
                    </a:ln>
                  </pic:spPr>
                </pic:pic>
              </a:graphicData>
            </a:graphic>
          </wp:anchor>
        </w:drawing>
      </w:r>
    </w:p>
    <w:p>
      <w:pPr>
        <w:rPr>
          <w:color w:val="auto"/>
        </w:rPr>
      </w:pPr>
    </w:p>
    <w:p>
      <w:pPr>
        <w:rPr>
          <w:color w:val="auto"/>
        </w:rPr>
      </w:pPr>
    </w:p>
    <w:p>
      <w:pPr>
        <w:pStyle w:val="52"/>
        <w:rPr>
          <w:color w:val="auto"/>
        </w:rPr>
      </w:pPr>
    </w:p>
    <w:p>
      <w:pPr>
        <w:pStyle w:val="52"/>
        <w:rPr>
          <w:color w:val="auto"/>
        </w:rPr>
      </w:pPr>
    </w:p>
    <w:p>
      <w:pPr>
        <w:pStyle w:val="52"/>
        <w:rPr>
          <w:color w:val="auto"/>
        </w:rPr>
      </w:pPr>
    </w:p>
    <w:p>
      <w:pPr>
        <w:pStyle w:val="52"/>
        <w:rPr>
          <w:color w:val="auto"/>
        </w:rPr>
      </w:pPr>
      <w:r>
        <w:rPr>
          <w:color w:val="auto"/>
        </w:rPr>
        <w:pict>
          <v:shape id="_x0000_s1029" o:spid="_x0000_s1029" o:spt="75" type="#_x0000_t75" style="position:absolute;left:0pt;margin-left:0pt;margin-top:-109.5pt;height:391.95pt;width:698.2pt;z-index:-251526144;mso-width-relative:page;mso-height-relative:page;" o:ole="t" filled="f" o:preferrelative="t" stroked="f" coordsize="21600,21600">
            <v:path/>
            <v:fill on="f" focussize="0,0"/>
            <v:stroke on="f"/>
            <v:imagedata r:id="rId19" o:title=""/>
            <o:lock v:ext="edit" aspectratio="f"/>
          </v:shape>
          <o:OLEObject Type="Embed" ProgID="Visio.Drawing.11" ShapeID="_x0000_s1029" DrawAspect="Content" ObjectID="_1468075729" r:id="rId18">
            <o:LockedField>false</o:LockedField>
          </o:OLEObject>
        </w:pict>
      </w:r>
    </w:p>
    <w:p>
      <w:pPr>
        <w:pStyle w:val="52"/>
        <w:rPr>
          <w:color w:val="auto"/>
        </w:rPr>
      </w:pPr>
    </w:p>
    <w:p>
      <w:pPr>
        <w:pStyle w:val="52"/>
        <w:rPr>
          <w:color w:val="auto"/>
        </w:rPr>
      </w:pPr>
    </w:p>
    <w:p>
      <w:pPr>
        <w:pStyle w:val="52"/>
        <w:rPr>
          <w:color w:val="auto"/>
        </w:rPr>
      </w:pPr>
    </w:p>
    <w:p>
      <w:pPr>
        <w:pStyle w:val="52"/>
        <w:rPr>
          <w:color w:val="auto"/>
        </w:rPr>
      </w:pPr>
    </w:p>
    <w:p>
      <w:pPr>
        <w:pStyle w:val="52"/>
        <w:rPr>
          <w:color w:val="auto"/>
        </w:rPr>
      </w:pPr>
    </w:p>
    <w:p>
      <w:pPr>
        <w:pStyle w:val="52"/>
        <w:rPr>
          <w:color w:val="auto"/>
        </w:rPr>
      </w:pPr>
    </w:p>
    <w:p>
      <w:pPr>
        <w:pStyle w:val="52"/>
        <w:rPr>
          <w:color w:val="auto"/>
        </w:rPr>
      </w:pPr>
    </w:p>
    <w:p>
      <w:pPr>
        <w:pStyle w:val="52"/>
        <w:rPr>
          <w:color w:val="auto"/>
        </w:rPr>
      </w:pPr>
    </w:p>
    <w:p>
      <w:pPr>
        <w:pStyle w:val="52"/>
        <w:rPr>
          <w:color w:val="auto"/>
        </w:rPr>
      </w:pPr>
    </w:p>
    <w:p>
      <w:pPr>
        <w:pStyle w:val="52"/>
        <w:rPr>
          <w:color w:val="auto"/>
        </w:rPr>
      </w:pPr>
    </w:p>
    <w:p>
      <w:pPr>
        <w:pStyle w:val="52"/>
        <w:rPr>
          <w:color w:val="auto"/>
        </w:rPr>
      </w:pPr>
    </w:p>
    <w:p>
      <w:pPr>
        <w:pStyle w:val="52"/>
        <w:rPr>
          <w:color w:val="auto"/>
        </w:rPr>
      </w:pPr>
    </w:p>
    <w:p>
      <w:pPr>
        <w:pStyle w:val="52"/>
        <w:rPr>
          <w:color w:val="auto"/>
        </w:rPr>
      </w:pPr>
    </w:p>
    <w:p>
      <w:pPr>
        <w:pStyle w:val="52"/>
        <w:rPr>
          <w:color w:val="auto"/>
        </w:rPr>
      </w:pPr>
    </w:p>
    <w:p>
      <w:pPr>
        <w:spacing w:line="440" w:lineRule="exact"/>
        <w:jc w:val="center"/>
        <w:rPr>
          <w:b/>
          <w:color w:val="auto"/>
        </w:rPr>
      </w:pPr>
      <w:r>
        <w:rPr>
          <w:b/>
          <w:color w:val="auto"/>
          <w:sz w:val="24"/>
        </w:rPr>
        <w:t>图</w:t>
      </w:r>
      <w:r>
        <w:rPr>
          <w:rFonts w:hint="eastAsia"/>
          <w:b/>
          <w:color w:val="auto"/>
          <w:sz w:val="24"/>
        </w:rPr>
        <w:t>4-3</w:t>
      </w:r>
      <w:r>
        <w:rPr>
          <w:b/>
          <w:color w:val="auto"/>
          <w:sz w:val="24"/>
        </w:rPr>
        <w:t xml:space="preserve"> </w:t>
      </w:r>
      <w:r>
        <w:rPr>
          <w:rFonts w:hint="eastAsia"/>
          <w:b/>
          <w:color w:val="auto"/>
          <w:sz w:val="24"/>
        </w:rPr>
        <w:t xml:space="preserve"> </w:t>
      </w:r>
      <w:r>
        <w:rPr>
          <w:b/>
          <w:color w:val="auto"/>
          <w:sz w:val="24"/>
        </w:rPr>
        <w:t>项目</w:t>
      </w:r>
      <w:r>
        <w:rPr>
          <w:rFonts w:hint="eastAsia"/>
          <w:b/>
          <w:color w:val="auto"/>
          <w:sz w:val="24"/>
        </w:rPr>
        <w:t>四周关系</w:t>
      </w:r>
      <w:r>
        <w:rPr>
          <w:b/>
          <w:color w:val="auto"/>
          <w:sz w:val="24"/>
        </w:rPr>
        <w:t>图</w:t>
      </w:r>
    </w:p>
    <w:p>
      <w:pPr>
        <w:pStyle w:val="52"/>
        <w:rPr>
          <w:color w:val="auto"/>
        </w:rPr>
        <w:sectPr>
          <w:pgSz w:w="16849" w:h="11911" w:orient="landscape"/>
          <w:pgMar w:top="1587" w:right="1440" w:bottom="1587" w:left="1440" w:header="680" w:footer="652" w:gutter="0"/>
          <w:pgBorders>
            <w:top w:val="none" w:sz="0" w:space="0"/>
            <w:left w:val="none" w:sz="0" w:space="0"/>
            <w:bottom w:val="none" w:sz="0" w:space="0"/>
            <w:right w:val="none" w:sz="0" w:space="0"/>
          </w:pgBorders>
          <w:cols w:space="720" w:num="1"/>
          <w:docGrid w:linePitch="322" w:charSpace="0"/>
        </w:sectPr>
      </w:pPr>
    </w:p>
    <w:p>
      <w:pPr>
        <w:rPr>
          <w:color w:val="auto"/>
        </w:rPr>
      </w:pPr>
    </w:p>
    <w:p>
      <w:pPr>
        <w:pStyle w:val="5"/>
        <w:spacing w:before="0" w:after="0" w:line="520" w:lineRule="exact"/>
        <w:rPr>
          <w:color w:val="auto"/>
          <w:sz w:val="24"/>
          <w:szCs w:val="24"/>
        </w:rPr>
      </w:pPr>
      <w:r>
        <w:rPr>
          <w:rFonts w:hint="eastAsia"/>
          <w:color w:val="auto"/>
          <w:sz w:val="24"/>
          <w:szCs w:val="24"/>
        </w:rPr>
        <w:t>4</w:t>
      </w:r>
      <w:r>
        <w:rPr>
          <w:color w:val="auto"/>
          <w:sz w:val="24"/>
          <w:szCs w:val="24"/>
        </w:rPr>
        <w:t>.1.4产品方案</w:t>
      </w:r>
    </w:p>
    <w:p>
      <w:pPr>
        <w:spacing w:line="520" w:lineRule="exact"/>
        <w:ind w:firstLine="480" w:firstLineChars="200"/>
        <w:rPr>
          <w:bCs/>
          <w:color w:val="auto"/>
          <w:sz w:val="24"/>
        </w:rPr>
      </w:pPr>
      <w:r>
        <w:rPr>
          <w:bCs/>
          <w:color w:val="auto"/>
          <w:sz w:val="24"/>
        </w:rPr>
        <w:t>项目主要产品及年生产规模详见下表：</w:t>
      </w:r>
    </w:p>
    <w:p>
      <w:pPr>
        <w:spacing w:line="440" w:lineRule="exact"/>
        <w:jc w:val="center"/>
        <w:rPr>
          <w:b/>
          <w:color w:val="auto"/>
          <w:sz w:val="24"/>
        </w:rPr>
      </w:pPr>
      <w:r>
        <w:rPr>
          <w:b/>
          <w:color w:val="auto"/>
          <w:sz w:val="24"/>
        </w:rPr>
        <w:t>表</w:t>
      </w:r>
      <w:r>
        <w:rPr>
          <w:rFonts w:hint="eastAsia"/>
          <w:b/>
          <w:color w:val="auto"/>
          <w:sz w:val="24"/>
        </w:rPr>
        <w:t>4</w:t>
      </w:r>
      <w:r>
        <w:rPr>
          <w:b/>
          <w:color w:val="auto"/>
          <w:sz w:val="24"/>
        </w:rPr>
        <w:t>-2  主要产品一览表</w:t>
      </w:r>
    </w:p>
    <w:tbl>
      <w:tblPr>
        <w:tblStyle w:val="53"/>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3"/>
        <w:gridCol w:w="2543"/>
        <w:gridCol w:w="2119"/>
        <w:gridCol w:w="1712"/>
        <w:gridCol w:w="17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9" w:hRule="atLeast"/>
          <w:jc w:val="center"/>
        </w:trPr>
        <w:tc>
          <w:tcPr>
            <w:tcW w:w="482" w:type="pct"/>
            <w:vAlign w:val="center"/>
          </w:tcPr>
          <w:p>
            <w:pPr>
              <w:spacing w:line="400" w:lineRule="exact"/>
              <w:jc w:val="center"/>
              <w:rPr>
                <w:b/>
                <w:bCs/>
                <w:color w:val="auto"/>
                <w:szCs w:val="21"/>
              </w:rPr>
            </w:pPr>
            <w:r>
              <w:rPr>
                <w:b/>
                <w:bCs/>
                <w:color w:val="auto"/>
                <w:szCs w:val="21"/>
              </w:rPr>
              <w:t>序号</w:t>
            </w:r>
          </w:p>
        </w:tc>
        <w:tc>
          <w:tcPr>
            <w:tcW w:w="1420" w:type="pct"/>
            <w:vAlign w:val="center"/>
          </w:tcPr>
          <w:p>
            <w:pPr>
              <w:spacing w:line="400" w:lineRule="exact"/>
              <w:jc w:val="center"/>
              <w:rPr>
                <w:b/>
                <w:bCs/>
                <w:color w:val="auto"/>
                <w:szCs w:val="21"/>
              </w:rPr>
            </w:pPr>
            <w:r>
              <w:rPr>
                <w:b/>
                <w:bCs/>
                <w:color w:val="auto"/>
                <w:szCs w:val="21"/>
              </w:rPr>
              <w:t>产品名称</w:t>
            </w:r>
          </w:p>
        </w:tc>
        <w:tc>
          <w:tcPr>
            <w:tcW w:w="1183" w:type="pct"/>
            <w:vAlign w:val="center"/>
          </w:tcPr>
          <w:p>
            <w:pPr>
              <w:spacing w:line="400" w:lineRule="exact"/>
              <w:jc w:val="center"/>
              <w:rPr>
                <w:b/>
                <w:bCs/>
                <w:color w:val="auto"/>
                <w:szCs w:val="21"/>
              </w:rPr>
            </w:pPr>
            <w:r>
              <w:rPr>
                <w:b/>
                <w:bCs/>
                <w:color w:val="auto"/>
                <w:szCs w:val="21"/>
              </w:rPr>
              <w:t>单位</w:t>
            </w:r>
          </w:p>
        </w:tc>
        <w:tc>
          <w:tcPr>
            <w:tcW w:w="956" w:type="pct"/>
            <w:vAlign w:val="center"/>
          </w:tcPr>
          <w:p>
            <w:pPr>
              <w:spacing w:line="400" w:lineRule="exact"/>
              <w:jc w:val="center"/>
              <w:rPr>
                <w:b/>
                <w:bCs/>
                <w:color w:val="auto"/>
                <w:szCs w:val="21"/>
              </w:rPr>
            </w:pPr>
            <w:r>
              <w:rPr>
                <w:b/>
                <w:bCs/>
                <w:color w:val="auto"/>
                <w:szCs w:val="21"/>
              </w:rPr>
              <w:t>数量</w:t>
            </w:r>
          </w:p>
        </w:tc>
        <w:tc>
          <w:tcPr>
            <w:tcW w:w="956" w:type="pct"/>
            <w:vAlign w:val="center"/>
          </w:tcPr>
          <w:p>
            <w:pPr>
              <w:spacing w:line="400" w:lineRule="exact"/>
              <w:jc w:val="center"/>
              <w:rPr>
                <w:rFonts w:hint="eastAsia" w:eastAsia="宋体"/>
                <w:b/>
                <w:bCs/>
                <w:color w:val="auto"/>
                <w:szCs w:val="21"/>
                <w:lang w:eastAsia="zh-CN"/>
              </w:rPr>
            </w:pPr>
            <w:r>
              <w:rPr>
                <w:rFonts w:hint="eastAsia"/>
                <w:b/>
                <w:bCs/>
                <w:color w:val="auto"/>
                <w:szCs w:val="21"/>
                <w:lang w:eastAsia="zh-CN"/>
              </w:rPr>
              <w:t>规格（</w:t>
            </w:r>
            <w:r>
              <w:rPr>
                <w:rFonts w:hint="eastAsia"/>
                <w:b/>
                <w:bCs/>
                <w:color w:val="auto"/>
                <w:szCs w:val="21"/>
                <w:lang w:val="en-US" w:eastAsia="zh-CN"/>
              </w:rPr>
              <w:t>mm</w:t>
            </w:r>
            <w:r>
              <w:rPr>
                <w:rFonts w:hint="eastAsia"/>
                <w:b/>
                <w:bCs/>
                <w:color w:val="auto"/>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5" w:hRule="atLeast"/>
          <w:jc w:val="center"/>
        </w:trPr>
        <w:tc>
          <w:tcPr>
            <w:tcW w:w="482" w:type="pct"/>
            <w:vAlign w:val="center"/>
          </w:tcPr>
          <w:p>
            <w:pPr>
              <w:spacing w:line="400" w:lineRule="exact"/>
              <w:jc w:val="center"/>
              <w:rPr>
                <w:bCs/>
                <w:color w:val="auto"/>
                <w:szCs w:val="21"/>
              </w:rPr>
            </w:pPr>
            <w:r>
              <w:rPr>
                <w:bCs/>
                <w:color w:val="auto"/>
                <w:szCs w:val="21"/>
              </w:rPr>
              <w:t>1</w:t>
            </w:r>
          </w:p>
        </w:tc>
        <w:tc>
          <w:tcPr>
            <w:tcW w:w="1420" w:type="pct"/>
            <w:vAlign w:val="center"/>
          </w:tcPr>
          <w:p>
            <w:pPr>
              <w:spacing w:line="400" w:lineRule="exact"/>
              <w:jc w:val="center"/>
              <w:rPr>
                <w:rFonts w:hint="default" w:eastAsia="宋体"/>
                <w:bCs/>
                <w:color w:val="auto"/>
                <w:szCs w:val="21"/>
                <w:lang w:val="en-US" w:eastAsia="zh-CN"/>
              </w:rPr>
            </w:pPr>
            <w:r>
              <w:rPr>
                <w:rFonts w:hint="eastAsia"/>
                <w:bCs/>
                <w:color w:val="auto"/>
                <w:szCs w:val="21"/>
                <w:lang w:val="en-US" w:eastAsia="zh-CN"/>
              </w:rPr>
              <w:t>NBR涂层复合板</w:t>
            </w:r>
          </w:p>
        </w:tc>
        <w:tc>
          <w:tcPr>
            <w:tcW w:w="1183" w:type="pct"/>
            <w:vAlign w:val="center"/>
          </w:tcPr>
          <w:p>
            <w:pPr>
              <w:spacing w:line="400" w:lineRule="exact"/>
              <w:jc w:val="center"/>
              <w:rPr>
                <w:bCs/>
                <w:color w:val="auto"/>
                <w:szCs w:val="21"/>
              </w:rPr>
            </w:pPr>
            <w:r>
              <w:rPr>
                <w:snapToGrid w:val="0"/>
                <w:color w:val="auto"/>
                <w:kern w:val="0"/>
                <w:szCs w:val="21"/>
              </w:rPr>
              <w:t>万套</w:t>
            </w:r>
            <w:r>
              <w:rPr>
                <w:bCs/>
                <w:color w:val="auto"/>
                <w:szCs w:val="21"/>
              </w:rPr>
              <w:t>/年</w:t>
            </w:r>
          </w:p>
        </w:tc>
        <w:tc>
          <w:tcPr>
            <w:tcW w:w="956" w:type="pct"/>
            <w:vAlign w:val="center"/>
          </w:tcPr>
          <w:p>
            <w:pPr>
              <w:spacing w:line="400" w:lineRule="exact"/>
              <w:jc w:val="center"/>
              <w:rPr>
                <w:rFonts w:hint="default"/>
                <w:bCs/>
                <w:color w:val="auto"/>
                <w:szCs w:val="21"/>
                <w:lang w:val="en-US" w:eastAsia="zh-CN"/>
              </w:rPr>
            </w:pPr>
            <w:r>
              <w:rPr>
                <w:rFonts w:hint="eastAsia"/>
                <w:bCs/>
                <w:color w:val="auto"/>
                <w:szCs w:val="21"/>
                <w:lang w:val="en-US" w:eastAsia="zh-CN"/>
              </w:rPr>
              <w:t>20</w:t>
            </w:r>
          </w:p>
        </w:tc>
        <w:tc>
          <w:tcPr>
            <w:tcW w:w="956" w:type="pct"/>
            <w:vAlign w:val="center"/>
          </w:tcPr>
          <w:p>
            <w:pPr>
              <w:spacing w:line="400" w:lineRule="exact"/>
              <w:jc w:val="center"/>
              <w:rPr>
                <w:rFonts w:hint="default"/>
                <w:bCs/>
                <w:color w:val="auto"/>
                <w:szCs w:val="21"/>
                <w:lang w:val="en-US" w:eastAsia="zh-CN"/>
              </w:rPr>
            </w:pPr>
            <w:r>
              <w:rPr>
                <w:rFonts w:hint="eastAsia"/>
                <w:bCs/>
                <w:color w:val="auto"/>
                <w:szCs w:val="21"/>
                <w:lang w:val="en-US" w:eastAsia="zh-CN"/>
              </w:rPr>
              <w:t>450*1020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5" w:hRule="atLeast"/>
          <w:jc w:val="center"/>
        </w:trPr>
        <w:tc>
          <w:tcPr>
            <w:tcW w:w="482" w:type="pct"/>
            <w:vAlign w:val="center"/>
          </w:tcPr>
          <w:p>
            <w:pPr>
              <w:spacing w:line="400" w:lineRule="exact"/>
              <w:jc w:val="center"/>
              <w:rPr>
                <w:bCs/>
                <w:color w:val="auto"/>
                <w:szCs w:val="21"/>
              </w:rPr>
            </w:pPr>
            <w:r>
              <w:rPr>
                <w:bCs/>
                <w:color w:val="auto"/>
                <w:szCs w:val="21"/>
              </w:rPr>
              <w:t>2</w:t>
            </w:r>
          </w:p>
        </w:tc>
        <w:tc>
          <w:tcPr>
            <w:tcW w:w="1420" w:type="pct"/>
            <w:vAlign w:val="center"/>
          </w:tcPr>
          <w:p>
            <w:pPr>
              <w:spacing w:line="400" w:lineRule="exact"/>
              <w:jc w:val="center"/>
              <w:rPr>
                <w:rFonts w:hint="default" w:eastAsia="宋体"/>
                <w:bCs/>
                <w:color w:val="auto"/>
                <w:szCs w:val="21"/>
                <w:lang w:val="en-US" w:eastAsia="zh-CN"/>
              </w:rPr>
            </w:pPr>
            <w:r>
              <w:rPr>
                <w:rFonts w:hint="eastAsia"/>
                <w:bCs/>
                <w:color w:val="auto"/>
                <w:szCs w:val="21"/>
                <w:lang w:val="en-US" w:eastAsia="zh-CN"/>
              </w:rPr>
              <w:t>NBR发泡复合板</w:t>
            </w:r>
          </w:p>
        </w:tc>
        <w:tc>
          <w:tcPr>
            <w:tcW w:w="1183" w:type="pct"/>
            <w:vAlign w:val="center"/>
          </w:tcPr>
          <w:p>
            <w:pPr>
              <w:spacing w:line="400" w:lineRule="exact"/>
              <w:jc w:val="center"/>
              <w:rPr>
                <w:bCs/>
                <w:color w:val="auto"/>
                <w:szCs w:val="21"/>
              </w:rPr>
            </w:pPr>
            <w:r>
              <w:rPr>
                <w:snapToGrid w:val="0"/>
                <w:color w:val="auto"/>
                <w:kern w:val="0"/>
                <w:szCs w:val="21"/>
              </w:rPr>
              <w:t>万套</w:t>
            </w:r>
            <w:r>
              <w:rPr>
                <w:bCs/>
                <w:color w:val="auto"/>
                <w:szCs w:val="21"/>
              </w:rPr>
              <w:t>/年</w:t>
            </w:r>
          </w:p>
        </w:tc>
        <w:tc>
          <w:tcPr>
            <w:tcW w:w="956" w:type="pct"/>
            <w:vAlign w:val="center"/>
          </w:tcPr>
          <w:p>
            <w:pPr>
              <w:spacing w:line="400" w:lineRule="exact"/>
              <w:jc w:val="center"/>
              <w:rPr>
                <w:rFonts w:hint="default"/>
                <w:bCs/>
                <w:color w:val="auto"/>
                <w:szCs w:val="21"/>
                <w:lang w:val="en-US" w:eastAsia="zh-CN"/>
              </w:rPr>
            </w:pPr>
            <w:r>
              <w:rPr>
                <w:rFonts w:hint="eastAsia"/>
                <w:bCs/>
                <w:color w:val="auto"/>
                <w:szCs w:val="21"/>
                <w:lang w:val="en-US" w:eastAsia="zh-CN"/>
              </w:rPr>
              <w:t>20</w:t>
            </w:r>
          </w:p>
        </w:tc>
        <w:tc>
          <w:tcPr>
            <w:tcW w:w="956" w:type="pct"/>
            <w:vAlign w:val="center"/>
          </w:tcPr>
          <w:p>
            <w:pPr>
              <w:spacing w:line="400" w:lineRule="exact"/>
              <w:jc w:val="center"/>
              <w:rPr>
                <w:rFonts w:hint="eastAsia"/>
                <w:bCs/>
                <w:color w:val="auto"/>
                <w:szCs w:val="21"/>
                <w:lang w:val="en-US" w:eastAsia="zh-CN"/>
              </w:rPr>
            </w:pPr>
            <w:r>
              <w:rPr>
                <w:rFonts w:hint="eastAsia"/>
                <w:bCs/>
                <w:color w:val="auto"/>
                <w:szCs w:val="21"/>
                <w:lang w:val="en-US" w:eastAsia="zh-CN"/>
              </w:rPr>
              <w:t>420*970*1.2</w:t>
            </w:r>
          </w:p>
          <w:p>
            <w:pPr>
              <w:spacing w:line="400" w:lineRule="exact"/>
              <w:jc w:val="center"/>
              <w:rPr>
                <w:rFonts w:hint="default"/>
                <w:bCs/>
                <w:color w:val="auto"/>
                <w:szCs w:val="21"/>
                <w:lang w:val="en-US" w:eastAsia="zh-CN"/>
              </w:rPr>
            </w:pPr>
            <w:r>
              <w:rPr>
                <w:rFonts w:hint="eastAsia"/>
                <w:bCs/>
                <w:color w:val="auto"/>
                <w:szCs w:val="21"/>
                <w:lang w:val="en-US" w:eastAsia="zh-CN"/>
              </w:rPr>
              <w:t>525*1070*1.2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9" w:hRule="atLeast"/>
          <w:jc w:val="center"/>
        </w:trPr>
        <w:tc>
          <w:tcPr>
            <w:tcW w:w="482" w:type="pct"/>
            <w:vAlign w:val="center"/>
          </w:tcPr>
          <w:p>
            <w:pPr>
              <w:spacing w:line="400" w:lineRule="exact"/>
              <w:jc w:val="center"/>
              <w:rPr>
                <w:bCs/>
                <w:color w:val="auto"/>
                <w:szCs w:val="21"/>
              </w:rPr>
            </w:pPr>
            <w:r>
              <w:rPr>
                <w:bCs/>
                <w:color w:val="auto"/>
                <w:szCs w:val="21"/>
              </w:rPr>
              <w:t>3</w:t>
            </w:r>
          </w:p>
        </w:tc>
        <w:tc>
          <w:tcPr>
            <w:tcW w:w="1420" w:type="pct"/>
            <w:vAlign w:val="center"/>
          </w:tcPr>
          <w:p>
            <w:pPr>
              <w:spacing w:line="400" w:lineRule="exact"/>
              <w:jc w:val="center"/>
              <w:rPr>
                <w:rFonts w:hint="eastAsia" w:eastAsia="宋体"/>
                <w:bCs/>
                <w:color w:val="auto"/>
                <w:szCs w:val="21"/>
                <w:lang w:eastAsia="zh-CN"/>
              </w:rPr>
            </w:pPr>
            <w:r>
              <w:rPr>
                <w:rFonts w:hint="eastAsia"/>
                <w:bCs/>
                <w:color w:val="auto"/>
                <w:szCs w:val="21"/>
                <w:lang w:eastAsia="zh-CN"/>
              </w:rPr>
              <w:t>氟橡胶涂层复合板</w:t>
            </w:r>
          </w:p>
        </w:tc>
        <w:tc>
          <w:tcPr>
            <w:tcW w:w="1183" w:type="pct"/>
            <w:vAlign w:val="center"/>
          </w:tcPr>
          <w:p>
            <w:pPr>
              <w:spacing w:line="400" w:lineRule="exact"/>
              <w:jc w:val="center"/>
              <w:rPr>
                <w:bCs/>
                <w:color w:val="auto"/>
                <w:szCs w:val="21"/>
              </w:rPr>
            </w:pPr>
            <w:r>
              <w:rPr>
                <w:snapToGrid w:val="0"/>
                <w:color w:val="auto"/>
                <w:kern w:val="0"/>
                <w:szCs w:val="21"/>
              </w:rPr>
              <w:t>万套</w:t>
            </w:r>
            <w:r>
              <w:rPr>
                <w:bCs/>
                <w:color w:val="auto"/>
                <w:szCs w:val="21"/>
              </w:rPr>
              <w:t>/年</w:t>
            </w:r>
          </w:p>
        </w:tc>
        <w:tc>
          <w:tcPr>
            <w:tcW w:w="956" w:type="pct"/>
            <w:vAlign w:val="center"/>
          </w:tcPr>
          <w:p>
            <w:pPr>
              <w:spacing w:line="400" w:lineRule="exact"/>
              <w:jc w:val="center"/>
              <w:rPr>
                <w:rFonts w:hint="default"/>
                <w:bCs/>
                <w:color w:val="auto"/>
                <w:szCs w:val="21"/>
                <w:lang w:val="en-US" w:eastAsia="zh-CN"/>
              </w:rPr>
            </w:pPr>
            <w:r>
              <w:rPr>
                <w:rFonts w:hint="eastAsia"/>
                <w:bCs/>
                <w:color w:val="auto"/>
                <w:szCs w:val="21"/>
                <w:lang w:val="en-US" w:eastAsia="zh-CN"/>
              </w:rPr>
              <w:t>20</w:t>
            </w:r>
          </w:p>
        </w:tc>
        <w:tc>
          <w:tcPr>
            <w:tcW w:w="956" w:type="pct"/>
            <w:vAlign w:val="center"/>
          </w:tcPr>
          <w:p>
            <w:pPr>
              <w:spacing w:line="400" w:lineRule="exact"/>
              <w:jc w:val="center"/>
              <w:rPr>
                <w:rFonts w:hint="default"/>
                <w:bCs/>
                <w:color w:val="auto"/>
                <w:szCs w:val="21"/>
                <w:lang w:val="en-US" w:eastAsia="zh-CN"/>
              </w:rPr>
            </w:pPr>
            <w:r>
              <w:rPr>
                <w:rFonts w:hint="eastAsia"/>
                <w:bCs/>
                <w:color w:val="auto"/>
                <w:szCs w:val="21"/>
                <w:lang w:val="en-US" w:eastAsia="zh-CN"/>
              </w:rPr>
              <w:t>500*100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9" w:hRule="atLeast"/>
          <w:jc w:val="center"/>
        </w:trPr>
        <w:tc>
          <w:tcPr>
            <w:tcW w:w="482" w:type="pct"/>
            <w:vAlign w:val="center"/>
          </w:tcPr>
          <w:p>
            <w:pPr>
              <w:spacing w:line="400" w:lineRule="exact"/>
              <w:jc w:val="center"/>
              <w:rPr>
                <w:bCs/>
                <w:color w:val="auto"/>
                <w:szCs w:val="21"/>
              </w:rPr>
            </w:pPr>
            <w:r>
              <w:rPr>
                <w:bCs/>
                <w:color w:val="auto"/>
                <w:szCs w:val="21"/>
              </w:rPr>
              <w:t>4</w:t>
            </w:r>
          </w:p>
        </w:tc>
        <w:tc>
          <w:tcPr>
            <w:tcW w:w="1420" w:type="pct"/>
            <w:vAlign w:val="center"/>
          </w:tcPr>
          <w:p>
            <w:pPr>
              <w:spacing w:line="400" w:lineRule="exact"/>
              <w:jc w:val="center"/>
              <w:rPr>
                <w:rFonts w:hint="eastAsia" w:eastAsia="宋体"/>
                <w:bCs/>
                <w:color w:val="auto"/>
                <w:szCs w:val="21"/>
                <w:lang w:eastAsia="zh-CN"/>
              </w:rPr>
            </w:pPr>
            <w:r>
              <w:rPr>
                <w:rFonts w:hint="eastAsia"/>
                <w:bCs/>
                <w:color w:val="auto"/>
                <w:szCs w:val="21"/>
                <w:lang w:eastAsia="zh-CN"/>
              </w:rPr>
              <w:t>氟橡胶发泡复合板</w:t>
            </w:r>
          </w:p>
        </w:tc>
        <w:tc>
          <w:tcPr>
            <w:tcW w:w="1183" w:type="pct"/>
            <w:vAlign w:val="center"/>
          </w:tcPr>
          <w:p>
            <w:pPr>
              <w:spacing w:line="400" w:lineRule="exact"/>
              <w:jc w:val="center"/>
              <w:rPr>
                <w:bCs/>
                <w:color w:val="auto"/>
                <w:szCs w:val="21"/>
              </w:rPr>
            </w:pPr>
            <w:r>
              <w:rPr>
                <w:snapToGrid w:val="0"/>
                <w:color w:val="auto"/>
                <w:kern w:val="0"/>
                <w:szCs w:val="21"/>
              </w:rPr>
              <w:t>万套</w:t>
            </w:r>
            <w:r>
              <w:rPr>
                <w:bCs/>
                <w:color w:val="auto"/>
                <w:szCs w:val="21"/>
              </w:rPr>
              <w:t>/年</w:t>
            </w:r>
          </w:p>
        </w:tc>
        <w:tc>
          <w:tcPr>
            <w:tcW w:w="956" w:type="pct"/>
            <w:vAlign w:val="center"/>
          </w:tcPr>
          <w:p>
            <w:pPr>
              <w:spacing w:line="400" w:lineRule="exact"/>
              <w:jc w:val="center"/>
              <w:rPr>
                <w:rFonts w:hint="default"/>
                <w:bCs/>
                <w:color w:val="auto"/>
                <w:szCs w:val="21"/>
                <w:lang w:val="en-US" w:eastAsia="zh-CN"/>
              </w:rPr>
            </w:pPr>
            <w:r>
              <w:rPr>
                <w:rFonts w:hint="eastAsia"/>
                <w:bCs/>
                <w:color w:val="auto"/>
                <w:szCs w:val="21"/>
                <w:lang w:val="en-US" w:eastAsia="zh-CN"/>
              </w:rPr>
              <w:t>20</w:t>
            </w:r>
          </w:p>
        </w:tc>
        <w:tc>
          <w:tcPr>
            <w:tcW w:w="956" w:type="pct"/>
            <w:vAlign w:val="center"/>
          </w:tcPr>
          <w:p>
            <w:pPr>
              <w:spacing w:line="400" w:lineRule="exact"/>
              <w:jc w:val="center"/>
              <w:rPr>
                <w:rFonts w:hint="eastAsia"/>
                <w:bCs/>
                <w:color w:val="auto"/>
                <w:szCs w:val="21"/>
                <w:lang w:val="en-US" w:eastAsia="zh-CN"/>
              </w:rPr>
            </w:pPr>
            <w:r>
              <w:rPr>
                <w:rFonts w:hint="eastAsia"/>
                <w:bCs/>
                <w:color w:val="auto"/>
                <w:szCs w:val="21"/>
                <w:lang w:val="en-US" w:eastAsia="zh-CN"/>
              </w:rPr>
              <w:t>420*970*1.2</w:t>
            </w:r>
          </w:p>
          <w:p>
            <w:pPr>
              <w:spacing w:line="400" w:lineRule="exact"/>
              <w:jc w:val="center"/>
              <w:rPr>
                <w:rFonts w:hint="eastAsia"/>
                <w:bCs/>
                <w:color w:val="auto"/>
                <w:szCs w:val="21"/>
                <w:lang w:val="en-US" w:eastAsia="zh-CN"/>
              </w:rPr>
            </w:pPr>
            <w:r>
              <w:rPr>
                <w:rFonts w:hint="eastAsia"/>
                <w:bCs/>
                <w:color w:val="auto"/>
                <w:szCs w:val="21"/>
                <w:lang w:val="en-US" w:eastAsia="zh-CN"/>
              </w:rPr>
              <w:t>500*1000*0.5</w:t>
            </w:r>
          </w:p>
        </w:tc>
      </w:tr>
    </w:tbl>
    <w:p>
      <w:pPr>
        <w:pStyle w:val="5"/>
        <w:spacing w:before="0" w:after="0" w:line="520" w:lineRule="exact"/>
        <w:rPr>
          <w:color w:val="auto"/>
          <w:sz w:val="24"/>
          <w:szCs w:val="24"/>
        </w:rPr>
      </w:pPr>
      <w:r>
        <w:rPr>
          <w:rFonts w:hint="eastAsia"/>
          <w:color w:val="auto"/>
          <w:sz w:val="24"/>
          <w:szCs w:val="24"/>
        </w:rPr>
        <w:t>4</w:t>
      </w:r>
      <w:r>
        <w:rPr>
          <w:color w:val="auto"/>
          <w:sz w:val="24"/>
          <w:szCs w:val="24"/>
        </w:rPr>
        <w:t>.1.5地面运输</w:t>
      </w:r>
    </w:p>
    <w:p>
      <w:pPr>
        <w:spacing w:line="540" w:lineRule="exact"/>
        <w:ind w:firstLine="482"/>
        <w:rPr>
          <w:color w:val="auto"/>
          <w:sz w:val="24"/>
        </w:rPr>
      </w:pPr>
      <w:r>
        <w:rPr>
          <w:color w:val="auto"/>
          <w:sz w:val="24"/>
        </w:rPr>
        <w:t>本项目各原辅料及产品均采用陆运。</w:t>
      </w:r>
    </w:p>
    <w:p>
      <w:pPr>
        <w:pStyle w:val="5"/>
        <w:spacing w:before="0" w:after="0" w:line="520" w:lineRule="exact"/>
        <w:rPr>
          <w:color w:val="auto"/>
          <w:sz w:val="24"/>
          <w:szCs w:val="24"/>
        </w:rPr>
      </w:pPr>
      <w:r>
        <w:rPr>
          <w:rFonts w:hint="eastAsia"/>
          <w:color w:val="auto"/>
          <w:sz w:val="24"/>
          <w:szCs w:val="24"/>
        </w:rPr>
        <w:t>4</w:t>
      </w:r>
      <w:r>
        <w:rPr>
          <w:color w:val="auto"/>
          <w:sz w:val="24"/>
          <w:szCs w:val="24"/>
        </w:rPr>
        <w:t>.1.6劳动定员、年运行时间及工作制度</w:t>
      </w:r>
    </w:p>
    <w:p>
      <w:pPr>
        <w:spacing w:line="520" w:lineRule="exact"/>
        <w:ind w:firstLine="480" w:firstLineChars="200"/>
        <w:rPr>
          <w:color w:val="auto"/>
          <w:sz w:val="24"/>
        </w:rPr>
      </w:pPr>
      <w:r>
        <w:rPr>
          <w:rFonts w:hint="eastAsia"/>
          <w:color w:val="auto"/>
          <w:sz w:val="24"/>
        </w:rPr>
        <w:t>扩建项目</w:t>
      </w:r>
      <w:r>
        <w:rPr>
          <w:color w:val="auto"/>
          <w:sz w:val="24"/>
        </w:rPr>
        <w:t>劳动定员</w:t>
      </w:r>
      <w:r>
        <w:rPr>
          <w:rFonts w:hint="eastAsia"/>
          <w:color w:val="auto"/>
          <w:sz w:val="24"/>
          <w:lang w:val="en-US" w:eastAsia="zh-CN"/>
        </w:rPr>
        <w:t>5</w:t>
      </w:r>
      <w:r>
        <w:rPr>
          <w:color w:val="auto"/>
          <w:sz w:val="24"/>
        </w:rPr>
        <w:t>0人</w:t>
      </w:r>
      <w:r>
        <w:rPr>
          <w:rFonts w:hint="eastAsia"/>
          <w:color w:val="auto"/>
          <w:sz w:val="24"/>
          <w:lang w:eastAsia="zh-CN"/>
        </w:rPr>
        <w:t>，不新增劳动定员</w:t>
      </w:r>
      <w:r>
        <w:rPr>
          <w:color w:val="auto"/>
          <w:sz w:val="24"/>
        </w:rPr>
        <w:t>；年工作日300天，采用</w:t>
      </w:r>
      <w:r>
        <w:rPr>
          <w:rFonts w:hint="eastAsia"/>
          <w:color w:val="auto"/>
          <w:sz w:val="24"/>
          <w:lang w:val="en-US" w:eastAsia="zh-CN"/>
        </w:rPr>
        <w:t>1</w:t>
      </w:r>
      <w:r>
        <w:rPr>
          <w:color w:val="auto"/>
          <w:sz w:val="24"/>
        </w:rPr>
        <w:t>班制，每班工作8小时。</w:t>
      </w:r>
    </w:p>
    <w:p>
      <w:pPr>
        <w:pStyle w:val="5"/>
        <w:spacing w:before="0" w:after="0" w:line="520" w:lineRule="exact"/>
        <w:rPr>
          <w:color w:val="auto"/>
          <w:sz w:val="24"/>
          <w:szCs w:val="24"/>
        </w:rPr>
      </w:pPr>
      <w:r>
        <w:rPr>
          <w:rFonts w:hint="eastAsia"/>
          <w:color w:val="auto"/>
          <w:sz w:val="24"/>
          <w:szCs w:val="24"/>
        </w:rPr>
        <w:t>4</w:t>
      </w:r>
      <w:r>
        <w:rPr>
          <w:color w:val="auto"/>
          <w:sz w:val="24"/>
          <w:szCs w:val="24"/>
        </w:rPr>
        <w:t>.1.7公用工程</w:t>
      </w:r>
    </w:p>
    <w:p>
      <w:pPr>
        <w:spacing w:line="540" w:lineRule="exact"/>
        <w:ind w:firstLine="480" w:firstLineChars="200"/>
        <w:rPr>
          <w:color w:val="auto"/>
          <w:sz w:val="24"/>
        </w:rPr>
      </w:pPr>
      <w:r>
        <w:rPr>
          <w:color w:val="auto"/>
          <w:sz w:val="24"/>
        </w:rPr>
        <w:t>（1）供水</w:t>
      </w:r>
    </w:p>
    <w:p>
      <w:pPr>
        <w:spacing w:line="540" w:lineRule="exact"/>
        <w:ind w:firstLine="480" w:firstLineChars="200"/>
        <w:rPr>
          <w:bCs/>
          <w:color w:val="auto"/>
          <w:sz w:val="24"/>
        </w:rPr>
      </w:pPr>
      <w:r>
        <w:rPr>
          <w:color w:val="auto"/>
          <w:sz w:val="24"/>
        </w:rPr>
        <w:t>本项目用水由园区供水管网供给，新增年用水量</w:t>
      </w:r>
      <w:r>
        <w:rPr>
          <w:rFonts w:hint="eastAsia"/>
          <w:color w:val="auto"/>
          <w:sz w:val="24"/>
          <w:lang w:eastAsia="zh-CN"/>
        </w:rPr>
        <w:t>3001.5</w:t>
      </w:r>
      <w:r>
        <w:rPr>
          <w:color w:val="auto"/>
          <w:sz w:val="24"/>
        </w:rPr>
        <w:t>t。</w:t>
      </w:r>
    </w:p>
    <w:p>
      <w:pPr>
        <w:spacing w:line="540" w:lineRule="exact"/>
        <w:ind w:firstLine="480" w:firstLineChars="200"/>
        <w:rPr>
          <w:color w:val="auto"/>
          <w:sz w:val="24"/>
          <w:szCs w:val="21"/>
        </w:rPr>
      </w:pPr>
      <w:r>
        <w:rPr>
          <w:color w:val="auto"/>
          <w:sz w:val="24"/>
          <w:szCs w:val="21"/>
        </w:rPr>
        <w:t>（2）排水</w:t>
      </w:r>
    </w:p>
    <w:p>
      <w:pPr>
        <w:spacing w:line="520" w:lineRule="exact"/>
        <w:ind w:firstLine="480" w:firstLineChars="200"/>
        <w:rPr>
          <w:color w:val="auto"/>
          <w:sz w:val="24"/>
        </w:rPr>
      </w:pPr>
      <w:r>
        <w:rPr>
          <w:color w:val="auto"/>
          <w:sz w:val="24"/>
          <w:szCs w:val="21"/>
        </w:rPr>
        <w:t>厂区雨、污分流，</w:t>
      </w:r>
      <w:r>
        <w:rPr>
          <w:rFonts w:hint="eastAsia"/>
          <w:color w:val="auto"/>
          <w:sz w:val="24"/>
          <w:szCs w:val="21"/>
          <w:lang w:eastAsia="zh-CN"/>
        </w:rPr>
        <w:t>生活污水经化粪池预处理后排入市政污水管网</w:t>
      </w:r>
      <w:r>
        <w:rPr>
          <w:color w:val="auto"/>
          <w:sz w:val="24"/>
          <w:szCs w:val="21"/>
        </w:rPr>
        <w:t>，</w:t>
      </w:r>
      <w:r>
        <w:rPr>
          <w:rFonts w:hint="eastAsia"/>
          <w:color w:val="auto"/>
          <w:sz w:val="24"/>
          <w:szCs w:val="21"/>
          <w:lang w:eastAsia="zh-CN"/>
        </w:rPr>
        <w:t>进入宁国市污水处理厂</w:t>
      </w:r>
      <w:r>
        <w:rPr>
          <w:color w:val="auto"/>
          <w:sz w:val="24"/>
          <w:szCs w:val="21"/>
        </w:rPr>
        <w:t>。</w:t>
      </w:r>
    </w:p>
    <w:p>
      <w:pPr>
        <w:spacing w:line="540" w:lineRule="exact"/>
        <w:ind w:firstLine="480" w:firstLineChars="200"/>
        <w:rPr>
          <w:color w:val="auto"/>
          <w:sz w:val="24"/>
          <w:szCs w:val="24"/>
        </w:rPr>
      </w:pPr>
      <w:r>
        <w:rPr>
          <w:color w:val="auto"/>
          <w:sz w:val="24"/>
        </w:rPr>
        <w:t>（3）供电</w:t>
      </w:r>
    </w:p>
    <w:p>
      <w:pPr>
        <w:pStyle w:val="15"/>
        <w:adjustRightInd w:val="0"/>
        <w:snapToGrid w:val="0"/>
        <w:spacing w:line="540" w:lineRule="exact"/>
        <w:ind w:firstLine="480"/>
        <w:rPr>
          <w:color w:val="auto"/>
          <w:sz w:val="24"/>
          <w:szCs w:val="24"/>
        </w:rPr>
      </w:pPr>
      <w:r>
        <w:rPr>
          <w:bCs/>
          <w:color w:val="auto"/>
          <w:sz w:val="24"/>
          <w:szCs w:val="24"/>
        </w:rPr>
        <w:t>项目用电由</w:t>
      </w:r>
      <w:r>
        <w:rPr>
          <w:rFonts w:hint="eastAsia"/>
          <w:bCs/>
          <w:color w:val="auto"/>
          <w:sz w:val="24"/>
          <w:szCs w:val="24"/>
          <w:lang w:eastAsia="zh-CN"/>
        </w:rPr>
        <w:t>市政</w:t>
      </w:r>
      <w:r>
        <w:rPr>
          <w:bCs/>
          <w:color w:val="auto"/>
          <w:sz w:val="24"/>
          <w:szCs w:val="24"/>
        </w:rPr>
        <w:t>供电</w:t>
      </w:r>
      <w:r>
        <w:rPr>
          <w:rFonts w:hint="eastAsia"/>
          <w:bCs/>
          <w:color w:val="auto"/>
          <w:sz w:val="24"/>
          <w:szCs w:val="24"/>
          <w:lang w:eastAsia="zh-CN"/>
        </w:rPr>
        <w:t>电</w:t>
      </w:r>
      <w:r>
        <w:rPr>
          <w:bCs/>
          <w:color w:val="auto"/>
          <w:sz w:val="24"/>
          <w:szCs w:val="24"/>
        </w:rPr>
        <w:t>网供给</w:t>
      </w:r>
      <w:r>
        <w:rPr>
          <w:rFonts w:hint="eastAsia"/>
          <w:bCs/>
          <w:color w:val="auto"/>
          <w:sz w:val="24"/>
          <w:szCs w:val="24"/>
          <w:lang w:eastAsia="zh-CN"/>
        </w:rPr>
        <w:t>，年用电量为</w:t>
      </w:r>
      <w:r>
        <w:rPr>
          <w:rFonts w:hint="eastAsia"/>
          <w:bCs/>
          <w:color w:val="auto"/>
          <w:sz w:val="24"/>
          <w:szCs w:val="24"/>
          <w:lang w:val="en-US" w:eastAsia="zh-CN"/>
        </w:rPr>
        <w:t>40万</w:t>
      </w:r>
      <w:r>
        <w:rPr>
          <w:color w:val="auto"/>
          <w:sz w:val="24"/>
          <w:szCs w:val="24"/>
        </w:rPr>
        <w:t>kwh/a。</w:t>
      </w:r>
    </w:p>
    <w:p>
      <w:pPr>
        <w:pStyle w:val="4"/>
        <w:spacing w:line="520" w:lineRule="exact"/>
        <w:rPr>
          <w:rFonts w:ascii="Times New Roman" w:hAnsi="Times New Roman"/>
          <w:b/>
          <w:color w:val="auto"/>
          <w:szCs w:val="28"/>
        </w:rPr>
      </w:pPr>
      <w:bookmarkStart w:id="175" w:name="_Toc10669"/>
      <w:r>
        <w:rPr>
          <w:rFonts w:hint="eastAsia" w:ascii="Times New Roman" w:hAnsi="Times New Roman"/>
          <w:b/>
          <w:color w:val="auto"/>
          <w:szCs w:val="28"/>
        </w:rPr>
        <w:t>4</w:t>
      </w:r>
      <w:r>
        <w:rPr>
          <w:rFonts w:ascii="Times New Roman" w:hAnsi="Times New Roman"/>
          <w:b/>
          <w:color w:val="auto"/>
          <w:szCs w:val="28"/>
        </w:rPr>
        <w:t>.2工程分析</w:t>
      </w:r>
      <w:bookmarkEnd w:id="175"/>
    </w:p>
    <w:p>
      <w:pPr>
        <w:pStyle w:val="5"/>
        <w:spacing w:before="0" w:after="0" w:line="520" w:lineRule="exact"/>
        <w:rPr>
          <w:color w:val="auto"/>
          <w:sz w:val="24"/>
          <w:szCs w:val="24"/>
        </w:rPr>
      </w:pPr>
      <w:bookmarkStart w:id="176" w:name="_Toc333177951"/>
      <w:r>
        <w:rPr>
          <w:rFonts w:hint="eastAsia"/>
          <w:color w:val="auto"/>
          <w:sz w:val="24"/>
          <w:szCs w:val="24"/>
        </w:rPr>
        <w:t>4</w:t>
      </w:r>
      <w:r>
        <w:rPr>
          <w:color w:val="auto"/>
          <w:sz w:val="24"/>
          <w:szCs w:val="24"/>
        </w:rPr>
        <w:t>.2.1</w:t>
      </w:r>
      <w:bookmarkEnd w:id="176"/>
      <w:r>
        <w:rPr>
          <w:color w:val="auto"/>
          <w:sz w:val="24"/>
          <w:szCs w:val="24"/>
        </w:rPr>
        <w:t>生产工艺流程</w:t>
      </w:r>
    </w:p>
    <w:p>
      <w:pPr>
        <w:rPr>
          <w:color w:val="auto"/>
        </w:rPr>
      </w:pPr>
    </w:p>
    <w:p>
      <w:pPr>
        <w:spacing w:line="500" w:lineRule="exact"/>
        <w:ind w:firstLine="480" w:firstLineChars="200"/>
        <w:rPr>
          <w:rFonts w:hint="eastAsia"/>
          <w:color w:val="auto"/>
          <w:sz w:val="24"/>
          <w:lang w:eastAsia="zh-CN"/>
        </w:rPr>
      </w:pPr>
      <w:r>
        <w:rPr>
          <w:rFonts w:hint="eastAsia"/>
          <w:color w:val="auto"/>
          <w:sz w:val="24"/>
        </w:rPr>
        <w:t>项目产品分为</w:t>
      </w:r>
      <w:r>
        <w:rPr>
          <w:rFonts w:hint="eastAsia"/>
          <w:color w:val="auto"/>
          <w:sz w:val="24"/>
          <w:lang w:val="en-US" w:eastAsia="zh-CN"/>
        </w:rPr>
        <w:t>NBR涂层复合板，NBR发泡复合板，</w:t>
      </w:r>
      <w:r>
        <w:rPr>
          <w:rFonts w:hint="eastAsia"/>
          <w:color w:val="auto"/>
          <w:sz w:val="24"/>
          <w:lang w:eastAsia="zh-CN"/>
        </w:rPr>
        <w:t>氟橡胶涂层复合板，氟橡胶发泡复合板，硅胶涂层复合板。</w:t>
      </w:r>
      <w:r>
        <w:rPr>
          <w:rFonts w:hint="eastAsia"/>
          <w:color w:val="auto"/>
          <w:sz w:val="24"/>
        </w:rPr>
        <w:t>项目产品的生产工序基本相同，</w:t>
      </w:r>
      <w:r>
        <w:rPr>
          <w:color w:val="auto"/>
          <w:sz w:val="24"/>
        </w:rPr>
        <w:t>具体如下：</w:t>
      </w:r>
    </w:p>
    <w:p>
      <w:pPr>
        <w:spacing w:line="500" w:lineRule="exact"/>
        <w:ind w:firstLine="482" w:firstLineChars="200"/>
        <w:rPr>
          <w:rFonts w:hint="default"/>
          <w:b/>
          <w:bCs/>
          <w:color w:val="auto"/>
          <w:sz w:val="24"/>
          <w:lang w:val="en-US" w:eastAsia="zh-CN"/>
        </w:rPr>
      </w:pPr>
      <w:r>
        <w:rPr>
          <w:rFonts w:hint="eastAsia"/>
          <w:b/>
          <w:bCs/>
          <w:color w:val="auto"/>
          <w:sz w:val="24"/>
          <w:lang w:val="en-US" w:eastAsia="zh-CN"/>
        </w:rPr>
        <w:t>本项目所使用的复合板胶料中含有混炼胶，原有项目混炼胶为外购，改扩建项目混炼胶为自行生产，不外购。</w:t>
      </w:r>
    </w:p>
    <w:p>
      <w:pPr>
        <w:ind w:firstLine="482" w:firstLineChars="200"/>
        <w:rPr>
          <w:rFonts w:hint="default" w:ascii="Times New Roman" w:hAnsi="Times New Roman" w:cs="Times New Roman"/>
          <w:b/>
          <w:bCs w:val="0"/>
          <w:color w:val="auto"/>
          <w:sz w:val="24"/>
          <w:lang w:val="en-US" w:eastAsia="zh-CN"/>
        </w:rPr>
      </w:pPr>
      <w:r>
        <w:rPr>
          <w:rFonts w:hint="eastAsia" w:ascii="Times New Roman" w:hAnsi="Times New Roman" w:cs="Times New Roman"/>
          <w:b/>
          <w:bCs w:val="0"/>
          <w:color w:val="auto"/>
          <w:sz w:val="24"/>
          <w:lang w:val="en-US" w:eastAsia="zh-CN"/>
        </w:rPr>
        <w:t>1、</w:t>
      </w:r>
      <w:r>
        <w:rPr>
          <w:rFonts w:hint="default" w:ascii="Times New Roman" w:hAnsi="Times New Roman" w:cs="Times New Roman"/>
          <w:b/>
          <w:bCs w:val="0"/>
          <w:color w:val="auto"/>
          <w:sz w:val="24"/>
          <w:lang w:val="en-US" w:eastAsia="zh-CN"/>
        </w:rPr>
        <w:t>混炼胶生产工艺流程：</w:t>
      </w:r>
    </w:p>
    <w:p>
      <w:pPr>
        <w:rPr>
          <w:rFonts w:hint="default" w:ascii="Times New Roman" w:hAnsi="Times New Roman" w:cs="Times New Roman"/>
          <w:b/>
          <w:color w:val="auto"/>
          <w:sz w:val="24"/>
        </w:rPr>
      </w:pPr>
    </w:p>
    <w:p>
      <w:pPr>
        <w:pStyle w:val="2"/>
        <w:rPr>
          <w:rFonts w:hint="default" w:ascii="Times New Roman" w:hAnsi="Times New Roman" w:cs="Times New Roman"/>
          <w:b/>
          <w:color w:val="auto"/>
          <w:sz w:val="24"/>
        </w:rPr>
      </w:pPr>
      <w:r>
        <w:rPr>
          <w:rFonts w:hint="default" w:ascii="Times New Roman" w:hAnsi="Times New Roman" w:cs="Times New Roman"/>
          <w:b/>
          <w:color w:val="auto"/>
          <w:sz w:val="24"/>
        </w:rPr>
        <w:pict>
          <v:shape id="_x0000_s1030" o:spid="_x0000_s1030" o:spt="75" type="#_x0000_t75" style="position:absolute;left:0pt;margin-left:58.5pt;margin-top:2.55pt;height:395.25pt;width:314.25pt;z-index:-251634688;mso-width-relative:page;mso-height-relative:page;" o:ole="t" filled="f" o:preferrelative="t" stroked="f" coordsize="21600,21600">
            <v:path/>
            <v:fill on="f" focussize="0,0"/>
            <v:stroke on="f"/>
            <v:imagedata r:id="rId21" o:title=""/>
            <o:lock v:ext="edit" aspectratio="f"/>
          </v:shape>
          <o:OLEObject Type="Embed" ProgID="Visio.Drawing.11" ShapeID="_x0000_s1030" DrawAspect="Content" ObjectID="_1468075730" r:id="rId20">
            <o:LockedField>false</o:LockedField>
          </o:OLEObject>
        </w:pict>
      </w:r>
    </w:p>
    <w:p>
      <w:pPr>
        <w:rPr>
          <w:rFonts w:hint="default" w:ascii="Times New Roman" w:hAnsi="Times New Roman" w:cs="Times New Roman"/>
          <w:b/>
          <w:color w:val="auto"/>
          <w:sz w:val="24"/>
        </w:rPr>
      </w:pPr>
    </w:p>
    <w:p>
      <w:pPr>
        <w:pStyle w:val="2"/>
        <w:rPr>
          <w:rFonts w:hint="default" w:ascii="Times New Roman" w:hAnsi="Times New Roman" w:cs="Times New Roman"/>
          <w:b/>
          <w:color w:val="auto"/>
          <w:sz w:val="24"/>
        </w:rPr>
      </w:pPr>
    </w:p>
    <w:p>
      <w:pPr>
        <w:rPr>
          <w:rFonts w:hint="default"/>
        </w:rPr>
      </w:pPr>
    </w:p>
    <w:p>
      <w:pPr>
        <w:pStyle w:val="2"/>
        <w:rPr>
          <w:rFonts w:hint="default"/>
        </w:rPr>
      </w:pPr>
    </w:p>
    <w:p>
      <w:pPr>
        <w:rPr>
          <w:rFonts w:hint="default"/>
        </w:rPr>
      </w:pPr>
    </w:p>
    <w:p>
      <w:pPr>
        <w:pStyle w:val="2"/>
        <w:rPr>
          <w:rFonts w:hint="default"/>
        </w:rPr>
      </w:pPr>
    </w:p>
    <w:p>
      <w:pPr>
        <w:rPr>
          <w:rFonts w:hint="default"/>
        </w:rPr>
      </w:pPr>
    </w:p>
    <w:p>
      <w:pPr>
        <w:pStyle w:val="2"/>
        <w:rPr>
          <w:rFonts w:hint="default"/>
        </w:rPr>
      </w:pPr>
    </w:p>
    <w:p>
      <w:pPr>
        <w:rPr>
          <w:rFonts w:hint="default"/>
        </w:rPr>
      </w:pPr>
    </w:p>
    <w:p>
      <w:pPr>
        <w:pStyle w:val="2"/>
        <w:rPr>
          <w:rFonts w:hint="default"/>
        </w:rPr>
      </w:pPr>
    </w:p>
    <w:p>
      <w:pPr>
        <w:rPr>
          <w:rFonts w:hint="default"/>
        </w:rPr>
      </w:pPr>
    </w:p>
    <w:p>
      <w:pPr>
        <w:pStyle w:val="2"/>
        <w:rPr>
          <w:rFonts w:hint="default"/>
        </w:rPr>
      </w:pPr>
    </w:p>
    <w:p>
      <w:pPr>
        <w:rPr>
          <w:rFonts w:hint="default"/>
        </w:rPr>
      </w:pPr>
    </w:p>
    <w:p>
      <w:pPr>
        <w:pStyle w:val="2"/>
        <w:rPr>
          <w:rFonts w:hint="default"/>
        </w:rPr>
      </w:pPr>
    </w:p>
    <w:p>
      <w:pPr>
        <w:rPr>
          <w:rFonts w:hint="default"/>
        </w:rPr>
      </w:pPr>
    </w:p>
    <w:p>
      <w:pPr>
        <w:pStyle w:val="2"/>
        <w:rPr>
          <w:rFonts w:hint="default"/>
        </w:rPr>
      </w:pPr>
    </w:p>
    <w:p>
      <w:pPr>
        <w:rPr>
          <w:rFonts w:hint="default"/>
        </w:rPr>
      </w:pPr>
    </w:p>
    <w:p>
      <w:pPr>
        <w:pStyle w:val="2"/>
        <w:rPr>
          <w:rFonts w:hint="default"/>
        </w:rPr>
      </w:pPr>
    </w:p>
    <w:p>
      <w:pPr>
        <w:rPr>
          <w:rFonts w:hint="default"/>
        </w:rPr>
      </w:pPr>
    </w:p>
    <w:p>
      <w:pPr>
        <w:pStyle w:val="2"/>
        <w:rPr>
          <w:rFonts w:hint="default"/>
        </w:rPr>
      </w:pPr>
    </w:p>
    <w:p>
      <w:pPr>
        <w:rPr>
          <w:rFonts w:hint="default"/>
        </w:rPr>
      </w:pPr>
    </w:p>
    <w:p>
      <w:pPr>
        <w:pStyle w:val="2"/>
        <w:rPr>
          <w:rFonts w:hint="default"/>
        </w:rPr>
      </w:pPr>
    </w:p>
    <w:p>
      <w:pPr>
        <w:rPr>
          <w:rFonts w:hint="default"/>
        </w:rPr>
      </w:pPr>
    </w:p>
    <w:p>
      <w:pPr>
        <w:pStyle w:val="2"/>
        <w:rPr>
          <w:rFonts w:hint="default"/>
        </w:rPr>
      </w:pPr>
    </w:p>
    <w:p>
      <w:pPr>
        <w:spacing w:line="480" w:lineRule="exact"/>
        <w:ind w:firstLine="482" w:firstLineChars="200"/>
        <w:jc w:val="right"/>
        <w:rPr>
          <w:rFonts w:hint="default" w:ascii="Times New Roman" w:hAnsi="Times New Roman" w:cs="Times New Roman"/>
          <w:color w:val="auto"/>
        </w:rPr>
      </w:pPr>
      <w:r>
        <w:rPr>
          <w:b/>
          <w:color w:val="auto"/>
          <w:sz w:val="24"/>
        </w:rPr>
        <w:t>注：N：噪声</w:t>
      </w:r>
      <w:r>
        <w:rPr>
          <w:rFonts w:hint="eastAsia"/>
          <w:b/>
          <w:color w:val="auto"/>
          <w:sz w:val="24"/>
          <w:lang w:val="en-US" w:eastAsia="zh-CN"/>
        </w:rPr>
        <w:t>，G3：炼胶废气</w:t>
      </w:r>
    </w:p>
    <w:p>
      <w:pPr>
        <w:spacing w:line="520" w:lineRule="exact"/>
        <w:ind w:firstLine="482" w:firstLineChars="200"/>
        <w:jc w:val="center"/>
        <w:rPr>
          <w:rFonts w:hint="default" w:ascii="Times New Roman" w:hAnsi="Times New Roman" w:cs="Times New Roman"/>
          <w:color w:val="auto"/>
        </w:rPr>
      </w:pPr>
      <w:r>
        <w:rPr>
          <w:rFonts w:hint="default" w:ascii="Times New Roman" w:hAnsi="Times New Roman" w:cs="Times New Roman"/>
          <w:b/>
          <w:bCs w:val="0"/>
          <w:color w:val="auto"/>
          <w:sz w:val="24"/>
          <w:lang w:eastAsia="zh-CN"/>
        </w:rPr>
        <w:t>图</w:t>
      </w:r>
      <w:r>
        <w:rPr>
          <w:rFonts w:hint="eastAsia" w:cs="Times New Roman"/>
          <w:b/>
          <w:bCs w:val="0"/>
          <w:color w:val="auto"/>
          <w:sz w:val="24"/>
          <w:lang w:val="en-US" w:eastAsia="zh-CN"/>
        </w:rPr>
        <w:t>4-4</w:t>
      </w:r>
      <w:r>
        <w:rPr>
          <w:rFonts w:hint="default" w:ascii="Times New Roman" w:hAnsi="Times New Roman" w:cs="Times New Roman"/>
          <w:b/>
          <w:bCs w:val="0"/>
          <w:color w:val="auto"/>
          <w:sz w:val="24"/>
          <w:lang w:val="en-US" w:eastAsia="zh-CN"/>
        </w:rPr>
        <w:t xml:space="preserve">  混炼胶生产工艺流程图</w:t>
      </w:r>
    </w:p>
    <w:p>
      <w:pPr>
        <w:spacing w:line="480" w:lineRule="exact"/>
        <w:ind w:firstLine="482" w:firstLineChars="200"/>
        <w:rPr>
          <w:rFonts w:hint="default" w:ascii="Times New Roman" w:hAnsi="Times New Roman" w:cs="Times New Roman"/>
          <w:b/>
          <w:color w:val="auto"/>
          <w:sz w:val="24"/>
        </w:rPr>
      </w:pPr>
      <w:r>
        <w:rPr>
          <w:rFonts w:hint="default" w:ascii="Times New Roman" w:hAnsi="Times New Roman" w:cs="Times New Roman"/>
          <w:b/>
          <w:color w:val="auto"/>
          <w:sz w:val="24"/>
        </w:rPr>
        <w:t>工艺流程简要说明：</w:t>
      </w:r>
    </w:p>
    <w:p>
      <w:pPr>
        <w:spacing w:line="480" w:lineRule="exact"/>
        <w:ind w:firstLine="482" w:firstLineChars="200"/>
        <w:rPr>
          <w:rFonts w:hint="default" w:ascii="Times New Roman" w:hAnsi="Times New Roman" w:cs="Times New Roman"/>
          <w:color w:val="auto"/>
          <w:sz w:val="24"/>
        </w:rPr>
      </w:pPr>
      <w:r>
        <w:rPr>
          <w:rFonts w:hint="default" w:ascii="Times New Roman" w:hAnsi="Times New Roman" w:cs="Times New Roman"/>
          <w:b/>
          <w:color w:val="auto"/>
          <w:sz w:val="24"/>
        </w:rPr>
        <w:t>开包、</w:t>
      </w:r>
      <w:r>
        <w:rPr>
          <w:rFonts w:hint="eastAsia" w:ascii="Times New Roman" w:hAnsi="Times New Roman" w:cs="Times New Roman"/>
          <w:b/>
          <w:color w:val="auto"/>
          <w:sz w:val="24"/>
          <w:lang w:eastAsia="zh-CN"/>
        </w:rPr>
        <w:t>分切</w:t>
      </w:r>
      <w:r>
        <w:rPr>
          <w:rFonts w:hint="eastAsia" w:cs="Times New Roman"/>
          <w:b/>
          <w:color w:val="auto"/>
          <w:sz w:val="24"/>
          <w:lang w:eastAsia="zh-CN"/>
        </w:rPr>
        <w:t>、</w:t>
      </w:r>
      <w:r>
        <w:rPr>
          <w:rFonts w:hint="default" w:ascii="Times New Roman" w:hAnsi="Times New Roman" w:cs="Times New Roman"/>
          <w:b/>
          <w:color w:val="auto"/>
          <w:sz w:val="24"/>
        </w:rPr>
        <w:t>计量</w:t>
      </w:r>
      <w:r>
        <w:rPr>
          <w:rFonts w:hint="eastAsia" w:ascii="Times New Roman" w:hAnsi="Times New Roman" w:cs="Times New Roman"/>
          <w:b/>
          <w:color w:val="auto"/>
          <w:sz w:val="24"/>
          <w:lang w:eastAsia="zh-CN"/>
        </w:rPr>
        <w:t>：</w:t>
      </w:r>
      <w:r>
        <w:rPr>
          <w:rFonts w:hint="default" w:ascii="Times New Roman" w:hAnsi="Times New Roman" w:cs="Times New Roman"/>
          <w:color w:val="auto"/>
          <w:sz w:val="24"/>
        </w:rPr>
        <w:t>首先，对各种原辅材料进行开包，开包采用</w:t>
      </w:r>
      <w:r>
        <w:rPr>
          <w:rFonts w:hint="eastAsia" w:ascii="Times New Roman" w:hAnsi="Times New Roman" w:cs="Times New Roman"/>
          <w:color w:val="auto"/>
          <w:sz w:val="24"/>
          <w:lang w:eastAsia="zh-CN"/>
        </w:rPr>
        <w:t>人工开包，人工计量</w:t>
      </w:r>
      <w:r>
        <w:rPr>
          <w:rFonts w:hint="default" w:ascii="Times New Roman" w:hAnsi="Times New Roman" w:cs="Times New Roman"/>
          <w:color w:val="auto"/>
          <w:sz w:val="24"/>
        </w:rPr>
        <w:t>。开包后对各类橡胶、炭黑和辅料等按照比例称重，橡胶在计量前在厂内切成10~20kg 的小胶块，据配方要求进行准确计量。开包、计量过程中有一定量的粉尘产生。</w:t>
      </w:r>
      <w:r>
        <w:rPr>
          <w:rFonts w:hint="eastAsia" w:ascii="Times New Roman" w:hAnsi="Times New Roman" w:cs="Times New Roman"/>
          <w:color w:val="auto"/>
          <w:sz w:val="24"/>
          <w:lang w:eastAsia="zh-CN"/>
        </w:rPr>
        <w:t>粉料在配料间内进行配置，配料间为封闭的房间，内设置集气装置，产生的配料粉尘通过布袋除尘器进行除尘，经</w:t>
      </w:r>
      <w:r>
        <w:rPr>
          <w:rFonts w:hint="eastAsia" w:ascii="Times New Roman" w:hAnsi="Times New Roman" w:cs="Times New Roman"/>
          <w:color w:val="auto"/>
          <w:sz w:val="24"/>
          <w:lang w:val="en-US" w:eastAsia="zh-CN"/>
        </w:rPr>
        <w:t>15m高排气筒排放（1#排气筒）。</w:t>
      </w:r>
    </w:p>
    <w:p>
      <w:pPr>
        <w:pStyle w:val="22"/>
        <w:spacing w:after="0" w:line="500" w:lineRule="exact"/>
        <w:ind w:left="0" w:leftChars="0" w:firstLine="482" w:firstLineChars="200"/>
        <w:rPr>
          <w:rFonts w:hint="default" w:ascii="Times New Roman" w:hAnsi="Times New Roman" w:cs="Times New Roman"/>
          <w:b w:val="0"/>
          <w:bCs w:val="0"/>
          <w:color w:val="auto"/>
          <w:kern w:val="0"/>
          <w:sz w:val="24"/>
        </w:rPr>
      </w:pPr>
      <w:r>
        <w:rPr>
          <w:rFonts w:hint="default" w:ascii="Times New Roman" w:hAnsi="Times New Roman" w:cs="Times New Roman"/>
          <w:b/>
          <w:bCs/>
          <w:color w:val="auto"/>
          <w:sz w:val="24"/>
        </w:rPr>
        <w:t>密炼</w:t>
      </w:r>
      <w:r>
        <w:rPr>
          <w:rFonts w:hint="eastAsia" w:ascii="Times New Roman" w:hAnsi="Times New Roman" w:cs="Times New Roman"/>
          <w:b/>
          <w:bCs/>
          <w:color w:val="auto"/>
          <w:sz w:val="24"/>
          <w:lang w:eastAsia="zh-CN"/>
        </w:rPr>
        <w:t>：</w:t>
      </w:r>
      <w:r>
        <w:rPr>
          <w:rFonts w:hint="default" w:ascii="Times New Roman" w:hAnsi="Times New Roman" w:cs="Times New Roman"/>
          <w:b w:val="0"/>
          <w:bCs w:val="0"/>
          <w:color w:val="auto"/>
          <w:kern w:val="0"/>
          <w:sz w:val="24"/>
        </w:rPr>
        <w:t>计量后的各种原辅材料放在密炼机输送平台，采用机械提升的方式，在密炼机开口的瞬间投入到密炼机中，然后关闭密炼机。</w:t>
      </w:r>
    </w:p>
    <w:p>
      <w:pPr>
        <w:pStyle w:val="22"/>
        <w:spacing w:after="0" w:line="500" w:lineRule="exact"/>
        <w:ind w:left="0" w:leftChars="0" w:firstLine="480" w:firstLineChars="200"/>
        <w:rPr>
          <w:rFonts w:hint="default" w:ascii="Times New Roman" w:hAnsi="Times New Roman" w:cs="Times New Roman"/>
          <w:b w:val="0"/>
          <w:bCs w:val="0"/>
          <w:color w:val="auto"/>
          <w:kern w:val="0"/>
          <w:sz w:val="24"/>
        </w:rPr>
      </w:pPr>
      <w:r>
        <w:rPr>
          <w:rFonts w:hint="default" w:ascii="Times New Roman" w:hAnsi="Times New Roman" w:cs="Times New Roman"/>
          <w:b w:val="0"/>
          <w:bCs w:val="0"/>
          <w:color w:val="auto"/>
          <w:kern w:val="0"/>
          <w:sz w:val="24"/>
        </w:rPr>
        <w:t>混炼是指在炼胶机上将各种辅料均匀的混到生胶中的过程。</w:t>
      </w:r>
    </w:p>
    <w:p>
      <w:pPr>
        <w:pStyle w:val="22"/>
        <w:spacing w:after="0" w:line="500" w:lineRule="exact"/>
        <w:ind w:left="0" w:leftChars="0" w:firstLine="480" w:firstLineChars="200"/>
        <w:rPr>
          <w:rFonts w:hint="default" w:ascii="Times New Roman" w:hAnsi="Times New Roman" w:cs="Times New Roman"/>
          <w:b w:val="0"/>
          <w:bCs w:val="0"/>
          <w:color w:val="auto"/>
          <w:kern w:val="0"/>
          <w:sz w:val="24"/>
        </w:rPr>
      </w:pPr>
      <w:r>
        <w:rPr>
          <w:rFonts w:hint="default" w:ascii="Times New Roman" w:hAnsi="Times New Roman" w:cs="Times New Roman"/>
          <w:b w:val="0"/>
          <w:bCs w:val="0"/>
          <w:color w:val="auto"/>
          <w:kern w:val="0"/>
          <w:sz w:val="24"/>
        </w:rPr>
        <w:t>密炼机混炼分为三个阶段，即湿润、分散和捏炼，密炼机混炼在高温加压下一般采用慢速密炼机，也可以采用双速密炼机，加入硫磺时的温度必须低于100℃。其加料顺序为生胶—小料—补强剂—填充剂—油类软化剂—排料—冷却—加硫磺及促进剂等。</w:t>
      </w:r>
      <w:r>
        <w:rPr>
          <w:rFonts w:hint="default" w:ascii="Times New Roman" w:hAnsi="Times New Roman" w:cs="Times New Roman"/>
          <w:b w:val="0"/>
          <w:bCs w:val="0"/>
          <w:color w:val="auto"/>
          <w:sz w:val="24"/>
        </w:rPr>
        <w:t>投料结束关闭投料门，密闭混炼，密炼机两个滚筒设有相反的螺纹，同时上方设有压坨，加强胶料、小料相互剪切混合，混合时间约为4~6min；</w:t>
      </w:r>
    </w:p>
    <w:p>
      <w:pPr>
        <w:pStyle w:val="22"/>
        <w:spacing w:after="0" w:line="500" w:lineRule="exact"/>
        <w:ind w:left="0" w:leftChars="0" w:firstLine="480" w:firstLineChars="200"/>
        <w:rPr>
          <w:rFonts w:hint="default" w:ascii="Times New Roman" w:hAnsi="Times New Roman" w:cs="Times New Roman"/>
          <w:b w:val="0"/>
          <w:bCs w:val="0"/>
          <w:color w:val="auto"/>
          <w:kern w:val="0"/>
          <w:sz w:val="24"/>
        </w:rPr>
      </w:pPr>
      <w:r>
        <w:rPr>
          <w:rFonts w:hint="default" w:ascii="Times New Roman" w:hAnsi="Times New Roman" w:cs="Times New Roman"/>
          <w:b w:val="0"/>
          <w:bCs w:val="0"/>
          <w:color w:val="auto"/>
          <w:kern w:val="0"/>
          <w:sz w:val="24"/>
        </w:rPr>
        <w:t>一段混炼完后下片冷却，停放一定的时间，然后再进行第二段混炼。分段混炼法每次炼胶时间较短，混炼温度较低，配合剂分散更均匀，胶料质量高。混炼温度为100～160℃，密炼机需要经过循环水进行间接冷却。</w:t>
      </w:r>
    </w:p>
    <w:p>
      <w:pPr>
        <w:pStyle w:val="22"/>
        <w:spacing w:after="0" w:line="500" w:lineRule="exact"/>
        <w:ind w:left="0" w:leftChars="0" w:firstLine="480" w:firstLineChars="200"/>
        <w:rPr>
          <w:rFonts w:hint="default" w:ascii="Times New Roman" w:hAnsi="Times New Roman" w:cs="Times New Roman"/>
          <w:b w:val="0"/>
          <w:bCs w:val="0"/>
          <w:color w:val="auto"/>
          <w:sz w:val="24"/>
        </w:rPr>
      </w:pPr>
      <w:r>
        <w:rPr>
          <w:rFonts w:hint="default" w:ascii="Times New Roman" w:hAnsi="Times New Roman" w:cs="Times New Roman"/>
          <w:b w:val="0"/>
          <w:bCs w:val="0"/>
          <w:color w:val="auto"/>
          <w:sz w:val="24"/>
        </w:rPr>
        <w:t>胶料在混炼的过程中会产生一定的烟气，其中含有一定的粉尘、非甲烷总烃等。该工序通过循环冷却水进行冷却。</w:t>
      </w:r>
    </w:p>
    <w:p>
      <w:pPr>
        <w:pStyle w:val="22"/>
        <w:spacing w:after="0" w:line="500" w:lineRule="exact"/>
        <w:ind w:left="0" w:leftChars="0" w:firstLine="480" w:firstLineChars="200"/>
        <w:rPr>
          <w:rFonts w:hint="default" w:ascii="Times New Roman" w:hAnsi="Times New Roman" w:cs="Times New Roman"/>
          <w:b w:val="0"/>
          <w:bCs w:val="0"/>
          <w:color w:val="auto"/>
          <w:sz w:val="24"/>
        </w:rPr>
      </w:pPr>
      <w:r>
        <w:rPr>
          <w:rFonts w:hint="default" w:ascii="Times New Roman" w:hAnsi="Times New Roman" w:cs="Times New Roman"/>
          <w:b w:val="0"/>
          <w:bCs w:val="0"/>
          <w:color w:val="auto"/>
          <w:sz w:val="24"/>
        </w:rPr>
        <w:t>由于密炼时硫磺就已加进密炼机内，因此在出料时，会产生硫化氢和非甲烷总烃，并伴有恶臭产生。</w:t>
      </w:r>
    </w:p>
    <w:p>
      <w:pPr>
        <w:pStyle w:val="22"/>
        <w:spacing w:after="0" w:line="500" w:lineRule="exact"/>
        <w:ind w:left="0" w:leftChars="0" w:firstLine="482" w:firstLineChars="200"/>
        <w:rPr>
          <w:rFonts w:hint="default" w:ascii="Times New Roman" w:hAnsi="Times New Roman" w:cs="Times New Roman"/>
          <w:b w:val="0"/>
          <w:bCs w:val="0"/>
          <w:color w:val="auto"/>
          <w:sz w:val="24"/>
        </w:rPr>
      </w:pPr>
      <w:r>
        <w:rPr>
          <w:rFonts w:hint="default" w:ascii="Times New Roman" w:hAnsi="Times New Roman" w:cs="Times New Roman"/>
          <w:b/>
          <w:bCs/>
          <w:color w:val="auto"/>
          <w:sz w:val="24"/>
        </w:rPr>
        <w:t>开炼</w:t>
      </w:r>
      <w:r>
        <w:rPr>
          <w:rFonts w:hint="eastAsia" w:ascii="Times New Roman" w:hAnsi="Times New Roman" w:cs="Times New Roman"/>
          <w:b/>
          <w:bCs/>
          <w:color w:val="auto"/>
          <w:sz w:val="24"/>
          <w:lang w:val="en-US" w:eastAsia="zh-CN"/>
        </w:rPr>
        <w:t>：</w:t>
      </w:r>
      <w:r>
        <w:rPr>
          <w:rFonts w:hint="default" w:ascii="Times New Roman" w:hAnsi="Times New Roman" w:cs="Times New Roman"/>
          <w:b w:val="0"/>
          <w:bCs w:val="0"/>
          <w:color w:val="auto"/>
          <w:sz w:val="24"/>
        </w:rPr>
        <w:t>开炼即为热炼，通过开炼机对橡胶进行加工，橡胶经开炼机开炼成片状半成品；开炼时间大约</w:t>
      </w:r>
      <w:r>
        <w:rPr>
          <w:rFonts w:hint="default" w:ascii="Times New Roman" w:hAnsi="Times New Roman" w:cs="Times New Roman"/>
          <w:b w:val="0"/>
          <w:bCs w:val="0"/>
          <w:color w:val="auto"/>
          <w:sz w:val="24"/>
          <w:lang w:val="en-US" w:eastAsia="zh-CN"/>
        </w:rPr>
        <w:t>10</w:t>
      </w:r>
      <w:r>
        <w:rPr>
          <w:rFonts w:hint="default" w:ascii="Times New Roman" w:hAnsi="Times New Roman" w:cs="Times New Roman"/>
          <w:b w:val="0"/>
          <w:bCs w:val="0"/>
          <w:color w:val="auto"/>
          <w:sz w:val="24"/>
        </w:rPr>
        <w:t>分钟，其目的是提高胶料的混炼均匀性，进一步增加可塑性。在开炼过程中会有非甲烷总烃和硫化氢废气产生。</w:t>
      </w:r>
      <w:r>
        <w:rPr>
          <w:rFonts w:hint="eastAsia" w:ascii="Times New Roman" w:hAnsi="Times New Roman" w:cs="Times New Roman"/>
          <w:b w:val="0"/>
          <w:bCs w:val="0"/>
          <w:color w:val="auto"/>
          <w:sz w:val="24"/>
          <w:lang w:val="en-US" w:eastAsia="zh-CN"/>
        </w:rPr>
        <w:t>本项目开炼、密炼区域全封闭，产生的废气经集气装置收集后通过一套二级活性炭净化装置+15m高排气筒（2#排气</w:t>
      </w:r>
      <w:r>
        <w:rPr>
          <w:rFonts w:hint="default" w:ascii="Times New Roman" w:hAnsi="Times New Roman" w:cs="Times New Roman"/>
          <w:b w:val="0"/>
          <w:bCs w:val="0"/>
          <w:color w:val="auto"/>
          <w:sz w:val="24"/>
          <w:lang w:val="en-US" w:eastAsia="zh-CN"/>
        </w:rPr>
        <w:t>筒）进行处理</w:t>
      </w:r>
      <w:r>
        <w:rPr>
          <w:rFonts w:hint="eastAsia" w:ascii="Times New Roman" w:hAnsi="Times New Roman" w:cs="Times New Roman"/>
          <w:b w:val="0"/>
          <w:bCs w:val="0"/>
          <w:color w:val="auto"/>
          <w:sz w:val="24"/>
          <w:lang w:val="en-US" w:eastAsia="zh-CN"/>
        </w:rPr>
        <w:t>。</w:t>
      </w:r>
    </w:p>
    <w:p>
      <w:pPr>
        <w:pStyle w:val="22"/>
        <w:spacing w:after="0" w:line="500" w:lineRule="exact"/>
        <w:ind w:left="0" w:leftChars="0" w:firstLine="482" w:firstLineChars="200"/>
        <w:rPr>
          <w:rFonts w:hint="eastAsia" w:ascii="Times New Roman" w:hAnsi="Times New Roman" w:cs="Times New Roman"/>
          <w:b/>
          <w:bCs/>
          <w:color w:val="auto"/>
          <w:sz w:val="24"/>
          <w:lang w:val="en-US" w:eastAsia="zh-CN"/>
        </w:rPr>
      </w:pPr>
      <w:r>
        <w:rPr>
          <w:rFonts w:hint="eastAsia" w:ascii="Times New Roman" w:hAnsi="Times New Roman" w:cs="Times New Roman"/>
          <w:b/>
          <w:bCs/>
          <w:color w:val="auto"/>
          <w:sz w:val="24"/>
          <w:lang w:eastAsia="zh-CN"/>
        </w:rPr>
        <w:t>分切</w:t>
      </w:r>
      <w:r>
        <w:rPr>
          <w:rFonts w:hint="default" w:ascii="Times New Roman" w:hAnsi="Times New Roman" w:cs="Times New Roman"/>
          <w:b/>
          <w:bCs/>
          <w:color w:val="auto"/>
          <w:sz w:val="24"/>
        </w:rPr>
        <w:t>出片</w:t>
      </w:r>
      <w:r>
        <w:rPr>
          <w:rFonts w:hint="eastAsia" w:ascii="Times New Roman" w:hAnsi="Times New Roman" w:cs="Times New Roman"/>
          <w:b/>
          <w:bCs/>
          <w:color w:val="auto"/>
          <w:sz w:val="24"/>
          <w:lang w:eastAsia="zh-CN"/>
        </w:rPr>
        <w:t>：</w:t>
      </w:r>
      <w:r>
        <w:rPr>
          <w:rFonts w:hint="eastAsia" w:ascii="Times New Roman" w:hAnsi="Times New Roman" w:cs="Times New Roman"/>
          <w:b w:val="0"/>
          <w:bCs w:val="0"/>
          <w:color w:val="auto"/>
          <w:sz w:val="24"/>
          <w:lang w:eastAsia="zh-CN"/>
        </w:rPr>
        <w:t>开炼后即为成品混炼胶，用分切机对混炼胶进行分切，分切成</w:t>
      </w:r>
      <w:r>
        <w:rPr>
          <w:rFonts w:hint="eastAsia" w:ascii="Times New Roman" w:hAnsi="Times New Roman" w:cs="Times New Roman"/>
          <w:b w:val="0"/>
          <w:bCs w:val="0"/>
          <w:color w:val="auto"/>
          <w:sz w:val="24"/>
          <w:lang w:val="en-US" w:eastAsia="zh-CN"/>
        </w:rPr>
        <w:t>5g每块，便于后道投料配置胶料。</w:t>
      </w:r>
    </w:p>
    <w:p>
      <w:pPr>
        <w:pStyle w:val="22"/>
        <w:spacing w:after="0" w:line="500" w:lineRule="exact"/>
        <w:ind w:left="0" w:leftChars="0" w:firstLine="482" w:firstLineChars="200"/>
        <w:rPr>
          <w:rFonts w:hint="eastAsia" w:ascii="Times New Roman" w:hAnsi="Times New Roman" w:cs="Times New Roman"/>
          <w:b w:val="0"/>
          <w:bCs w:val="0"/>
          <w:color w:val="auto"/>
          <w:sz w:val="24"/>
          <w:lang w:eastAsia="zh-CN"/>
        </w:rPr>
      </w:pPr>
      <w:r>
        <w:rPr>
          <w:rFonts w:hint="eastAsia" w:ascii="Times New Roman" w:hAnsi="Times New Roman" w:cs="Times New Roman"/>
          <w:b/>
          <w:bCs/>
          <w:color w:val="auto"/>
          <w:sz w:val="24"/>
          <w:lang w:eastAsia="zh-CN"/>
        </w:rPr>
        <w:t>冷却</w:t>
      </w:r>
      <w:r>
        <w:rPr>
          <w:rFonts w:hint="eastAsia" w:ascii="Times New Roman" w:hAnsi="Times New Roman" w:cs="Times New Roman"/>
          <w:b w:val="0"/>
          <w:bCs w:val="0"/>
          <w:color w:val="auto"/>
          <w:sz w:val="24"/>
          <w:lang w:eastAsia="zh-CN"/>
        </w:rPr>
        <w:t>：分切完成后，混炼胶含有一定温度，经自然冷却后即可使用。</w:t>
      </w:r>
    </w:p>
    <w:p>
      <w:pPr>
        <w:ind w:firstLine="482" w:firstLineChars="200"/>
        <w:rPr>
          <w:b/>
          <w:color w:val="auto"/>
          <w:sz w:val="24"/>
        </w:rPr>
      </w:pPr>
    </w:p>
    <w:p>
      <w:pPr>
        <w:pStyle w:val="2"/>
        <w:rPr>
          <w:b/>
          <w:color w:val="auto"/>
          <w:sz w:val="24"/>
        </w:rPr>
      </w:pPr>
    </w:p>
    <w:p>
      <w:pPr>
        <w:rPr>
          <w:b/>
          <w:color w:val="auto"/>
          <w:sz w:val="24"/>
        </w:rPr>
      </w:pPr>
    </w:p>
    <w:p>
      <w:pPr>
        <w:pStyle w:val="2"/>
        <w:rPr>
          <w:b/>
          <w:color w:val="auto"/>
          <w:sz w:val="24"/>
        </w:rPr>
      </w:pPr>
    </w:p>
    <w:p>
      <w:pPr>
        <w:rPr>
          <w:b/>
          <w:color w:val="auto"/>
          <w:sz w:val="24"/>
        </w:rPr>
      </w:pPr>
    </w:p>
    <w:p>
      <w:pPr>
        <w:pStyle w:val="2"/>
        <w:rPr>
          <w:b/>
          <w:color w:val="auto"/>
          <w:sz w:val="24"/>
        </w:rPr>
      </w:pPr>
    </w:p>
    <w:p>
      <w:pPr>
        <w:rPr>
          <w:b/>
          <w:color w:val="auto"/>
          <w:sz w:val="24"/>
        </w:rPr>
      </w:pPr>
    </w:p>
    <w:p>
      <w:pPr>
        <w:pStyle w:val="2"/>
        <w:rPr>
          <w:b/>
          <w:color w:val="auto"/>
          <w:sz w:val="24"/>
        </w:rPr>
      </w:pPr>
    </w:p>
    <w:p>
      <w:pPr>
        <w:rPr>
          <w:b/>
          <w:color w:val="auto"/>
          <w:sz w:val="24"/>
        </w:rPr>
      </w:pPr>
    </w:p>
    <w:p>
      <w:pPr>
        <w:ind w:firstLine="482" w:firstLineChars="200"/>
        <w:rPr>
          <w:b/>
          <w:color w:val="auto"/>
          <w:sz w:val="24"/>
        </w:rPr>
      </w:pPr>
      <w:r>
        <w:rPr>
          <w:rFonts w:hint="eastAsia"/>
          <w:b/>
          <w:color w:val="auto"/>
          <w:sz w:val="24"/>
          <w:lang w:val="en-US" w:eastAsia="zh-CN"/>
        </w:rPr>
        <w:t>2</w:t>
      </w:r>
      <w:r>
        <w:rPr>
          <w:b/>
          <w:color w:val="auto"/>
          <w:sz w:val="24"/>
        </w:rPr>
        <w:t>、</w:t>
      </w:r>
      <w:r>
        <w:rPr>
          <w:rFonts w:hint="eastAsia"/>
          <w:b/>
          <w:color w:val="auto"/>
          <w:sz w:val="24"/>
          <w:lang w:eastAsia="zh-CN"/>
        </w:rPr>
        <w:t>全自动复合板生产线</w:t>
      </w:r>
      <w:r>
        <w:rPr>
          <w:b/>
          <w:color w:val="auto"/>
          <w:sz w:val="24"/>
        </w:rPr>
        <w:t>工艺流程：</w:t>
      </w:r>
      <w:r>
        <w:rPr>
          <w:b/>
          <w:color w:val="auto"/>
          <w:sz w:val="24"/>
        </w:rPr>
        <w:pict>
          <v:shape id="_x0000_s1031" o:spid="_x0000_s1031" o:spt="75" type="#_x0000_t75" style="position:absolute;left:0pt;margin-left:27.75pt;margin-top:23.7pt;height:422.25pt;width:307.5pt;z-index:-251632640;mso-width-relative:page;mso-height-relative:page;" o:ole="t" filled="f" o:preferrelative="t" stroked="f" coordsize="21600,21600">
            <v:path/>
            <v:fill on="f" focussize="0,0"/>
            <v:stroke on="f"/>
            <v:imagedata r:id="rId23" o:title=""/>
            <o:lock v:ext="edit" aspectratio="f"/>
          </v:shape>
          <o:OLEObject Type="Embed" ProgID="Visio.Drawing.11" ShapeID="_x0000_s1031" DrawAspect="Content" ObjectID="_1468075731" r:id="rId22">
            <o:LockedField>false</o:LockedField>
          </o:OLEObject>
        </w:pict>
      </w:r>
    </w:p>
    <w:p>
      <w:pPr>
        <w:spacing w:line="480" w:lineRule="exact"/>
        <w:ind w:firstLine="482" w:firstLineChars="200"/>
        <w:rPr>
          <w:b/>
          <w:color w:val="auto"/>
          <w:sz w:val="24"/>
        </w:rPr>
      </w:pPr>
    </w:p>
    <w:p>
      <w:pPr>
        <w:spacing w:line="480" w:lineRule="exact"/>
        <w:ind w:firstLine="482" w:firstLineChars="200"/>
        <w:rPr>
          <w:b/>
          <w:color w:val="auto"/>
          <w:sz w:val="24"/>
        </w:rPr>
      </w:pPr>
    </w:p>
    <w:p>
      <w:pPr>
        <w:spacing w:line="480" w:lineRule="exact"/>
        <w:ind w:firstLine="482" w:firstLineChars="200"/>
        <w:rPr>
          <w:b/>
          <w:color w:val="auto"/>
          <w:sz w:val="24"/>
        </w:rPr>
      </w:pPr>
    </w:p>
    <w:p>
      <w:pPr>
        <w:pStyle w:val="2"/>
        <w:rPr>
          <w:b/>
          <w:color w:val="auto"/>
          <w:sz w:val="24"/>
        </w:rPr>
      </w:pPr>
    </w:p>
    <w:p>
      <w:pPr>
        <w:rPr>
          <w:b/>
          <w:color w:val="auto"/>
          <w:sz w:val="24"/>
        </w:rPr>
      </w:pPr>
    </w:p>
    <w:p>
      <w:pPr>
        <w:pStyle w:val="2"/>
        <w:rPr>
          <w:b/>
          <w:color w:val="auto"/>
          <w:sz w:val="24"/>
        </w:rPr>
      </w:pPr>
    </w:p>
    <w:p>
      <w:pPr>
        <w:rPr>
          <w:b/>
          <w:color w:val="auto"/>
          <w:sz w:val="24"/>
        </w:rPr>
      </w:pPr>
    </w:p>
    <w:p>
      <w:pPr>
        <w:pStyle w:val="2"/>
        <w:rPr>
          <w:color w:val="auto"/>
        </w:rPr>
      </w:pPr>
    </w:p>
    <w:p>
      <w:pPr>
        <w:spacing w:line="480" w:lineRule="exact"/>
        <w:ind w:firstLine="482" w:firstLineChars="200"/>
        <w:rPr>
          <w:b/>
          <w:color w:val="auto"/>
          <w:sz w:val="24"/>
        </w:rPr>
      </w:pPr>
    </w:p>
    <w:p>
      <w:pPr>
        <w:spacing w:line="480" w:lineRule="exact"/>
        <w:ind w:firstLine="482" w:firstLineChars="200"/>
        <w:rPr>
          <w:b/>
          <w:color w:val="auto"/>
          <w:sz w:val="24"/>
        </w:rPr>
      </w:pPr>
    </w:p>
    <w:p>
      <w:pPr>
        <w:spacing w:line="480" w:lineRule="exact"/>
        <w:ind w:firstLine="482" w:firstLineChars="200"/>
        <w:rPr>
          <w:b/>
          <w:color w:val="auto"/>
          <w:sz w:val="24"/>
        </w:rPr>
      </w:pPr>
    </w:p>
    <w:p>
      <w:pPr>
        <w:spacing w:line="480" w:lineRule="exact"/>
        <w:ind w:firstLine="482" w:firstLineChars="200"/>
        <w:rPr>
          <w:b/>
          <w:color w:val="auto"/>
          <w:sz w:val="24"/>
        </w:rPr>
      </w:pPr>
    </w:p>
    <w:p>
      <w:pPr>
        <w:spacing w:line="480" w:lineRule="exact"/>
        <w:ind w:firstLine="482" w:firstLineChars="200"/>
        <w:rPr>
          <w:b/>
          <w:color w:val="auto"/>
          <w:sz w:val="24"/>
        </w:rPr>
      </w:pPr>
    </w:p>
    <w:p>
      <w:pPr>
        <w:pStyle w:val="6"/>
        <w:numPr>
          <w:ilvl w:val="3"/>
          <w:numId w:val="0"/>
        </w:numPr>
      </w:pPr>
    </w:p>
    <w:p/>
    <w:p>
      <w:pPr>
        <w:pStyle w:val="2"/>
      </w:pPr>
    </w:p>
    <w:p/>
    <w:p>
      <w:pPr>
        <w:pStyle w:val="2"/>
      </w:pPr>
    </w:p>
    <w:p>
      <w:pPr>
        <w:pStyle w:val="2"/>
      </w:pPr>
    </w:p>
    <w:p/>
    <w:p>
      <w:pPr>
        <w:spacing w:line="480" w:lineRule="exact"/>
        <w:ind w:firstLine="482" w:firstLineChars="200"/>
        <w:jc w:val="right"/>
        <w:rPr>
          <w:rFonts w:hint="default" w:eastAsia="宋体"/>
          <w:b/>
          <w:color w:val="auto"/>
          <w:sz w:val="24"/>
          <w:lang w:val="en-US" w:eastAsia="zh-CN"/>
        </w:rPr>
      </w:pPr>
      <w:r>
        <w:rPr>
          <w:b/>
          <w:color w:val="auto"/>
          <w:sz w:val="24"/>
        </w:rPr>
        <w:t>注：N：噪声</w:t>
      </w:r>
      <w:r>
        <w:rPr>
          <w:rFonts w:hint="eastAsia"/>
          <w:b/>
          <w:color w:val="auto"/>
          <w:sz w:val="24"/>
          <w:lang w:eastAsia="zh-CN"/>
        </w:rPr>
        <w:t>，</w:t>
      </w:r>
      <w:r>
        <w:rPr>
          <w:rFonts w:hint="eastAsia"/>
          <w:b/>
          <w:color w:val="auto"/>
          <w:sz w:val="24"/>
          <w:lang w:val="en-US" w:eastAsia="zh-CN"/>
        </w:rPr>
        <w:t>W：废水，G1：水蒸气，G2：有机废气，S1：沉渣</w:t>
      </w:r>
    </w:p>
    <w:p>
      <w:pPr>
        <w:spacing w:line="480" w:lineRule="exact"/>
        <w:ind w:firstLine="482" w:firstLineChars="200"/>
        <w:jc w:val="center"/>
        <w:rPr>
          <w:b/>
          <w:color w:val="auto"/>
          <w:sz w:val="24"/>
        </w:rPr>
      </w:pPr>
      <w:r>
        <w:rPr>
          <w:b/>
          <w:color w:val="auto"/>
          <w:sz w:val="24"/>
        </w:rPr>
        <w:t>图</w:t>
      </w:r>
      <w:r>
        <w:rPr>
          <w:rFonts w:hint="eastAsia"/>
          <w:b/>
          <w:color w:val="auto"/>
          <w:sz w:val="24"/>
          <w:lang w:val="en-US" w:eastAsia="zh-CN"/>
        </w:rPr>
        <w:t>4-5</w:t>
      </w:r>
      <w:r>
        <w:rPr>
          <w:b/>
          <w:color w:val="auto"/>
          <w:sz w:val="24"/>
        </w:rPr>
        <w:t xml:space="preserve">  </w:t>
      </w:r>
      <w:r>
        <w:rPr>
          <w:rFonts w:hint="eastAsia"/>
          <w:b/>
          <w:color w:val="auto"/>
          <w:sz w:val="24"/>
          <w:lang w:eastAsia="zh-CN"/>
        </w:rPr>
        <w:t>全自动复合板生产线</w:t>
      </w:r>
      <w:r>
        <w:rPr>
          <w:b/>
          <w:color w:val="auto"/>
          <w:sz w:val="24"/>
        </w:rPr>
        <w:t>工艺流程图</w:t>
      </w:r>
    </w:p>
    <w:p>
      <w:pPr>
        <w:spacing w:line="480" w:lineRule="exact"/>
        <w:ind w:firstLine="482" w:firstLineChars="200"/>
        <w:rPr>
          <w:b/>
          <w:color w:val="auto"/>
          <w:sz w:val="24"/>
        </w:rPr>
      </w:pPr>
      <w:r>
        <w:rPr>
          <w:b/>
          <w:color w:val="auto"/>
          <w:sz w:val="24"/>
        </w:rPr>
        <w:t>工艺流程简要说明：</w:t>
      </w:r>
    </w:p>
    <w:p>
      <w:pPr>
        <w:spacing w:line="480" w:lineRule="exact"/>
        <w:ind w:firstLine="482" w:firstLineChars="200"/>
        <w:rPr>
          <w:rFonts w:hint="eastAsia"/>
          <w:b w:val="0"/>
          <w:bCs/>
          <w:color w:val="auto"/>
          <w:sz w:val="24"/>
          <w:lang w:eastAsia="zh-CN"/>
        </w:rPr>
      </w:pPr>
      <w:r>
        <w:rPr>
          <w:rFonts w:hint="eastAsia"/>
          <w:b/>
          <w:color w:val="auto"/>
          <w:sz w:val="24"/>
          <w:lang w:eastAsia="zh-CN"/>
        </w:rPr>
        <w:t>上料：</w:t>
      </w:r>
      <w:r>
        <w:rPr>
          <w:rFonts w:hint="eastAsia"/>
          <w:b w:val="0"/>
          <w:bCs/>
          <w:color w:val="auto"/>
          <w:sz w:val="24"/>
          <w:lang w:eastAsia="zh-CN"/>
        </w:rPr>
        <w:t>将成卷的钢板放入全自动生产线钢板架上。本项目全自动生产线仅需在成卷的钢板放入架上即可，其他生产工序无需人工操作，为流水线生产，自动化程度高。</w:t>
      </w:r>
    </w:p>
    <w:p>
      <w:pPr>
        <w:spacing w:line="480" w:lineRule="exact"/>
        <w:ind w:firstLine="480" w:firstLineChars="200"/>
        <w:rPr>
          <w:rFonts w:hint="default"/>
          <w:b w:val="0"/>
          <w:bCs/>
          <w:color w:val="auto"/>
          <w:sz w:val="24"/>
          <w:lang w:val="en-US" w:eastAsia="zh-CN"/>
        </w:rPr>
      </w:pPr>
      <w:r>
        <w:rPr>
          <w:rFonts w:hint="eastAsia"/>
          <w:b w:val="0"/>
          <w:bCs/>
          <w:color w:val="auto"/>
          <w:sz w:val="24"/>
          <w:lang w:eastAsia="zh-CN"/>
        </w:rPr>
        <w:t>上料后钢板进入自动脱脂线进行脱脂，自动脱脂线外形尺寸为：</w:t>
      </w:r>
      <w:r>
        <w:rPr>
          <w:rFonts w:hint="eastAsia"/>
          <w:b w:val="0"/>
          <w:bCs/>
          <w:color w:val="auto"/>
          <w:sz w:val="24"/>
          <w:lang w:val="en-US" w:eastAsia="zh-CN"/>
        </w:rPr>
        <w:t>10580mm*1700mm*2000mm，处理工件尺寸为最大700mm*700mm，最小200mm*150mm，厚度0.15mm--0.6mm。输送速度：2-4m/min，耗水量：15-25L/min。</w:t>
      </w:r>
    </w:p>
    <w:p>
      <w:pPr>
        <w:spacing w:line="480" w:lineRule="exact"/>
        <w:ind w:firstLine="482" w:firstLineChars="200"/>
        <w:rPr>
          <w:rFonts w:hint="eastAsia"/>
          <w:b/>
          <w:color w:val="auto"/>
          <w:sz w:val="24"/>
          <w:lang w:val="en-US" w:eastAsia="zh-CN"/>
        </w:rPr>
      </w:pPr>
      <w:r>
        <w:rPr>
          <w:rFonts w:hint="eastAsia"/>
          <w:b/>
          <w:color w:val="auto"/>
          <w:sz w:val="24"/>
          <w:lang w:eastAsia="zh-CN"/>
        </w:rPr>
        <w:t>浸泡：</w:t>
      </w:r>
      <w:r>
        <w:rPr>
          <w:rFonts w:hint="eastAsia"/>
          <w:b w:val="0"/>
          <w:bCs/>
          <w:color w:val="auto"/>
          <w:sz w:val="24"/>
          <w:lang w:eastAsia="zh-CN"/>
        </w:rPr>
        <w:t>全自动生产线对钢板进行拉伸，首先对拉开后的钢板进入浸泡槽内浸泡，浸泡约为</w:t>
      </w:r>
      <w:r>
        <w:rPr>
          <w:rFonts w:hint="eastAsia"/>
          <w:b w:val="0"/>
          <w:bCs/>
          <w:color w:val="auto"/>
          <w:sz w:val="24"/>
          <w:lang w:val="en-US" w:eastAsia="zh-CN"/>
        </w:rPr>
        <w:t>4min，常温浸泡，浸泡槽内溶液由清洗剂、水配比而成，定期加入，不外排。浸泡的目的是去除钢板表面少量油脂，起到除油、去除杂质的作用。</w:t>
      </w:r>
    </w:p>
    <w:p>
      <w:pPr>
        <w:spacing w:line="480" w:lineRule="exact"/>
        <w:ind w:firstLine="482" w:firstLineChars="200"/>
        <w:rPr>
          <w:rFonts w:hint="eastAsia"/>
          <w:color w:val="auto"/>
          <w:sz w:val="24"/>
          <w:lang w:eastAsia="zh-CN"/>
        </w:rPr>
      </w:pPr>
      <w:r>
        <w:rPr>
          <w:rFonts w:hint="eastAsia"/>
          <w:b/>
          <w:bCs/>
          <w:color w:val="auto"/>
          <w:sz w:val="24"/>
          <w:lang w:eastAsia="zh-CN"/>
        </w:rPr>
        <w:t>刷洗：</w:t>
      </w:r>
      <w:r>
        <w:rPr>
          <w:rFonts w:hint="eastAsia"/>
          <w:color w:val="auto"/>
          <w:sz w:val="24"/>
          <w:lang w:eastAsia="zh-CN"/>
        </w:rPr>
        <w:t>用浸泡完成后，进入毛刷槽内用毛刷对钢板进行刷洗，去除表面浸泡的溶液，同时可去除钢板表面难以浸泡去除的物质，刷洗过程中不产生废水，为循环水循环使用。</w:t>
      </w:r>
    </w:p>
    <w:p>
      <w:pPr>
        <w:spacing w:line="480" w:lineRule="exact"/>
        <w:ind w:firstLine="482" w:firstLineChars="200"/>
        <w:rPr>
          <w:rFonts w:hint="eastAsia"/>
          <w:color w:val="auto"/>
          <w:sz w:val="24"/>
          <w:lang w:eastAsia="zh-CN"/>
        </w:rPr>
      </w:pPr>
      <w:r>
        <w:rPr>
          <w:rFonts w:hint="eastAsia"/>
          <w:b/>
          <w:bCs/>
          <w:color w:val="auto"/>
          <w:sz w:val="24"/>
          <w:lang w:eastAsia="zh-CN"/>
        </w:rPr>
        <w:t>循环水冲洗：</w:t>
      </w:r>
      <w:r>
        <w:rPr>
          <w:rFonts w:hint="eastAsia"/>
          <w:color w:val="auto"/>
          <w:sz w:val="24"/>
          <w:lang w:eastAsia="zh-CN"/>
        </w:rPr>
        <w:t>刷洗后进入冲洗装置，用自来水对钢板表面进行冲洗，冲洗水循环使用，定期外排废水，废水经污水处理装置预处理后排入市政污水管网。</w:t>
      </w:r>
    </w:p>
    <w:p>
      <w:pPr>
        <w:spacing w:line="480" w:lineRule="exact"/>
        <w:ind w:firstLine="482" w:firstLineChars="200"/>
        <w:rPr>
          <w:rFonts w:hint="default" w:eastAsia="宋体"/>
          <w:color w:val="auto"/>
          <w:sz w:val="24"/>
          <w:lang w:val="en-US" w:eastAsia="zh-CN"/>
        </w:rPr>
      </w:pPr>
      <w:r>
        <w:rPr>
          <w:rFonts w:hint="eastAsia"/>
          <w:b/>
          <w:bCs/>
          <w:color w:val="auto"/>
          <w:sz w:val="24"/>
          <w:lang w:eastAsia="zh-CN"/>
        </w:rPr>
        <w:t>烘干：</w:t>
      </w:r>
      <w:r>
        <w:rPr>
          <w:rFonts w:hint="eastAsia"/>
          <w:color w:val="auto"/>
          <w:sz w:val="24"/>
          <w:lang w:eastAsia="zh-CN"/>
        </w:rPr>
        <w:t>冲洗完成后进入烘干装置，烘干为封闭式隧道烘箱，钢板进入烘箱内对表面水分进行烘干，烘干温度在</w:t>
      </w:r>
      <w:r>
        <w:rPr>
          <w:rFonts w:hint="eastAsia"/>
          <w:color w:val="auto"/>
          <w:sz w:val="24"/>
          <w:lang w:val="en-US" w:eastAsia="zh-CN"/>
        </w:rPr>
        <w:t>150</w:t>
      </w:r>
      <w:r>
        <w:rPr>
          <w:rFonts w:hint="eastAsia" w:ascii="宋体" w:hAnsi="宋体" w:eastAsia="宋体" w:cs="宋体"/>
          <w:color w:val="auto"/>
          <w:sz w:val="24"/>
          <w:lang w:val="en-US" w:eastAsia="zh-CN"/>
        </w:rPr>
        <w:t>℃</w:t>
      </w:r>
      <w:r>
        <w:rPr>
          <w:rFonts w:hint="eastAsia"/>
          <w:color w:val="auto"/>
          <w:sz w:val="24"/>
          <w:lang w:val="en-US" w:eastAsia="zh-CN"/>
        </w:rPr>
        <w:t>，烘干时间约为30秒。</w:t>
      </w:r>
    </w:p>
    <w:p>
      <w:pPr>
        <w:spacing w:line="480" w:lineRule="exact"/>
        <w:ind w:firstLine="482" w:firstLineChars="200"/>
        <w:rPr>
          <w:rFonts w:hint="eastAsia"/>
          <w:color w:val="auto"/>
          <w:sz w:val="24"/>
          <w:lang w:val="en-US" w:eastAsia="zh-CN"/>
        </w:rPr>
      </w:pPr>
      <w:r>
        <w:rPr>
          <w:rFonts w:hint="eastAsia"/>
          <w:b/>
          <w:bCs/>
          <w:color w:val="auto"/>
          <w:sz w:val="24"/>
          <w:lang w:eastAsia="zh-CN"/>
        </w:rPr>
        <w:t>底涂：</w:t>
      </w:r>
      <w:r>
        <w:rPr>
          <w:rFonts w:hint="eastAsia"/>
          <w:color w:val="auto"/>
          <w:sz w:val="24"/>
          <w:lang w:eastAsia="zh-CN"/>
        </w:rPr>
        <w:t>烘干后进行底涂，用底涂剂对钢板进行涂覆，涂覆过程中会产生有机废气，涂覆在封闭的自动化设备内进行，涂覆工序产生的有机废气经收集后通过催化燃烧装置进行净化处理，经</w:t>
      </w:r>
      <w:r>
        <w:rPr>
          <w:rFonts w:hint="eastAsia"/>
          <w:color w:val="auto"/>
          <w:sz w:val="24"/>
          <w:lang w:val="en-US" w:eastAsia="zh-CN"/>
        </w:rPr>
        <w:t>15m高排气筒排放。</w:t>
      </w:r>
    </w:p>
    <w:p>
      <w:pPr>
        <w:spacing w:line="480" w:lineRule="exact"/>
        <w:ind w:firstLine="482" w:firstLineChars="200"/>
        <w:rPr>
          <w:rFonts w:hint="eastAsia"/>
          <w:color w:val="auto"/>
          <w:sz w:val="24"/>
          <w:lang w:val="en-US" w:eastAsia="zh-CN"/>
        </w:rPr>
      </w:pPr>
      <w:r>
        <w:rPr>
          <w:rFonts w:hint="eastAsia"/>
          <w:b/>
          <w:bCs/>
          <w:color w:val="auto"/>
          <w:sz w:val="24"/>
          <w:lang w:val="en-US" w:eastAsia="zh-CN"/>
        </w:rPr>
        <w:t>面涂：</w:t>
      </w:r>
      <w:r>
        <w:rPr>
          <w:rFonts w:hint="eastAsia"/>
          <w:color w:val="auto"/>
          <w:sz w:val="24"/>
          <w:lang w:val="en-US" w:eastAsia="zh-CN"/>
        </w:rPr>
        <w:t>底涂完成后进行面涂，对钢板进行面层涂覆，涂覆使用的胶料为配置好的橡胶涂料，</w:t>
      </w:r>
      <w:r>
        <w:rPr>
          <w:rFonts w:hint="eastAsia"/>
          <w:color w:val="auto"/>
          <w:sz w:val="24"/>
          <w:lang w:eastAsia="zh-CN"/>
        </w:rPr>
        <w:t>涂覆过程中会产生有机废气，涂覆在封闭的自动化设备内进行，涂覆工序产生的有机废气经收集后通过催化燃烧装置进行净化处理，经</w:t>
      </w:r>
      <w:r>
        <w:rPr>
          <w:rFonts w:hint="eastAsia"/>
          <w:color w:val="auto"/>
          <w:sz w:val="24"/>
          <w:lang w:val="en-US" w:eastAsia="zh-CN"/>
        </w:rPr>
        <w:t>15m高排气筒排放。</w:t>
      </w:r>
    </w:p>
    <w:p>
      <w:pPr>
        <w:spacing w:line="480" w:lineRule="exact"/>
        <w:ind w:firstLine="482" w:firstLineChars="200"/>
        <w:rPr>
          <w:rFonts w:hint="default"/>
          <w:color w:val="auto"/>
          <w:sz w:val="24"/>
          <w:lang w:val="en-US" w:eastAsia="zh-CN"/>
        </w:rPr>
      </w:pPr>
      <w:r>
        <w:rPr>
          <w:rFonts w:hint="eastAsia"/>
          <w:b/>
          <w:bCs/>
          <w:color w:val="auto"/>
          <w:sz w:val="24"/>
          <w:lang w:val="en-US" w:eastAsia="zh-CN"/>
        </w:rPr>
        <w:t>烘干：</w:t>
      </w:r>
      <w:r>
        <w:rPr>
          <w:rFonts w:hint="eastAsia"/>
          <w:color w:val="auto"/>
          <w:sz w:val="24"/>
          <w:lang w:val="en-US" w:eastAsia="zh-CN"/>
        </w:rPr>
        <w:t>涂覆后进行烘干，烘干在封闭的隧道式烘箱内进行，</w:t>
      </w:r>
      <w:r>
        <w:rPr>
          <w:rFonts w:hint="eastAsia"/>
          <w:color w:val="auto"/>
          <w:sz w:val="24"/>
          <w:lang w:eastAsia="zh-CN"/>
        </w:rPr>
        <w:t>烘干温度在</w:t>
      </w:r>
      <w:r>
        <w:rPr>
          <w:rFonts w:hint="eastAsia"/>
          <w:color w:val="auto"/>
          <w:sz w:val="24"/>
          <w:lang w:val="en-US" w:eastAsia="zh-CN"/>
        </w:rPr>
        <w:t>150℃，烘干时间约为4min，烘干</w:t>
      </w:r>
      <w:r>
        <w:rPr>
          <w:rFonts w:hint="eastAsia"/>
          <w:color w:val="auto"/>
          <w:sz w:val="24"/>
          <w:lang w:eastAsia="zh-CN"/>
        </w:rPr>
        <w:t>工序产生的有机废气经收集后通过催化燃烧装置进行净化处理，经</w:t>
      </w:r>
      <w:r>
        <w:rPr>
          <w:rFonts w:hint="eastAsia"/>
          <w:color w:val="auto"/>
          <w:sz w:val="24"/>
          <w:lang w:val="en-US" w:eastAsia="zh-CN"/>
        </w:rPr>
        <w:t>15m高排气筒排放。</w:t>
      </w:r>
    </w:p>
    <w:p>
      <w:pPr>
        <w:spacing w:line="480" w:lineRule="exact"/>
        <w:ind w:firstLine="482" w:firstLineChars="200"/>
        <w:rPr>
          <w:rFonts w:hint="eastAsia"/>
          <w:color w:val="auto"/>
          <w:sz w:val="24"/>
          <w:lang w:val="en-US" w:eastAsia="zh-CN"/>
        </w:rPr>
      </w:pPr>
      <w:r>
        <w:rPr>
          <w:rFonts w:hint="eastAsia"/>
          <w:b/>
          <w:bCs/>
          <w:color w:val="auto"/>
          <w:sz w:val="24"/>
          <w:lang w:eastAsia="zh-CN"/>
        </w:rPr>
        <w:t>收卷：</w:t>
      </w:r>
      <w:r>
        <w:rPr>
          <w:rFonts w:hint="eastAsia"/>
          <w:color w:val="auto"/>
          <w:sz w:val="24"/>
          <w:lang w:val="en-US" w:eastAsia="zh-CN"/>
        </w:rPr>
        <w:t>烘干后即为成品，通过自动化设备进行收卷，收卷后即为成品，根据客户需要，用电动剪板机剪切至需要的尺寸，经包装后，入库待售。</w:t>
      </w:r>
    </w:p>
    <w:p>
      <w:pPr>
        <w:spacing w:line="480" w:lineRule="exact"/>
        <w:rPr>
          <w:b/>
          <w:bCs/>
          <w:color w:val="auto"/>
          <w:sz w:val="24"/>
        </w:rPr>
      </w:pPr>
    </w:p>
    <w:p>
      <w:pPr>
        <w:spacing w:line="480" w:lineRule="exact"/>
        <w:ind w:firstLine="482" w:firstLineChars="200"/>
        <w:rPr>
          <w:b/>
          <w:bCs/>
          <w:color w:val="auto"/>
          <w:sz w:val="24"/>
        </w:rPr>
      </w:pPr>
    </w:p>
    <w:p>
      <w:pPr>
        <w:pStyle w:val="2"/>
        <w:rPr>
          <w:b/>
          <w:bCs/>
          <w:color w:val="auto"/>
          <w:sz w:val="24"/>
        </w:rPr>
      </w:pPr>
    </w:p>
    <w:p>
      <w:pPr>
        <w:rPr>
          <w:b/>
          <w:bCs/>
          <w:color w:val="auto"/>
          <w:sz w:val="24"/>
        </w:rPr>
      </w:pPr>
    </w:p>
    <w:p>
      <w:pPr>
        <w:pStyle w:val="2"/>
        <w:rPr>
          <w:b/>
          <w:bCs/>
          <w:color w:val="auto"/>
          <w:sz w:val="24"/>
        </w:rPr>
      </w:pPr>
    </w:p>
    <w:p>
      <w:pPr>
        <w:rPr>
          <w:b/>
          <w:bCs/>
          <w:color w:val="auto"/>
          <w:sz w:val="24"/>
        </w:rPr>
      </w:pPr>
    </w:p>
    <w:p>
      <w:pPr>
        <w:pStyle w:val="2"/>
        <w:rPr>
          <w:b/>
          <w:bCs/>
          <w:color w:val="auto"/>
          <w:sz w:val="24"/>
        </w:rPr>
      </w:pPr>
    </w:p>
    <w:p>
      <w:pPr>
        <w:rPr>
          <w:b/>
          <w:bCs/>
          <w:color w:val="auto"/>
          <w:sz w:val="24"/>
        </w:rPr>
      </w:pPr>
    </w:p>
    <w:p>
      <w:pPr>
        <w:pStyle w:val="2"/>
        <w:rPr>
          <w:b/>
          <w:bCs/>
          <w:color w:val="auto"/>
          <w:sz w:val="24"/>
        </w:rPr>
      </w:pPr>
    </w:p>
    <w:p>
      <w:pPr>
        <w:rPr>
          <w:b/>
          <w:bCs/>
          <w:color w:val="auto"/>
          <w:sz w:val="24"/>
        </w:rPr>
      </w:pPr>
    </w:p>
    <w:p>
      <w:pPr>
        <w:pStyle w:val="2"/>
        <w:rPr>
          <w:b/>
          <w:bCs/>
          <w:color w:val="auto"/>
          <w:sz w:val="24"/>
        </w:rPr>
        <w:sectPr>
          <w:pgSz w:w="11911" w:h="16849"/>
          <w:pgMar w:top="1440" w:right="1587" w:bottom="1440" w:left="1587" w:header="680" w:footer="652" w:gutter="0"/>
          <w:pgBorders>
            <w:top w:val="none" w:sz="0" w:space="0"/>
            <w:left w:val="none" w:sz="0" w:space="0"/>
            <w:bottom w:val="none" w:sz="0" w:space="0"/>
            <w:right w:val="none" w:sz="0" w:space="0"/>
          </w:pgBorders>
          <w:cols w:space="720" w:num="1"/>
          <w:docGrid w:linePitch="322" w:charSpace="0"/>
        </w:sectPr>
      </w:pPr>
    </w:p>
    <w:p>
      <w:r>
        <w:drawing>
          <wp:anchor distT="0" distB="0" distL="114300" distR="114300" simplePos="0" relativeHeight="251681792" behindDoc="1" locked="0" layoutInCell="1" allowOverlap="1">
            <wp:simplePos x="0" y="0"/>
            <wp:positionH relativeFrom="column">
              <wp:posOffset>123825</wp:posOffset>
            </wp:positionH>
            <wp:positionV relativeFrom="paragraph">
              <wp:posOffset>-104775</wp:posOffset>
            </wp:positionV>
            <wp:extent cx="8564880" cy="5343525"/>
            <wp:effectExtent l="0" t="0" r="7620" b="9525"/>
            <wp:wrapNone/>
            <wp:docPr id="106"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21"/>
                    <pic:cNvPicPr>
                      <a:picLocks noChangeAspect="1"/>
                    </pic:cNvPicPr>
                  </pic:nvPicPr>
                  <pic:blipFill>
                    <a:blip r:embed="rId24"/>
                    <a:stretch>
                      <a:fillRect/>
                    </a:stretch>
                  </pic:blipFill>
                  <pic:spPr>
                    <a:xfrm>
                      <a:off x="0" y="0"/>
                      <a:ext cx="8564880" cy="5343525"/>
                    </a:xfrm>
                    <a:prstGeom prst="rect">
                      <a:avLst/>
                    </a:prstGeom>
                    <a:noFill/>
                    <a:ln>
                      <a:noFill/>
                    </a:ln>
                  </pic:spPr>
                </pic:pic>
              </a:graphicData>
            </a:graphic>
          </wp:anchor>
        </w:drawing>
      </w:r>
    </w:p>
    <w:p>
      <w:pPr>
        <w:rPr>
          <w:b/>
          <w:bCs/>
          <w:color w:val="auto"/>
          <w:sz w:val="24"/>
        </w:rPr>
      </w:pPr>
    </w:p>
    <w:p>
      <w:pPr>
        <w:pStyle w:val="2"/>
        <w:rPr>
          <w:b/>
          <w:bCs/>
          <w:color w:val="auto"/>
          <w:sz w:val="24"/>
        </w:rPr>
      </w:pPr>
    </w:p>
    <w:p>
      <w:pPr>
        <w:rPr>
          <w:b/>
          <w:bCs/>
          <w:color w:val="auto"/>
          <w:sz w:val="24"/>
        </w:rPr>
      </w:pPr>
    </w:p>
    <w:p>
      <w:pPr>
        <w:pStyle w:val="2"/>
        <w:rPr>
          <w:b/>
          <w:bCs/>
          <w:color w:val="auto"/>
          <w:sz w:val="24"/>
        </w:rPr>
      </w:pPr>
    </w:p>
    <w:p>
      <w:pPr>
        <w:rPr>
          <w:b/>
          <w:bCs/>
          <w:color w:val="auto"/>
          <w:sz w:val="24"/>
        </w:rPr>
      </w:pPr>
    </w:p>
    <w:p>
      <w:pPr>
        <w:pStyle w:val="2"/>
        <w:rPr>
          <w:b/>
          <w:bCs/>
          <w:color w:val="auto"/>
          <w:sz w:val="24"/>
        </w:rPr>
      </w:pPr>
    </w:p>
    <w:p>
      <w:pPr>
        <w:rPr>
          <w:b/>
          <w:bCs/>
          <w:color w:val="auto"/>
          <w:sz w:val="24"/>
        </w:rPr>
      </w:pPr>
    </w:p>
    <w:p>
      <w:pPr>
        <w:pStyle w:val="2"/>
        <w:rPr>
          <w:b/>
          <w:bCs/>
          <w:color w:val="auto"/>
          <w:sz w:val="24"/>
        </w:rPr>
      </w:pPr>
    </w:p>
    <w:p>
      <w:pPr>
        <w:rPr>
          <w:b/>
          <w:bCs/>
          <w:color w:val="auto"/>
          <w:sz w:val="24"/>
        </w:rPr>
      </w:pPr>
    </w:p>
    <w:p>
      <w:pPr>
        <w:pStyle w:val="2"/>
        <w:rPr>
          <w:b/>
          <w:bCs/>
          <w:color w:val="auto"/>
          <w:sz w:val="24"/>
        </w:rPr>
      </w:pPr>
    </w:p>
    <w:p>
      <w:pPr>
        <w:rPr>
          <w:b/>
          <w:bCs/>
          <w:color w:val="auto"/>
          <w:sz w:val="24"/>
        </w:rPr>
      </w:pPr>
    </w:p>
    <w:p>
      <w:pPr>
        <w:pStyle w:val="2"/>
        <w:rPr>
          <w:b/>
          <w:bCs/>
          <w:color w:val="auto"/>
          <w:sz w:val="24"/>
        </w:rPr>
      </w:pPr>
    </w:p>
    <w:p>
      <w:pPr>
        <w:rPr>
          <w:b/>
          <w:bCs/>
          <w:color w:val="auto"/>
          <w:sz w:val="24"/>
        </w:rPr>
      </w:pPr>
    </w:p>
    <w:p>
      <w:pPr>
        <w:pStyle w:val="2"/>
        <w:rPr>
          <w:b/>
          <w:bCs/>
          <w:color w:val="auto"/>
          <w:sz w:val="24"/>
        </w:rPr>
      </w:pPr>
    </w:p>
    <w:p>
      <w:pPr>
        <w:rPr>
          <w:b/>
          <w:bCs/>
          <w:color w:val="auto"/>
          <w:sz w:val="24"/>
        </w:rPr>
      </w:pPr>
    </w:p>
    <w:p>
      <w:pPr>
        <w:pStyle w:val="2"/>
        <w:rPr>
          <w:b/>
          <w:bCs/>
          <w:color w:val="auto"/>
          <w:sz w:val="24"/>
        </w:rPr>
      </w:pPr>
    </w:p>
    <w:p>
      <w:pPr>
        <w:rPr>
          <w:b/>
          <w:bCs/>
          <w:color w:val="auto"/>
          <w:sz w:val="24"/>
        </w:rPr>
      </w:pPr>
    </w:p>
    <w:p>
      <w:pPr>
        <w:pStyle w:val="2"/>
        <w:rPr>
          <w:b/>
          <w:bCs/>
          <w:color w:val="auto"/>
          <w:sz w:val="24"/>
        </w:rPr>
      </w:pPr>
    </w:p>
    <w:p>
      <w:pPr>
        <w:rPr>
          <w:b/>
          <w:bCs/>
          <w:color w:val="auto"/>
          <w:sz w:val="24"/>
        </w:rPr>
      </w:pPr>
    </w:p>
    <w:p>
      <w:pPr>
        <w:pStyle w:val="2"/>
        <w:rPr>
          <w:b/>
          <w:bCs/>
          <w:color w:val="auto"/>
          <w:sz w:val="24"/>
        </w:rPr>
      </w:pPr>
    </w:p>
    <w:p>
      <w:pPr>
        <w:rPr>
          <w:b/>
          <w:bCs/>
          <w:color w:val="auto"/>
          <w:sz w:val="24"/>
        </w:rPr>
      </w:pPr>
    </w:p>
    <w:p>
      <w:pPr>
        <w:pStyle w:val="2"/>
        <w:rPr>
          <w:b/>
          <w:bCs/>
          <w:color w:val="auto"/>
          <w:sz w:val="24"/>
        </w:rPr>
      </w:pPr>
    </w:p>
    <w:p>
      <w:pPr>
        <w:rPr>
          <w:b/>
          <w:bCs/>
          <w:color w:val="auto"/>
          <w:sz w:val="24"/>
        </w:rPr>
      </w:pPr>
    </w:p>
    <w:p>
      <w:pPr>
        <w:pStyle w:val="2"/>
        <w:rPr>
          <w:b/>
          <w:bCs/>
          <w:color w:val="auto"/>
          <w:sz w:val="24"/>
        </w:rPr>
      </w:pPr>
    </w:p>
    <w:p>
      <w:pPr>
        <w:pStyle w:val="2"/>
        <w:jc w:val="center"/>
        <w:rPr>
          <w:b/>
          <w:bCs/>
          <w:color w:val="auto"/>
          <w:sz w:val="24"/>
        </w:rPr>
        <w:sectPr>
          <w:pgSz w:w="16849" w:h="11911" w:orient="landscape"/>
          <w:pgMar w:top="1587" w:right="1440" w:bottom="1587" w:left="1440" w:header="680" w:footer="652" w:gutter="0"/>
          <w:pgBorders>
            <w:top w:val="none" w:sz="0" w:space="0"/>
            <w:left w:val="none" w:sz="0" w:space="0"/>
            <w:bottom w:val="none" w:sz="0" w:space="0"/>
            <w:right w:val="none" w:sz="0" w:space="0"/>
          </w:pgBorders>
          <w:cols w:space="720" w:num="1"/>
          <w:docGrid w:linePitch="322" w:charSpace="0"/>
        </w:sectPr>
      </w:pPr>
      <w:r>
        <w:rPr>
          <w:rFonts w:hint="eastAsia"/>
          <w:b/>
          <w:bCs/>
          <w:color w:val="auto"/>
          <w:sz w:val="24"/>
          <w:lang w:eastAsia="zh-CN"/>
        </w:rPr>
        <w:t>图</w:t>
      </w:r>
      <w:r>
        <w:rPr>
          <w:rFonts w:hint="eastAsia"/>
          <w:b/>
          <w:bCs/>
          <w:color w:val="auto"/>
          <w:sz w:val="24"/>
          <w:lang w:val="en-US" w:eastAsia="zh-CN"/>
        </w:rPr>
        <w:t xml:space="preserve">4-6  </w:t>
      </w:r>
      <w:r>
        <w:rPr>
          <w:rFonts w:hint="eastAsia"/>
          <w:b/>
          <w:bCs/>
          <w:color w:val="auto"/>
          <w:sz w:val="24"/>
          <w:lang w:eastAsia="zh-CN"/>
        </w:rPr>
        <w:t>清洗脱脂线设备主要技术参数及平面布置</w:t>
      </w:r>
    </w:p>
    <w:p/>
    <w:p>
      <w:pPr>
        <w:ind w:firstLine="482" w:firstLineChars="200"/>
        <w:rPr>
          <w:b/>
          <w:bCs/>
          <w:color w:val="auto"/>
          <w:sz w:val="24"/>
        </w:rPr>
      </w:pPr>
      <w:r>
        <w:rPr>
          <w:rFonts w:hint="eastAsia"/>
          <w:b/>
          <w:color w:val="auto"/>
          <w:sz w:val="24"/>
          <w:lang w:val="en-US" w:eastAsia="zh-CN"/>
        </w:rPr>
        <w:t>3</w:t>
      </w:r>
      <w:r>
        <w:rPr>
          <w:b/>
          <w:color w:val="auto"/>
          <w:sz w:val="24"/>
        </w:rPr>
        <w:t>、</w:t>
      </w:r>
      <w:r>
        <w:rPr>
          <w:rFonts w:hint="eastAsia"/>
          <w:b/>
          <w:color w:val="auto"/>
          <w:sz w:val="24"/>
          <w:lang w:eastAsia="zh-CN"/>
        </w:rPr>
        <w:t>半自动复合板生产线</w:t>
      </w:r>
      <w:r>
        <w:rPr>
          <w:b/>
          <w:color w:val="auto"/>
          <w:sz w:val="24"/>
        </w:rPr>
        <w:t>工艺流程：</w:t>
      </w:r>
    </w:p>
    <w:p>
      <w:pPr>
        <w:spacing w:line="480" w:lineRule="exact"/>
        <w:ind w:firstLine="482" w:firstLineChars="200"/>
        <w:rPr>
          <w:b/>
          <w:bCs/>
          <w:color w:val="auto"/>
          <w:sz w:val="24"/>
        </w:rPr>
      </w:pPr>
      <w:r>
        <w:rPr>
          <w:b/>
          <w:bCs/>
          <w:color w:val="auto"/>
          <w:sz w:val="24"/>
        </w:rPr>
        <w:pict>
          <v:shape id="_x0000_s1032" o:spid="_x0000_s1032" o:spt="75" type="#_x0000_t75" style="position:absolute;left:0pt;margin-left:58.5pt;margin-top:1.95pt;height:279pt;width:291pt;z-index:-251634688;mso-width-relative:page;mso-height-relative:page;" o:ole="t" filled="f" o:preferrelative="t" stroked="f" coordsize="21600,21600">
            <v:path/>
            <v:fill on="f" focussize="0,0"/>
            <v:stroke on="f"/>
            <v:imagedata r:id="rId26" o:title=""/>
            <o:lock v:ext="edit" aspectratio="f"/>
          </v:shape>
          <o:OLEObject Type="Embed" ProgID="Visio.Drawing.11" ShapeID="_x0000_s1032" DrawAspect="Content" ObjectID="_1468075732" r:id="rId25">
            <o:LockedField>false</o:LockedField>
          </o:OLEObject>
        </w:pict>
      </w:r>
    </w:p>
    <w:p>
      <w:pPr>
        <w:spacing w:line="480" w:lineRule="exact"/>
        <w:ind w:firstLine="482" w:firstLineChars="200"/>
        <w:rPr>
          <w:b/>
          <w:bCs/>
          <w:color w:val="auto"/>
          <w:sz w:val="24"/>
        </w:rPr>
      </w:pPr>
    </w:p>
    <w:p>
      <w:pPr>
        <w:spacing w:line="480" w:lineRule="exact"/>
        <w:ind w:firstLine="482" w:firstLineChars="200"/>
        <w:rPr>
          <w:b/>
          <w:bCs/>
          <w:color w:val="auto"/>
          <w:sz w:val="24"/>
        </w:rPr>
      </w:pPr>
    </w:p>
    <w:p>
      <w:pPr>
        <w:spacing w:line="480" w:lineRule="exact"/>
        <w:rPr>
          <w:b/>
          <w:bCs/>
          <w:color w:val="auto"/>
          <w:sz w:val="24"/>
        </w:rPr>
      </w:pPr>
    </w:p>
    <w:p>
      <w:pPr>
        <w:spacing w:line="480" w:lineRule="exact"/>
        <w:ind w:firstLine="482" w:firstLineChars="200"/>
        <w:rPr>
          <w:b/>
          <w:bCs/>
          <w:color w:val="auto"/>
          <w:sz w:val="24"/>
        </w:rPr>
      </w:pPr>
    </w:p>
    <w:p>
      <w:pPr>
        <w:spacing w:line="480" w:lineRule="exact"/>
        <w:ind w:firstLine="482" w:firstLineChars="200"/>
        <w:rPr>
          <w:b/>
          <w:bCs/>
          <w:color w:val="auto"/>
          <w:sz w:val="24"/>
        </w:rPr>
      </w:pPr>
    </w:p>
    <w:p>
      <w:pPr>
        <w:pStyle w:val="6"/>
        <w:numPr>
          <w:ilvl w:val="3"/>
          <w:numId w:val="0"/>
        </w:numPr>
        <w:ind w:left="425" w:leftChars="0"/>
      </w:pPr>
    </w:p>
    <w:p>
      <w:pPr>
        <w:rPr>
          <w:b/>
          <w:bCs/>
          <w:color w:val="auto"/>
          <w:sz w:val="24"/>
        </w:rPr>
      </w:pPr>
    </w:p>
    <w:p>
      <w:pPr>
        <w:spacing w:line="480" w:lineRule="exact"/>
        <w:rPr>
          <w:b/>
          <w:bCs/>
          <w:color w:val="auto"/>
          <w:sz w:val="24"/>
        </w:rPr>
      </w:pPr>
    </w:p>
    <w:p>
      <w:pPr>
        <w:spacing w:line="480" w:lineRule="exact"/>
        <w:ind w:firstLine="482" w:firstLineChars="200"/>
        <w:rPr>
          <w:b/>
          <w:bCs/>
          <w:color w:val="auto"/>
          <w:sz w:val="24"/>
        </w:rPr>
      </w:pPr>
    </w:p>
    <w:p>
      <w:pPr>
        <w:spacing w:line="480" w:lineRule="exact"/>
        <w:ind w:firstLine="482" w:firstLineChars="200"/>
        <w:rPr>
          <w:b/>
          <w:bCs/>
          <w:color w:val="auto"/>
          <w:sz w:val="24"/>
        </w:rPr>
      </w:pPr>
    </w:p>
    <w:p>
      <w:pPr>
        <w:spacing w:line="480" w:lineRule="exact"/>
        <w:ind w:firstLine="482" w:firstLineChars="200"/>
        <w:jc w:val="right"/>
        <w:rPr>
          <w:rFonts w:hint="default" w:eastAsia="宋体"/>
          <w:b/>
          <w:color w:val="auto"/>
          <w:sz w:val="24"/>
          <w:lang w:val="en-US" w:eastAsia="zh-CN"/>
        </w:rPr>
      </w:pPr>
      <w:r>
        <w:rPr>
          <w:b/>
          <w:color w:val="auto"/>
          <w:sz w:val="24"/>
        </w:rPr>
        <w:t>注：N：噪声</w:t>
      </w:r>
      <w:r>
        <w:rPr>
          <w:rFonts w:hint="eastAsia"/>
          <w:b/>
          <w:color w:val="auto"/>
          <w:sz w:val="24"/>
          <w:lang w:val="en-US" w:eastAsia="zh-CN"/>
        </w:rPr>
        <w:t>，G2：有机废气</w:t>
      </w:r>
    </w:p>
    <w:p>
      <w:pPr>
        <w:spacing w:line="480" w:lineRule="exact"/>
        <w:ind w:firstLine="482" w:firstLineChars="200"/>
        <w:jc w:val="center"/>
        <w:rPr>
          <w:b/>
          <w:color w:val="auto"/>
          <w:sz w:val="24"/>
        </w:rPr>
      </w:pPr>
      <w:r>
        <w:rPr>
          <w:b/>
          <w:color w:val="auto"/>
          <w:sz w:val="24"/>
        </w:rPr>
        <w:t>图</w:t>
      </w:r>
      <w:r>
        <w:rPr>
          <w:rFonts w:hint="eastAsia"/>
          <w:b/>
          <w:color w:val="auto"/>
          <w:sz w:val="24"/>
          <w:lang w:val="en-US" w:eastAsia="zh-CN"/>
        </w:rPr>
        <w:t>4-7</w:t>
      </w:r>
      <w:r>
        <w:rPr>
          <w:b/>
          <w:color w:val="auto"/>
          <w:sz w:val="24"/>
        </w:rPr>
        <w:t xml:space="preserve">  </w:t>
      </w:r>
      <w:r>
        <w:rPr>
          <w:rFonts w:hint="eastAsia"/>
          <w:b/>
          <w:color w:val="auto"/>
          <w:sz w:val="24"/>
          <w:lang w:eastAsia="zh-CN"/>
        </w:rPr>
        <w:t>半自动复合板生产线</w:t>
      </w:r>
      <w:r>
        <w:rPr>
          <w:b/>
          <w:color w:val="auto"/>
          <w:sz w:val="24"/>
        </w:rPr>
        <w:t>工艺流程图</w:t>
      </w:r>
    </w:p>
    <w:p>
      <w:pPr>
        <w:spacing w:line="480" w:lineRule="exact"/>
        <w:ind w:firstLine="482" w:firstLineChars="200"/>
        <w:rPr>
          <w:b/>
          <w:bCs/>
          <w:color w:val="auto"/>
          <w:sz w:val="24"/>
        </w:rPr>
      </w:pPr>
    </w:p>
    <w:p>
      <w:pPr>
        <w:spacing w:line="480" w:lineRule="exact"/>
        <w:ind w:firstLine="482" w:firstLineChars="200"/>
        <w:rPr>
          <w:rFonts w:hint="eastAsia" w:ascii="Times New Roman" w:hAnsi="Times New Roman"/>
          <w:b/>
          <w:bCs/>
          <w:sz w:val="24"/>
          <w:szCs w:val="24"/>
          <w:lang w:eastAsia="zh-CN"/>
        </w:rPr>
      </w:pPr>
      <w:r>
        <w:rPr>
          <w:rFonts w:hint="eastAsia" w:ascii="Times New Roman" w:hAnsi="Times New Roman"/>
          <w:b/>
          <w:bCs/>
          <w:sz w:val="24"/>
          <w:szCs w:val="24"/>
          <w:lang w:eastAsia="zh-CN"/>
        </w:rPr>
        <w:t>工艺流程简要说明：</w:t>
      </w:r>
    </w:p>
    <w:p>
      <w:pPr>
        <w:spacing w:line="480" w:lineRule="exact"/>
        <w:ind w:firstLine="482" w:firstLineChars="200"/>
        <w:rPr>
          <w:rFonts w:hint="default" w:ascii="Times New Roman" w:hAnsi="Times New Roman"/>
          <w:sz w:val="24"/>
          <w:szCs w:val="24"/>
          <w:lang w:val="en-US" w:eastAsia="zh-CN"/>
        </w:rPr>
      </w:pPr>
      <w:r>
        <w:rPr>
          <w:rFonts w:hint="eastAsia" w:ascii="Times New Roman" w:hAnsi="Times New Roman"/>
          <w:b/>
          <w:bCs/>
          <w:sz w:val="24"/>
          <w:szCs w:val="24"/>
          <w:lang w:eastAsia="zh-CN"/>
        </w:rPr>
        <w:t>配胶：</w:t>
      </w:r>
      <w:r>
        <w:rPr>
          <w:rFonts w:hint="eastAsia" w:ascii="Times New Roman" w:hAnsi="Times New Roman"/>
          <w:sz w:val="24"/>
          <w:szCs w:val="24"/>
          <w:lang w:eastAsia="zh-CN"/>
        </w:rPr>
        <w:t>首先根据产品不同，配置不同的胶料，胶料原料主要为混炼胶、发泡粉、橡胶溶剂</w:t>
      </w:r>
      <w:r>
        <w:rPr>
          <w:rFonts w:hint="eastAsia"/>
          <w:sz w:val="24"/>
          <w:szCs w:val="24"/>
          <w:lang w:eastAsia="zh-CN"/>
        </w:rPr>
        <w:t>，</w:t>
      </w:r>
      <w:r>
        <w:rPr>
          <w:rFonts w:hint="eastAsia" w:ascii="Times New Roman" w:hAnsi="Times New Roman"/>
          <w:sz w:val="24"/>
          <w:szCs w:val="24"/>
          <w:lang w:eastAsia="zh-CN"/>
        </w:rPr>
        <w:t>配置在单独的配料间内进行，使用搅拌机进行搅拌配置，配置过程中会产生有机废气，产生的有机废气通过</w:t>
      </w:r>
      <w:r>
        <w:rPr>
          <w:rFonts w:hint="eastAsia"/>
          <w:sz w:val="24"/>
          <w:szCs w:val="24"/>
          <w:lang w:val="en-US" w:eastAsia="zh-CN"/>
        </w:rPr>
        <w:t>二级</w:t>
      </w:r>
      <w:r>
        <w:rPr>
          <w:rFonts w:hint="eastAsia" w:ascii="Times New Roman" w:hAnsi="Times New Roman"/>
          <w:sz w:val="24"/>
          <w:szCs w:val="24"/>
          <w:lang w:val="en-US" w:eastAsia="zh-CN"/>
        </w:rPr>
        <w:t>活性炭净化装置进行净化处理，经1根15m高排气筒排放（</w:t>
      </w:r>
      <w:r>
        <w:rPr>
          <w:rFonts w:hint="eastAsia"/>
          <w:sz w:val="24"/>
          <w:szCs w:val="24"/>
          <w:lang w:val="en-US" w:eastAsia="zh-CN"/>
        </w:rPr>
        <w:t>共用炼胶废气净化装置，</w:t>
      </w:r>
      <w:r>
        <w:rPr>
          <w:rFonts w:hint="eastAsia" w:ascii="Times New Roman" w:hAnsi="Times New Roman"/>
          <w:sz w:val="24"/>
          <w:szCs w:val="24"/>
          <w:lang w:val="en-US" w:eastAsia="zh-CN"/>
        </w:rPr>
        <w:t>2#排气筒）。</w:t>
      </w:r>
    </w:p>
    <w:p>
      <w:pPr>
        <w:spacing w:line="480" w:lineRule="exact"/>
        <w:ind w:firstLine="482" w:firstLineChars="200"/>
        <w:rPr>
          <w:rFonts w:hint="default" w:ascii="Times New Roman" w:hAnsi="Times New Roman"/>
          <w:sz w:val="24"/>
          <w:szCs w:val="24"/>
          <w:lang w:val="en-US" w:eastAsia="zh-CN"/>
        </w:rPr>
      </w:pPr>
      <w:r>
        <w:rPr>
          <w:rFonts w:hint="eastAsia" w:ascii="Times New Roman" w:hAnsi="Times New Roman"/>
          <w:b/>
          <w:bCs/>
          <w:sz w:val="24"/>
          <w:szCs w:val="24"/>
          <w:lang w:eastAsia="zh-CN"/>
        </w:rPr>
        <w:t>涂覆：</w:t>
      </w:r>
      <w:r>
        <w:rPr>
          <w:rFonts w:hint="eastAsia" w:ascii="Times New Roman" w:hAnsi="Times New Roman"/>
          <w:sz w:val="24"/>
          <w:szCs w:val="24"/>
          <w:lang w:eastAsia="zh-CN"/>
        </w:rPr>
        <w:t>将配置好的胶料投入</w:t>
      </w:r>
      <w:r>
        <w:rPr>
          <w:rFonts w:hint="eastAsia" w:ascii="宋体"/>
          <w:sz w:val="24"/>
        </w:rPr>
        <w:t>辊涂机</w:t>
      </w:r>
      <w:r>
        <w:rPr>
          <w:rFonts w:hint="eastAsia" w:ascii="宋体"/>
          <w:sz w:val="24"/>
          <w:lang w:eastAsia="zh-CN"/>
        </w:rPr>
        <w:t>内，</w:t>
      </w:r>
      <w:r>
        <w:rPr>
          <w:rFonts w:hint="eastAsia" w:ascii="Times New Roman" w:hAnsi="Times New Roman"/>
          <w:sz w:val="24"/>
          <w:szCs w:val="24"/>
          <w:lang w:eastAsia="zh-CN"/>
        </w:rPr>
        <w:t>人工将钢板原材料送入</w:t>
      </w:r>
      <w:r>
        <w:rPr>
          <w:rFonts w:hint="eastAsia" w:ascii="宋体"/>
          <w:sz w:val="24"/>
        </w:rPr>
        <w:t>辊涂机</w:t>
      </w:r>
      <w:r>
        <w:rPr>
          <w:rFonts w:hint="eastAsia" w:ascii="宋体"/>
          <w:sz w:val="24"/>
          <w:lang w:eastAsia="zh-CN"/>
        </w:rPr>
        <w:t>内进行涂覆，涂覆过程中会产生有机废气，产生的有机废气经集气装置收集后通过</w:t>
      </w:r>
      <w:r>
        <w:rPr>
          <w:rFonts w:hint="eastAsia"/>
          <w:sz w:val="24"/>
          <w:szCs w:val="24"/>
          <w:lang w:val="en-US" w:eastAsia="zh-CN"/>
        </w:rPr>
        <w:t>催化燃烧装置</w:t>
      </w:r>
      <w:r>
        <w:rPr>
          <w:rFonts w:hint="eastAsia" w:ascii="Times New Roman" w:hAnsi="Times New Roman"/>
          <w:sz w:val="24"/>
          <w:szCs w:val="24"/>
          <w:lang w:val="en-US" w:eastAsia="zh-CN"/>
        </w:rPr>
        <w:t>进行净化处理，经1根15m高排气筒排放（</w:t>
      </w:r>
      <w:r>
        <w:rPr>
          <w:rFonts w:hint="eastAsia"/>
          <w:sz w:val="24"/>
          <w:szCs w:val="24"/>
          <w:lang w:val="en-US" w:eastAsia="zh-CN"/>
        </w:rPr>
        <w:t>3</w:t>
      </w:r>
      <w:r>
        <w:rPr>
          <w:rFonts w:hint="eastAsia" w:ascii="Times New Roman" w:hAnsi="Times New Roman"/>
          <w:sz w:val="24"/>
          <w:szCs w:val="24"/>
          <w:lang w:val="en-US" w:eastAsia="zh-CN"/>
        </w:rPr>
        <w:t>#排气筒）。</w:t>
      </w:r>
    </w:p>
    <w:p>
      <w:pPr>
        <w:spacing w:line="480" w:lineRule="exact"/>
        <w:ind w:firstLine="482" w:firstLineChars="200"/>
        <w:rPr>
          <w:rFonts w:hint="eastAsia" w:ascii="Times New Roman" w:hAnsi="Times New Roman"/>
          <w:sz w:val="24"/>
          <w:szCs w:val="24"/>
          <w:lang w:eastAsia="zh-CN"/>
        </w:rPr>
      </w:pPr>
      <w:r>
        <w:rPr>
          <w:rFonts w:hint="eastAsia" w:ascii="Times New Roman" w:hAnsi="Times New Roman"/>
          <w:b/>
          <w:bCs/>
          <w:sz w:val="24"/>
          <w:szCs w:val="24"/>
          <w:lang w:val="en-US" w:eastAsia="zh-CN"/>
        </w:rPr>
        <w:t>晾干：</w:t>
      </w:r>
      <w:r>
        <w:rPr>
          <w:rFonts w:hint="eastAsia" w:ascii="Times New Roman" w:hAnsi="Times New Roman"/>
          <w:sz w:val="24"/>
          <w:szCs w:val="24"/>
          <w:lang w:val="en-US" w:eastAsia="zh-CN"/>
        </w:rPr>
        <w:t>涂覆完成后通过人工挂入到自动晾干通道，采用自然晾干方式。由于夏天温度较高，可自然晾干，冬季温度低，通过在后道烘干隧道烘箱内设置循环水管，利用烘干隧道烘箱余热，使循环水加热到25</w:t>
      </w:r>
      <w:r>
        <w:rPr>
          <w:rFonts w:hint="eastAsia" w:ascii="宋体" w:hAnsi="宋体" w:eastAsia="宋体" w:cs="宋体"/>
          <w:sz w:val="24"/>
          <w:szCs w:val="24"/>
          <w:lang w:val="en-US" w:eastAsia="zh-CN"/>
        </w:rPr>
        <w:t>℃</w:t>
      </w:r>
      <w:r>
        <w:rPr>
          <w:rFonts w:hint="eastAsia" w:ascii="Times New Roman" w:hAnsi="Times New Roman"/>
          <w:sz w:val="24"/>
          <w:szCs w:val="24"/>
          <w:lang w:val="en-US" w:eastAsia="zh-CN"/>
        </w:rPr>
        <w:t>，接入晾干隧道内进行保温。由于涂覆表面胶料较薄，且胶料浓度较高，不下淋到地面。</w:t>
      </w:r>
    </w:p>
    <w:p>
      <w:pPr>
        <w:spacing w:line="480" w:lineRule="exact"/>
        <w:ind w:firstLine="482" w:firstLineChars="200"/>
        <w:rPr>
          <w:rFonts w:hint="default"/>
          <w:color w:val="auto"/>
          <w:sz w:val="24"/>
          <w:lang w:val="en-US" w:eastAsia="zh-CN"/>
        </w:rPr>
      </w:pPr>
      <w:r>
        <w:rPr>
          <w:rFonts w:hint="eastAsia"/>
          <w:b/>
          <w:bCs/>
          <w:color w:val="auto"/>
          <w:sz w:val="24"/>
          <w:lang w:val="en-US" w:eastAsia="zh-CN"/>
        </w:rPr>
        <w:t>烘干：</w:t>
      </w:r>
      <w:r>
        <w:rPr>
          <w:rFonts w:hint="eastAsia"/>
          <w:color w:val="auto"/>
          <w:sz w:val="24"/>
          <w:lang w:val="en-US" w:eastAsia="zh-CN"/>
        </w:rPr>
        <w:t>晾干后进行烘干，烘干在封闭的隧道式烘箱内进行，</w:t>
      </w:r>
      <w:r>
        <w:rPr>
          <w:rFonts w:hint="eastAsia"/>
          <w:color w:val="auto"/>
          <w:sz w:val="24"/>
          <w:lang w:eastAsia="zh-CN"/>
        </w:rPr>
        <w:t>烘干温度在</w:t>
      </w:r>
      <w:r>
        <w:rPr>
          <w:rFonts w:hint="eastAsia"/>
          <w:color w:val="auto"/>
          <w:sz w:val="24"/>
          <w:lang w:val="en-US" w:eastAsia="zh-CN"/>
        </w:rPr>
        <w:t>150℃，烘干时间约为5min，烘干</w:t>
      </w:r>
      <w:r>
        <w:rPr>
          <w:rFonts w:hint="eastAsia"/>
          <w:color w:val="auto"/>
          <w:sz w:val="24"/>
          <w:lang w:eastAsia="zh-CN"/>
        </w:rPr>
        <w:t>工序产生的有机废气经收集后通过催化燃烧装置进行净化处理，经</w:t>
      </w:r>
      <w:r>
        <w:rPr>
          <w:rFonts w:hint="eastAsia"/>
          <w:color w:val="auto"/>
          <w:sz w:val="24"/>
          <w:lang w:val="en-US" w:eastAsia="zh-CN"/>
        </w:rPr>
        <w:t>15m高排气筒排放。</w:t>
      </w:r>
    </w:p>
    <w:p>
      <w:pPr>
        <w:spacing w:line="480" w:lineRule="exact"/>
        <w:ind w:firstLine="482" w:firstLineChars="200"/>
        <w:rPr>
          <w:rFonts w:hint="eastAsia"/>
          <w:color w:val="auto"/>
          <w:sz w:val="24"/>
          <w:lang w:val="en-US" w:eastAsia="zh-CN"/>
        </w:rPr>
      </w:pPr>
      <w:r>
        <w:rPr>
          <w:rFonts w:hint="eastAsia"/>
          <w:b/>
          <w:bCs/>
          <w:color w:val="auto"/>
          <w:sz w:val="24"/>
          <w:lang w:val="en-US" w:eastAsia="zh-CN"/>
        </w:rPr>
        <w:t>收料：</w:t>
      </w:r>
      <w:r>
        <w:rPr>
          <w:rFonts w:hint="eastAsia"/>
          <w:color w:val="auto"/>
          <w:sz w:val="24"/>
          <w:lang w:val="en-US" w:eastAsia="zh-CN"/>
        </w:rPr>
        <w:t>烘干后即为成品，通过人工对烘干后的材料进行收取。</w:t>
      </w:r>
    </w:p>
    <w:p>
      <w:pPr>
        <w:spacing w:line="480" w:lineRule="exact"/>
        <w:ind w:firstLine="482" w:firstLineChars="200"/>
        <w:rPr>
          <w:rFonts w:hint="eastAsia"/>
          <w:color w:val="auto"/>
          <w:sz w:val="24"/>
          <w:lang w:val="en-US" w:eastAsia="zh-CN"/>
        </w:rPr>
      </w:pPr>
      <w:r>
        <w:rPr>
          <w:rFonts w:hint="eastAsia"/>
          <w:b/>
          <w:bCs/>
          <w:color w:val="auto"/>
          <w:sz w:val="24"/>
          <w:lang w:val="en-US" w:eastAsia="zh-CN"/>
        </w:rPr>
        <w:t>入库待售：</w:t>
      </w:r>
      <w:r>
        <w:rPr>
          <w:rFonts w:hint="eastAsia"/>
          <w:color w:val="auto"/>
          <w:sz w:val="24"/>
          <w:lang w:val="en-US" w:eastAsia="zh-CN"/>
        </w:rPr>
        <w:t>收料后运至成品区，经包装后，入库待售。</w:t>
      </w:r>
    </w:p>
    <w:p>
      <w:pPr>
        <w:rPr>
          <w:color w:val="auto"/>
          <w:sz w:val="24"/>
        </w:rPr>
      </w:pPr>
    </w:p>
    <w:p>
      <w:pPr>
        <w:pStyle w:val="2"/>
        <w:rPr>
          <w:color w:val="auto"/>
          <w:sz w:val="24"/>
        </w:rPr>
      </w:pPr>
    </w:p>
    <w:p>
      <w:pPr>
        <w:pStyle w:val="5"/>
        <w:spacing w:before="0" w:after="0" w:line="520" w:lineRule="exact"/>
        <w:rPr>
          <w:color w:val="auto"/>
          <w:sz w:val="24"/>
        </w:rPr>
      </w:pPr>
      <w:r>
        <w:rPr>
          <w:rFonts w:hint="eastAsia"/>
          <w:color w:val="auto"/>
          <w:sz w:val="24"/>
          <w:szCs w:val="24"/>
        </w:rPr>
        <w:t>4</w:t>
      </w:r>
      <w:r>
        <w:rPr>
          <w:color w:val="auto"/>
          <w:sz w:val="24"/>
          <w:szCs w:val="24"/>
        </w:rPr>
        <w:t>.2.2</w:t>
      </w:r>
      <w:r>
        <w:rPr>
          <w:color w:val="auto"/>
          <w:sz w:val="24"/>
        </w:rPr>
        <w:t>物料能源消耗</w:t>
      </w:r>
    </w:p>
    <w:p>
      <w:pPr>
        <w:spacing w:line="520" w:lineRule="exact"/>
        <w:ind w:firstLine="480" w:firstLineChars="200"/>
        <w:rPr>
          <w:b/>
          <w:color w:val="auto"/>
          <w:sz w:val="24"/>
        </w:rPr>
      </w:pPr>
      <w:r>
        <w:rPr>
          <w:color w:val="auto"/>
          <w:sz w:val="24"/>
        </w:rPr>
        <w:t>本项目主要原辅材料及能源消耗情况见下表。</w:t>
      </w:r>
    </w:p>
    <w:p>
      <w:pPr>
        <w:spacing w:line="440" w:lineRule="exact"/>
        <w:jc w:val="both"/>
        <w:rPr>
          <w:b/>
          <w:color w:val="auto"/>
          <w:sz w:val="24"/>
        </w:rPr>
      </w:pPr>
    </w:p>
    <w:p>
      <w:pPr>
        <w:spacing w:line="440" w:lineRule="exact"/>
        <w:jc w:val="center"/>
        <w:rPr>
          <w:b/>
          <w:color w:val="auto"/>
          <w:sz w:val="24"/>
        </w:rPr>
      </w:pPr>
    </w:p>
    <w:p>
      <w:pPr>
        <w:pStyle w:val="2"/>
        <w:rPr>
          <w:b/>
          <w:color w:val="auto"/>
          <w:sz w:val="24"/>
        </w:rPr>
      </w:pPr>
    </w:p>
    <w:p>
      <w:pPr>
        <w:sectPr>
          <w:pgSz w:w="11911" w:h="16849"/>
          <w:pgMar w:top="1440" w:right="1587" w:bottom="1440" w:left="1587" w:header="680" w:footer="652" w:gutter="0"/>
          <w:pgBorders>
            <w:top w:val="none" w:sz="0" w:space="0"/>
            <w:left w:val="none" w:sz="0" w:space="0"/>
            <w:bottom w:val="none" w:sz="0" w:space="0"/>
            <w:right w:val="none" w:sz="0" w:space="0"/>
          </w:pgBorders>
          <w:cols w:space="720" w:num="1"/>
          <w:docGrid w:linePitch="322" w:charSpace="0"/>
        </w:sectPr>
      </w:pPr>
    </w:p>
    <w:p>
      <w:pPr>
        <w:spacing w:line="440" w:lineRule="exact"/>
        <w:jc w:val="center"/>
        <w:rPr>
          <w:b/>
          <w:color w:val="auto"/>
          <w:sz w:val="24"/>
        </w:rPr>
      </w:pPr>
      <w:bookmarkStart w:id="473" w:name="_GoBack"/>
      <w:r>
        <w:rPr>
          <w:b/>
          <w:color w:val="auto"/>
          <w:sz w:val="24"/>
        </w:rPr>
        <w:t>表</w:t>
      </w:r>
      <w:r>
        <w:rPr>
          <w:rFonts w:hint="eastAsia"/>
          <w:b/>
          <w:color w:val="auto"/>
          <w:sz w:val="24"/>
        </w:rPr>
        <w:t>4</w:t>
      </w:r>
      <w:r>
        <w:rPr>
          <w:b/>
          <w:color w:val="auto"/>
          <w:sz w:val="24"/>
        </w:rPr>
        <w:t>-3  项目原辅材料消耗一览表</w:t>
      </w:r>
    </w:p>
    <w:tbl>
      <w:tblPr>
        <w:tblStyle w:val="53"/>
        <w:tblW w:w="4996"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1769"/>
        <w:gridCol w:w="1769"/>
        <w:gridCol w:w="1769"/>
        <w:gridCol w:w="1773"/>
        <w:gridCol w:w="1773"/>
        <w:gridCol w:w="1773"/>
        <w:gridCol w:w="1773"/>
        <w:gridCol w:w="1775"/>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624" w:type="pct"/>
            <w:noWrap w:val="0"/>
            <w:vAlign w:val="center"/>
          </w:tcPr>
          <w:p>
            <w:pPr>
              <w:spacing w:line="300" w:lineRule="exact"/>
              <w:jc w:val="center"/>
              <w:rPr>
                <w:color w:val="auto"/>
                <w:szCs w:val="21"/>
              </w:rPr>
            </w:pPr>
            <w:r>
              <w:rPr>
                <w:color w:val="auto"/>
                <w:szCs w:val="21"/>
              </w:rPr>
              <w:t>序号</w:t>
            </w:r>
          </w:p>
        </w:tc>
        <w:tc>
          <w:tcPr>
            <w:tcW w:w="624" w:type="pct"/>
            <w:noWrap w:val="0"/>
            <w:vAlign w:val="center"/>
          </w:tcPr>
          <w:p>
            <w:pPr>
              <w:spacing w:line="300" w:lineRule="exact"/>
              <w:jc w:val="center"/>
              <w:rPr>
                <w:color w:val="auto"/>
                <w:szCs w:val="21"/>
              </w:rPr>
            </w:pPr>
            <w:r>
              <w:rPr>
                <w:color w:val="auto"/>
                <w:szCs w:val="21"/>
              </w:rPr>
              <w:t>名称</w:t>
            </w:r>
          </w:p>
        </w:tc>
        <w:tc>
          <w:tcPr>
            <w:tcW w:w="624" w:type="pct"/>
            <w:noWrap w:val="0"/>
            <w:vAlign w:val="center"/>
          </w:tcPr>
          <w:p>
            <w:pPr>
              <w:spacing w:line="300" w:lineRule="exact"/>
              <w:jc w:val="center"/>
              <w:rPr>
                <w:color w:val="auto"/>
                <w:szCs w:val="21"/>
              </w:rPr>
            </w:pPr>
            <w:r>
              <w:rPr>
                <w:color w:val="auto"/>
                <w:szCs w:val="21"/>
              </w:rPr>
              <w:t>规格</w:t>
            </w:r>
          </w:p>
        </w:tc>
        <w:tc>
          <w:tcPr>
            <w:tcW w:w="625" w:type="pct"/>
            <w:tcBorders>
              <w:right w:val="single" w:color="auto" w:sz="4" w:space="0"/>
            </w:tcBorders>
            <w:noWrap w:val="0"/>
            <w:vAlign w:val="center"/>
          </w:tcPr>
          <w:p>
            <w:pPr>
              <w:spacing w:line="300" w:lineRule="exact"/>
              <w:jc w:val="center"/>
              <w:rPr>
                <w:color w:val="auto"/>
                <w:szCs w:val="21"/>
              </w:rPr>
            </w:pPr>
            <w:r>
              <w:rPr>
                <w:color w:val="auto"/>
                <w:szCs w:val="21"/>
              </w:rPr>
              <w:t>单位</w:t>
            </w:r>
          </w:p>
        </w:tc>
        <w:tc>
          <w:tcPr>
            <w:tcW w:w="625" w:type="pct"/>
            <w:tcBorders>
              <w:left w:val="single" w:color="auto" w:sz="4" w:space="0"/>
              <w:right w:val="single" w:color="auto" w:sz="4" w:space="0"/>
            </w:tcBorders>
            <w:noWrap w:val="0"/>
            <w:vAlign w:val="center"/>
          </w:tcPr>
          <w:p>
            <w:pPr>
              <w:spacing w:line="300" w:lineRule="exact"/>
              <w:jc w:val="center"/>
              <w:rPr>
                <w:color w:val="auto"/>
                <w:szCs w:val="21"/>
              </w:rPr>
            </w:pPr>
            <w:r>
              <w:rPr>
                <w:color w:val="auto"/>
                <w:szCs w:val="21"/>
              </w:rPr>
              <w:t>用量</w:t>
            </w:r>
          </w:p>
        </w:tc>
        <w:tc>
          <w:tcPr>
            <w:tcW w:w="625" w:type="pct"/>
            <w:noWrap w:val="0"/>
            <w:vAlign w:val="center"/>
          </w:tcPr>
          <w:p>
            <w:pPr>
              <w:spacing w:line="300" w:lineRule="exact"/>
              <w:jc w:val="center"/>
              <w:rPr>
                <w:color w:val="auto"/>
                <w:szCs w:val="21"/>
              </w:rPr>
            </w:pPr>
            <w:r>
              <w:rPr>
                <w:color w:val="auto"/>
                <w:szCs w:val="21"/>
              </w:rPr>
              <w:t>一次最大贮存量（t）</w:t>
            </w:r>
          </w:p>
        </w:tc>
        <w:tc>
          <w:tcPr>
            <w:tcW w:w="625" w:type="pct"/>
            <w:noWrap w:val="0"/>
            <w:vAlign w:val="center"/>
          </w:tcPr>
          <w:p>
            <w:pPr>
              <w:spacing w:line="300" w:lineRule="exact"/>
              <w:jc w:val="center"/>
              <w:rPr>
                <w:color w:val="auto"/>
                <w:szCs w:val="21"/>
              </w:rPr>
            </w:pPr>
            <w:r>
              <w:rPr>
                <w:color w:val="auto"/>
                <w:szCs w:val="21"/>
              </w:rPr>
              <w:t>贮存周期</w:t>
            </w:r>
          </w:p>
        </w:tc>
        <w:tc>
          <w:tcPr>
            <w:tcW w:w="626" w:type="pct"/>
            <w:tcBorders>
              <w:left w:val="single" w:color="auto" w:sz="4" w:space="0"/>
            </w:tcBorders>
            <w:noWrap w:val="0"/>
            <w:vAlign w:val="center"/>
          </w:tcPr>
          <w:p>
            <w:pPr>
              <w:spacing w:line="300" w:lineRule="exact"/>
              <w:jc w:val="center"/>
              <w:rPr>
                <w:rFonts w:hint="eastAsia" w:eastAsia="宋体"/>
                <w:color w:val="auto"/>
                <w:szCs w:val="21"/>
                <w:lang w:eastAsia="zh-CN"/>
              </w:rPr>
            </w:pPr>
            <w:r>
              <w:rPr>
                <w:rFonts w:hint="eastAsia"/>
                <w:color w:val="auto"/>
                <w:szCs w:val="21"/>
                <w:lang w:eastAsia="zh-CN"/>
              </w:rPr>
              <w:t>性状</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624" w:type="pct"/>
            <w:noWrap w:val="0"/>
            <w:vAlign w:val="center"/>
          </w:tcPr>
          <w:p>
            <w:pPr>
              <w:keepNext w:val="0"/>
              <w:keepLines w:val="0"/>
              <w:widowControl/>
              <w:suppressLineNumbers w:val="0"/>
              <w:jc w:val="center"/>
              <w:textAlignment w:val="center"/>
              <w:rPr>
                <w:color w:val="auto"/>
                <w:szCs w:val="21"/>
              </w:rPr>
            </w:pPr>
            <w:r>
              <w:rPr>
                <w:rFonts w:hint="default" w:ascii="Times New Roman" w:hAnsi="Times New Roman" w:eastAsia="宋体" w:cs="Times New Roman"/>
                <w:i w:val="0"/>
                <w:color w:val="000000"/>
                <w:kern w:val="0"/>
                <w:sz w:val="21"/>
                <w:szCs w:val="21"/>
                <w:u w:val="none"/>
                <w:lang w:val="en-US" w:eastAsia="zh-CN" w:bidi="ar"/>
              </w:rPr>
              <w:t>1</w:t>
            </w:r>
          </w:p>
        </w:tc>
        <w:tc>
          <w:tcPr>
            <w:tcW w:w="624" w:type="pct"/>
            <w:noWrap w:val="0"/>
            <w:vAlign w:val="center"/>
          </w:tcPr>
          <w:p>
            <w:pPr>
              <w:spacing w:line="300" w:lineRule="exact"/>
              <w:jc w:val="center"/>
              <w:rPr>
                <w:color w:val="auto"/>
                <w:szCs w:val="21"/>
              </w:rPr>
            </w:pPr>
            <w:r>
              <w:rPr>
                <w:rFonts w:hint="eastAsia"/>
                <w:color w:val="auto"/>
                <w:szCs w:val="21"/>
              </w:rPr>
              <w:t>丁晴橡胶</w:t>
            </w:r>
          </w:p>
        </w:tc>
        <w:tc>
          <w:tcPr>
            <w:tcW w:w="624" w:type="pct"/>
            <w:noWrap w:val="0"/>
            <w:vAlign w:val="center"/>
          </w:tcPr>
          <w:p>
            <w:pPr>
              <w:spacing w:line="300" w:lineRule="exact"/>
              <w:jc w:val="center"/>
              <w:rPr>
                <w:color w:val="auto"/>
                <w:szCs w:val="21"/>
              </w:rPr>
            </w:pPr>
            <w:r>
              <w:rPr>
                <w:color w:val="auto"/>
                <w:szCs w:val="21"/>
              </w:rPr>
              <w:t>50kg/袋</w:t>
            </w:r>
          </w:p>
        </w:tc>
        <w:tc>
          <w:tcPr>
            <w:tcW w:w="625" w:type="pct"/>
            <w:tcBorders>
              <w:right w:val="single" w:color="auto" w:sz="4" w:space="0"/>
            </w:tcBorders>
            <w:noWrap w:val="0"/>
            <w:vAlign w:val="center"/>
          </w:tcPr>
          <w:p>
            <w:pPr>
              <w:spacing w:line="300" w:lineRule="exact"/>
              <w:jc w:val="center"/>
              <w:rPr>
                <w:color w:val="auto"/>
                <w:szCs w:val="21"/>
              </w:rPr>
            </w:pPr>
            <w:r>
              <w:rPr>
                <w:color w:val="auto"/>
                <w:szCs w:val="21"/>
              </w:rPr>
              <w:t>t/a</w:t>
            </w:r>
          </w:p>
        </w:tc>
        <w:tc>
          <w:tcPr>
            <w:tcW w:w="625" w:type="pct"/>
            <w:tcBorders>
              <w:left w:val="single" w:color="auto" w:sz="4" w:space="0"/>
              <w:right w:val="single" w:color="auto" w:sz="4" w:space="0"/>
            </w:tcBorders>
            <w:noWrap w:val="0"/>
            <w:vAlign w:val="center"/>
          </w:tcPr>
          <w:p>
            <w:pPr>
              <w:spacing w:line="300" w:lineRule="exact"/>
              <w:jc w:val="center"/>
              <w:rPr>
                <w:color w:val="auto"/>
                <w:szCs w:val="21"/>
              </w:rPr>
            </w:pPr>
            <w:r>
              <w:rPr>
                <w:color w:val="auto"/>
                <w:szCs w:val="21"/>
              </w:rPr>
              <w:t>200</w:t>
            </w:r>
          </w:p>
        </w:tc>
        <w:tc>
          <w:tcPr>
            <w:tcW w:w="625" w:type="pct"/>
            <w:noWrap w:val="0"/>
            <w:vAlign w:val="center"/>
          </w:tcPr>
          <w:p>
            <w:pPr>
              <w:spacing w:line="300" w:lineRule="exact"/>
              <w:jc w:val="center"/>
              <w:rPr>
                <w:color w:val="auto"/>
                <w:szCs w:val="21"/>
              </w:rPr>
            </w:pPr>
            <w:r>
              <w:rPr>
                <w:color w:val="auto"/>
                <w:szCs w:val="21"/>
              </w:rPr>
              <w:t>6</w:t>
            </w:r>
          </w:p>
        </w:tc>
        <w:tc>
          <w:tcPr>
            <w:tcW w:w="625" w:type="pct"/>
            <w:noWrap w:val="0"/>
            <w:vAlign w:val="center"/>
          </w:tcPr>
          <w:p>
            <w:pPr>
              <w:spacing w:line="300" w:lineRule="exact"/>
              <w:jc w:val="center"/>
              <w:rPr>
                <w:color w:val="auto"/>
                <w:szCs w:val="21"/>
              </w:rPr>
            </w:pPr>
            <w:r>
              <w:rPr>
                <w:color w:val="auto"/>
                <w:szCs w:val="21"/>
              </w:rPr>
              <w:t>10天</w:t>
            </w:r>
          </w:p>
        </w:tc>
        <w:tc>
          <w:tcPr>
            <w:tcW w:w="626" w:type="pct"/>
            <w:tcBorders>
              <w:left w:val="single" w:color="auto" w:sz="4" w:space="0"/>
            </w:tcBorders>
            <w:noWrap w:val="0"/>
            <w:vAlign w:val="center"/>
          </w:tcPr>
          <w:p>
            <w:pPr>
              <w:spacing w:line="300" w:lineRule="exact"/>
              <w:jc w:val="center"/>
              <w:rPr>
                <w:color w:val="auto"/>
                <w:szCs w:val="21"/>
              </w:rPr>
            </w:pPr>
            <w:r>
              <w:rPr>
                <w:color w:val="auto"/>
                <w:szCs w:val="21"/>
              </w:rPr>
              <w:t>块状，袋装入厂</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624" w:type="pct"/>
            <w:noWrap w:val="0"/>
            <w:vAlign w:val="center"/>
          </w:tcPr>
          <w:p>
            <w:pPr>
              <w:keepNext w:val="0"/>
              <w:keepLines w:val="0"/>
              <w:widowControl/>
              <w:suppressLineNumbers w:val="0"/>
              <w:jc w:val="center"/>
              <w:textAlignment w:val="center"/>
              <w:rPr>
                <w:color w:val="auto"/>
                <w:szCs w:val="21"/>
              </w:rPr>
            </w:pPr>
            <w:r>
              <w:rPr>
                <w:rFonts w:hint="default" w:ascii="Times New Roman" w:hAnsi="Times New Roman" w:eastAsia="宋体" w:cs="Times New Roman"/>
                <w:i w:val="0"/>
                <w:color w:val="000000"/>
                <w:kern w:val="0"/>
                <w:sz w:val="21"/>
                <w:szCs w:val="21"/>
                <w:u w:val="none"/>
                <w:lang w:val="en-US" w:eastAsia="zh-CN" w:bidi="ar"/>
              </w:rPr>
              <w:t>2</w:t>
            </w:r>
          </w:p>
        </w:tc>
        <w:tc>
          <w:tcPr>
            <w:tcW w:w="624" w:type="pct"/>
            <w:noWrap w:val="0"/>
            <w:vAlign w:val="center"/>
          </w:tcPr>
          <w:p>
            <w:pPr>
              <w:spacing w:line="300" w:lineRule="exact"/>
              <w:jc w:val="center"/>
              <w:rPr>
                <w:color w:val="auto"/>
                <w:szCs w:val="21"/>
              </w:rPr>
            </w:pPr>
            <w:r>
              <w:rPr>
                <w:rFonts w:hint="eastAsia"/>
                <w:color w:val="auto"/>
                <w:szCs w:val="21"/>
              </w:rPr>
              <w:t>氟橡胶</w:t>
            </w:r>
          </w:p>
        </w:tc>
        <w:tc>
          <w:tcPr>
            <w:tcW w:w="624" w:type="pct"/>
            <w:noWrap w:val="0"/>
            <w:vAlign w:val="center"/>
          </w:tcPr>
          <w:p>
            <w:pPr>
              <w:spacing w:line="300" w:lineRule="exact"/>
              <w:jc w:val="center"/>
              <w:rPr>
                <w:color w:val="auto"/>
                <w:szCs w:val="21"/>
              </w:rPr>
            </w:pPr>
            <w:r>
              <w:rPr>
                <w:rFonts w:hint="eastAsia"/>
                <w:color w:val="auto"/>
                <w:szCs w:val="21"/>
              </w:rPr>
              <w:t>15</w:t>
            </w:r>
            <w:r>
              <w:rPr>
                <w:color w:val="auto"/>
                <w:szCs w:val="21"/>
              </w:rPr>
              <w:t>kg/包</w:t>
            </w:r>
          </w:p>
        </w:tc>
        <w:tc>
          <w:tcPr>
            <w:tcW w:w="625" w:type="pct"/>
            <w:tcBorders>
              <w:right w:val="single" w:color="auto" w:sz="4" w:space="0"/>
            </w:tcBorders>
            <w:noWrap w:val="0"/>
            <w:vAlign w:val="center"/>
          </w:tcPr>
          <w:p>
            <w:pPr>
              <w:spacing w:line="300" w:lineRule="exact"/>
              <w:jc w:val="center"/>
              <w:rPr>
                <w:color w:val="auto"/>
                <w:szCs w:val="21"/>
              </w:rPr>
            </w:pPr>
            <w:r>
              <w:rPr>
                <w:color w:val="auto"/>
                <w:szCs w:val="21"/>
              </w:rPr>
              <w:t>t/a</w:t>
            </w:r>
          </w:p>
        </w:tc>
        <w:tc>
          <w:tcPr>
            <w:tcW w:w="625" w:type="pct"/>
            <w:tcBorders>
              <w:left w:val="single" w:color="auto" w:sz="4" w:space="0"/>
              <w:right w:val="single" w:color="auto" w:sz="4" w:space="0"/>
            </w:tcBorders>
            <w:noWrap w:val="0"/>
            <w:vAlign w:val="center"/>
          </w:tcPr>
          <w:p>
            <w:pPr>
              <w:spacing w:line="300" w:lineRule="exact"/>
              <w:jc w:val="center"/>
              <w:rPr>
                <w:color w:val="auto"/>
                <w:szCs w:val="21"/>
              </w:rPr>
            </w:pPr>
            <w:r>
              <w:rPr>
                <w:rFonts w:hint="eastAsia"/>
                <w:color w:val="auto"/>
                <w:szCs w:val="21"/>
              </w:rPr>
              <w:t>5</w:t>
            </w:r>
          </w:p>
        </w:tc>
        <w:tc>
          <w:tcPr>
            <w:tcW w:w="625" w:type="pct"/>
            <w:noWrap w:val="0"/>
            <w:vAlign w:val="center"/>
          </w:tcPr>
          <w:p>
            <w:pPr>
              <w:spacing w:line="300" w:lineRule="exact"/>
              <w:jc w:val="center"/>
              <w:rPr>
                <w:color w:val="auto"/>
                <w:szCs w:val="21"/>
              </w:rPr>
            </w:pPr>
            <w:r>
              <w:rPr>
                <w:rFonts w:hint="eastAsia"/>
                <w:color w:val="auto"/>
                <w:szCs w:val="21"/>
              </w:rPr>
              <w:t>0.5</w:t>
            </w:r>
          </w:p>
        </w:tc>
        <w:tc>
          <w:tcPr>
            <w:tcW w:w="625" w:type="pct"/>
            <w:noWrap w:val="0"/>
            <w:vAlign w:val="center"/>
          </w:tcPr>
          <w:p>
            <w:pPr>
              <w:spacing w:line="300" w:lineRule="exact"/>
              <w:jc w:val="center"/>
              <w:rPr>
                <w:color w:val="auto"/>
                <w:szCs w:val="21"/>
              </w:rPr>
            </w:pPr>
            <w:r>
              <w:rPr>
                <w:rFonts w:hint="eastAsia"/>
                <w:color w:val="auto"/>
                <w:szCs w:val="21"/>
              </w:rPr>
              <w:t>20</w:t>
            </w:r>
            <w:r>
              <w:rPr>
                <w:color w:val="auto"/>
                <w:szCs w:val="21"/>
              </w:rPr>
              <w:t>天</w:t>
            </w:r>
          </w:p>
        </w:tc>
        <w:tc>
          <w:tcPr>
            <w:tcW w:w="626" w:type="pct"/>
            <w:tcBorders>
              <w:left w:val="single" w:color="auto" w:sz="4" w:space="0"/>
            </w:tcBorders>
            <w:noWrap w:val="0"/>
            <w:vAlign w:val="center"/>
          </w:tcPr>
          <w:p>
            <w:pPr>
              <w:spacing w:line="300" w:lineRule="exact"/>
              <w:jc w:val="center"/>
              <w:rPr>
                <w:color w:val="auto"/>
                <w:szCs w:val="21"/>
              </w:rPr>
            </w:pPr>
            <w:r>
              <w:rPr>
                <w:color w:val="auto"/>
                <w:szCs w:val="21"/>
              </w:rPr>
              <w:t>块状，袋装入厂</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624" w:type="pct"/>
            <w:noWrap w:val="0"/>
            <w:vAlign w:val="center"/>
          </w:tcPr>
          <w:p>
            <w:pPr>
              <w:keepNext w:val="0"/>
              <w:keepLines w:val="0"/>
              <w:widowControl/>
              <w:suppressLineNumbers w:val="0"/>
              <w:jc w:val="center"/>
              <w:textAlignment w:val="center"/>
              <w:rPr>
                <w:color w:val="auto"/>
                <w:szCs w:val="21"/>
              </w:rPr>
            </w:pPr>
            <w:r>
              <w:rPr>
                <w:rFonts w:hint="default" w:ascii="Times New Roman" w:hAnsi="Times New Roman" w:eastAsia="宋体" w:cs="Times New Roman"/>
                <w:i w:val="0"/>
                <w:color w:val="000000"/>
                <w:kern w:val="0"/>
                <w:sz w:val="21"/>
                <w:szCs w:val="21"/>
                <w:u w:val="none"/>
                <w:lang w:val="en-US" w:eastAsia="zh-CN" w:bidi="ar"/>
              </w:rPr>
              <w:t>3</w:t>
            </w:r>
          </w:p>
        </w:tc>
        <w:tc>
          <w:tcPr>
            <w:tcW w:w="624" w:type="pct"/>
            <w:noWrap w:val="0"/>
            <w:vAlign w:val="center"/>
          </w:tcPr>
          <w:p>
            <w:pPr>
              <w:spacing w:line="300" w:lineRule="exact"/>
              <w:jc w:val="center"/>
              <w:rPr>
                <w:color w:val="auto"/>
                <w:szCs w:val="21"/>
              </w:rPr>
            </w:pPr>
            <w:r>
              <w:rPr>
                <w:color w:val="auto"/>
                <w:szCs w:val="21"/>
              </w:rPr>
              <w:t>炭黑</w:t>
            </w:r>
          </w:p>
        </w:tc>
        <w:tc>
          <w:tcPr>
            <w:tcW w:w="624" w:type="pct"/>
            <w:noWrap w:val="0"/>
            <w:vAlign w:val="center"/>
          </w:tcPr>
          <w:p>
            <w:pPr>
              <w:spacing w:line="300" w:lineRule="exact"/>
              <w:jc w:val="center"/>
              <w:rPr>
                <w:color w:val="auto"/>
                <w:szCs w:val="21"/>
              </w:rPr>
            </w:pPr>
            <w:r>
              <w:rPr>
                <w:rFonts w:hint="eastAsia"/>
                <w:color w:val="auto"/>
                <w:szCs w:val="21"/>
              </w:rPr>
              <w:t>15</w:t>
            </w:r>
            <w:r>
              <w:rPr>
                <w:color w:val="auto"/>
                <w:szCs w:val="21"/>
              </w:rPr>
              <w:t>kg/包，</w:t>
            </w:r>
          </w:p>
        </w:tc>
        <w:tc>
          <w:tcPr>
            <w:tcW w:w="625" w:type="pct"/>
            <w:tcBorders>
              <w:right w:val="single" w:color="auto" w:sz="4" w:space="0"/>
            </w:tcBorders>
            <w:noWrap w:val="0"/>
            <w:vAlign w:val="center"/>
          </w:tcPr>
          <w:p>
            <w:pPr>
              <w:spacing w:line="300" w:lineRule="exact"/>
              <w:jc w:val="center"/>
              <w:rPr>
                <w:color w:val="auto"/>
                <w:szCs w:val="21"/>
              </w:rPr>
            </w:pPr>
            <w:r>
              <w:rPr>
                <w:color w:val="auto"/>
                <w:szCs w:val="21"/>
              </w:rPr>
              <w:t>t/a</w:t>
            </w:r>
          </w:p>
        </w:tc>
        <w:tc>
          <w:tcPr>
            <w:tcW w:w="625" w:type="pct"/>
            <w:tcBorders>
              <w:left w:val="single" w:color="auto" w:sz="4" w:space="0"/>
              <w:right w:val="single" w:color="auto" w:sz="4" w:space="0"/>
            </w:tcBorders>
            <w:noWrap w:val="0"/>
            <w:vAlign w:val="center"/>
          </w:tcPr>
          <w:p>
            <w:pPr>
              <w:spacing w:line="300" w:lineRule="exact"/>
              <w:jc w:val="center"/>
              <w:rPr>
                <w:color w:val="auto"/>
                <w:szCs w:val="21"/>
              </w:rPr>
            </w:pPr>
            <w:r>
              <w:rPr>
                <w:rFonts w:hint="eastAsia"/>
                <w:color w:val="auto"/>
                <w:szCs w:val="21"/>
              </w:rPr>
              <w:t>2</w:t>
            </w:r>
          </w:p>
        </w:tc>
        <w:tc>
          <w:tcPr>
            <w:tcW w:w="625" w:type="pct"/>
            <w:noWrap w:val="0"/>
            <w:vAlign w:val="center"/>
          </w:tcPr>
          <w:p>
            <w:pPr>
              <w:spacing w:line="300" w:lineRule="exact"/>
              <w:jc w:val="center"/>
              <w:rPr>
                <w:color w:val="auto"/>
                <w:szCs w:val="21"/>
              </w:rPr>
            </w:pPr>
            <w:r>
              <w:rPr>
                <w:rFonts w:hint="eastAsia"/>
                <w:color w:val="auto"/>
                <w:szCs w:val="21"/>
              </w:rPr>
              <w:t>0.2</w:t>
            </w:r>
          </w:p>
        </w:tc>
        <w:tc>
          <w:tcPr>
            <w:tcW w:w="625" w:type="pct"/>
            <w:noWrap w:val="0"/>
            <w:vAlign w:val="center"/>
          </w:tcPr>
          <w:p>
            <w:pPr>
              <w:spacing w:line="300" w:lineRule="exact"/>
              <w:jc w:val="center"/>
              <w:rPr>
                <w:color w:val="auto"/>
                <w:szCs w:val="21"/>
              </w:rPr>
            </w:pPr>
            <w:r>
              <w:rPr>
                <w:color w:val="auto"/>
                <w:szCs w:val="21"/>
              </w:rPr>
              <w:t>5天</w:t>
            </w:r>
          </w:p>
        </w:tc>
        <w:tc>
          <w:tcPr>
            <w:tcW w:w="626" w:type="pct"/>
            <w:tcBorders>
              <w:left w:val="single" w:color="auto" w:sz="4" w:space="0"/>
            </w:tcBorders>
            <w:noWrap w:val="0"/>
            <w:vAlign w:val="center"/>
          </w:tcPr>
          <w:p>
            <w:pPr>
              <w:spacing w:line="300" w:lineRule="exact"/>
              <w:jc w:val="center"/>
              <w:rPr>
                <w:color w:val="auto"/>
                <w:szCs w:val="21"/>
              </w:rPr>
            </w:pPr>
            <w:r>
              <w:rPr>
                <w:color w:val="auto"/>
                <w:szCs w:val="21"/>
              </w:rPr>
              <w:t>粉状，袋装入厂</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624" w:type="pct"/>
            <w:noWrap w:val="0"/>
            <w:vAlign w:val="center"/>
          </w:tcPr>
          <w:p>
            <w:pPr>
              <w:keepNext w:val="0"/>
              <w:keepLines w:val="0"/>
              <w:widowControl/>
              <w:suppressLineNumbers w:val="0"/>
              <w:jc w:val="center"/>
              <w:textAlignment w:val="center"/>
              <w:rPr>
                <w:color w:val="auto"/>
                <w:szCs w:val="21"/>
              </w:rPr>
            </w:pPr>
            <w:r>
              <w:rPr>
                <w:rFonts w:hint="default" w:ascii="Times New Roman" w:hAnsi="Times New Roman" w:eastAsia="宋体" w:cs="Times New Roman"/>
                <w:i w:val="0"/>
                <w:color w:val="000000"/>
                <w:kern w:val="0"/>
                <w:sz w:val="21"/>
                <w:szCs w:val="21"/>
                <w:u w:val="none"/>
                <w:lang w:val="en-US" w:eastAsia="zh-CN" w:bidi="ar"/>
              </w:rPr>
              <w:t>4</w:t>
            </w:r>
          </w:p>
        </w:tc>
        <w:tc>
          <w:tcPr>
            <w:tcW w:w="624" w:type="pct"/>
            <w:noWrap w:val="0"/>
            <w:vAlign w:val="center"/>
          </w:tcPr>
          <w:p>
            <w:pPr>
              <w:spacing w:line="300" w:lineRule="exact"/>
              <w:jc w:val="center"/>
              <w:rPr>
                <w:color w:val="auto"/>
                <w:szCs w:val="21"/>
              </w:rPr>
            </w:pPr>
            <w:r>
              <w:rPr>
                <w:color w:val="auto"/>
                <w:szCs w:val="21"/>
              </w:rPr>
              <w:t>硫磺</w:t>
            </w:r>
          </w:p>
        </w:tc>
        <w:tc>
          <w:tcPr>
            <w:tcW w:w="624" w:type="pct"/>
            <w:noWrap w:val="0"/>
            <w:vAlign w:val="center"/>
          </w:tcPr>
          <w:p>
            <w:pPr>
              <w:spacing w:line="300" w:lineRule="exact"/>
              <w:jc w:val="center"/>
              <w:rPr>
                <w:color w:val="auto"/>
                <w:szCs w:val="21"/>
              </w:rPr>
            </w:pPr>
            <w:r>
              <w:rPr>
                <w:color w:val="auto"/>
                <w:szCs w:val="21"/>
              </w:rPr>
              <w:t>25kg/袋</w:t>
            </w:r>
          </w:p>
        </w:tc>
        <w:tc>
          <w:tcPr>
            <w:tcW w:w="625" w:type="pct"/>
            <w:tcBorders>
              <w:right w:val="single" w:color="auto" w:sz="4" w:space="0"/>
            </w:tcBorders>
            <w:noWrap w:val="0"/>
            <w:vAlign w:val="center"/>
          </w:tcPr>
          <w:p>
            <w:pPr>
              <w:spacing w:line="300" w:lineRule="exact"/>
              <w:jc w:val="center"/>
              <w:rPr>
                <w:color w:val="auto"/>
                <w:szCs w:val="21"/>
              </w:rPr>
            </w:pPr>
            <w:r>
              <w:rPr>
                <w:color w:val="auto"/>
                <w:szCs w:val="21"/>
              </w:rPr>
              <w:t>t/a</w:t>
            </w:r>
          </w:p>
        </w:tc>
        <w:tc>
          <w:tcPr>
            <w:tcW w:w="625" w:type="pct"/>
            <w:tcBorders>
              <w:left w:val="single" w:color="auto" w:sz="4" w:space="0"/>
              <w:right w:val="single" w:color="auto" w:sz="4" w:space="0"/>
            </w:tcBorders>
            <w:noWrap w:val="0"/>
            <w:vAlign w:val="center"/>
          </w:tcPr>
          <w:p>
            <w:pPr>
              <w:spacing w:line="300" w:lineRule="exact"/>
              <w:jc w:val="center"/>
              <w:rPr>
                <w:color w:val="auto"/>
                <w:szCs w:val="21"/>
              </w:rPr>
            </w:pPr>
            <w:r>
              <w:rPr>
                <w:color w:val="auto"/>
                <w:szCs w:val="21"/>
              </w:rPr>
              <w:t>3.25</w:t>
            </w:r>
          </w:p>
        </w:tc>
        <w:tc>
          <w:tcPr>
            <w:tcW w:w="625" w:type="pct"/>
            <w:noWrap w:val="0"/>
            <w:vAlign w:val="center"/>
          </w:tcPr>
          <w:p>
            <w:pPr>
              <w:spacing w:line="300" w:lineRule="exact"/>
              <w:jc w:val="center"/>
              <w:rPr>
                <w:color w:val="auto"/>
                <w:szCs w:val="21"/>
              </w:rPr>
            </w:pPr>
            <w:r>
              <w:rPr>
                <w:color w:val="auto"/>
                <w:szCs w:val="21"/>
              </w:rPr>
              <w:t>0.5</w:t>
            </w:r>
          </w:p>
        </w:tc>
        <w:tc>
          <w:tcPr>
            <w:tcW w:w="625" w:type="pct"/>
            <w:noWrap w:val="0"/>
            <w:vAlign w:val="center"/>
          </w:tcPr>
          <w:p>
            <w:pPr>
              <w:spacing w:line="300" w:lineRule="exact"/>
              <w:jc w:val="center"/>
              <w:rPr>
                <w:color w:val="auto"/>
                <w:szCs w:val="21"/>
              </w:rPr>
            </w:pPr>
            <w:r>
              <w:rPr>
                <w:color w:val="auto"/>
                <w:szCs w:val="21"/>
              </w:rPr>
              <w:t>2个月</w:t>
            </w:r>
          </w:p>
        </w:tc>
        <w:tc>
          <w:tcPr>
            <w:tcW w:w="626" w:type="pct"/>
            <w:tcBorders>
              <w:left w:val="single" w:color="auto" w:sz="4" w:space="0"/>
            </w:tcBorders>
            <w:noWrap w:val="0"/>
            <w:vAlign w:val="center"/>
          </w:tcPr>
          <w:p>
            <w:pPr>
              <w:spacing w:line="300" w:lineRule="exact"/>
              <w:jc w:val="center"/>
              <w:rPr>
                <w:color w:val="auto"/>
                <w:szCs w:val="21"/>
              </w:rPr>
            </w:pPr>
            <w:r>
              <w:rPr>
                <w:color w:val="auto"/>
                <w:szCs w:val="21"/>
              </w:rPr>
              <w:t>粉状，袋装入厂</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624" w:type="pct"/>
            <w:noWrap w:val="0"/>
            <w:vAlign w:val="center"/>
          </w:tcPr>
          <w:p>
            <w:pPr>
              <w:keepNext w:val="0"/>
              <w:keepLines w:val="0"/>
              <w:widowControl/>
              <w:suppressLineNumbers w:val="0"/>
              <w:jc w:val="center"/>
              <w:textAlignment w:val="center"/>
              <w:rPr>
                <w:color w:val="auto"/>
                <w:szCs w:val="21"/>
              </w:rPr>
            </w:pPr>
            <w:r>
              <w:rPr>
                <w:rFonts w:hint="default" w:ascii="Times New Roman" w:hAnsi="Times New Roman" w:eastAsia="宋体" w:cs="Times New Roman"/>
                <w:i w:val="0"/>
                <w:color w:val="000000"/>
                <w:kern w:val="0"/>
                <w:sz w:val="21"/>
                <w:szCs w:val="21"/>
                <w:u w:val="none"/>
                <w:lang w:val="en-US" w:eastAsia="zh-CN" w:bidi="ar"/>
              </w:rPr>
              <w:t>5</w:t>
            </w:r>
          </w:p>
        </w:tc>
        <w:tc>
          <w:tcPr>
            <w:tcW w:w="624" w:type="pct"/>
            <w:noWrap w:val="0"/>
            <w:vAlign w:val="center"/>
          </w:tcPr>
          <w:p>
            <w:pPr>
              <w:spacing w:line="300" w:lineRule="exact"/>
              <w:jc w:val="center"/>
              <w:rPr>
                <w:color w:val="auto"/>
                <w:szCs w:val="21"/>
              </w:rPr>
            </w:pPr>
            <w:r>
              <w:rPr>
                <w:color w:val="auto"/>
                <w:szCs w:val="21"/>
              </w:rPr>
              <w:t>氧化锌</w:t>
            </w:r>
          </w:p>
        </w:tc>
        <w:tc>
          <w:tcPr>
            <w:tcW w:w="624" w:type="pct"/>
            <w:noWrap w:val="0"/>
            <w:vAlign w:val="center"/>
          </w:tcPr>
          <w:p>
            <w:pPr>
              <w:spacing w:line="300" w:lineRule="exact"/>
              <w:jc w:val="center"/>
              <w:rPr>
                <w:color w:val="auto"/>
                <w:szCs w:val="21"/>
              </w:rPr>
            </w:pPr>
            <w:r>
              <w:rPr>
                <w:color w:val="auto"/>
                <w:szCs w:val="21"/>
              </w:rPr>
              <w:t>25kg/袋</w:t>
            </w:r>
          </w:p>
        </w:tc>
        <w:tc>
          <w:tcPr>
            <w:tcW w:w="625" w:type="pct"/>
            <w:tcBorders>
              <w:right w:val="single" w:color="auto" w:sz="4" w:space="0"/>
            </w:tcBorders>
            <w:noWrap w:val="0"/>
            <w:vAlign w:val="center"/>
          </w:tcPr>
          <w:p>
            <w:pPr>
              <w:spacing w:line="300" w:lineRule="exact"/>
              <w:jc w:val="center"/>
              <w:rPr>
                <w:color w:val="auto"/>
                <w:szCs w:val="21"/>
              </w:rPr>
            </w:pPr>
            <w:r>
              <w:rPr>
                <w:color w:val="auto"/>
                <w:szCs w:val="21"/>
              </w:rPr>
              <w:t>t/a</w:t>
            </w:r>
          </w:p>
        </w:tc>
        <w:tc>
          <w:tcPr>
            <w:tcW w:w="625" w:type="pct"/>
            <w:tcBorders>
              <w:left w:val="single" w:color="auto" w:sz="4" w:space="0"/>
              <w:right w:val="single" w:color="auto" w:sz="4" w:space="0"/>
            </w:tcBorders>
            <w:noWrap w:val="0"/>
            <w:vAlign w:val="center"/>
          </w:tcPr>
          <w:p>
            <w:pPr>
              <w:spacing w:line="300" w:lineRule="exact"/>
              <w:jc w:val="center"/>
              <w:rPr>
                <w:color w:val="auto"/>
                <w:szCs w:val="21"/>
              </w:rPr>
            </w:pPr>
            <w:r>
              <w:rPr>
                <w:color w:val="auto"/>
                <w:szCs w:val="21"/>
              </w:rPr>
              <w:t>60</w:t>
            </w:r>
          </w:p>
        </w:tc>
        <w:tc>
          <w:tcPr>
            <w:tcW w:w="625" w:type="pct"/>
            <w:noWrap w:val="0"/>
            <w:vAlign w:val="center"/>
          </w:tcPr>
          <w:p>
            <w:pPr>
              <w:spacing w:line="300" w:lineRule="exact"/>
              <w:jc w:val="center"/>
              <w:rPr>
                <w:color w:val="auto"/>
                <w:szCs w:val="21"/>
              </w:rPr>
            </w:pPr>
            <w:r>
              <w:rPr>
                <w:color w:val="auto"/>
                <w:szCs w:val="21"/>
              </w:rPr>
              <w:t>1.5</w:t>
            </w:r>
          </w:p>
        </w:tc>
        <w:tc>
          <w:tcPr>
            <w:tcW w:w="625" w:type="pct"/>
            <w:noWrap w:val="0"/>
            <w:vAlign w:val="center"/>
          </w:tcPr>
          <w:p>
            <w:pPr>
              <w:spacing w:line="300" w:lineRule="exact"/>
              <w:jc w:val="center"/>
              <w:rPr>
                <w:color w:val="auto"/>
                <w:szCs w:val="21"/>
              </w:rPr>
            </w:pPr>
            <w:r>
              <w:rPr>
                <w:color w:val="auto"/>
                <w:szCs w:val="21"/>
              </w:rPr>
              <w:t>1周</w:t>
            </w:r>
          </w:p>
        </w:tc>
        <w:tc>
          <w:tcPr>
            <w:tcW w:w="626" w:type="pct"/>
            <w:tcBorders>
              <w:left w:val="single" w:color="auto" w:sz="4" w:space="0"/>
            </w:tcBorders>
            <w:noWrap w:val="0"/>
            <w:vAlign w:val="center"/>
          </w:tcPr>
          <w:p>
            <w:pPr>
              <w:spacing w:line="300" w:lineRule="exact"/>
              <w:jc w:val="center"/>
              <w:rPr>
                <w:color w:val="auto"/>
                <w:szCs w:val="21"/>
              </w:rPr>
            </w:pPr>
            <w:r>
              <w:rPr>
                <w:color w:val="auto"/>
                <w:szCs w:val="21"/>
              </w:rPr>
              <w:t>粉状，袋装入厂</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624" w:type="pct"/>
            <w:noWrap w:val="0"/>
            <w:vAlign w:val="center"/>
          </w:tcPr>
          <w:p>
            <w:pPr>
              <w:keepNext w:val="0"/>
              <w:keepLines w:val="0"/>
              <w:widowControl/>
              <w:suppressLineNumbers w:val="0"/>
              <w:jc w:val="center"/>
              <w:textAlignment w:val="center"/>
              <w:rPr>
                <w:color w:val="auto"/>
                <w:szCs w:val="21"/>
              </w:rPr>
            </w:pPr>
            <w:r>
              <w:rPr>
                <w:rFonts w:hint="default" w:ascii="Times New Roman" w:hAnsi="Times New Roman" w:eastAsia="宋体" w:cs="Times New Roman"/>
                <w:i w:val="0"/>
                <w:color w:val="000000"/>
                <w:kern w:val="0"/>
                <w:sz w:val="21"/>
                <w:szCs w:val="21"/>
                <w:u w:val="none"/>
                <w:lang w:val="en-US" w:eastAsia="zh-CN" w:bidi="ar"/>
              </w:rPr>
              <w:t>6</w:t>
            </w:r>
          </w:p>
        </w:tc>
        <w:tc>
          <w:tcPr>
            <w:tcW w:w="624" w:type="pct"/>
            <w:noWrap w:val="0"/>
            <w:vAlign w:val="center"/>
          </w:tcPr>
          <w:p>
            <w:pPr>
              <w:spacing w:line="300" w:lineRule="exact"/>
              <w:jc w:val="center"/>
              <w:rPr>
                <w:color w:val="auto"/>
                <w:szCs w:val="21"/>
              </w:rPr>
            </w:pPr>
            <w:r>
              <w:rPr>
                <w:color w:val="auto"/>
                <w:szCs w:val="21"/>
              </w:rPr>
              <w:t>氧化镁</w:t>
            </w:r>
          </w:p>
        </w:tc>
        <w:tc>
          <w:tcPr>
            <w:tcW w:w="624" w:type="pct"/>
            <w:noWrap w:val="0"/>
            <w:vAlign w:val="center"/>
          </w:tcPr>
          <w:p>
            <w:pPr>
              <w:spacing w:line="300" w:lineRule="exact"/>
              <w:jc w:val="center"/>
              <w:rPr>
                <w:color w:val="auto"/>
                <w:szCs w:val="21"/>
              </w:rPr>
            </w:pPr>
            <w:r>
              <w:rPr>
                <w:color w:val="auto"/>
                <w:szCs w:val="21"/>
              </w:rPr>
              <w:t>25kg/袋</w:t>
            </w:r>
          </w:p>
        </w:tc>
        <w:tc>
          <w:tcPr>
            <w:tcW w:w="625" w:type="pct"/>
            <w:tcBorders>
              <w:right w:val="single" w:color="auto" w:sz="4" w:space="0"/>
            </w:tcBorders>
            <w:noWrap w:val="0"/>
            <w:vAlign w:val="center"/>
          </w:tcPr>
          <w:p>
            <w:pPr>
              <w:spacing w:line="300" w:lineRule="exact"/>
              <w:jc w:val="center"/>
              <w:rPr>
                <w:color w:val="auto"/>
                <w:szCs w:val="21"/>
              </w:rPr>
            </w:pPr>
            <w:r>
              <w:rPr>
                <w:color w:val="auto"/>
                <w:szCs w:val="21"/>
              </w:rPr>
              <w:t>t/a</w:t>
            </w:r>
          </w:p>
        </w:tc>
        <w:tc>
          <w:tcPr>
            <w:tcW w:w="625" w:type="pct"/>
            <w:tcBorders>
              <w:left w:val="single" w:color="auto" w:sz="4" w:space="0"/>
              <w:right w:val="single" w:color="auto" w:sz="4" w:space="0"/>
            </w:tcBorders>
            <w:noWrap w:val="0"/>
            <w:vAlign w:val="center"/>
          </w:tcPr>
          <w:p>
            <w:pPr>
              <w:spacing w:line="300" w:lineRule="exact"/>
              <w:jc w:val="center"/>
              <w:rPr>
                <w:color w:val="auto"/>
                <w:szCs w:val="21"/>
              </w:rPr>
            </w:pPr>
            <w:r>
              <w:rPr>
                <w:rFonts w:hint="eastAsia"/>
                <w:color w:val="auto"/>
                <w:szCs w:val="21"/>
              </w:rPr>
              <w:t>100</w:t>
            </w:r>
          </w:p>
        </w:tc>
        <w:tc>
          <w:tcPr>
            <w:tcW w:w="625" w:type="pct"/>
            <w:noWrap w:val="0"/>
            <w:vAlign w:val="center"/>
          </w:tcPr>
          <w:p>
            <w:pPr>
              <w:spacing w:line="300" w:lineRule="exact"/>
              <w:jc w:val="center"/>
              <w:rPr>
                <w:color w:val="auto"/>
                <w:szCs w:val="21"/>
              </w:rPr>
            </w:pPr>
            <w:r>
              <w:rPr>
                <w:color w:val="auto"/>
                <w:szCs w:val="21"/>
              </w:rPr>
              <w:t>1</w:t>
            </w:r>
          </w:p>
        </w:tc>
        <w:tc>
          <w:tcPr>
            <w:tcW w:w="625" w:type="pct"/>
            <w:noWrap w:val="0"/>
            <w:vAlign w:val="center"/>
          </w:tcPr>
          <w:p>
            <w:pPr>
              <w:spacing w:line="300" w:lineRule="exact"/>
              <w:jc w:val="center"/>
              <w:rPr>
                <w:color w:val="auto"/>
                <w:szCs w:val="21"/>
              </w:rPr>
            </w:pPr>
            <w:r>
              <w:rPr>
                <w:color w:val="auto"/>
                <w:szCs w:val="21"/>
              </w:rPr>
              <w:t>10天</w:t>
            </w:r>
          </w:p>
        </w:tc>
        <w:tc>
          <w:tcPr>
            <w:tcW w:w="626" w:type="pct"/>
            <w:tcBorders>
              <w:left w:val="single" w:color="auto" w:sz="4" w:space="0"/>
            </w:tcBorders>
            <w:noWrap w:val="0"/>
            <w:vAlign w:val="center"/>
          </w:tcPr>
          <w:p>
            <w:pPr>
              <w:spacing w:line="300" w:lineRule="exact"/>
              <w:jc w:val="center"/>
              <w:rPr>
                <w:color w:val="auto"/>
                <w:szCs w:val="21"/>
              </w:rPr>
            </w:pPr>
            <w:r>
              <w:rPr>
                <w:color w:val="auto"/>
                <w:szCs w:val="21"/>
              </w:rPr>
              <w:t>粉状，袋装入厂</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624" w:type="pct"/>
            <w:noWrap w:val="0"/>
            <w:vAlign w:val="center"/>
          </w:tcPr>
          <w:p>
            <w:pPr>
              <w:keepNext w:val="0"/>
              <w:keepLines w:val="0"/>
              <w:widowControl/>
              <w:suppressLineNumbers w:val="0"/>
              <w:jc w:val="center"/>
              <w:textAlignment w:val="center"/>
              <w:rPr>
                <w:color w:val="auto"/>
                <w:szCs w:val="21"/>
              </w:rPr>
            </w:pPr>
            <w:r>
              <w:rPr>
                <w:rFonts w:hint="default" w:ascii="Times New Roman" w:hAnsi="Times New Roman" w:eastAsia="宋体" w:cs="Times New Roman"/>
                <w:i w:val="0"/>
                <w:color w:val="000000"/>
                <w:kern w:val="0"/>
                <w:sz w:val="21"/>
                <w:szCs w:val="21"/>
                <w:u w:val="none"/>
                <w:lang w:val="en-US" w:eastAsia="zh-CN" w:bidi="ar"/>
              </w:rPr>
              <w:t>7</w:t>
            </w:r>
          </w:p>
        </w:tc>
        <w:tc>
          <w:tcPr>
            <w:tcW w:w="624" w:type="pct"/>
            <w:noWrap w:val="0"/>
            <w:vAlign w:val="center"/>
          </w:tcPr>
          <w:p>
            <w:pPr>
              <w:spacing w:line="300" w:lineRule="exact"/>
              <w:jc w:val="center"/>
              <w:rPr>
                <w:color w:val="auto"/>
                <w:szCs w:val="21"/>
              </w:rPr>
            </w:pPr>
            <w:r>
              <w:rPr>
                <w:color w:val="auto"/>
                <w:szCs w:val="21"/>
              </w:rPr>
              <w:t>硬脂酸</w:t>
            </w:r>
          </w:p>
        </w:tc>
        <w:tc>
          <w:tcPr>
            <w:tcW w:w="624" w:type="pct"/>
            <w:noWrap w:val="0"/>
            <w:vAlign w:val="center"/>
          </w:tcPr>
          <w:p>
            <w:pPr>
              <w:spacing w:line="300" w:lineRule="exact"/>
              <w:jc w:val="center"/>
              <w:rPr>
                <w:color w:val="auto"/>
                <w:szCs w:val="21"/>
              </w:rPr>
            </w:pPr>
            <w:r>
              <w:rPr>
                <w:color w:val="auto"/>
                <w:szCs w:val="21"/>
              </w:rPr>
              <w:t>25kg/袋</w:t>
            </w:r>
          </w:p>
        </w:tc>
        <w:tc>
          <w:tcPr>
            <w:tcW w:w="625" w:type="pct"/>
            <w:tcBorders>
              <w:right w:val="single" w:color="auto" w:sz="4" w:space="0"/>
            </w:tcBorders>
            <w:noWrap w:val="0"/>
            <w:vAlign w:val="center"/>
          </w:tcPr>
          <w:p>
            <w:pPr>
              <w:spacing w:line="300" w:lineRule="exact"/>
              <w:jc w:val="center"/>
              <w:rPr>
                <w:color w:val="auto"/>
                <w:szCs w:val="21"/>
              </w:rPr>
            </w:pPr>
            <w:r>
              <w:rPr>
                <w:color w:val="auto"/>
                <w:szCs w:val="21"/>
              </w:rPr>
              <w:t>t/a</w:t>
            </w:r>
          </w:p>
        </w:tc>
        <w:tc>
          <w:tcPr>
            <w:tcW w:w="625" w:type="pct"/>
            <w:tcBorders>
              <w:left w:val="single" w:color="auto" w:sz="4" w:space="0"/>
              <w:right w:val="single" w:color="auto" w:sz="4" w:space="0"/>
            </w:tcBorders>
            <w:noWrap w:val="0"/>
            <w:vAlign w:val="center"/>
          </w:tcPr>
          <w:p>
            <w:pPr>
              <w:spacing w:line="300" w:lineRule="exact"/>
              <w:jc w:val="center"/>
              <w:rPr>
                <w:color w:val="auto"/>
                <w:szCs w:val="21"/>
              </w:rPr>
            </w:pPr>
            <w:r>
              <w:rPr>
                <w:color w:val="auto"/>
                <w:szCs w:val="21"/>
              </w:rPr>
              <w:t>50</w:t>
            </w:r>
          </w:p>
        </w:tc>
        <w:tc>
          <w:tcPr>
            <w:tcW w:w="625" w:type="pct"/>
            <w:noWrap w:val="0"/>
            <w:vAlign w:val="center"/>
          </w:tcPr>
          <w:p>
            <w:pPr>
              <w:spacing w:line="300" w:lineRule="exact"/>
              <w:jc w:val="center"/>
              <w:rPr>
                <w:color w:val="auto"/>
                <w:szCs w:val="21"/>
              </w:rPr>
            </w:pPr>
            <w:r>
              <w:rPr>
                <w:color w:val="auto"/>
                <w:szCs w:val="21"/>
              </w:rPr>
              <w:t>1.5</w:t>
            </w:r>
          </w:p>
        </w:tc>
        <w:tc>
          <w:tcPr>
            <w:tcW w:w="625" w:type="pct"/>
            <w:noWrap w:val="0"/>
            <w:vAlign w:val="center"/>
          </w:tcPr>
          <w:p>
            <w:pPr>
              <w:spacing w:line="300" w:lineRule="exact"/>
              <w:jc w:val="center"/>
              <w:rPr>
                <w:color w:val="auto"/>
                <w:szCs w:val="21"/>
              </w:rPr>
            </w:pPr>
            <w:r>
              <w:rPr>
                <w:color w:val="auto"/>
                <w:szCs w:val="21"/>
              </w:rPr>
              <w:t>12天</w:t>
            </w:r>
          </w:p>
        </w:tc>
        <w:tc>
          <w:tcPr>
            <w:tcW w:w="626" w:type="pct"/>
            <w:tcBorders>
              <w:left w:val="single" w:color="auto" w:sz="4" w:space="0"/>
            </w:tcBorders>
            <w:noWrap w:val="0"/>
            <w:vAlign w:val="center"/>
          </w:tcPr>
          <w:p>
            <w:pPr>
              <w:spacing w:line="300" w:lineRule="exact"/>
              <w:jc w:val="center"/>
              <w:rPr>
                <w:color w:val="auto"/>
                <w:szCs w:val="21"/>
              </w:rPr>
            </w:pPr>
            <w:r>
              <w:rPr>
                <w:color w:val="auto"/>
                <w:szCs w:val="21"/>
              </w:rPr>
              <w:t>粉状，袋装入厂</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624" w:type="pct"/>
            <w:noWrap w:val="0"/>
            <w:vAlign w:val="center"/>
          </w:tcPr>
          <w:p>
            <w:pPr>
              <w:keepNext w:val="0"/>
              <w:keepLines w:val="0"/>
              <w:widowControl/>
              <w:suppressLineNumbers w:val="0"/>
              <w:jc w:val="center"/>
              <w:textAlignment w:val="center"/>
              <w:rPr>
                <w:color w:val="auto"/>
                <w:szCs w:val="21"/>
              </w:rPr>
            </w:pPr>
            <w:r>
              <w:rPr>
                <w:rFonts w:hint="default" w:ascii="Times New Roman" w:hAnsi="Times New Roman" w:eastAsia="宋体" w:cs="Times New Roman"/>
                <w:i w:val="0"/>
                <w:color w:val="000000"/>
                <w:kern w:val="0"/>
                <w:sz w:val="21"/>
                <w:szCs w:val="21"/>
                <w:u w:val="none"/>
                <w:lang w:val="en-US" w:eastAsia="zh-CN" w:bidi="ar"/>
              </w:rPr>
              <w:t>8</w:t>
            </w:r>
          </w:p>
        </w:tc>
        <w:tc>
          <w:tcPr>
            <w:tcW w:w="624" w:type="pct"/>
            <w:noWrap w:val="0"/>
            <w:vAlign w:val="center"/>
          </w:tcPr>
          <w:p>
            <w:pPr>
              <w:spacing w:line="300" w:lineRule="exact"/>
              <w:jc w:val="center"/>
              <w:rPr>
                <w:color w:val="auto"/>
                <w:szCs w:val="21"/>
              </w:rPr>
            </w:pPr>
            <w:r>
              <w:rPr>
                <w:color w:val="auto"/>
                <w:szCs w:val="21"/>
              </w:rPr>
              <w:t>防老剂</w:t>
            </w:r>
          </w:p>
        </w:tc>
        <w:tc>
          <w:tcPr>
            <w:tcW w:w="624" w:type="pct"/>
            <w:noWrap w:val="0"/>
            <w:vAlign w:val="center"/>
          </w:tcPr>
          <w:p>
            <w:pPr>
              <w:spacing w:line="300" w:lineRule="exact"/>
              <w:jc w:val="center"/>
              <w:rPr>
                <w:color w:val="auto"/>
                <w:szCs w:val="21"/>
              </w:rPr>
            </w:pPr>
            <w:r>
              <w:rPr>
                <w:color w:val="auto"/>
                <w:szCs w:val="21"/>
              </w:rPr>
              <w:t>25kg/袋</w:t>
            </w:r>
          </w:p>
        </w:tc>
        <w:tc>
          <w:tcPr>
            <w:tcW w:w="625" w:type="pct"/>
            <w:tcBorders>
              <w:right w:val="single" w:color="auto" w:sz="4" w:space="0"/>
            </w:tcBorders>
            <w:noWrap w:val="0"/>
            <w:vAlign w:val="center"/>
          </w:tcPr>
          <w:p>
            <w:pPr>
              <w:spacing w:line="300" w:lineRule="exact"/>
              <w:jc w:val="center"/>
              <w:rPr>
                <w:color w:val="auto"/>
                <w:szCs w:val="21"/>
              </w:rPr>
            </w:pPr>
            <w:r>
              <w:rPr>
                <w:color w:val="auto"/>
                <w:szCs w:val="21"/>
              </w:rPr>
              <w:t>t/a</w:t>
            </w:r>
          </w:p>
        </w:tc>
        <w:tc>
          <w:tcPr>
            <w:tcW w:w="625" w:type="pct"/>
            <w:tcBorders>
              <w:left w:val="single" w:color="auto" w:sz="4" w:space="0"/>
              <w:right w:val="single" w:color="auto" w:sz="4" w:space="0"/>
            </w:tcBorders>
            <w:noWrap w:val="0"/>
            <w:vAlign w:val="center"/>
          </w:tcPr>
          <w:p>
            <w:pPr>
              <w:spacing w:line="300" w:lineRule="exact"/>
              <w:jc w:val="center"/>
              <w:rPr>
                <w:color w:val="auto"/>
                <w:szCs w:val="21"/>
              </w:rPr>
            </w:pPr>
            <w:r>
              <w:rPr>
                <w:color w:val="auto"/>
                <w:szCs w:val="21"/>
              </w:rPr>
              <w:t>12</w:t>
            </w:r>
          </w:p>
        </w:tc>
        <w:tc>
          <w:tcPr>
            <w:tcW w:w="625" w:type="pct"/>
            <w:noWrap w:val="0"/>
            <w:vAlign w:val="center"/>
          </w:tcPr>
          <w:p>
            <w:pPr>
              <w:spacing w:line="300" w:lineRule="exact"/>
              <w:jc w:val="center"/>
              <w:rPr>
                <w:color w:val="auto"/>
                <w:szCs w:val="21"/>
              </w:rPr>
            </w:pPr>
            <w:r>
              <w:rPr>
                <w:color w:val="auto"/>
                <w:szCs w:val="21"/>
              </w:rPr>
              <w:t>0.5</w:t>
            </w:r>
          </w:p>
        </w:tc>
        <w:tc>
          <w:tcPr>
            <w:tcW w:w="625" w:type="pct"/>
            <w:noWrap w:val="0"/>
            <w:vAlign w:val="center"/>
          </w:tcPr>
          <w:p>
            <w:pPr>
              <w:spacing w:line="300" w:lineRule="exact"/>
              <w:jc w:val="center"/>
              <w:rPr>
                <w:color w:val="auto"/>
                <w:szCs w:val="21"/>
              </w:rPr>
            </w:pPr>
            <w:r>
              <w:rPr>
                <w:color w:val="auto"/>
                <w:szCs w:val="21"/>
              </w:rPr>
              <w:t>10天</w:t>
            </w:r>
          </w:p>
        </w:tc>
        <w:tc>
          <w:tcPr>
            <w:tcW w:w="626" w:type="pct"/>
            <w:tcBorders>
              <w:left w:val="single" w:color="auto" w:sz="4" w:space="0"/>
            </w:tcBorders>
            <w:noWrap w:val="0"/>
            <w:vAlign w:val="center"/>
          </w:tcPr>
          <w:p>
            <w:pPr>
              <w:spacing w:line="300" w:lineRule="exact"/>
              <w:jc w:val="center"/>
              <w:rPr>
                <w:color w:val="auto"/>
                <w:szCs w:val="21"/>
              </w:rPr>
            </w:pPr>
            <w:r>
              <w:rPr>
                <w:color w:val="auto"/>
                <w:szCs w:val="21"/>
              </w:rPr>
              <w:t>粉状，袋装入厂</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624" w:type="pct"/>
            <w:noWrap w:val="0"/>
            <w:vAlign w:val="center"/>
          </w:tcPr>
          <w:p>
            <w:pPr>
              <w:keepNext w:val="0"/>
              <w:keepLines w:val="0"/>
              <w:widowControl/>
              <w:suppressLineNumbers w:val="0"/>
              <w:jc w:val="center"/>
              <w:textAlignment w:val="center"/>
              <w:rPr>
                <w:color w:val="auto"/>
                <w:szCs w:val="21"/>
              </w:rPr>
            </w:pPr>
            <w:r>
              <w:rPr>
                <w:rFonts w:hint="default" w:ascii="Times New Roman" w:hAnsi="Times New Roman" w:eastAsia="宋体" w:cs="Times New Roman"/>
                <w:i w:val="0"/>
                <w:color w:val="000000"/>
                <w:kern w:val="0"/>
                <w:sz w:val="21"/>
                <w:szCs w:val="21"/>
                <w:u w:val="none"/>
                <w:lang w:val="en-US" w:eastAsia="zh-CN" w:bidi="ar"/>
              </w:rPr>
              <w:t>9</w:t>
            </w:r>
          </w:p>
        </w:tc>
        <w:tc>
          <w:tcPr>
            <w:tcW w:w="624" w:type="pct"/>
            <w:noWrap w:val="0"/>
            <w:vAlign w:val="center"/>
          </w:tcPr>
          <w:p>
            <w:pPr>
              <w:spacing w:line="300" w:lineRule="exact"/>
              <w:jc w:val="center"/>
              <w:rPr>
                <w:color w:val="auto"/>
                <w:szCs w:val="21"/>
              </w:rPr>
            </w:pPr>
            <w:r>
              <w:rPr>
                <w:color w:val="auto"/>
                <w:szCs w:val="21"/>
              </w:rPr>
              <w:t>促进剂TMTD</w:t>
            </w:r>
          </w:p>
        </w:tc>
        <w:tc>
          <w:tcPr>
            <w:tcW w:w="624" w:type="pct"/>
            <w:noWrap w:val="0"/>
            <w:vAlign w:val="center"/>
          </w:tcPr>
          <w:p>
            <w:pPr>
              <w:spacing w:line="300" w:lineRule="exact"/>
              <w:jc w:val="center"/>
              <w:rPr>
                <w:color w:val="auto"/>
                <w:szCs w:val="21"/>
              </w:rPr>
            </w:pPr>
            <w:r>
              <w:rPr>
                <w:color w:val="auto"/>
                <w:szCs w:val="21"/>
              </w:rPr>
              <w:t>25kg/袋</w:t>
            </w:r>
          </w:p>
        </w:tc>
        <w:tc>
          <w:tcPr>
            <w:tcW w:w="625" w:type="pct"/>
            <w:tcBorders>
              <w:right w:val="single" w:color="auto" w:sz="4" w:space="0"/>
            </w:tcBorders>
            <w:noWrap w:val="0"/>
            <w:vAlign w:val="center"/>
          </w:tcPr>
          <w:p>
            <w:pPr>
              <w:spacing w:line="300" w:lineRule="exact"/>
              <w:jc w:val="center"/>
              <w:rPr>
                <w:color w:val="auto"/>
                <w:szCs w:val="21"/>
              </w:rPr>
            </w:pPr>
            <w:r>
              <w:rPr>
                <w:color w:val="auto"/>
                <w:szCs w:val="21"/>
              </w:rPr>
              <w:t>t/a</w:t>
            </w:r>
          </w:p>
        </w:tc>
        <w:tc>
          <w:tcPr>
            <w:tcW w:w="625" w:type="pct"/>
            <w:tcBorders>
              <w:left w:val="single" w:color="auto" w:sz="4" w:space="0"/>
              <w:right w:val="single" w:color="auto" w:sz="4" w:space="0"/>
            </w:tcBorders>
            <w:noWrap w:val="0"/>
            <w:vAlign w:val="center"/>
          </w:tcPr>
          <w:p>
            <w:pPr>
              <w:spacing w:line="300" w:lineRule="exact"/>
              <w:jc w:val="center"/>
              <w:rPr>
                <w:color w:val="auto"/>
                <w:szCs w:val="21"/>
              </w:rPr>
            </w:pPr>
            <w:r>
              <w:rPr>
                <w:color w:val="auto"/>
                <w:szCs w:val="21"/>
              </w:rPr>
              <w:t>6.0</w:t>
            </w:r>
          </w:p>
        </w:tc>
        <w:tc>
          <w:tcPr>
            <w:tcW w:w="625" w:type="pct"/>
            <w:noWrap w:val="0"/>
            <w:vAlign w:val="center"/>
          </w:tcPr>
          <w:p>
            <w:pPr>
              <w:spacing w:line="300" w:lineRule="exact"/>
              <w:jc w:val="center"/>
              <w:rPr>
                <w:color w:val="auto"/>
                <w:szCs w:val="21"/>
              </w:rPr>
            </w:pPr>
            <w:r>
              <w:rPr>
                <w:color w:val="auto"/>
                <w:szCs w:val="21"/>
              </w:rPr>
              <w:t>0.2</w:t>
            </w:r>
          </w:p>
        </w:tc>
        <w:tc>
          <w:tcPr>
            <w:tcW w:w="625" w:type="pct"/>
            <w:noWrap w:val="0"/>
            <w:vAlign w:val="center"/>
          </w:tcPr>
          <w:p>
            <w:pPr>
              <w:spacing w:line="300" w:lineRule="exact"/>
              <w:jc w:val="center"/>
              <w:rPr>
                <w:color w:val="auto"/>
                <w:szCs w:val="21"/>
              </w:rPr>
            </w:pPr>
            <w:r>
              <w:rPr>
                <w:color w:val="auto"/>
                <w:szCs w:val="21"/>
              </w:rPr>
              <w:t>12天</w:t>
            </w:r>
          </w:p>
        </w:tc>
        <w:tc>
          <w:tcPr>
            <w:tcW w:w="626" w:type="pct"/>
            <w:tcBorders>
              <w:left w:val="single" w:color="auto" w:sz="4" w:space="0"/>
            </w:tcBorders>
            <w:noWrap w:val="0"/>
            <w:vAlign w:val="center"/>
          </w:tcPr>
          <w:p>
            <w:pPr>
              <w:spacing w:line="300" w:lineRule="exact"/>
              <w:jc w:val="center"/>
              <w:rPr>
                <w:color w:val="auto"/>
                <w:szCs w:val="21"/>
              </w:rPr>
            </w:pPr>
            <w:r>
              <w:rPr>
                <w:color w:val="auto"/>
                <w:szCs w:val="21"/>
              </w:rPr>
              <w:t>粉状，袋装入厂</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624" w:type="pct"/>
            <w:noWrap w:val="0"/>
            <w:vAlign w:val="center"/>
          </w:tcPr>
          <w:p>
            <w:pPr>
              <w:keepNext w:val="0"/>
              <w:keepLines w:val="0"/>
              <w:widowControl/>
              <w:suppressLineNumbers w:val="0"/>
              <w:jc w:val="center"/>
              <w:textAlignment w:val="center"/>
              <w:rPr>
                <w:color w:val="auto"/>
                <w:szCs w:val="21"/>
              </w:rPr>
            </w:pPr>
            <w:r>
              <w:rPr>
                <w:rFonts w:hint="default" w:ascii="Times New Roman" w:hAnsi="Times New Roman" w:eastAsia="宋体" w:cs="Times New Roman"/>
                <w:i w:val="0"/>
                <w:color w:val="000000"/>
                <w:kern w:val="0"/>
                <w:sz w:val="21"/>
                <w:szCs w:val="21"/>
                <w:u w:val="none"/>
                <w:lang w:val="en-US" w:eastAsia="zh-CN" w:bidi="ar"/>
              </w:rPr>
              <w:t>10</w:t>
            </w:r>
          </w:p>
        </w:tc>
        <w:tc>
          <w:tcPr>
            <w:tcW w:w="624" w:type="pct"/>
            <w:noWrap w:val="0"/>
            <w:vAlign w:val="center"/>
          </w:tcPr>
          <w:p>
            <w:pPr>
              <w:spacing w:line="300" w:lineRule="exact"/>
              <w:jc w:val="center"/>
              <w:rPr>
                <w:color w:val="auto"/>
                <w:szCs w:val="21"/>
              </w:rPr>
            </w:pPr>
            <w:r>
              <w:rPr>
                <w:color w:val="auto"/>
                <w:szCs w:val="21"/>
              </w:rPr>
              <w:t>促进剂M</w:t>
            </w:r>
          </w:p>
        </w:tc>
        <w:tc>
          <w:tcPr>
            <w:tcW w:w="624" w:type="pct"/>
            <w:noWrap w:val="0"/>
            <w:vAlign w:val="center"/>
          </w:tcPr>
          <w:p>
            <w:pPr>
              <w:spacing w:line="300" w:lineRule="exact"/>
              <w:jc w:val="center"/>
              <w:rPr>
                <w:color w:val="auto"/>
                <w:szCs w:val="21"/>
              </w:rPr>
            </w:pPr>
            <w:r>
              <w:rPr>
                <w:color w:val="auto"/>
                <w:szCs w:val="21"/>
              </w:rPr>
              <w:t>25kg/袋</w:t>
            </w:r>
          </w:p>
        </w:tc>
        <w:tc>
          <w:tcPr>
            <w:tcW w:w="625" w:type="pct"/>
            <w:tcBorders>
              <w:right w:val="single" w:color="auto" w:sz="4" w:space="0"/>
            </w:tcBorders>
            <w:noWrap w:val="0"/>
            <w:vAlign w:val="center"/>
          </w:tcPr>
          <w:p>
            <w:pPr>
              <w:spacing w:line="300" w:lineRule="exact"/>
              <w:jc w:val="center"/>
              <w:rPr>
                <w:color w:val="auto"/>
                <w:szCs w:val="21"/>
              </w:rPr>
            </w:pPr>
            <w:r>
              <w:rPr>
                <w:color w:val="auto"/>
                <w:szCs w:val="21"/>
              </w:rPr>
              <w:t>t/a</w:t>
            </w:r>
          </w:p>
        </w:tc>
        <w:tc>
          <w:tcPr>
            <w:tcW w:w="625" w:type="pct"/>
            <w:tcBorders>
              <w:left w:val="single" w:color="auto" w:sz="4" w:space="0"/>
              <w:right w:val="single" w:color="auto" w:sz="4" w:space="0"/>
            </w:tcBorders>
            <w:noWrap w:val="0"/>
            <w:vAlign w:val="center"/>
          </w:tcPr>
          <w:p>
            <w:pPr>
              <w:spacing w:line="300" w:lineRule="exact"/>
              <w:jc w:val="center"/>
              <w:rPr>
                <w:color w:val="auto"/>
                <w:szCs w:val="21"/>
              </w:rPr>
            </w:pPr>
            <w:r>
              <w:rPr>
                <w:color w:val="auto"/>
                <w:szCs w:val="21"/>
              </w:rPr>
              <w:t>6.0</w:t>
            </w:r>
          </w:p>
        </w:tc>
        <w:tc>
          <w:tcPr>
            <w:tcW w:w="625" w:type="pct"/>
            <w:noWrap w:val="0"/>
            <w:vAlign w:val="center"/>
          </w:tcPr>
          <w:p>
            <w:pPr>
              <w:spacing w:line="300" w:lineRule="exact"/>
              <w:jc w:val="center"/>
              <w:rPr>
                <w:color w:val="auto"/>
                <w:szCs w:val="21"/>
              </w:rPr>
            </w:pPr>
            <w:r>
              <w:rPr>
                <w:color w:val="auto"/>
                <w:szCs w:val="21"/>
              </w:rPr>
              <w:t>0.2</w:t>
            </w:r>
          </w:p>
        </w:tc>
        <w:tc>
          <w:tcPr>
            <w:tcW w:w="625" w:type="pct"/>
            <w:noWrap w:val="0"/>
            <w:vAlign w:val="center"/>
          </w:tcPr>
          <w:p>
            <w:pPr>
              <w:spacing w:line="300" w:lineRule="exact"/>
              <w:jc w:val="center"/>
              <w:rPr>
                <w:color w:val="auto"/>
                <w:szCs w:val="21"/>
              </w:rPr>
            </w:pPr>
            <w:r>
              <w:rPr>
                <w:color w:val="auto"/>
                <w:szCs w:val="21"/>
              </w:rPr>
              <w:t>12天</w:t>
            </w:r>
          </w:p>
        </w:tc>
        <w:tc>
          <w:tcPr>
            <w:tcW w:w="626" w:type="pct"/>
            <w:tcBorders>
              <w:left w:val="single" w:color="auto" w:sz="4" w:space="0"/>
            </w:tcBorders>
            <w:noWrap w:val="0"/>
            <w:vAlign w:val="center"/>
          </w:tcPr>
          <w:p>
            <w:pPr>
              <w:spacing w:line="300" w:lineRule="exact"/>
              <w:jc w:val="center"/>
              <w:rPr>
                <w:color w:val="auto"/>
                <w:szCs w:val="21"/>
              </w:rPr>
            </w:pPr>
            <w:r>
              <w:rPr>
                <w:color w:val="auto"/>
                <w:szCs w:val="21"/>
              </w:rPr>
              <w:t>粉状，袋装入厂</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624" w:type="pct"/>
            <w:noWrap w:val="0"/>
            <w:vAlign w:val="center"/>
          </w:tcPr>
          <w:p>
            <w:pPr>
              <w:keepNext w:val="0"/>
              <w:keepLines w:val="0"/>
              <w:widowControl/>
              <w:suppressLineNumbers w:val="0"/>
              <w:jc w:val="center"/>
              <w:textAlignment w:val="center"/>
              <w:rPr>
                <w:color w:val="auto"/>
                <w:szCs w:val="21"/>
              </w:rPr>
            </w:pPr>
            <w:r>
              <w:rPr>
                <w:rFonts w:hint="default" w:ascii="Times New Roman" w:hAnsi="Times New Roman" w:eastAsia="宋体" w:cs="Times New Roman"/>
                <w:i w:val="0"/>
                <w:color w:val="000000"/>
                <w:kern w:val="0"/>
                <w:sz w:val="21"/>
                <w:szCs w:val="21"/>
                <w:u w:val="none"/>
                <w:lang w:val="en-US" w:eastAsia="zh-CN" w:bidi="ar"/>
              </w:rPr>
              <w:t>11</w:t>
            </w:r>
          </w:p>
        </w:tc>
        <w:tc>
          <w:tcPr>
            <w:tcW w:w="624" w:type="pct"/>
            <w:noWrap w:val="0"/>
            <w:vAlign w:val="center"/>
          </w:tcPr>
          <w:p>
            <w:pPr>
              <w:spacing w:line="300" w:lineRule="exact"/>
              <w:jc w:val="center"/>
              <w:rPr>
                <w:color w:val="auto"/>
                <w:szCs w:val="21"/>
              </w:rPr>
            </w:pPr>
            <w:r>
              <w:rPr>
                <w:color w:val="auto"/>
                <w:szCs w:val="21"/>
              </w:rPr>
              <w:t>增塑剂</w:t>
            </w:r>
          </w:p>
        </w:tc>
        <w:tc>
          <w:tcPr>
            <w:tcW w:w="624" w:type="pct"/>
            <w:noWrap w:val="0"/>
            <w:vAlign w:val="center"/>
          </w:tcPr>
          <w:p>
            <w:pPr>
              <w:spacing w:line="300" w:lineRule="exact"/>
              <w:jc w:val="center"/>
              <w:rPr>
                <w:color w:val="auto"/>
                <w:szCs w:val="21"/>
              </w:rPr>
            </w:pPr>
            <w:r>
              <w:rPr>
                <w:color w:val="auto"/>
                <w:szCs w:val="21"/>
              </w:rPr>
              <w:t>200kg/桶</w:t>
            </w:r>
          </w:p>
        </w:tc>
        <w:tc>
          <w:tcPr>
            <w:tcW w:w="625" w:type="pct"/>
            <w:tcBorders>
              <w:right w:val="single" w:color="auto" w:sz="4" w:space="0"/>
            </w:tcBorders>
            <w:noWrap w:val="0"/>
            <w:vAlign w:val="center"/>
          </w:tcPr>
          <w:p>
            <w:pPr>
              <w:spacing w:line="300" w:lineRule="exact"/>
              <w:jc w:val="center"/>
              <w:rPr>
                <w:color w:val="auto"/>
                <w:szCs w:val="21"/>
              </w:rPr>
            </w:pPr>
            <w:r>
              <w:rPr>
                <w:color w:val="auto"/>
                <w:szCs w:val="21"/>
              </w:rPr>
              <w:t>t/a</w:t>
            </w:r>
          </w:p>
        </w:tc>
        <w:tc>
          <w:tcPr>
            <w:tcW w:w="625" w:type="pct"/>
            <w:tcBorders>
              <w:left w:val="single" w:color="auto" w:sz="4" w:space="0"/>
              <w:right w:val="single" w:color="auto" w:sz="4" w:space="0"/>
            </w:tcBorders>
            <w:noWrap w:val="0"/>
            <w:vAlign w:val="center"/>
          </w:tcPr>
          <w:p>
            <w:pPr>
              <w:spacing w:line="300" w:lineRule="exact"/>
              <w:jc w:val="center"/>
              <w:rPr>
                <w:color w:val="auto"/>
                <w:szCs w:val="21"/>
              </w:rPr>
            </w:pPr>
            <w:r>
              <w:rPr>
                <w:color w:val="auto"/>
                <w:szCs w:val="21"/>
              </w:rPr>
              <w:t>10</w:t>
            </w:r>
          </w:p>
        </w:tc>
        <w:tc>
          <w:tcPr>
            <w:tcW w:w="625" w:type="pct"/>
            <w:noWrap w:val="0"/>
            <w:vAlign w:val="center"/>
          </w:tcPr>
          <w:p>
            <w:pPr>
              <w:spacing w:line="300" w:lineRule="exact"/>
              <w:jc w:val="center"/>
              <w:rPr>
                <w:color w:val="auto"/>
                <w:szCs w:val="21"/>
              </w:rPr>
            </w:pPr>
            <w:r>
              <w:rPr>
                <w:color w:val="auto"/>
                <w:szCs w:val="21"/>
              </w:rPr>
              <w:t>0.6</w:t>
            </w:r>
          </w:p>
        </w:tc>
        <w:tc>
          <w:tcPr>
            <w:tcW w:w="625" w:type="pct"/>
            <w:noWrap w:val="0"/>
            <w:vAlign w:val="center"/>
          </w:tcPr>
          <w:p>
            <w:pPr>
              <w:spacing w:line="300" w:lineRule="exact"/>
              <w:jc w:val="center"/>
              <w:rPr>
                <w:color w:val="auto"/>
                <w:szCs w:val="21"/>
              </w:rPr>
            </w:pPr>
            <w:r>
              <w:rPr>
                <w:color w:val="auto"/>
                <w:szCs w:val="21"/>
              </w:rPr>
              <w:t>20天</w:t>
            </w:r>
          </w:p>
        </w:tc>
        <w:tc>
          <w:tcPr>
            <w:tcW w:w="626" w:type="pct"/>
            <w:tcBorders>
              <w:left w:val="single" w:color="auto" w:sz="4" w:space="0"/>
            </w:tcBorders>
            <w:noWrap w:val="0"/>
            <w:vAlign w:val="center"/>
          </w:tcPr>
          <w:p>
            <w:pPr>
              <w:spacing w:line="300" w:lineRule="exact"/>
              <w:jc w:val="center"/>
              <w:rPr>
                <w:color w:val="auto"/>
                <w:szCs w:val="21"/>
              </w:rPr>
            </w:pPr>
            <w:r>
              <w:rPr>
                <w:color w:val="auto"/>
                <w:szCs w:val="21"/>
              </w:rPr>
              <w:t>液态，桶装入厂</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624" w:type="pct"/>
            <w:noWrap w:val="0"/>
            <w:vAlign w:val="center"/>
          </w:tcPr>
          <w:p>
            <w:pPr>
              <w:keepNext w:val="0"/>
              <w:keepLines w:val="0"/>
              <w:widowControl/>
              <w:suppressLineNumbers w:val="0"/>
              <w:jc w:val="center"/>
              <w:textAlignment w:val="center"/>
              <w:rPr>
                <w:color w:val="auto"/>
                <w:szCs w:val="21"/>
              </w:rPr>
            </w:pPr>
            <w:r>
              <w:rPr>
                <w:rFonts w:hint="default" w:ascii="Times New Roman" w:hAnsi="Times New Roman" w:eastAsia="宋体" w:cs="Times New Roman"/>
                <w:i w:val="0"/>
                <w:color w:val="000000"/>
                <w:kern w:val="0"/>
                <w:sz w:val="21"/>
                <w:szCs w:val="21"/>
                <w:u w:val="none"/>
                <w:lang w:val="en-US" w:eastAsia="zh-CN" w:bidi="ar"/>
              </w:rPr>
              <w:t>12</w:t>
            </w:r>
          </w:p>
        </w:tc>
        <w:tc>
          <w:tcPr>
            <w:tcW w:w="624" w:type="pct"/>
            <w:noWrap w:val="0"/>
            <w:vAlign w:val="center"/>
          </w:tcPr>
          <w:p>
            <w:pPr>
              <w:spacing w:line="300" w:lineRule="exact"/>
              <w:jc w:val="center"/>
              <w:rPr>
                <w:rFonts w:hint="eastAsia" w:eastAsia="宋体"/>
                <w:color w:val="auto"/>
                <w:szCs w:val="21"/>
                <w:lang w:eastAsia="zh-CN"/>
              </w:rPr>
            </w:pPr>
            <w:r>
              <w:rPr>
                <w:rFonts w:hint="default" w:ascii="Times New Roman" w:hAnsi="Times New Roman" w:cs="Times New Roman"/>
                <w:color w:val="auto"/>
                <w:kern w:val="0"/>
                <w:sz w:val="21"/>
                <w:szCs w:val="21"/>
              </w:rPr>
              <w:t>乙酸丁酯</w:t>
            </w:r>
          </w:p>
        </w:tc>
        <w:tc>
          <w:tcPr>
            <w:tcW w:w="624" w:type="pct"/>
            <w:noWrap w:val="0"/>
            <w:vAlign w:val="center"/>
          </w:tcPr>
          <w:p>
            <w:pPr>
              <w:spacing w:line="300" w:lineRule="exact"/>
              <w:jc w:val="center"/>
              <w:rPr>
                <w:color w:val="auto"/>
                <w:szCs w:val="21"/>
              </w:rPr>
            </w:pPr>
            <w:r>
              <w:rPr>
                <w:rFonts w:hint="eastAsia"/>
                <w:color w:val="auto"/>
                <w:szCs w:val="21"/>
              </w:rPr>
              <w:t>180</w:t>
            </w:r>
            <w:r>
              <w:rPr>
                <w:color w:val="auto"/>
                <w:szCs w:val="21"/>
              </w:rPr>
              <w:t>kg/桶</w:t>
            </w:r>
          </w:p>
        </w:tc>
        <w:tc>
          <w:tcPr>
            <w:tcW w:w="625" w:type="pct"/>
            <w:tcBorders>
              <w:right w:val="single" w:color="auto" w:sz="4" w:space="0"/>
            </w:tcBorders>
            <w:noWrap w:val="0"/>
            <w:vAlign w:val="center"/>
          </w:tcPr>
          <w:p>
            <w:pPr>
              <w:spacing w:line="300" w:lineRule="exact"/>
              <w:jc w:val="center"/>
              <w:rPr>
                <w:color w:val="auto"/>
                <w:szCs w:val="21"/>
              </w:rPr>
            </w:pPr>
            <w:r>
              <w:rPr>
                <w:color w:val="auto"/>
                <w:szCs w:val="21"/>
              </w:rPr>
              <w:t>t/a</w:t>
            </w:r>
          </w:p>
        </w:tc>
        <w:tc>
          <w:tcPr>
            <w:tcW w:w="625" w:type="pct"/>
            <w:tcBorders>
              <w:left w:val="single" w:color="auto" w:sz="4" w:space="0"/>
              <w:right w:val="single" w:color="auto" w:sz="4" w:space="0"/>
            </w:tcBorders>
            <w:noWrap w:val="0"/>
            <w:vAlign w:val="center"/>
          </w:tcPr>
          <w:p>
            <w:pPr>
              <w:spacing w:line="300" w:lineRule="exact"/>
              <w:jc w:val="center"/>
              <w:rPr>
                <w:color w:val="auto"/>
                <w:szCs w:val="21"/>
              </w:rPr>
            </w:pPr>
            <w:r>
              <w:rPr>
                <w:rFonts w:hint="eastAsia"/>
                <w:color w:val="auto"/>
                <w:szCs w:val="21"/>
              </w:rPr>
              <w:t>18</w:t>
            </w:r>
          </w:p>
        </w:tc>
        <w:tc>
          <w:tcPr>
            <w:tcW w:w="625" w:type="pct"/>
            <w:noWrap w:val="0"/>
            <w:vAlign w:val="center"/>
          </w:tcPr>
          <w:p>
            <w:pPr>
              <w:spacing w:line="300" w:lineRule="exact"/>
              <w:jc w:val="center"/>
              <w:rPr>
                <w:color w:val="auto"/>
                <w:szCs w:val="21"/>
              </w:rPr>
            </w:pPr>
            <w:r>
              <w:rPr>
                <w:rFonts w:hint="eastAsia"/>
                <w:color w:val="auto"/>
                <w:szCs w:val="21"/>
              </w:rPr>
              <w:t>2</w:t>
            </w:r>
          </w:p>
        </w:tc>
        <w:tc>
          <w:tcPr>
            <w:tcW w:w="625" w:type="pct"/>
            <w:noWrap w:val="0"/>
            <w:vAlign w:val="center"/>
          </w:tcPr>
          <w:p>
            <w:pPr>
              <w:spacing w:line="300" w:lineRule="exact"/>
              <w:jc w:val="center"/>
              <w:rPr>
                <w:color w:val="auto"/>
                <w:szCs w:val="21"/>
              </w:rPr>
            </w:pPr>
            <w:r>
              <w:rPr>
                <w:color w:val="auto"/>
                <w:szCs w:val="21"/>
              </w:rPr>
              <w:t>12天</w:t>
            </w:r>
          </w:p>
        </w:tc>
        <w:tc>
          <w:tcPr>
            <w:tcW w:w="626" w:type="pct"/>
            <w:tcBorders>
              <w:left w:val="single" w:color="auto" w:sz="4" w:space="0"/>
            </w:tcBorders>
            <w:noWrap w:val="0"/>
            <w:vAlign w:val="center"/>
          </w:tcPr>
          <w:p>
            <w:pPr>
              <w:spacing w:line="300" w:lineRule="exact"/>
              <w:jc w:val="center"/>
              <w:rPr>
                <w:color w:val="auto"/>
                <w:szCs w:val="21"/>
              </w:rPr>
            </w:pPr>
            <w:r>
              <w:rPr>
                <w:color w:val="auto"/>
                <w:szCs w:val="21"/>
              </w:rPr>
              <w:t>液态，桶装入厂</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624" w:type="pct"/>
            <w:noWrap w:val="0"/>
            <w:vAlign w:val="center"/>
          </w:tcPr>
          <w:p>
            <w:pPr>
              <w:keepNext w:val="0"/>
              <w:keepLines w:val="0"/>
              <w:widowControl/>
              <w:suppressLineNumbers w:val="0"/>
              <w:jc w:val="center"/>
              <w:textAlignment w:val="center"/>
              <w:rPr>
                <w:color w:val="auto"/>
                <w:szCs w:val="21"/>
              </w:rPr>
            </w:pPr>
            <w:r>
              <w:rPr>
                <w:rFonts w:hint="default" w:ascii="Times New Roman" w:hAnsi="Times New Roman" w:eastAsia="宋体" w:cs="Times New Roman"/>
                <w:i w:val="0"/>
                <w:color w:val="000000"/>
                <w:kern w:val="0"/>
                <w:sz w:val="21"/>
                <w:szCs w:val="21"/>
                <w:u w:val="none"/>
                <w:lang w:val="en-US" w:eastAsia="zh-CN" w:bidi="ar"/>
              </w:rPr>
              <w:t>13</w:t>
            </w:r>
          </w:p>
        </w:tc>
        <w:tc>
          <w:tcPr>
            <w:tcW w:w="624" w:type="pct"/>
            <w:noWrap w:val="0"/>
            <w:vAlign w:val="center"/>
          </w:tcPr>
          <w:p>
            <w:pPr>
              <w:spacing w:line="300" w:lineRule="exact"/>
              <w:jc w:val="center"/>
              <w:rPr>
                <w:color w:val="auto"/>
                <w:szCs w:val="21"/>
              </w:rPr>
            </w:pPr>
            <w:r>
              <w:rPr>
                <w:rFonts w:hint="eastAsia"/>
                <w:color w:val="auto"/>
                <w:szCs w:val="21"/>
              </w:rPr>
              <w:t>中性清洗剂</w:t>
            </w:r>
          </w:p>
        </w:tc>
        <w:tc>
          <w:tcPr>
            <w:tcW w:w="624" w:type="pct"/>
            <w:noWrap w:val="0"/>
            <w:vAlign w:val="center"/>
          </w:tcPr>
          <w:p>
            <w:pPr>
              <w:spacing w:line="300" w:lineRule="exact"/>
              <w:jc w:val="center"/>
              <w:rPr>
                <w:color w:val="auto"/>
                <w:szCs w:val="21"/>
              </w:rPr>
            </w:pPr>
            <w:r>
              <w:rPr>
                <w:color w:val="auto"/>
                <w:szCs w:val="21"/>
              </w:rPr>
              <w:t>20kg/桶</w:t>
            </w:r>
          </w:p>
        </w:tc>
        <w:tc>
          <w:tcPr>
            <w:tcW w:w="625" w:type="pct"/>
            <w:tcBorders>
              <w:right w:val="single" w:color="auto" w:sz="4" w:space="0"/>
            </w:tcBorders>
            <w:noWrap w:val="0"/>
            <w:vAlign w:val="top"/>
          </w:tcPr>
          <w:p>
            <w:pPr>
              <w:spacing w:line="300" w:lineRule="exact"/>
              <w:jc w:val="center"/>
              <w:rPr>
                <w:color w:val="auto"/>
                <w:szCs w:val="21"/>
              </w:rPr>
            </w:pPr>
            <w:r>
              <w:rPr>
                <w:color w:val="auto"/>
                <w:szCs w:val="21"/>
              </w:rPr>
              <w:t>t/a</w:t>
            </w:r>
          </w:p>
        </w:tc>
        <w:tc>
          <w:tcPr>
            <w:tcW w:w="625" w:type="pct"/>
            <w:tcBorders>
              <w:left w:val="single" w:color="auto" w:sz="4" w:space="0"/>
              <w:right w:val="single" w:color="auto" w:sz="4" w:space="0"/>
            </w:tcBorders>
            <w:noWrap w:val="0"/>
            <w:vAlign w:val="center"/>
          </w:tcPr>
          <w:p>
            <w:pPr>
              <w:spacing w:line="300" w:lineRule="exact"/>
              <w:jc w:val="center"/>
              <w:rPr>
                <w:color w:val="auto"/>
                <w:szCs w:val="21"/>
              </w:rPr>
            </w:pPr>
            <w:r>
              <w:rPr>
                <w:rFonts w:hint="eastAsia"/>
                <w:color w:val="auto"/>
                <w:szCs w:val="21"/>
              </w:rPr>
              <w:t>10</w:t>
            </w:r>
          </w:p>
        </w:tc>
        <w:tc>
          <w:tcPr>
            <w:tcW w:w="625" w:type="pct"/>
            <w:noWrap w:val="0"/>
            <w:vAlign w:val="center"/>
          </w:tcPr>
          <w:p>
            <w:pPr>
              <w:spacing w:line="300" w:lineRule="exact"/>
              <w:jc w:val="center"/>
              <w:rPr>
                <w:color w:val="auto"/>
                <w:szCs w:val="21"/>
              </w:rPr>
            </w:pPr>
            <w:r>
              <w:rPr>
                <w:rFonts w:hint="eastAsia"/>
                <w:color w:val="auto"/>
                <w:szCs w:val="21"/>
              </w:rPr>
              <w:t>0.8</w:t>
            </w:r>
          </w:p>
        </w:tc>
        <w:tc>
          <w:tcPr>
            <w:tcW w:w="625" w:type="pct"/>
            <w:noWrap w:val="0"/>
            <w:vAlign w:val="top"/>
          </w:tcPr>
          <w:p>
            <w:pPr>
              <w:spacing w:line="300" w:lineRule="exact"/>
              <w:jc w:val="center"/>
              <w:rPr>
                <w:color w:val="auto"/>
                <w:szCs w:val="21"/>
              </w:rPr>
            </w:pPr>
            <w:r>
              <w:rPr>
                <w:color w:val="auto"/>
                <w:szCs w:val="21"/>
              </w:rPr>
              <w:t>20天</w:t>
            </w:r>
          </w:p>
        </w:tc>
        <w:tc>
          <w:tcPr>
            <w:tcW w:w="626" w:type="pct"/>
            <w:tcBorders>
              <w:left w:val="single" w:color="auto" w:sz="4" w:space="0"/>
            </w:tcBorders>
            <w:noWrap w:val="0"/>
            <w:vAlign w:val="center"/>
          </w:tcPr>
          <w:p>
            <w:pPr>
              <w:spacing w:line="300" w:lineRule="exact"/>
              <w:jc w:val="center"/>
              <w:rPr>
                <w:color w:val="auto"/>
                <w:szCs w:val="21"/>
              </w:rPr>
            </w:pPr>
            <w:r>
              <w:rPr>
                <w:color w:val="auto"/>
                <w:szCs w:val="21"/>
              </w:rPr>
              <w:t>液态，桶装入厂</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624" w:type="pct"/>
            <w:noWrap w:val="0"/>
            <w:vAlign w:val="center"/>
          </w:tcPr>
          <w:p>
            <w:pPr>
              <w:keepNext w:val="0"/>
              <w:keepLines w:val="0"/>
              <w:widowControl/>
              <w:suppressLineNumbers w:val="0"/>
              <w:jc w:val="center"/>
              <w:textAlignment w:val="center"/>
              <w:rPr>
                <w:color w:val="auto"/>
                <w:szCs w:val="21"/>
              </w:rPr>
            </w:pPr>
            <w:r>
              <w:rPr>
                <w:rFonts w:hint="default" w:ascii="Times New Roman" w:hAnsi="Times New Roman" w:eastAsia="宋体" w:cs="Times New Roman"/>
                <w:i w:val="0"/>
                <w:color w:val="000000"/>
                <w:kern w:val="0"/>
                <w:sz w:val="21"/>
                <w:szCs w:val="21"/>
                <w:u w:val="none"/>
                <w:lang w:val="en-US" w:eastAsia="zh-CN" w:bidi="ar"/>
              </w:rPr>
              <w:t>14</w:t>
            </w:r>
          </w:p>
        </w:tc>
        <w:tc>
          <w:tcPr>
            <w:tcW w:w="624" w:type="pct"/>
            <w:noWrap w:val="0"/>
            <w:vAlign w:val="center"/>
          </w:tcPr>
          <w:p>
            <w:pPr>
              <w:spacing w:line="300" w:lineRule="exact"/>
              <w:jc w:val="center"/>
              <w:rPr>
                <w:color w:val="auto"/>
                <w:szCs w:val="21"/>
              </w:rPr>
            </w:pPr>
            <w:r>
              <w:rPr>
                <w:rFonts w:hint="eastAsia"/>
                <w:color w:val="auto"/>
                <w:szCs w:val="21"/>
              </w:rPr>
              <w:t>中性清洗剂</w:t>
            </w:r>
          </w:p>
        </w:tc>
        <w:tc>
          <w:tcPr>
            <w:tcW w:w="624" w:type="pct"/>
            <w:noWrap w:val="0"/>
            <w:vAlign w:val="center"/>
          </w:tcPr>
          <w:p>
            <w:pPr>
              <w:spacing w:line="300" w:lineRule="exact"/>
              <w:jc w:val="center"/>
              <w:rPr>
                <w:color w:val="auto"/>
                <w:szCs w:val="21"/>
              </w:rPr>
            </w:pPr>
            <w:r>
              <w:rPr>
                <w:color w:val="auto"/>
                <w:szCs w:val="21"/>
              </w:rPr>
              <w:t>2</w:t>
            </w:r>
            <w:r>
              <w:rPr>
                <w:rFonts w:hint="eastAsia"/>
                <w:color w:val="auto"/>
                <w:szCs w:val="21"/>
              </w:rPr>
              <w:t>0</w:t>
            </w:r>
            <w:r>
              <w:rPr>
                <w:color w:val="auto"/>
                <w:szCs w:val="21"/>
              </w:rPr>
              <w:t>kg/袋</w:t>
            </w:r>
          </w:p>
        </w:tc>
        <w:tc>
          <w:tcPr>
            <w:tcW w:w="625" w:type="pct"/>
            <w:tcBorders>
              <w:right w:val="single" w:color="auto" w:sz="4" w:space="0"/>
            </w:tcBorders>
            <w:noWrap w:val="0"/>
            <w:vAlign w:val="top"/>
          </w:tcPr>
          <w:p>
            <w:pPr>
              <w:spacing w:line="300" w:lineRule="exact"/>
              <w:jc w:val="center"/>
              <w:rPr>
                <w:color w:val="auto"/>
                <w:szCs w:val="21"/>
              </w:rPr>
            </w:pPr>
            <w:r>
              <w:rPr>
                <w:color w:val="auto"/>
                <w:szCs w:val="21"/>
              </w:rPr>
              <w:t>t/a</w:t>
            </w:r>
          </w:p>
        </w:tc>
        <w:tc>
          <w:tcPr>
            <w:tcW w:w="625" w:type="pct"/>
            <w:tcBorders>
              <w:left w:val="single" w:color="auto" w:sz="4" w:space="0"/>
              <w:right w:val="single" w:color="auto" w:sz="4" w:space="0"/>
            </w:tcBorders>
            <w:noWrap w:val="0"/>
            <w:vAlign w:val="center"/>
          </w:tcPr>
          <w:p>
            <w:pPr>
              <w:spacing w:line="300" w:lineRule="exact"/>
              <w:jc w:val="center"/>
              <w:rPr>
                <w:color w:val="auto"/>
                <w:szCs w:val="21"/>
              </w:rPr>
            </w:pPr>
            <w:r>
              <w:rPr>
                <w:rFonts w:hint="eastAsia"/>
                <w:color w:val="auto"/>
                <w:szCs w:val="21"/>
              </w:rPr>
              <w:t>5</w:t>
            </w:r>
          </w:p>
        </w:tc>
        <w:tc>
          <w:tcPr>
            <w:tcW w:w="625" w:type="pct"/>
            <w:noWrap w:val="0"/>
            <w:vAlign w:val="center"/>
          </w:tcPr>
          <w:p>
            <w:pPr>
              <w:spacing w:line="300" w:lineRule="exact"/>
              <w:jc w:val="center"/>
              <w:rPr>
                <w:color w:val="auto"/>
                <w:szCs w:val="21"/>
              </w:rPr>
            </w:pPr>
            <w:r>
              <w:rPr>
                <w:rFonts w:hint="eastAsia"/>
                <w:color w:val="auto"/>
                <w:szCs w:val="21"/>
              </w:rPr>
              <w:t>0.4</w:t>
            </w:r>
          </w:p>
        </w:tc>
        <w:tc>
          <w:tcPr>
            <w:tcW w:w="625" w:type="pct"/>
            <w:noWrap w:val="0"/>
            <w:vAlign w:val="top"/>
          </w:tcPr>
          <w:p>
            <w:pPr>
              <w:spacing w:line="300" w:lineRule="exact"/>
              <w:jc w:val="center"/>
              <w:rPr>
                <w:color w:val="auto"/>
                <w:szCs w:val="21"/>
              </w:rPr>
            </w:pPr>
            <w:r>
              <w:rPr>
                <w:color w:val="auto"/>
                <w:szCs w:val="21"/>
              </w:rPr>
              <w:t>20天</w:t>
            </w:r>
          </w:p>
        </w:tc>
        <w:tc>
          <w:tcPr>
            <w:tcW w:w="626" w:type="pct"/>
            <w:tcBorders>
              <w:left w:val="single" w:color="auto" w:sz="4" w:space="0"/>
            </w:tcBorders>
            <w:noWrap w:val="0"/>
            <w:vAlign w:val="center"/>
          </w:tcPr>
          <w:p>
            <w:pPr>
              <w:spacing w:line="300" w:lineRule="exact"/>
              <w:jc w:val="center"/>
              <w:rPr>
                <w:color w:val="auto"/>
                <w:szCs w:val="21"/>
              </w:rPr>
            </w:pPr>
            <w:r>
              <w:rPr>
                <w:color w:val="auto"/>
                <w:szCs w:val="21"/>
              </w:rPr>
              <w:t>粉状，袋装入厂</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624" w:type="pct"/>
            <w:noWrap w:val="0"/>
            <w:vAlign w:val="center"/>
          </w:tcPr>
          <w:p>
            <w:pPr>
              <w:keepNext w:val="0"/>
              <w:keepLines w:val="0"/>
              <w:widowControl/>
              <w:suppressLineNumbers w:val="0"/>
              <w:jc w:val="center"/>
              <w:textAlignment w:val="center"/>
              <w:rPr>
                <w:color w:val="auto"/>
                <w:szCs w:val="21"/>
              </w:rPr>
            </w:pPr>
            <w:r>
              <w:rPr>
                <w:rFonts w:hint="default" w:ascii="Times New Roman" w:hAnsi="Times New Roman" w:eastAsia="宋体" w:cs="Times New Roman"/>
                <w:i w:val="0"/>
                <w:color w:val="000000"/>
                <w:kern w:val="0"/>
                <w:sz w:val="21"/>
                <w:szCs w:val="21"/>
                <w:u w:val="none"/>
                <w:lang w:val="en-US" w:eastAsia="zh-CN" w:bidi="ar"/>
              </w:rPr>
              <w:t>15</w:t>
            </w:r>
          </w:p>
        </w:tc>
        <w:tc>
          <w:tcPr>
            <w:tcW w:w="624" w:type="pct"/>
            <w:noWrap w:val="0"/>
            <w:vAlign w:val="center"/>
          </w:tcPr>
          <w:p>
            <w:pPr>
              <w:spacing w:line="300" w:lineRule="exact"/>
              <w:jc w:val="center"/>
              <w:rPr>
                <w:rFonts w:hint="eastAsia"/>
                <w:color w:val="auto"/>
                <w:szCs w:val="21"/>
                <w:lang w:eastAsia="zh-CN"/>
              </w:rPr>
            </w:pPr>
            <w:r>
              <w:rPr>
                <w:rFonts w:hint="eastAsia"/>
                <w:color w:val="auto"/>
                <w:szCs w:val="21"/>
              </w:rPr>
              <w:t>有机硅</w:t>
            </w:r>
          </w:p>
        </w:tc>
        <w:tc>
          <w:tcPr>
            <w:tcW w:w="624" w:type="pct"/>
            <w:noWrap w:val="0"/>
            <w:vAlign w:val="center"/>
          </w:tcPr>
          <w:p>
            <w:pPr>
              <w:spacing w:line="300" w:lineRule="exact"/>
              <w:jc w:val="center"/>
              <w:rPr>
                <w:color w:val="auto"/>
                <w:szCs w:val="21"/>
              </w:rPr>
            </w:pPr>
            <w:r>
              <w:rPr>
                <w:color w:val="auto"/>
                <w:szCs w:val="21"/>
              </w:rPr>
              <w:t>20kg/桶</w:t>
            </w:r>
          </w:p>
        </w:tc>
        <w:tc>
          <w:tcPr>
            <w:tcW w:w="625" w:type="pct"/>
            <w:tcBorders>
              <w:right w:val="single" w:color="auto" w:sz="4" w:space="0"/>
            </w:tcBorders>
            <w:noWrap w:val="0"/>
            <w:vAlign w:val="top"/>
          </w:tcPr>
          <w:p>
            <w:pPr>
              <w:spacing w:line="300" w:lineRule="exact"/>
              <w:jc w:val="center"/>
              <w:rPr>
                <w:color w:val="auto"/>
                <w:szCs w:val="21"/>
              </w:rPr>
            </w:pPr>
            <w:r>
              <w:rPr>
                <w:color w:val="auto"/>
                <w:szCs w:val="21"/>
              </w:rPr>
              <w:t>t/a</w:t>
            </w:r>
          </w:p>
        </w:tc>
        <w:tc>
          <w:tcPr>
            <w:tcW w:w="625" w:type="pct"/>
            <w:tcBorders>
              <w:left w:val="single" w:color="auto" w:sz="4" w:space="0"/>
              <w:right w:val="single" w:color="auto" w:sz="4" w:space="0"/>
            </w:tcBorders>
            <w:noWrap w:val="0"/>
            <w:vAlign w:val="center"/>
          </w:tcPr>
          <w:p>
            <w:pPr>
              <w:spacing w:line="300" w:lineRule="exact"/>
              <w:jc w:val="center"/>
              <w:rPr>
                <w:rFonts w:hint="eastAsia"/>
                <w:color w:val="auto"/>
                <w:szCs w:val="21"/>
                <w:lang w:eastAsia="zh-CN"/>
              </w:rPr>
            </w:pPr>
            <w:r>
              <w:rPr>
                <w:rFonts w:hint="eastAsia"/>
                <w:color w:val="auto"/>
                <w:szCs w:val="21"/>
                <w:lang w:val="en-US" w:eastAsia="zh-CN"/>
              </w:rPr>
              <w:t>5</w:t>
            </w:r>
          </w:p>
        </w:tc>
        <w:tc>
          <w:tcPr>
            <w:tcW w:w="625" w:type="pct"/>
            <w:noWrap w:val="0"/>
            <w:vAlign w:val="center"/>
          </w:tcPr>
          <w:p>
            <w:pPr>
              <w:spacing w:line="300" w:lineRule="exact"/>
              <w:jc w:val="center"/>
              <w:rPr>
                <w:color w:val="auto"/>
                <w:szCs w:val="21"/>
              </w:rPr>
            </w:pPr>
            <w:r>
              <w:rPr>
                <w:rFonts w:hint="eastAsia"/>
                <w:color w:val="auto"/>
                <w:szCs w:val="21"/>
              </w:rPr>
              <w:t>0.8</w:t>
            </w:r>
          </w:p>
        </w:tc>
        <w:tc>
          <w:tcPr>
            <w:tcW w:w="625" w:type="pct"/>
            <w:noWrap w:val="0"/>
            <w:vAlign w:val="top"/>
          </w:tcPr>
          <w:p>
            <w:pPr>
              <w:spacing w:line="300" w:lineRule="exact"/>
              <w:jc w:val="center"/>
              <w:rPr>
                <w:color w:val="auto"/>
                <w:szCs w:val="21"/>
              </w:rPr>
            </w:pPr>
            <w:r>
              <w:rPr>
                <w:color w:val="auto"/>
                <w:szCs w:val="21"/>
              </w:rPr>
              <w:t>20天</w:t>
            </w:r>
          </w:p>
        </w:tc>
        <w:tc>
          <w:tcPr>
            <w:tcW w:w="626" w:type="pct"/>
            <w:tcBorders>
              <w:left w:val="single" w:color="auto" w:sz="4" w:space="0"/>
            </w:tcBorders>
            <w:noWrap w:val="0"/>
            <w:vAlign w:val="center"/>
          </w:tcPr>
          <w:p>
            <w:pPr>
              <w:spacing w:line="300" w:lineRule="exact"/>
              <w:jc w:val="center"/>
              <w:rPr>
                <w:color w:val="auto"/>
                <w:szCs w:val="21"/>
              </w:rPr>
            </w:pPr>
            <w:r>
              <w:rPr>
                <w:color w:val="auto"/>
                <w:szCs w:val="21"/>
              </w:rPr>
              <w:t>液态，桶装入厂</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624" w:type="pct"/>
            <w:noWrap w:val="0"/>
            <w:vAlign w:val="center"/>
          </w:tcPr>
          <w:p>
            <w:pPr>
              <w:keepNext w:val="0"/>
              <w:keepLines w:val="0"/>
              <w:widowControl/>
              <w:suppressLineNumbers w:val="0"/>
              <w:jc w:val="center"/>
              <w:textAlignment w:val="center"/>
              <w:rPr>
                <w:color w:val="auto"/>
                <w:szCs w:val="21"/>
              </w:rPr>
            </w:pPr>
            <w:r>
              <w:rPr>
                <w:rFonts w:hint="default" w:ascii="Times New Roman" w:hAnsi="Times New Roman" w:eastAsia="宋体" w:cs="Times New Roman"/>
                <w:i w:val="0"/>
                <w:color w:val="000000"/>
                <w:kern w:val="0"/>
                <w:sz w:val="21"/>
                <w:szCs w:val="21"/>
                <w:u w:val="none"/>
                <w:lang w:val="en-US" w:eastAsia="zh-CN" w:bidi="ar"/>
              </w:rPr>
              <w:t>16</w:t>
            </w:r>
          </w:p>
        </w:tc>
        <w:tc>
          <w:tcPr>
            <w:tcW w:w="624" w:type="pct"/>
            <w:noWrap w:val="0"/>
            <w:vAlign w:val="center"/>
          </w:tcPr>
          <w:p>
            <w:pPr>
              <w:spacing w:line="300" w:lineRule="exact"/>
              <w:jc w:val="center"/>
              <w:rPr>
                <w:rFonts w:hint="eastAsia"/>
                <w:color w:val="auto"/>
                <w:szCs w:val="21"/>
                <w:lang w:eastAsia="zh-CN"/>
              </w:rPr>
            </w:pPr>
            <w:r>
              <w:rPr>
                <w:rFonts w:hint="eastAsia"/>
                <w:color w:val="auto"/>
                <w:szCs w:val="21"/>
              </w:rPr>
              <w:t>发泡粉</w:t>
            </w:r>
          </w:p>
        </w:tc>
        <w:tc>
          <w:tcPr>
            <w:tcW w:w="624" w:type="pct"/>
            <w:noWrap w:val="0"/>
            <w:vAlign w:val="center"/>
          </w:tcPr>
          <w:p>
            <w:pPr>
              <w:spacing w:line="300" w:lineRule="exact"/>
              <w:jc w:val="center"/>
              <w:rPr>
                <w:color w:val="auto"/>
                <w:szCs w:val="21"/>
              </w:rPr>
            </w:pPr>
            <w:r>
              <w:rPr>
                <w:rFonts w:hint="eastAsia"/>
                <w:color w:val="auto"/>
                <w:szCs w:val="21"/>
              </w:rPr>
              <w:t>5</w:t>
            </w:r>
            <w:r>
              <w:rPr>
                <w:color w:val="auto"/>
                <w:szCs w:val="21"/>
              </w:rPr>
              <w:t>0kg/桶</w:t>
            </w:r>
          </w:p>
        </w:tc>
        <w:tc>
          <w:tcPr>
            <w:tcW w:w="625" w:type="pct"/>
            <w:tcBorders>
              <w:right w:val="single" w:color="auto" w:sz="4" w:space="0"/>
            </w:tcBorders>
            <w:noWrap w:val="0"/>
            <w:vAlign w:val="center"/>
          </w:tcPr>
          <w:p>
            <w:pPr>
              <w:spacing w:line="300" w:lineRule="exact"/>
              <w:jc w:val="center"/>
              <w:rPr>
                <w:color w:val="auto"/>
                <w:szCs w:val="21"/>
              </w:rPr>
            </w:pPr>
            <w:r>
              <w:rPr>
                <w:color w:val="auto"/>
                <w:szCs w:val="21"/>
              </w:rPr>
              <w:t>t/a</w:t>
            </w:r>
          </w:p>
        </w:tc>
        <w:tc>
          <w:tcPr>
            <w:tcW w:w="625" w:type="pct"/>
            <w:tcBorders>
              <w:left w:val="single" w:color="auto" w:sz="4" w:space="0"/>
              <w:right w:val="single" w:color="auto" w:sz="4" w:space="0"/>
            </w:tcBorders>
            <w:noWrap w:val="0"/>
            <w:vAlign w:val="center"/>
          </w:tcPr>
          <w:p>
            <w:pPr>
              <w:spacing w:line="300" w:lineRule="exact"/>
              <w:jc w:val="center"/>
              <w:rPr>
                <w:rFonts w:hint="default" w:eastAsia="宋体"/>
                <w:color w:val="auto"/>
                <w:szCs w:val="21"/>
                <w:lang w:val="en-US" w:eastAsia="zh-CN"/>
              </w:rPr>
            </w:pPr>
            <w:r>
              <w:rPr>
                <w:rFonts w:hint="eastAsia"/>
                <w:color w:val="auto"/>
                <w:szCs w:val="21"/>
                <w:lang w:val="en-US" w:eastAsia="zh-CN"/>
              </w:rPr>
              <w:t>10</w:t>
            </w:r>
          </w:p>
        </w:tc>
        <w:tc>
          <w:tcPr>
            <w:tcW w:w="625" w:type="pct"/>
            <w:noWrap w:val="0"/>
            <w:vAlign w:val="center"/>
          </w:tcPr>
          <w:p>
            <w:pPr>
              <w:spacing w:line="300" w:lineRule="exact"/>
              <w:jc w:val="center"/>
              <w:rPr>
                <w:color w:val="auto"/>
                <w:szCs w:val="21"/>
              </w:rPr>
            </w:pPr>
            <w:r>
              <w:rPr>
                <w:rFonts w:hint="eastAsia"/>
                <w:color w:val="auto"/>
                <w:szCs w:val="21"/>
              </w:rPr>
              <w:t>1.5</w:t>
            </w:r>
          </w:p>
        </w:tc>
        <w:tc>
          <w:tcPr>
            <w:tcW w:w="625" w:type="pct"/>
            <w:noWrap w:val="0"/>
            <w:vAlign w:val="center"/>
          </w:tcPr>
          <w:p>
            <w:pPr>
              <w:spacing w:line="300" w:lineRule="exact"/>
              <w:jc w:val="center"/>
              <w:rPr>
                <w:color w:val="auto"/>
                <w:szCs w:val="21"/>
              </w:rPr>
            </w:pPr>
            <w:r>
              <w:rPr>
                <w:color w:val="auto"/>
                <w:szCs w:val="21"/>
              </w:rPr>
              <w:t>20天</w:t>
            </w:r>
          </w:p>
        </w:tc>
        <w:tc>
          <w:tcPr>
            <w:tcW w:w="626" w:type="pct"/>
            <w:tcBorders>
              <w:left w:val="single" w:color="auto" w:sz="4" w:space="0"/>
            </w:tcBorders>
            <w:noWrap w:val="0"/>
            <w:vAlign w:val="center"/>
          </w:tcPr>
          <w:p>
            <w:pPr>
              <w:spacing w:line="300" w:lineRule="exact"/>
              <w:jc w:val="center"/>
              <w:rPr>
                <w:color w:val="auto"/>
                <w:szCs w:val="21"/>
              </w:rPr>
            </w:pPr>
            <w:r>
              <w:rPr>
                <w:color w:val="auto"/>
                <w:szCs w:val="21"/>
              </w:rPr>
              <w:t>粉状，桶装入厂</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624" w:type="pct"/>
            <w:noWrap w:val="0"/>
            <w:vAlign w:val="center"/>
          </w:tcPr>
          <w:p>
            <w:pPr>
              <w:keepNext w:val="0"/>
              <w:keepLines w:val="0"/>
              <w:widowControl/>
              <w:suppressLineNumbers w:val="0"/>
              <w:jc w:val="center"/>
              <w:textAlignment w:val="center"/>
              <w:rPr>
                <w:rFonts w:hint="default" w:eastAsia="宋体"/>
                <w:color w:val="auto"/>
                <w:szCs w:val="21"/>
                <w:lang w:val="en-US" w:eastAsia="zh-CN"/>
              </w:rPr>
            </w:pPr>
            <w:r>
              <w:rPr>
                <w:rFonts w:hint="default" w:ascii="Times New Roman" w:hAnsi="Times New Roman" w:eastAsia="宋体" w:cs="Times New Roman"/>
                <w:i w:val="0"/>
                <w:color w:val="000000"/>
                <w:kern w:val="0"/>
                <w:sz w:val="21"/>
                <w:szCs w:val="21"/>
                <w:u w:val="none"/>
                <w:lang w:val="en-US" w:eastAsia="zh-CN" w:bidi="ar"/>
              </w:rPr>
              <w:t>17</w:t>
            </w:r>
          </w:p>
        </w:tc>
        <w:tc>
          <w:tcPr>
            <w:tcW w:w="624" w:type="pct"/>
            <w:noWrap w:val="0"/>
            <w:vAlign w:val="center"/>
          </w:tcPr>
          <w:p>
            <w:pPr>
              <w:spacing w:line="300" w:lineRule="exact"/>
              <w:jc w:val="center"/>
              <w:rPr>
                <w:rFonts w:hint="eastAsia" w:eastAsia="宋体"/>
                <w:color w:val="auto"/>
                <w:szCs w:val="21"/>
                <w:lang w:eastAsia="zh-CN"/>
              </w:rPr>
            </w:pPr>
            <w:r>
              <w:rPr>
                <w:rFonts w:hint="eastAsia"/>
                <w:color w:val="auto"/>
                <w:szCs w:val="21"/>
                <w:lang w:eastAsia="zh-CN"/>
              </w:rPr>
              <w:t>底涂剂</w:t>
            </w:r>
          </w:p>
        </w:tc>
        <w:tc>
          <w:tcPr>
            <w:tcW w:w="624" w:type="pct"/>
            <w:noWrap w:val="0"/>
            <w:vAlign w:val="center"/>
          </w:tcPr>
          <w:p>
            <w:pPr>
              <w:spacing w:line="300" w:lineRule="exact"/>
              <w:jc w:val="center"/>
              <w:rPr>
                <w:rFonts w:hint="eastAsia"/>
                <w:color w:val="auto"/>
                <w:szCs w:val="21"/>
              </w:rPr>
            </w:pPr>
            <w:r>
              <w:rPr>
                <w:rFonts w:hint="eastAsia"/>
                <w:color w:val="auto"/>
                <w:szCs w:val="21"/>
                <w:lang w:val="en-US" w:eastAsia="zh-CN"/>
              </w:rPr>
              <w:t>20</w:t>
            </w:r>
            <w:r>
              <w:rPr>
                <w:color w:val="auto"/>
                <w:szCs w:val="21"/>
              </w:rPr>
              <w:t>kg/桶</w:t>
            </w:r>
          </w:p>
        </w:tc>
        <w:tc>
          <w:tcPr>
            <w:tcW w:w="625" w:type="pct"/>
            <w:tcBorders>
              <w:right w:val="single" w:color="auto" w:sz="4" w:space="0"/>
            </w:tcBorders>
            <w:noWrap w:val="0"/>
            <w:vAlign w:val="center"/>
          </w:tcPr>
          <w:p>
            <w:pPr>
              <w:spacing w:line="300" w:lineRule="exact"/>
              <w:jc w:val="center"/>
              <w:rPr>
                <w:color w:val="auto"/>
                <w:szCs w:val="21"/>
              </w:rPr>
            </w:pPr>
            <w:r>
              <w:rPr>
                <w:color w:val="auto"/>
                <w:szCs w:val="21"/>
              </w:rPr>
              <w:t>t/a</w:t>
            </w:r>
          </w:p>
        </w:tc>
        <w:tc>
          <w:tcPr>
            <w:tcW w:w="625" w:type="pct"/>
            <w:tcBorders>
              <w:left w:val="single" w:color="auto" w:sz="4" w:space="0"/>
              <w:right w:val="single" w:color="auto" w:sz="4" w:space="0"/>
            </w:tcBorders>
            <w:noWrap w:val="0"/>
            <w:vAlign w:val="center"/>
          </w:tcPr>
          <w:p>
            <w:pPr>
              <w:spacing w:line="300" w:lineRule="exact"/>
              <w:jc w:val="center"/>
              <w:rPr>
                <w:rFonts w:hint="default"/>
                <w:color w:val="auto"/>
                <w:szCs w:val="21"/>
                <w:lang w:val="en-US" w:eastAsia="zh-CN"/>
              </w:rPr>
            </w:pPr>
            <w:r>
              <w:rPr>
                <w:rFonts w:hint="eastAsia"/>
                <w:color w:val="auto"/>
                <w:szCs w:val="21"/>
                <w:lang w:val="en-US" w:eastAsia="zh-CN"/>
              </w:rPr>
              <w:t>1</w:t>
            </w:r>
          </w:p>
        </w:tc>
        <w:tc>
          <w:tcPr>
            <w:tcW w:w="625" w:type="pct"/>
            <w:noWrap w:val="0"/>
            <w:vAlign w:val="center"/>
          </w:tcPr>
          <w:p>
            <w:pPr>
              <w:spacing w:line="300" w:lineRule="exact"/>
              <w:jc w:val="center"/>
              <w:rPr>
                <w:rFonts w:hint="default" w:eastAsia="宋体"/>
                <w:color w:val="auto"/>
                <w:szCs w:val="21"/>
                <w:lang w:val="en-US" w:eastAsia="zh-CN"/>
              </w:rPr>
            </w:pPr>
            <w:r>
              <w:rPr>
                <w:rFonts w:hint="eastAsia"/>
                <w:color w:val="auto"/>
                <w:szCs w:val="21"/>
                <w:lang w:val="en-US" w:eastAsia="zh-CN"/>
              </w:rPr>
              <w:t>0.1</w:t>
            </w:r>
          </w:p>
        </w:tc>
        <w:tc>
          <w:tcPr>
            <w:tcW w:w="625" w:type="pct"/>
            <w:noWrap w:val="0"/>
            <w:vAlign w:val="center"/>
          </w:tcPr>
          <w:p>
            <w:pPr>
              <w:spacing w:line="300" w:lineRule="exact"/>
              <w:jc w:val="center"/>
              <w:rPr>
                <w:color w:val="auto"/>
                <w:szCs w:val="21"/>
              </w:rPr>
            </w:pPr>
            <w:r>
              <w:rPr>
                <w:color w:val="auto"/>
                <w:szCs w:val="21"/>
              </w:rPr>
              <w:t>20天</w:t>
            </w:r>
          </w:p>
        </w:tc>
        <w:tc>
          <w:tcPr>
            <w:tcW w:w="626" w:type="pct"/>
            <w:tcBorders>
              <w:left w:val="single" w:color="auto" w:sz="4" w:space="0"/>
            </w:tcBorders>
            <w:noWrap w:val="0"/>
            <w:vAlign w:val="center"/>
          </w:tcPr>
          <w:p>
            <w:pPr>
              <w:spacing w:line="300" w:lineRule="exact"/>
              <w:jc w:val="center"/>
              <w:rPr>
                <w:color w:val="auto"/>
                <w:szCs w:val="21"/>
              </w:rPr>
            </w:pPr>
            <w:r>
              <w:rPr>
                <w:color w:val="auto"/>
                <w:szCs w:val="21"/>
              </w:rPr>
              <w:t>液态，桶装入厂</w:t>
            </w:r>
          </w:p>
        </w:tc>
      </w:tr>
    </w:tbl>
    <w:p/>
    <w:p>
      <w:pPr>
        <w:pStyle w:val="5"/>
        <w:spacing w:before="0" w:after="0" w:line="520" w:lineRule="exact"/>
        <w:rPr>
          <w:rFonts w:hint="eastAsia"/>
          <w:color w:val="auto"/>
          <w:sz w:val="24"/>
          <w:szCs w:val="24"/>
        </w:rPr>
      </w:pPr>
    </w:p>
    <w:p>
      <w:pPr>
        <w:pStyle w:val="5"/>
        <w:spacing w:before="0" w:after="0" w:line="520" w:lineRule="exact"/>
        <w:rPr>
          <w:rFonts w:hint="eastAsia"/>
          <w:color w:val="auto"/>
          <w:sz w:val="24"/>
          <w:szCs w:val="24"/>
        </w:rPr>
      </w:pPr>
    </w:p>
    <w:p>
      <w:pPr>
        <w:pStyle w:val="5"/>
        <w:spacing w:before="0" w:after="0" w:line="520" w:lineRule="exact"/>
        <w:rPr>
          <w:color w:val="auto"/>
          <w:sz w:val="24"/>
          <w:szCs w:val="24"/>
        </w:rPr>
      </w:pPr>
      <w:r>
        <w:rPr>
          <w:rFonts w:hint="eastAsia"/>
          <w:color w:val="auto"/>
          <w:sz w:val="24"/>
          <w:szCs w:val="24"/>
        </w:rPr>
        <w:t>4</w:t>
      </w:r>
      <w:r>
        <w:rPr>
          <w:color w:val="auto"/>
          <w:sz w:val="24"/>
          <w:szCs w:val="24"/>
        </w:rPr>
        <w:t>.2.3</w:t>
      </w:r>
      <w:r>
        <w:rPr>
          <w:color w:val="auto"/>
          <w:sz w:val="24"/>
        </w:rPr>
        <w:t>原辅料理化性质</w:t>
      </w:r>
    </w:p>
    <w:p>
      <w:pPr>
        <w:spacing w:line="440" w:lineRule="exact"/>
        <w:jc w:val="center"/>
        <w:rPr>
          <w:b/>
          <w:color w:val="auto"/>
          <w:sz w:val="24"/>
        </w:rPr>
      </w:pPr>
    </w:p>
    <w:p>
      <w:pPr>
        <w:spacing w:line="440" w:lineRule="exact"/>
        <w:jc w:val="center"/>
        <w:rPr>
          <w:rFonts w:hint="eastAsia"/>
          <w:color w:val="auto"/>
          <w:sz w:val="24"/>
          <w:szCs w:val="24"/>
        </w:rPr>
      </w:pPr>
      <w:r>
        <w:rPr>
          <w:b/>
          <w:color w:val="auto"/>
          <w:sz w:val="24"/>
        </w:rPr>
        <w:t>表</w:t>
      </w:r>
      <w:r>
        <w:rPr>
          <w:rFonts w:hint="eastAsia"/>
          <w:b/>
          <w:color w:val="auto"/>
          <w:sz w:val="24"/>
        </w:rPr>
        <w:t>4</w:t>
      </w:r>
      <w:r>
        <w:rPr>
          <w:b/>
          <w:color w:val="auto"/>
          <w:sz w:val="24"/>
        </w:rPr>
        <w:t>-4 主要原辅材料理化性质一览表</w:t>
      </w:r>
    </w:p>
    <w:tbl>
      <w:tblPr>
        <w:tblStyle w:val="5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80"/>
        <w:gridCol w:w="1095"/>
        <w:gridCol w:w="7440"/>
        <w:gridCol w:w="2707"/>
        <w:gridCol w:w="226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blHeader/>
          <w:jc w:val="center"/>
        </w:trPr>
        <w:tc>
          <w:tcPr>
            <w:tcW w:w="680" w:type="dxa"/>
            <w:noWrap w:val="0"/>
            <w:vAlign w:val="top"/>
          </w:tcPr>
          <w:p>
            <w:pPr>
              <w:spacing w:line="300" w:lineRule="exact"/>
              <w:contextualSpacing/>
              <w:jc w:val="center"/>
              <w:rPr>
                <w:rFonts w:hint="default" w:ascii="Times New Roman" w:hAnsi="Times New Roman" w:cs="Times New Roman"/>
                <w:b/>
                <w:bCs w:val="0"/>
                <w:color w:val="auto"/>
                <w:szCs w:val="21"/>
              </w:rPr>
            </w:pPr>
            <w:r>
              <w:rPr>
                <w:rFonts w:hint="default" w:ascii="Times New Roman" w:hAnsi="Times New Roman" w:cs="Times New Roman"/>
                <w:b/>
                <w:bCs w:val="0"/>
                <w:color w:val="auto"/>
                <w:szCs w:val="21"/>
              </w:rPr>
              <w:t>序号</w:t>
            </w:r>
          </w:p>
        </w:tc>
        <w:tc>
          <w:tcPr>
            <w:tcW w:w="1095" w:type="dxa"/>
            <w:noWrap w:val="0"/>
            <w:vAlign w:val="top"/>
          </w:tcPr>
          <w:p>
            <w:pPr>
              <w:spacing w:line="300" w:lineRule="exact"/>
              <w:contextualSpacing/>
              <w:jc w:val="center"/>
              <w:rPr>
                <w:rFonts w:hint="default" w:ascii="Times New Roman" w:hAnsi="Times New Roman" w:cs="Times New Roman"/>
                <w:b/>
                <w:bCs w:val="0"/>
                <w:color w:val="auto"/>
                <w:szCs w:val="21"/>
              </w:rPr>
            </w:pPr>
            <w:r>
              <w:rPr>
                <w:rFonts w:hint="default" w:ascii="Times New Roman" w:hAnsi="Times New Roman" w:cs="Times New Roman"/>
                <w:b/>
                <w:bCs w:val="0"/>
                <w:color w:val="auto"/>
                <w:szCs w:val="21"/>
              </w:rPr>
              <w:t>物料名称</w:t>
            </w:r>
          </w:p>
        </w:tc>
        <w:tc>
          <w:tcPr>
            <w:tcW w:w="7440" w:type="dxa"/>
            <w:noWrap w:val="0"/>
            <w:vAlign w:val="top"/>
          </w:tcPr>
          <w:p>
            <w:pPr>
              <w:spacing w:line="300" w:lineRule="exact"/>
              <w:contextualSpacing/>
              <w:jc w:val="center"/>
              <w:rPr>
                <w:rFonts w:hint="default" w:ascii="Times New Roman" w:hAnsi="Times New Roman" w:cs="Times New Roman"/>
                <w:b/>
                <w:bCs w:val="0"/>
                <w:color w:val="auto"/>
                <w:szCs w:val="21"/>
              </w:rPr>
            </w:pPr>
            <w:r>
              <w:rPr>
                <w:rFonts w:hint="default" w:ascii="Times New Roman" w:hAnsi="Times New Roman" w:cs="Times New Roman"/>
                <w:b/>
                <w:bCs w:val="0"/>
                <w:color w:val="auto"/>
                <w:szCs w:val="21"/>
              </w:rPr>
              <w:t>理化特性</w:t>
            </w:r>
          </w:p>
        </w:tc>
        <w:tc>
          <w:tcPr>
            <w:tcW w:w="2707" w:type="dxa"/>
            <w:noWrap w:val="0"/>
            <w:vAlign w:val="top"/>
          </w:tcPr>
          <w:p>
            <w:pPr>
              <w:spacing w:line="300" w:lineRule="exact"/>
              <w:contextualSpacing/>
              <w:jc w:val="center"/>
              <w:rPr>
                <w:rFonts w:hint="default" w:ascii="Times New Roman" w:hAnsi="Times New Roman" w:cs="Times New Roman"/>
                <w:b/>
                <w:bCs w:val="0"/>
                <w:color w:val="auto"/>
                <w:szCs w:val="21"/>
              </w:rPr>
            </w:pPr>
            <w:r>
              <w:rPr>
                <w:rFonts w:hint="default" w:ascii="Times New Roman" w:hAnsi="Times New Roman" w:cs="Times New Roman"/>
                <w:b/>
                <w:bCs w:val="0"/>
                <w:color w:val="auto"/>
                <w:szCs w:val="21"/>
              </w:rPr>
              <w:t>爆炸危险性</w:t>
            </w:r>
          </w:p>
        </w:tc>
        <w:tc>
          <w:tcPr>
            <w:tcW w:w="2263" w:type="dxa"/>
            <w:noWrap w:val="0"/>
            <w:vAlign w:val="top"/>
          </w:tcPr>
          <w:p>
            <w:pPr>
              <w:spacing w:line="300" w:lineRule="exact"/>
              <w:contextualSpacing/>
              <w:jc w:val="center"/>
              <w:rPr>
                <w:rFonts w:hint="default" w:ascii="Times New Roman" w:hAnsi="Times New Roman" w:cs="Times New Roman"/>
                <w:b/>
                <w:bCs w:val="0"/>
                <w:color w:val="auto"/>
                <w:szCs w:val="21"/>
              </w:rPr>
            </w:pPr>
            <w:r>
              <w:rPr>
                <w:rFonts w:hint="default" w:ascii="Times New Roman" w:hAnsi="Times New Roman" w:cs="Times New Roman"/>
                <w:b/>
                <w:bCs w:val="0"/>
                <w:color w:val="auto"/>
                <w:szCs w:val="21"/>
              </w:rPr>
              <w:t>毒性毒理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80" w:type="dxa"/>
            <w:noWrap w:val="0"/>
            <w:vAlign w:val="center"/>
          </w:tcPr>
          <w:p>
            <w:pPr>
              <w:spacing w:line="300" w:lineRule="exact"/>
              <w:jc w:val="center"/>
              <w:rPr>
                <w:rFonts w:hint="default" w:ascii="Times New Roman" w:hAnsi="Times New Roman" w:eastAsia="宋体" w:cs="Times New Roman"/>
                <w:color w:val="auto"/>
                <w:kern w:val="2"/>
                <w:sz w:val="21"/>
                <w:szCs w:val="21"/>
                <w:lang w:val="en-US" w:eastAsia="zh-CN" w:bidi="ar-SA"/>
              </w:rPr>
            </w:pPr>
            <w:r>
              <w:rPr>
                <w:color w:val="auto"/>
                <w:szCs w:val="21"/>
              </w:rPr>
              <w:t>1</w:t>
            </w:r>
          </w:p>
        </w:tc>
        <w:tc>
          <w:tcPr>
            <w:tcW w:w="1095" w:type="dxa"/>
            <w:noWrap w:val="0"/>
            <w:vAlign w:val="center"/>
          </w:tcPr>
          <w:p>
            <w:pPr>
              <w:spacing w:line="300" w:lineRule="exact"/>
              <w:contextualSpacing/>
              <w:jc w:val="center"/>
              <w:rPr>
                <w:rFonts w:hint="default" w:ascii="Times New Roman" w:hAnsi="Times New Roman" w:cs="Times New Roman"/>
                <w:b w:val="0"/>
                <w:bCs/>
                <w:color w:val="auto"/>
                <w:szCs w:val="21"/>
                <w:lang w:val="en-US" w:eastAsia="zh-CN"/>
              </w:rPr>
            </w:pPr>
            <w:r>
              <w:rPr>
                <w:rFonts w:hint="default" w:ascii="Times New Roman" w:hAnsi="Times New Roman" w:cs="Times New Roman"/>
                <w:b w:val="0"/>
                <w:bCs/>
                <w:color w:val="auto"/>
                <w:szCs w:val="21"/>
              </w:rPr>
              <w:t>炭黑</w:t>
            </w:r>
          </w:p>
        </w:tc>
        <w:tc>
          <w:tcPr>
            <w:tcW w:w="7440" w:type="dxa"/>
            <w:noWrap w:val="0"/>
            <w:vAlign w:val="center"/>
          </w:tcPr>
          <w:p>
            <w:pPr>
              <w:spacing w:line="300" w:lineRule="exact"/>
              <w:contextualSpacing/>
              <w:jc w:val="center"/>
              <w:rPr>
                <w:rFonts w:hint="default" w:ascii="Times New Roman" w:hAnsi="Times New Roman" w:cs="Times New Roman"/>
                <w:b w:val="0"/>
                <w:bCs/>
                <w:color w:val="auto"/>
                <w:szCs w:val="21"/>
                <w:lang w:val="en-US" w:eastAsia="zh-CN"/>
              </w:rPr>
            </w:pPr>
            <w:r>
              <w:rPr>
                <w:rFonts w:hint="default" w:ascii="Times New Roman" w:hAnsi="Times New Roman" w:cs="Times New Roman"/>
                <w:b w:val="0"/>
                <w:bCs/>
                <w:color w:val="auto"/>
                <w:szCs w:val="21"/>
              </w:rPr>
              <w:t>它是烃类物质经高温不完全燃烧裂解而成，炭黑粒子的平均值由1nm到数百nm的范围，在胶料中起补强作用。根据其对橡胶的补强效果和加工性能有多种品种，如：高耐磨炉黑（HAF），快压出炉黑(FEF)，半补强炉黑(SRF)等等。</w:t>
            </w:r>
          </w:p>
        </w:tc>
        <w:tc>
          <w:tcPr>
            <w:tcW w:w="2707" w:type="dxa"/>
            <w:noWrap w:val="0"/>
            <w:vAlign w:val="center"/>
          </w:tcPr>
          <w:p>
            <w:pPr>
              <w:spacing w:line="300" w:lineRule="exact"/>
              <w:contextualSpacing/>
              <w:jc w:val="center"/>
              <w:rPr>
                <w:rFonts w:hint="default" w:ascii="Times New Roman" w:hAnsi="Times New Roman" w:cs="Times New Roman"/>
                <w:b w:val="0"/>
                <w:bCs/>
                <w:color w:val="auto"/>
                <w:szCs w:val="21"/>
                <w:lang w:val="en-US" w:eastAsia="zh-CN"/>
              </w:rPr>
            </w:pPr>
            <w:r>
              <w:rPr>
                <w:rFonts w:hint="default" w:ascii="Times New Roman" w:hAnsi="Times New Roman" w:cs="Times New Roman"/>
                <w:b w:val="0"/>
                <w:bCs/>
                <w:color w:val="auto"/>
                <w:szCs w:val="21"/>
              </w:rPr>
              <w:t>能在空气中燃烧变成二氧化碳。碳黑的主要组成物是碳元素，还含有少量的氢、氧、硫、灰分、焦油和水分，爆炸极限为4.3%（vol），属于易燃物质。</w:t>
            </w:r>
          </w:p>
        </w:tc>
        <w:tc>
          <w:tcPr>
            <w:tcW w:w="2263" w:type="dxa"/>
            <w:noWrap w:val="0"/>
            <w:vAlign w:val="center"/>
          </w:tcPr>
          <w:p>
            <w:pPr>
              <w:spacing w:line="300" w:lineRule="exact"/>
              <w:contextualSpacing/>
              <w:jc w:val="center"/>
              <w:rPr>
                <w:rFonts w:hint="default" w:ascii="Times New Roman" w:hAnsi="Times New Roman" w:cs="Times New Roman"/>
                <w:b w:val="0"/>
                <w:bCs/>
                <w:color w:val="auto"/>
                <w:szCs w:val="21"/>
                <w:lang w:val="en-US" w:eastAsia="zh-CN"/>
              </w:rPr>
            </w:pPr>
            <w:r>
              <w:rPr>
                <w:rFonts w:hint="default" w:ascii="Times New Roman" w:hAnsi="Times New Roman" w:cs="Times New Roman"/>
                <w:b w:val="0"/>
                <w:bCs/>
                <w:color w:val="auto"/>
                <w:szCs w:val="21"/>
              </w:rPr>
              <w:t>无毒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80" w:type="dxa"/>
            <w:noWrap w:val="0"/>
            <w:vAlign w:val="center"/>
          </w:tcPr>
          <w:p>
            <w:pPr>
              <w:spacing w:line="300" w:lineRule="exact"/>
              <w:jc w:val="center"/>
              <w:rPr>
                <w:rFonts w:hint="default" w:ascii="Times New Roman" w:hAnsi="Times New Roman" w:eastAsia="宋体" w:cs="Times New Roman"/>
                <w:color w:val="auto"/>
                <w:kern w:val="2"/>
                <w:sz w:val="21"/>
                <w:szCs w:val="21"/>
                <w:lang w:val="en-US" w:eastAsia="zh-CN" w:bidi="ar-SA"/>
              </w:rPr>
            </w:pPr>
            <w:r>
              <w:rPr>
                <w:color w:val="auto"/>
                <w:szCs w:val="21"/>
              </w:rPr>
              <w:t>2</w:t>
            </w:r>
          </w:p>
        </w:tc>
        <w:tc>
          <w:tcPr>
            <w:tcW w:w="1095" w:type="dxa"/>
            <w:noWrap w:val="0"/>
            <w:vAlign w:val="center"/>
          </w:tcPr>
          <w:p>
            <w:pPr>
              <w:spacing w:line="300" w:lineRule="exact"/>
              <w:contextualSpacing/>
              <w:jc w:val="center"/>
              <w:rPr>
                <w:rFonts w:hint="default" w:ascii="Times New Roman" w:hAnsi="Times New Roman" w:cs="Times New Roman"/>
                <w:b w:val="0"/>
                <w:bCs/>
                <w:color w:val="auto"/>
                <w:szCs w:val="21"/>
              </w:rPr>
            </w:pPr>
            <w:r>
              <w:rPr>
                <w:rFonts w:hint="default" w:ascii="Times New Roman" w:hAnsi="Times New Roman" w:cs="Times New Roman"/>
                <w:b w:val="0"/>
                <w:bCs/>
                <w:color w:val="auto"/>
                <w:szCs w:val="21"/>
              </w:rPr>
              <w:t>硫磺</w:t>
            </w:r>
          </w:p>
        </w:tc>
        <w:tc>
          <w:tcPr>
            <w:tcW w:w="7440" w:type="dxa"/>
            <w:noWrap w:val="0"/>
            <w:vAlign w:val="center"/>
          </w:tcPr>
          <w:p>
            <w:pPr>
              <w:spacing w:line="300" w:lineRule="exact"/>
              <w:contextualSpacing/>
              <w:jc w:val="center"/>
              <w:rPr>
                <w:rFonts w:hint="default" w:ascii="Times New Roman" w:hAnsi="Times New Roman" w:cs="Times New Roman"/>
                <w:b w:val="0"/>
                <w:bCs/>
                <w:color w:val="auto"/>
                <w:szCs w:val="21"/>
              </w:rPr>
            </w:pPr>
            <w:r>
              <w:rPr>
                <w:rFonts w:hint="default" w:ascii="Times New Roman" w:hAnsi="Times New Roman" w:cs="Times New Roman"/>
                <w:b w:val="0"/>
                <w:bCs/>
                <w:color w:val="auto"/>
                <w:szCs w:val="21"/>
              </w:rPr>
              <w:t>外观为淡黄色脆性结晶或</w:t>
            </w:r>
            <w:r>
              <w:rPr>
                <w:rFonts w:hint="default" w:ascii="Times New Roman" w:hAnsi="Times New Roman" w:cs="Times New Roman"/>
                <w:b w:val="0"/>
                <w:bCs/>
                <w:color w:val="auto"/>
                <w:szCs w:val="21"/>
              </w:rPr>
              <w:fldChar w:fldCharType="begin"/>
            </w:r>
            <w:r>
              <w:rPr>
                <w:rFonts w:hint="default" w:ascii="Times New Roman" w:hAnsi="Times New Roman" w:cs="Times New Roman"/>
                <w:b w:val="0"/>
                <w:bCs/>
                <w:color w:val="auto"/>
                <w:szCs w:val="21"/>
              </w:rPr>
              <w:instrText xml:space="preserve"> HYPERLINK "http://baike.baidu.com/view/770892.htm" \t "_blank" </w:instrText>
            </w:r>
            <w:r>
              <w:rPr>
                <w:rFonts w:hint="default" w:ascii="Times New Roman" w:hAnsi="Times New Roman" w:cs="Times New Roman"/>
                <w:b w:val="0"/>
                <w:bCs/>
                <w:color w:val="auto"/>
                <w:szCs w:val="21"/>
              </w:rPr>
              <w:fldChar w:fldCharType="separate"/>
            </w:r>
            <w:r>
              <w:rPr>
                <w:rFonts w:hint="default" w:ascii="Times New Roman" w:hAnsi="Times New Roman" w:cs="Times New Roman"/>
                <w:b w:val="0"/>
                <w:bCs/>
                <w:color w:val="auto"/>
                <w:szCs w:val="21"/>
              </w:rPr>
              <w:t>粉末</w:t>
            </w:r>
            <w:r>
              <w:rPr>
                <w:rFonts w:hint="default" w:ascii="Times New Roman" w:hAnsi="Times New Roman" w:cs="Times New Roman"/>
                <w:b w:val="0"/>
                <w:bCs/>
                <w:color w:val="auto"/>
                <w:szCs w:val="21"/>
              </w:rPr>
              <w:fldChar w:fldCharType="end"/>
            </w:r>
            <w:r>
              <w:rPr>
                <w:rFonts w:hint="default" w:ascii="Times New Roman" w:hAnsi="Times New Roman" w:cs="Times New Roman"/>
                <w:b w:val="0"/>
                <w:bCs/>
                <w:color w:val="auto"/>
                <w:szCs w:val="21"/>
              </w:rPr>
              <w:t>，有特殊臭味。纯度99.5%；分子量为32.06，</w:t>
            </w:r>
            <w:r>
              <w:rPr>
                <w:rFonts w:hint="default" w:ascii="Times New Roman" w:hAnsi="Times New Roman" w:cs="Times New Roman"/>
                <w:b w:val="0"/>
                <w:bCs/>
                <w:color w:val="auto"/>
                <w:szCs w:val="21"/>
              </w:rPr>
              <w:fldChar w:fldCharType="begin"/>
            </w:r>
            <w:r>
              <w:rPr>
                <w:rFonts w:hint="default" w:ascii="Times New Roman" w:hAnsi="Times New Roman" w:cs="Times New Roman"/>
                <w:b w:val="0"/>
                <w:bCs/>
                <w:color w:val="auto"/>
                <w:szCs w:val="21"/>
              </w:rPr>
              <w:instrText xml:space="preserve"> HYPERLINK "http://baike.baidu.com/view/1191131.htm" \t "_blank" </w:instrText>
            </w:r>
            <w:r>
              <w:rPr>
                <w:rFonts w:hint="default" w:ascii="Times New Roman" w:hAnsi="Times New Roman" w:cs="Times New Roman"/>
                <w:b w:val="0"/>
                <w:bCs/>
                <w:color w:val="auto"/>
                <w:szCs w:val="21"/>
              </w:rPr>
              <w:fldChar w:fldCharType="separate"/>
            </w:r>
            <w:r>
              <w:rPr>
                <w:rFonts w:hint="default" w:ascii="Times New Roman" w:hAnsi="Times New Roman" w:cs="Times New Roman"/>
                <w:b w:val="0"/>
                <w:bCs/>
                <w:color w:val="auto"/>
                <w:szCs w:val="21"/>
              </w:rPr>
              <w:t>蒸汽压</w:t>
            </w:r>
            <w:r>
              <w:rPr>
                <w:rFonts w:hint="default" w:ascii="Times New Roman" w:hAnsi="Times New Roman" w:cs="Times New Roman"/>
                <w:b w:val="0"/>
                <w:bCs/>
                <w:color w:val="auto"/>
                <w:szCs w:val="21"/>
              </w:rPr>
              <w:fldChar w:fldCharType="end"/>
            </w:r>
            <w:r>
              <w:rPr>
                <w:rFonts w:hint="default" w:ascii="Times New Roman" w:hAnsi="Times New Roman" w:cs="Times New Roman"/>
                <w:b w:val="0"/>
                <w:bCs/>
                <w:color w:val="auto"/>
                <w:szCs w:val="21"/>
              </w:rPr>
              <w:t>是0.13kPa，闪点为207℃，</w:t>
            </w:r>
            <w:r>
              <w:rPr>
                <w:rFonts w:hint="default" w:ascii="Times New Roman" w:hAnsi="Times New Roman" w:cs="Times New Roman"/>
                <w:b w:val="0"/>
                <w:bCs/>
                <w:color w:val="auto"/>
                <w:szCs w:val="21"/>
              </w:rPr>
              <w:fldChar w:fldCharType="begin"/>
            </w:r>
            <w:r>
              <w:rPr>
                <w:rFonts w:hint="default" w:ascii="Times New Roman" w:hAnsi="Times New Roman" w:cs="Times New Roman"/>
                <w:b w:val="0"/>
                <w:bCs/>
                <w:color w:val="auto"/>
                <w:szCs w:val="21"/>
              </w:rPr>
              <w:instrText xml:space="preserve"> HYPERLINK "http://baike.baidu.com/view/118854.htm" \t "_blank" </w:instrText>
            </w:r>
            <w:r>
              <w:rPr>
                <w:rFonts w:hint="default" w:ascii="Times New Roman" w:hAnsi="Times New Roman" w:cs="Times New Roman"/>
                <w:b w:val="0"/>
                <w:bCs/>
                <w:color w:val="auto"/>
                <w:szCs w:val="21"/>
              </w:rPr>
              <w:fldChar w:fldCharType="separate"/>
            </w:r>
            <w:r>
              <w:rPr>
                <w:rFonts w:hint="default" w:ascii="Times New Roman" w:hAnsi="Times New Roman" w:cs="Times New Roman"/>
                <w:b w:val="0"/>
                <w:bCs/>
                <w:color w:val="auto"/>
                <w:szCs w:val="21"/>
              </w:rPr>
              <w:t>熔点</w:t>
            </w:r>
            <w:r>
              <w:rPr>
                <w:rFonts w:hint="default" w:ascii="Times New Roman" w:hAnsi="Times New Roman" w:cs="Times New Roman"/>
                <w:b w:val="0"/>
                <w:bCs/>
                <w:color w:val="auto"/>
                <w:szCs w:val="21"/>
              </w:rPr>
              <w:fldChar w:fldCharType="end"/>
            </w:r>
            <w:r>
              <w:rPr>
                <w:rFonts w:hint="default" w:ascii="Times New Roman" w:hAnsi="Times New Roman" w:cs="Times New Roman"/>
                <w:b w:val="0"/>
                <w:bCs/>
                <w:color w:val="auto"/>
                <w:szCs w:val="21"/>
              </w:rPr>
              <w:t>为119℃，</w:t>
            </w:r>
            <w:r>
              <w:rPr>
                <w:rFonts w:hint="default" w:ascii="Times New Roman" w:hAnsi="Times New Roman" w:cs="Times New Roman"/>
                <w:b w:val="0"/>
                <w:bCs/>
                <w:color w:val="auto"/>
                <w:szCs w:val="21"/>
              </w:rPr>
              <w:fldChar w:fldCharType="begin"/>
            </w:r>
            <w:r>
              <w:rPr>
                <w:rFonts w:hint="default" w:ascii="Times New Roman" w:hAnsi="Times New Roman" w:cs="Times New Roman"/>
                <w:b w:val="0"/>
                <w:bCs/>
                <w:color w:val="auto"/>
                <w:szCs w:val="21"/>
              </w:rPr>
              <w:instrText xml:space="preserve"> HYPERLINK "http://baike.baidu.com/view/81200.htm" \t "_blank" </w:instrText>
            </w:r>
            <w:r>
              <w:rPr>
                <w:rFonts w:hint="default" w:ascii="Times New Roman" w:hAnsi="Times New Roman" w:cs="Times New Roman"/>
                <w:b w:val="0"/>
                <w:bCs/>
                <w:color w:val="auto"/>
                <w:szCs w:val="21"/>
              </w:rPr>
              <w:fldChar w:fldCharType="separate"/>
            </w:r>
            <w:r>
              <w:rPr>
                <w:rFonts w:hint="default" w:ascii="Times New Roman" w:hAnsi="Times New Roman" w:cs="Times New Roman"/>
                <w:b w:val="0"/>
                <w:bCs/>
                <w:color w:val="auto"/>
                <w:szCs w:val="21"/>
              </w:rPr>
              <w:t>沸点</w:t>
            </w:r>
            <w:r>
              <w:rPr>
                <w:rFonts w:hint="default" w:ascii="Times New Roman" w:hAnsi="Times New Roman" w:cs="Times New Roman"/>
                <w:b w:val="0"/>
                <w:bCs/>
                <w:color w:val="auto"/>
                <w:szCs w:val="21"/>
              </w:rPr>
              <w:fldChar w:fldCharType="end"/>
            </w:r>
            <w:r>
              <w:rPr>
                <w:rFonts w:hint="default" w:ascii="Times New Roman" w:hAnsi="Times New Roman" w:cs="Times New Roman"/>
                <w:b w:val="0"/>
                <w:bCs/>
                <w:color w:val="auto"/>
                <w:szCs w:val="21"/>
              </w:rPr>
              <w:t>为444.6℃，相对密度(水=1)为2.0。硫磺不溶于水，微溶于</w:t>
            </w:r>
            <w:r>
              <w:rPr>
                <w:rFonts w:hint="default" w:ascii="Times New Roman" w:hAnsi="Times New Roman" w:cs="Times New Roman"/>
                <w:b w:val="0"/>
                <w:bCs/>
                <w:color w:val="auto"/>
                <w:szCs w:val="21"/>
              </w:rPr>
              <w:fldChar w:fldCharType="begin"/>
            </w:r>
            <w:r>
              <w:rPr>
                <w:rFonts w:hint="default" w:ascii="Times New Roman" w:hAnsi="Times New Roman" w:cs="Times New Roman"/>
                <w:b w:val="0"/>
                <w:bCs/>
                <w:color w:val="auto"/>
                <w:szCs w:val="21"/>
              </w:rPr>
              <w:instrText xml:space="preserve"> HYPERLINK "http://baike.baidu.com/view/3010.htm" \t "_blank" </w:instrText>
            </w:r>
            <w:r>
              <w:rPr>
                <w:rFonts w:hint="default" w:ascii="Times New Roman" w:hAnsi="Times New Roman" w:cs="Times New Roman"/>
                <w:b w:val="0"/>
                <w:bCs/>
                <w:color w:val="auto"/>
                <w:szCs w:val="21"/>
              </w:rPr>
              <w:fldChar w:fldCharType="separate"/>
            </w:r>
            <w:r>
              <w:rPr>
                <w:rFonts w:hint="default" w:ascii="Times New Roman" w:hAnsi="Times New Roman" w:cs="Times New Roman"/>
                <w:b w:val="0"/>
                <w:bCs/>
                <w:color w:val="auto"/>
                <w:szCs w:val="21"/>
              </w:rPr>
              <w:t>乙醇</w:t>
            </w:r>
            <w:r>
              <w:rPr>
                <w:rFonts w:hint="default" w:ascii="Times New Roman" w:hAnsi="Times New Roman" w:cs="Times New Roman"/>
                <w:b w:val="0"/>
                <w:bCs/>
                <w:color w:val="auto"/>
                <w:szCs w:val="21"/>
              </w:rPr>
              <w:fldChar w:fldCharType="end"/>
            </w:r>
            <w:r>
              <w:rPr>
                <w:rFonts w:hint="default" w:ascii="Times New Roman" w:hAnsi="Times New Roman" w:cs="Times New Roman"/>
                <w:b w:val="0"/>
                <w:bCs/>
                <w:color w:val="auto"/>
                <w:szCs w:val="21"/>
              </w:rPr>
              <w:t>、醚，易溶于</w:t>
            </w:r>
            <w:r>
              <w:rPr>
                <w:rFonts w:hint="default" w:ascii="Times New Roman" w:hAnsi="Times New Roman" w:cs="Times New Roman"/>
                <w:b w:val="0"/>
                <w:bCs/>
                <w:color w:val="auto"/>
                <w:szCs w:val="21"/>
              </w:rPr>
              <w:fldChar w:fldCharType="begin"/>
            </w:r>
            <w:r>
              <w:rPr>
                <w:rFonts w:hint="default" w:ascii="Times New Roman" w:hAnsi="Times New Roman" w:cs="Times New Roman"/>
                <w:b w:val="0"/>
                <w:bCs/>
                <w:color w:val="auto"/>
                <w:szCs w:val="21"/>
              </w:rPr>
              <w:instrText xml:space="preserve"> HYPERLINK "http://baike.baidu.com/view/332688.htm" \t "_blank" </w:instrText>
            </w:r>
            <w:r>
              <w:rPr>
                <w:rFonts w:hint="default" w:ascii="Times New Roman" w:hAnsi="Times New Roman" w:cs="Times New Roman"/>
                <w:b w:val="0"/>
                <w:bCs/>
                <w:color w:val="auto"/>
                <w:szCs w:val="21"/>
              </w:rPr>
              <w:fldChar w:fldCharType="separate"/>
            </w:r>
            <w:r>
              <w:rPr>
                <w:rFonts w:hint="default" w:ascii="Times New Roman" w:hAnsi="Times New Roman" w:cs="Times New Roman"/>
                <w:b w:val="0"/>
                <w:bCs/>
                <w:color w:val="auto"/>
                <w:szCs w:val="21"/>
              </w:rPr>
              <w:t>二硫化碳</w:t>
            </w:r>
            <w:r>
              <w:rPr>
                <w:rFonts w:hint="default" w:ascii="Times New Roman" w:hAnsi="Times New Roman" w:cs="Times New Roman"/>
                <w:b w:val="0"/>
                <w:bCs/>
                <w:color w:val="auto"/>
                <w:szCs w:val="21"/>
              </w:rPr>
              <w:fldChar w:fldCharType="end"/>
            </w:r>
            <w:r>
              <w:rPr>
                <w:rFonts w:hint="default" w:ascii="Times New Roman" w:hAnsi="Times New Roman" w:cs="Times New Roman"/>
                <w:b w:val="0"/>
                <w:bCs/>
                <w:color w:val="auto"/>
                <w:szCs w:val="21"/>
              </w:rPr>
              <w:t>。作为易燃固体，硫磺主要用于制造染料、农药、</w:t>
            </w:r>
            <w:r>
              <w:rPr>
                <w:rFonts w:hint="default" w:ascii="Times New Roman" w:hAnsi="Times New Roman" w:cs="Times New Roman"/>
                <w:b w:val="0"/>
                <w:bCs/>
                <w:color w:val="auto"/>
                <w:szCs w:val="21"/>
              </w:rPr>
              <w:fldChar w:fldCharType="begin"/>
            </w:r>
            <w:r>
              <w:rPr>
                <w:rFonts w:hint="default" w:ascii="Times New Roman" w:hAnsi="Times New Roman" w:cs="Times New Roman"/>
                <w:b w:val="0"/>
                <w:bCs/>
                <w:color w:val="auto"/>
                <w:szCs w:val="21"/>
              </w:rPr>
              <w:instrText xml:space="preserve"> HYPERLINK "http://baike.baidu.com/view/9985.htm" \t "_blank" </w:instrText>
            </w:r>
            <w:r>
              <w:rPr>
                <w:rFonts w:hint="default" w:ascii="Times New Roman" w:hAnsi="Times New Roman" w:cs="Times New Roman"/>
                <w:b w:val="0"/>
                <w:bCs/>
                <w:color w:val="auto"/>
                <w:szCs w:val="21"/>
              </w:rPr>
              <w:fldChar w:fldCharType="separate"/>
            </w:r>
            <w:r>
              <w:rPr>
                <w:rFonts w:hint="default" w:ascii="Times New Roman" w:hAnsi="Times New Roman" w:cs="Times New Roman"/>
                <w:b w:val="0"/>
                <w:bCs/>
                <w:color w:val="auto"/>
                <w:szCs w:val="21"/>
              </w:rPr>
              <w:t>火柴</w:t>
            </w:r>
            <w:r>
              <w:rPr>
                <w:rFonts w:hint="default" w:ascii="Times New Roman" w:hAnsi="Times New Roman" w:cs="Times New Roman"/>
                <w:b w:val="0"/>
                <w:bCs/>
                <w:color w:val="auto"/>
                <w:szCs w:val="21"/>
              </w:rPr>
              <w:fldChar w:fldCharType="end"/>
            </w:r>
            <w:r>
              <w:rPr>
                <w:rFonts w:hint="default" w:ascii="Times New Roman" w:hAnsi="Times New Roman" w:cs="Times New Roman"/>
                <w:b w:val="0"/>
                <w:bCs/>
                <w:color w:val="auto"/>
                <w:szCs w:val="21"/>
              </w:rPr>
              <w:t>、火药、</w:t>
            </w:r>
            <w:r>
              <w:rPr>
                <w:rFonts w:hint="default" w:ascii="Times New Roman" w:hAnsi="Times New Roman" w:cs="Times New Roman"/>
                <w:b w:val="0"/>
                <w:bCs/>
                <w:color w:val="auto"/>
                <w:szCs w:val="21"/>
              </w:rPr>
              <w:fldChar w:fldCharType="begin"/>
            </w:r>
            <w:r>
              <w:rPr>
                <w:rFonts w:hint="default" w:ascii="Times New Roman" w:hAnsi="Times New Roman" w:cs="Times New Roman"/>
                <w:b w:val="0"/>
                <w:bCs/>
                <w:color w:val="auto"/>
                <w:szCs w:val="21"/>
              </w:rPr>
              <w:instrText xml:space="preserve"> HYPERLINK "http://baike.baidu.com/view/45797.htm" \t "_blank" </w:instrText>
            </w:r>
            <w:r>
              <w:rPr>
                <w:rFonts w:hint="default" w:ascii="Times New Roman" w:hAnsi="Times New Roman" w:cs="Times New Roman"/>
                <w:b w:val="0"/>
                <w:bCs/>
                <w:color w:val="auto"/>
                <w:szCs w:val="21"/>
              </w:rPr>
              <w:fldChar w:fldCharType="separate"/>
            </w:r>
            <w:r>
              <w:rPr>
                <w:rFonts w:hint="default" w:ascii="Times New Roman" w:hAnsi="Times New Roman" w:cs="Times New Roman"/>
                <w:b w:val="0"/>
                <w:bCs/>
                <w:color w:val="auto"/>
                <w:szCs w:val="21"/>
              </w:rPr>
              <w:t>橡胶</w:t>
            </w:r>
            <w:r>
              <w:rPr>
                <w:rFonts w:hint="default" w:ascii="Times New Roman" w:hAnsi="Times New Roman" w:cs="Times New Roman"/>
                <w:b w:val="0"/>
                <w:bCs/>
                <w:color w:val="auto"/>
                <w:szCs w:val="21"/>
              </w:rPr>
              <w:fldChar w:fldCharType="end"/>
            </w:r>
            <w:r>
              <w:rPr>
                <w:rFonts w:hint="default" w:ascii="Times New Roman" w:hAnsi="Times New Roman" w:cs="Times New Roman"/>
                <w:b w:val="0"/>
                <w:bCs/>
                <w:color w:val="auto"/>
                <w:szCs w:val="21"/>
              </w:rPr>
              <w:t>、人造丝等。</w:t>
            </w:r>
          </w:p>
        </w:tc>
        <w:tc>
          <w:tcPr>
            <w:tcW w:w="2707" w:type="dxa"/>
            <w:noWrap w:val="0"/>
            <w:vAlign w:val="center"/>
          </w:tcPr>
          <w:p>
            <w:pPr>
              <w:spacing w:line="300" w:lineRule="exact"/>
              <w:contextualSpacing/>
              <w:jc w:val="center"/>
              <w:rPr>
                <w:rFonts w:hint="default" w:ascii="Times New Roman" w:hAnsi="Times New Roman" w:cs="Times New Roman"/>
                <w:b w:val="0"/>
                <w:bCs/>
                <w:color w:val="auto"/>
                <w:szCs w:val="21"/>
              </w:rPr>
            </w:pPr>
            <w:r>
              <w:rPr>
                <w:rFonts w:hint="default" w:ascii="Times New Roman" w:hAnsi="Times New Roman" w:cs="Times New Roman"/>
                <w:b w:val="0"/>
                <w:bCs/>
                <w:color w:val="auto"/>
                <w:szCs w:val="21"/>
              </w:rPr>
              <w:t>与卤素、金属粉末等接触剧烈反应。硫磺为不良导体，在储运过程中易产生静电荷，可导致硫尘起火。粉尘或蒸气与空气或氧化剂混合形成爆炸性混合物；爆炸极限35~1400g/m3%（V/V）</w:t>
            </w:r>
          </w:p>
        </w:tc>
        <w:tc>
          <w:tcPr>
            <w:tcW w:w="2263" w:type="dxa"/>
            <w:noWrap w:val="0"/>
            <w:vAlign w:val="center"/>
          </w:tcPr>
          <w:p>
            <w:pPr>
              <w:spacing w:line="300" w:lineRule="exact"/>
              <w:contextualSpacing/>
              <w:jc w:val="center"/>
              <w:rPr>
                <w:rFonts w:hint="default" w:ascii="Times New Roman" w:hAnsi="Times New Roman" w:cs="Times New Roman"/>
                <w:b w:val="0"/>
                <w:bCs/>
                <w:color w:val="auto"/>
                <w:szCs w:val="21"/>
              </w:rPr>
            </w:pPr>
            <w:r>
              <w:rPr>
                <w:rFonts w:hint="default" w:ascii="Times New Roman" w:hAnsi="Times New Roman" w:cs="Times New Roman"/>
                <w:b w:val="0"/>
                <w:bCs/>
                <w:color w:val="auto"/>
                <w:szCs w:val="21"/>
              </w:rPr>
              <w:t>LD50：8437mg/kg(大鼠经口)；属低毒类。但其蒸汽及硫磺燃烧后发生的二氧化硫对人体有剧毒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80" w:type="dxa"/>
            <w:noWrap w:val="0"/>
            <w:vAlign w:val="center"/>
          </w:tcPr>
          <w:p>
            <w:pPr>
              <w:spacing w:line="300" w:lineRule="exact"/>
              <w:jc w:val="center"/>
              <w:rPr>
                <w:rFonts w:hint="default" w:ascii="Times New Roman" w:hAnsi="Times New Roman" w:eastAsia="宋体" w:cs="Times New Roman"/>
                <w:color w:val="auto"/>
                <w:kern w:val="2"/>
                <w:sz w:val="21"/>
                <w:szCs w:val="21"/>
                <w:lang w:val="en-US" w:eastAsia="zh-CN" w:bidi="ar-SA"/>
              </w:rPr>
            </w:pPr>
            <w:r>
              <w:rPr>
                <w:color w:val="auto"/>
                <w:szCs w:val="21"/>
              </w:rPr>
              <w:t>3</w:t>
            </w:r>
          </w:p>
        </w:tc>
        <w:tc>
          <w:tcPr>
            <w:tcW w:w="1095" w:type="dxa"/>
            <w:noWrap w:val="0"/>
            <w:vAlign w:val="center"/>
          </w:tcPr>
          <w:p>
            <w:pPr>
              <w:spacing w:line="300" w:lineRule="exact"/>
              <w:contextualSpacing/>
              <w:jc w:val="center"/>
              <w:rPr>
                <w:rFonts w:hint="default" w:ascii="Times New Roman" w:hAnsi="Times New Roman" w:cs="Times New Roman"/>
                <w:b w:val="0"/>
                <w:bCs/>
                <w:color w:val="auto"/>
                <w:szCs w:val="21"/>
                <w:lang w:val="en-US" w:eastAsia="zh-CN"/>
              </w:rPr>
            </w:pPr>
            <w:r>
              <w:rPr>
                <w:rFonts w:hint="default" w:ascii="Times New Roman" w:hAnsi="Times New Roman" w:cs="Times New Roman"/>
                <w:b w:val="0"/>
                <w:bCs/>
                <w:color w:val="auto"/>
                <w:szCs w:val="21"/>
              </w:rPr>
              <w:t>丁晴橡胶</w:t>
            </w:r>
          </w:p>
        </w:tc>
        <w:tc>
          <w:tcPr>
            <w:tcW w:w="7440" w:type="dxa"/>
            <w:noWrap w:val="0"/>
            <w:vAlign w:val="center"/>
          </w:tcPr>
          <w:p>
            <w:pPr>
              <w:spacing w:line="300" w:lineRule="exact"/>
              <w:contextualSpacing/>
              <w:jc w:val="center"/>
              <w:rPr>
                <w:rFonts w:hint="default" w:ascii="Times New Roman" w:hAnsi="Times New Roman" w:cs="Times New Roman"/>
                <w:b w:val="0"/>
                <w:bCs/>
                <w:color w:val="auto"/>
                <w:szCs w:val="21"/>
                <w:lang w:val="en-US" w:eastAsia="zh-CN"/>
              </w:rPr>
            </w:pPr>
            <w:r>
              <w:rPr>
                <w:rFonts w:hint="default" w:ascii="Times New Roman" w:hAnsi="Times New Roman" w:cs="Times New Roman"/>
                <w:b w:val="0"/>
                <w:bCs/>
                <w:color w:val="auto"/>
                <w:szCs w:val="21"/>
              </w:rPr>
              <w:t>氢化丁腈橡胶（HNBR）是由丁腈橡胶进行特殊加氢处理而得到的一种高度饱和的弹性体。氢化丁腈橡胶具有良好耐油性能（对燃料油、润滑油、芳香系溶剂耐抗性良好）；由于其高度饱和的结构，使其具良好的耐热性能，优良的耐化学腐蚀性能（对氟利昂、酸、碱的具有良好的抗耐性），优异的耐臭氧性能，较高的抗压缩永久变形性能；同时还具有高强度、高撕裂性能、耐磨性能。</w:t>
            </w:r>
          </w:p>
        </w:tc>
        <w:tc>
          <w:tcPr>
            <w:tcW w:w="2707" w:type="dxa"/>
            <w:noWrap w:val="0"/>
            <w:vAlign w:val="center"/>
          </w:tcPr>
          <w:p>
            <w:pPr>
              <w:spacing w:line="300" w:lineRule="exact"/>
              <w:contextualSpacing/>
              <w:jc w:val="center"/>
              <w:rPr>
                <w:rFonts w:hint="default" w:ascii="Times New Roman" w:hAnsi="Times New Roman" w:cs="Times New Roman"/>
                <w:b w:val="0"/>
                <w:bCs/>
                <w:color w:val="auto"/>
                <w:szCs w:val="21"/>
                <w:lang w:val="en-US" w:eastAsia="zh-CN"/>
              </w:rPr>
            </w:pPr>
            <w:r>
              <w:rPr>
                <w:rFonts w:hint="default" w:ascii="Times New Roman" w:hAnsi="Times New Roman" w:cs="Times New Roman"/>
                <w:b w:val="0"/>
                <w:bCs/>
                <w:color w:val="auto"/>
                <w:szCs w:val="21"/>
              </w:rPr>
              <w:t>—</w:t>
            </w:r>
          </w:p>
        </w:tc>
        <w:tc>
          <w:tcPr>
            <w:tcW w:w="2263" w:type="dxa"/>
            <w:noWrap w:val="0"/>
            <w:vAlign w:val="center"/>
          </w:tcPr>
          <w:p>
            <w:pPr>
              <w:spacing w:line="300" w:lineRule="exact"/>
              <w:contextualSpacing/>
              <w:jc w:val="center"/>
              <w:rPr>
                <w:rFonts w:hint="default" w:ascii="Times New Roman" w:hAnsi="Times New Roman" w:cs="Times New Roman"/>
                <w:b w:val="0"/>
                <w:bCs/>
                <w:color w:val="auto"/>
                <w:szCs w:val="21"/>
                <w:lang w:val="en-US" w:eastAsia="zh-CN"/>
              </w:rPr>
            </w:pPr>
            <w:r>
              <w:rPr>
                <w:rFonts w:hint="default" w:ascii="Times New Roman" w:hAnsi="Times New Roman" w:cs="Times New Roman"/>
                <w:b w:val="0"/>
                <w:bCs/>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80" w:type="dxa"/>
            <w:noWrap w:val="0"/>
            <w:vAlign w:val="center"/>
          </w:tcPr>
          <w:p>
            <w:pPr>
              <w:spacing w:line="300" w:lineRule="exact"/>
              <w:jc w:val="center"/>
              <w:rPr>
                <w:rFonts w:hint="default" w:ascii="Times New Roman" w:hAnsi="Times New Roman" w:eastAsia="宋体" w:cs="Times New Roman"/>
                <w:color w:val="auto"/>
                <w:kern w:val="2"/>
                <w:sz w:val="21"/>
                <w:szCs w:val="21"/>
                <w:lang w:val="en-US" w:eastAsia="zh-CN" w:bidi="ar-SA"/>
              </w:rPr>
            </w:pPr>
            <w:r>
              <w:rPr>
                <w:color w:val="auto"/>
                <w:szCs w:val="21"/>
              </w:rPr>
              <w:t>4</w:t>
            </w:r>
          </w:p>
        </w:tc>
        <w:tc>
          <w:tcPr>
            <w:tcW w:w="1095" w:type="dxa"/>
            <w:noWrap w:val="0"/>
            <w:vAlign w:val="center"/>
          </w:tcPr>
          <w:p>
            <w:pPr>
              <w:spacing w:line="300" w:lineRule="exact"/>
              <w:contextualSpacing/>
              <w:jc w:val="center"/>
              <w:rPr>
                <w:rFonts w:hint="default" w:ascii="Times New Roman" w:hAnsi="Times New Roman" w:cs="Times New Roman"/>
                <w:b w:val="0"/>
                <w:bCs/>
                <w:color w:val="auto"/>
                <w:szCs w:val="21"/>
                <w:lang w:val="en-US" w:eastAsia="zh-CN"/>
              </w:rPr>
            </w:pPr>
            <w:r>
              <w:rPr>
                <w:rFonts w:hint="default" w:ascii="Times New Roman" w:hAnsi="Times New Roman" w:cs="Times New Roman"/>
                <w:b w:val="0"/>
                <w:bCs/>
                <w:color w:val="auto"/>
                <w:szCs w:val="21"/>
                <w:lang w:val="en-US" w:eastAsia="zh-CN"/>
              </w:rPr>
              <w:t>氟硅</w:t>
            </w:r>
            <w:r>
              <w:rPr>
                <w:rFonts w:hint="default" w:ascii="Times New Roman" w:hAnsi="Times New Roman" w:cs="Times New Roman"/>
                <w:b w:val="0"/>
                <w:bCs/>
                <w:color w:val="auto"/>
                <w:szCs w:val="21"/>
              </w:rPr>
              <w:t>橡胶</w:t>
            </w:r>
          </w:p>
        </w:tc>
        <w:tc>
          <w:tcPr>
            <w:tcW w:w="7440" w:type="dxa"/>
            <w:noWrap w:val="0"/>
            <w:vAlign w:val="center"/>
          </w:tcPr>
          <w:p>
            <w:pPr>
              <w:spacing w:line="300" w:lineRule="exact"/>
              <w:contextualSpacing/>
              <w:jc w:val="center"/>
              <w:rPr>
                <w:rFonts w:hint="default" w:ascii="Times New Roman" w:hAnsi="Times New Roman" w:cs="Times New Roman"/>
                <w:b w:val="0"/>
                <w:bCs/>
                <w:color w:val="auto"/>
                <w:szCs w:val="21"/>
                <w:lang w:val="en-US" w:eastAsia="zh-CN"/>
              </w:rPr>
            </w:pPr>
            <w:r>
              <w:rPr>
                <w:rFonts w:hint="default" w:ascii="Times New Roman" w:hAnsi="Times New Roman" w:cs="Times New Roman"/>
                <w:b w:val="0"/>
                <w:bCs/>
                <w:color w:val="auto"/>
                <w:szCs w:val="21"/>
              </w:rPr>
              <w:t>综合了硅橡胶和氟橡胶的优点；1.使用温度范围广(-60~200℃)；2.具备氟橡胶类似耐溶剂、耐油性能；3.保留硅橡胶高温时抗张保持率高的优点；4.绝缘性能好；5. 低透气性，符合环保要求。因此它用于耐高低温、耐油、耐介质的密封。</w:t>
            </w:r>
          </w:p>
        </w:tc>
        <w:tc>
          <w:tcPr>
            <w:tcW w:w="2707" w:type="dxa"/>
            <w:noWrap w:val="0"/>
            <w:vAlign w:val="center"/>
          </w:tcPr>
          <w:p>
            <w:pPr>
              <w:spacing w:line="300" w:lineRule="exact"/>
              <w:contextualSpacing/>
              <w:jc w:val="center"/>
              <w:rPr>
                <w:rFonts w:hint="default" w:ascii="Times New Roman" w:hAnsi="Times New Roman" w:cs="Times New Roman"/>
                <w:b w:val="0"/>
                <w:bCs/>
                <w:color w:val="auto"/>
                <w:szCs w:val="21"/>
                <w:lang w:val="en-US" w:eastAsia="zh-CN"/>
              </w:rPr>
            </w:pPr>
            <w:r>
              <w:rPr>
                <w:rFonts w:hint="default" w:ascii="Times New Roman" w:hAnsi="Times New Roman" w:cs="Times New Roman"/>
                <w:b w:val="0"/>
                <w:bCs/>
                <w:color w:val="auto"/>
                <w:szCs w:val="21"/>
              </w:rPr>
              <w:t>—</w:t>
            </w:r>
          </w:p>
        </w:tc>
        <w:tc>
          <w:tcPr>
            <w:tcW w:w="2263" w:type="dxa"/>
            <w:noWrap w:val="0"/>
            <w:vAlign w:val="center"/>
          </w:tcPr>
          <w:p>
            <w:pPr>
              <w:spacing w:line="300" w:lineRule="exact"/>
              <w:contextualSpacing/>
              <w:jc w:val="center"/>
              <w:rPr>
                <w:rFonts w:hint="default" w:ascii="Times New Roman" w:hAnsi="Times New Roman" w:cs="Times New Roman"/>
                <w:b w:val="0"/>
                <w:bCs/>
                <w:color w:val="auto"/>
                <w:szCs w:val="21"/>
                <w:lang w:val="en-US" w:eastAsia="zh-CN"/>
              </w:rPr>
            </w:pPr>
            <w:r>
              <w:rPr>
                <w:rFonts w:hint="default" w:ascii="Times New Roman" w:hAnsi="Times New Roman" w:cs="Times New Roman"/>
                <w:b w:val="0"/>
                <w:bCs/>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80" w:type="dxa"/>
            <w:noWrap w:val="0"/>
            <w:vAlign w:val="center"/>
          </w:tcPr>
          <w:p>
            <w:pPr>
              <w:spacing w:line="300" w:lineRule="exact"/>
              <w:jc w:val="center"/>
              <w:rPr>
                <w:rFonts w:hint="default" w:ascii="Times New Roman" w:hAnsi="Times New Roman" w:eastAsia="宋体" w:cs="Times New Roman"/>
                <w:color w:val="auto"/>
                <w:kern w:val="2"/>
                <w:sz w:val="21"/>
                <w:szCs w:val="21"/>
                <w:lang w:val="en-US" w:eastAsia="zh-CN" w:bidi="ar-SA"/>
              </w:rPr>
            </w:pPr>
            <w:r>
              <w:rPr>
                <w:color w:val="auto"/>
                <w:szCs w:val="21"/>
              </w:rPr>
              <w:t>5</w:t>
            </w:r>
          </w:p>
        </w:tc>
        <w:tc>
          <w:tcPr>
            <w:tcW w:w="1095" w:type="dxa"/>
            <w:noWrap w:val="0"/>
            <w:vAlign w:val="center"/>
          </w:tcPr>
          <w:p>
            <w:pPr>
              <w:spacing w:line="300" w:lineRule="exact"/>
              <w:contextualSpacing/>
              <w:jc w:val="center"/>
              <w:rPr>
                <w:rFonts w:hint="default" w:ascii="Times New Roman" w:hAnsi="Times New Roman" w:cs="Times New Roman"/>
                <w:b w:val="0"/>
                <w:bCs/>
                <w:color w:val="auto"/>
                <w:szCs w:val="21"/>
                <w:lang w:val="en-US" w:eastAsia="zh-CN"/>
              </w:rPr>
            </w:pPr>
            <w:r>
              <w:rPr>
                <w:rFonts w:hint="default" w:ascii="Times New Roman" w:hAnsi="Times New Roman" w:cs="Times New Roman"/>
                <w:b w:val="0"/>
                <w:bCs/>
                <w:color w:val="auto"/>
                <w:szCs w:val="21"/>
              </w:rPr>
              <w:t>氧化锌</w:t>
            </w:r>
          </w:p>
        </w:tc>
        <w:tc>
          <w:tcPr>
            <w:tcW w:w="7440" w:type="dxa"/>
            <w:noWrap w:val="0"/>
            <w:vAlign w:val="center"/>
          </w:tcPr>
          <w:p>
            <w:pPr>
              <w:spacing w:line="300" w:lineRule="exact"/>
              <w:contextualSpacing/>
              <w:jc w:val="center"/>
              <w:rPr>
                <w:rFonts w:hint="default" w:ascii="Times New Roman" w:hAnsi="Times New Roman" w:cs="Times New Roman"/>
                <w:b w:val="0"/>
                <w:bCs/>
                <w:color w:val="auto"/>
                <w:szCs w:val="21"/>
                <w:lang w:val="en-US" w:eastAsia="zh-CN"/>
              </w:rPr>
            </w:pPr>
            <w:r>
              <w:rPr>
                <w:rFonts w:hint="default" w:ascii="Times New Roman" w:hAnsi="Times New Roman" w:cs="Times New Roman"/>
                <w:b w:val="0"/>
                <w:bCs/>
                <w:color w:val="auto"/>
                <w:szCs w:val="21"/>
              </w:rPr>
              <w:t>白色粉末或六角晶系结晶体。无嗅无味，无砂性。受热变为黄色，冷却后重又变为白色加热至1800℃时升华。遮盖力是二氧化钛和硫化锌的一半。着色力是碱式碳酸铅的2 倍。溶解性：溶于酸、氢氧化钠、氯化铵，不溶于水、乙醇和氨水。</w:t>
            </w:r>
          </w:p>
        </w:tc>
        <w:tc>
          <w:tcPr>
            <w:tcW w:w="2707" w:type="dxa"/>
            <w:noWrap w:val="0"/>
            <w:vAlign w:val="center"/>
          </w:tcPr>
          <w:p>
            <w:pPr>
              <w:spacing w:line="300" w:lineRule="exact"/>
              <w:contextualSpacing/>
              <w:jc w:val="center"/>
              <w:rPr>
                <w:rFonts w:hint="default" w:ascii="Times New Roman" w:hAnsi="Times New Roman" w:cs="Times New Roman"/>
                <w:b w:val="0"/>
                <w:bCs/>
                <w:color w:val="auto"/>
                <w:szCs w:val="21"/>
                <w:lang w:val="en-US" w:eastAsia="zh-CN"/>
              </w:rPr>
            </w:pPr>
            <w:r>
              <w:rPr>
                <w:rFonts w:hint="default" w:ascii="Times New Roman" w:hAnsi="Times New Roman" w:cs="Times New Roman"/>
                <w:b w:val="0"/>
                <w:bCs/>
                <w:color w:val="auto"/>
                <w:szCs w:val="21"/>
              </w:rPr>
              <w:t>--</w:t>
            </w:r>
          </w:p>
        </w:tc>
        <w:tc>
          <w:tcPr>
            <w:tcW w:w="2263" w:type="dxa"/>
            <w:noWrap w:val="0"/>
            <w:vAlign w:val="center"/>
          </w:tcPr>
          <w:p>
            <w:pPr>
              <w:spacing w:line="300" w:lineRule="exact"/>
              <w:contextualSpacing/>
              <w:jc w:val="center"/>
              <w:rPr>
                <w:rFonts w:hint="default" w:ascii="Times New Roman" w:hAnsi="Times New Roman" w:cs="Times New Roman"/>
                <w:b w:val="0"/>
                <w:bCs/>
                <w:color w:val="auto"/>
                <w:szCs w:val="21"/>
                <w:lang w:val="en-US" w:eastAsia="zh-CN"/>
              </w:rPr>
            </w:pPr>
            <w:r>
              <w:rPr>
                <w:rFonts w:hint="default" w:ascii="Times New Roman" w:hAnsi="Times New Roman" w:cs="Times New Roman"/>
                <w:b w:val="0"/>
                <w:bCs/>
                <w:color w:val="auto"/>
                <w:szCs w:val="21"/>
              </w:rPr>
              <w:t>中毒者会出现食欲不佳、烦渴、疲倦等许多症状，重者会出现肺间质水肿，肺泡上皮破坏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80" w:type="dxa"/>
            <w:noWrap w:val="0"/>
            <w:vAlign w:val="center"/>
          </w:tcPr>
          <w:p>
            <w:pPr>
              <w:spacing w:line="300" w:lineRule="exact"/>
              <w:jc w:val="center"/>
              <w:rPr>
                <w:rFonts w:hint="default" w:ascii="Times New Roman" w:hAnsi="Times New Roman" w:eastAsia="宋体" w:cs="Times New Roman"/>
                <w:color w:val="auto"/>
                <w:kern w:val="2"/>
                <w:sz w:val="21"/>
                <w:szCs w:val="21"/>
                <w:lang w:val="en-US" w:eastAsia="zh-CN" w:bidi="ar-SA"/>
              </w:rPr>
            </w:pPr>
            <w:r>
              <w:rPr>
                <w:color w:val="auto"/>
                <w:szCs w:val="21"/>
              </w:rPr>
              <w:t>6</w:t>
            </w:r>
          </w:p>
        </w:tc>
        <w:tc>
          <w:tcPr>
            <w:tcW w:w="1095" w:type="dxa"/>
            <w:noWrap w:val="0"/>
            <w:vAlign w:val="center"/>
          </w:tcPr>
          <w:p>
            <w:pPr>
              <w:spacing w:line="300" w:lineRule="exact"/>
              <w:contextualSpacing/>
              <w:jc w:val="center"/>
              <w:rPr>
                <w:rFonts w:hint="default" w:ascii="Times New Roman" w:hAnsi="Times New Roman" w:cs="Times New Roman"/>
                <w:b w:val="0"/>
                <w:bCs/>
                <w:color w:val="auto"/>
                <w:szCs w:val="21"/>
                <w:lang w:val="en-US" w:eastAsia="zh-CN"/>
              </w:rPr>
            </w:pPr>
            <w:r>
              <w:rPr>
                <w:rFonts w:hint="default" w:ascii="Times New Roman" w:hAnsi="Times New Roman" w:cs="Times New Roman"/>
                <w:b w:val="0"/>
                <w:bCs/>
                <w:color w:val="auto"/>
                <w:szCs w:val="21"/>
              </w:rPr>
              <w:t>氧化镁</w:t>
            </w:r>
          </w:p>
        </w:tc>
        <w:tc>
          <w:tcPr>
            <w:tcW w:w="7440" w:type="dxa"/>
            <w:noWrap w:val="0"/>
            <w:vAlign w:val="center"/>
          </w:tcPr>
          <w:p>
            <w:pPr>
              <w:spacing w:line="300" w:lineRule="exact"/>
              <w:contextualSpacing/>
              <w:jc w:val="center"/>
              <w:rPr>
                <w:rFonts w:hint="default" w:ascii="Times New Roman" w:hAnsi="Times New Roman" w:cs="Times New Roman"/>
                <w:b w:val="0"/>
                <w:bCs/>
                <w:color w:val="auto"/>
                <w:szCs w:val="21"/>
                <w:lang w:val="en-US" w:eastAsia="zh-CN"/>
              </w:rPr>
            </w:pPr>
            <w:r>
              <w:rPr>
                <w:rFonts w:hint="default" w:ascii="Times New Roman" w:hAnsi="Times New Roman" w:cs="Times New Roman"/>
                <w:b w:val="0"/>
                <w:bCs/>
                <w:color w:val="auto"/>
                <w:szCs w:val="21"/>
              </w:rPr>
              <w:t>氧化镁俗称苦土，也称镁氧，氧化镁是</w:t>
            </w:r>
            <w:r>
              <w:rPr>
                <w:rFonts w:hint="default" w:ascii="Times New Roman" w:hAnsi="Times New Roman" w:cs="Times New Roman"/>
                <w:b w:val="0"/>
                <w:bCs/>
                <w:color w:val="auto"/>
                <w:szCs w:val="21"/>
              </w:rPr>
              <w:fldChar w:fldCharType="begin"/>
            </w:r>
            <w:r>
              <w:rPr>
                <w:rFonts w:hint="default" w:ascii="Times New Roman" w:hAnsi="Times New Roman" w:cs="Times New Roman"/>
                <w:b w:val="0"/>
                <w:bCs/>
                <w:color w:val="auto"/>
                <w:szCs w:val="21"/>
              </w:rPr>
              <w:instrText xml:space="preserve"> HYPERLINK "https://baike.baidu.com/item/%E7%A2%B1%E6%80%A7%E6%B0%A7%E5%8C%96%E7%89%A9" \t "_blank" </w:instrText>
            </w:r>
            <w:r>
              <w:rPr>
                <w:rFonts w:hint="default" w:ascii="Times New Roman" w:hAnsi="Times New Roman" w:cs="Times New Roman"/>
                <w:b w:val="0"/>
                <w:bCs/>
                <w:color w:val="auto"/>
                <w:szCs w:val="21"/>
              </w:rPr>
              <w:fldChar w:fldCharType="separate"/>
            </w:r>
            <w:r>
              <w:rPr>
                <w:rFonts w:hint="default" w:ascii="Times New Roman" w:hAnsi="Times New Roman" w:cs="Times New Roman"/>
                <w:b w:val="0"/>
                <w:bCs/>
                <w:color w:val="auto"/>
                <w:szCs w:val="21"/>
              </w:rPr>
              <w:t>碱性氧化物</w:t>
            </w:r>
            <w:r>
              <w:rPr>
                <w:rFonts w:hint="default" w:ascii="Times New Roman" w:hAnsi="Times New Roman" w:cs="Times New Roman"/>
                <w:b w:val="0"/>
                <w:bCs/>
                <w:color w:val="auto"/>
                <w:szCs w:val="21"/>
              </w:rPr>
              <w:fldChar w:fldCharType="end"/>
            </w:r>
            <w:r>
              <w:rPr>
                <w:rFonts w:hint="default" w:ascii="Times New Roman" w:hAnsi="Times New Roman" w:cs="Times New Roman"/>
                <w:b w:val="0"/>
                <w:bCs/>
                <w:color w:val="auto"/>
                <w:szCs w:val="21"/>
              </w:rPr>
              <w:t>,具有碱性氧化物的通性，属于胶凝材料。白色粉末（淡黄色为</w:t>
            </w:r>
            <w:r>
              <w:rPr>
                <w:rFonts w:hint="default" w:ascii="Times New Roman" w:hAnsi="Times New Roman" w:cs="Times New Roman"/>
                <w:b w:val="0"/>
                <w:bCs/>
                <w:color w:val="auto"/>
                <w:szCs w:val="21"/>
              </w:rPr>
              <w:fldChar w:fldCharType="begin"/>
            </w:r>
            <w:r>
              <w:rPr>
                <w:rFonts w:hint="default" w:ascii="Times New Roman" w:hAnsi="Times New Roman" w:cs="Times New Roman"/>
                <w:b w:val="0"/>
                <w:bCs/>
                <w:color w:val="auto"/>
                <w:szCs w:val="21"/>
              </w:rPr>
              <w:instrText xml:space="preserve"> HYPERLINK "https://baike.baidu.com/item/%E6%B0%AE%E5%8C%96%E9%95%81" \t "_blank" </w:instrText>
            </w:r>
            <w:r>
              <w:rPr>
                <w:rFonts w:hint="default" w:ascii="Times New Roman" w:hAnsi="Times New Roman" w:cs="Times New Roman"/>
                <w:b w:val="0"/>
                <w:bCs/>
                <w:color w:val="auto"/>
                <w:szCs w:val="21"/>
              </w:rPr>
              <w:fldChar w:fldCharType="separate"/>
            </w:r>
            <w:r>
              <w:rPr>
                <w:rFonts w:hint="default" w:ascii="Times New Roman" w:hAnsi="Times New Roman" w:cs="Times New Roman"/>
                <w:b w:val="0"/>
                <w:bCs/>
                <w:color w:val="auto"/>
                <w:szCs w:val="21"/>
              </w:rPr>
              <w:t>氮化镁</w:t>
            </w:r>
            <w:r>
              <w:rPr>
                <w:rFonts w:hint="default" w:ascii="Times New Roman" w:hAnsi="Times New Roman" w:cs="Times New Roman"/>
                <w:b w:val="0"/>
                <w:bCs/>
                <w:color w:val="auto"/>
                <w:szCs w:val="21"/>
              </w:rPr>
              <w:fldChar w:fldCharType="end"/>
            </w:r>
            <w:r>
              <w:rPr>
                <w:rFonts w:hint="default" w:ascii="Times New Roman" w:hAnsi="Times New Roman" w:cs="Times New Roman"/>
                <w:b w:val="0"/>
                <w:bCs/>
                <w:color w:val="auto"/>
                <w:szCs w:val="21"/>
              </w:rPr>
              <w:t>），无臭、无味、无毒，是典型的碱土金属氧化物，化学式MgO。白色粉末，熔点为2852℃，沸点为3600℃，相对密度为3.58(25℃)。溶于酸和铵盐溶液，不溶于酒精。在水中溶解度为0.00062 g/100 mL (0 °C)；0.0086 g/100 mL (30 °C)。暴露在空气中，容易吸收水分和二氧化碳而逐渐成为</w:t>
            </w:r>
            <w:r>
              <w:rPr>
                <w:rFonts w:hint="default" w:ascii="Times New Roman" w:hAnsi="Times New Roman" w:cs="Times New Roman"/>
                <w:b w:val="0"/>
                <w:bCs/>
                <w:color w:val="auto"/>
                <w:szCs w:val="21"/>
              </w:rPr>
              <w:fldChar w:fldCharType="begin"/>
            </w:r>
            <w:r>
              <w:rPr>
                <w:rFonts w:hint="default" w:ascii="Times New Roman" w:hAnsi="Times New Roman" w:cs="Times New Roman"/>
                <w:b w:val="0"/>
                <w:bCs/>
                <w:color w:val="auto"/>
                <w:szCs w:val="21"/>
              </w:rPr>
              <w:instrText xml:space="preserve"> HYPERLINK "https://baike.baidu.com/item/%E7%A2%B1%E5%BC%8F%E7%A2%B3%E9%85%B8%E9%95%81" \t "_blank" </w:instrText>
            </w:r>
            <w:r>
              <w:rPr>
                <w:rFonts w:hint="default" w:ascii="Times New Roman" w:hAnsi="Times New Roman" w:cs="Times New Roman"/>
                <w:b w:val="0"/>
                <w:bCs/>
                <w:color w:val="auto"/>
                <w:szCs w:val="21"/>
              </w:rPr>
              <w:fldChar w:fldCharType="separate"/>
            </w:r>
            <w:r>
              <w:rPr>
                <w:rFonts w:hint="default" w:ascii="Times New Roman" w:hAnsi="Times New Roman" w:cs="Times New Roman"/>
                <w:b w:val="0"/>
                <w:bCs/>
                <w:color w:val="auto"/>
                <w:szCs w:val="21"/>
              </w:rPr>
              <w:t>碱式碳酸镁</w:t>
            </w:r>
            <w:r>
              <w:rPr>
                <w:rFonts w:hint="default" w:ascii="Times New Roman" w:hAnsi="Times New Roman" w:cs="Times New Roman"/>
                <w:b w:val="0"/>
                <w:bCs/>
                <w:color w:val="auto"/>
                <w:szCs w:val="21"/>
              </w:rPr>
              <w:fldChar w:fldCharType="end"/>
            </w:r>
            <w:r>
              <w:rPr>
                <w:rFonts w:hint="default" w:ascii="Times New Roman" w:hAnsi="Times New Roman" w:cs="Times New Roman"/>
                <w:b w:val="0"/>
                <w:bCs/>
                <w:color w:val="auto"/>
                <w:szCs w:val="21"/>
              </w:rPr>
              <w:t>，轻质品较重质品更快，与水结合在一定条件下生成</w:t>
            </w:r>
            <w:r>
              <w:rPr>
                <w:rFonts w:hint="default" w:ascii="Times New Roman" w:hAnsi="Times New Roman" w:cs="Times New Roman"/>
                <w:b w:val="0"/>
                <w:bCs/>
                <w:color w:val="auto"/>
                <w:szCs w:val="21"/>
              </w:rPr>
              <w:fldChar w:fldCharType="begin"/>
            </w:r>
            <w:r>
              <w:rPr>
                <w:rFonts w:hint="default" w:ascii="Times New Roman" w:hAnsi="Times New Roman" w:cs="Times New Roman"/>
                <w:b w:val="0"/>
                <w:bCs/>
                <w:color w:val="auto"/>
                <w:szCs w:val="21"/>
              </w:rPr>
              <w:instrText xml:space="preserve"> HYPERLINK "https://baike.baidu.com/item/%E6%B0%A2%E6%B0%A7%E5%8C%96%E9%95%81" \t "_blank" </w:instrText>
            </w:r>
            <w:r>
              <w:rPr>
                <w:rFonts w:hint="default" w:ascii="Times New Roman" w:hAnsi="Times New Roman" w:cs="Times New Roman"/>
                <w:b w:val="0"/>
                <w:bCs/>
                <w:color w:val="auto"/>
                <w:szCs w:val="21"/>
              </w:rPr>
              <w:fldChar w:fldCharType="separate"/>
            </w:r>
            <w:r>
              <w:rPr>
                <w:rFonts w:hint="default" w:ascii="Times New Roman" w:hAnsi="Times New Roman" w:cs="Times New Roman"/>
                <w:b w:val="0"/>
                <w:bCs/>
                <w:color w:val="auto"/>
                <w:szCs w:val="21"/>
              </w:rPr>
              <w:t>氢氧化镁</w:t>
            </w:r>
            <w:r>
              <w:rPr>
                <w:rFonts w:hint="default" w:ascii="Times New Roman" w:hAnsi="Times New Roman" w:cs="Times New Roman"/>
                <w:b w:val="0"/>
                <w:bCs/>
                <w:color w:val="auto"/>
                <w:szCs w:val="21"/>
              </w:rPr>
              <w:fldChar w:fldCharType="end"/>
            </w:r>
            <w:r>
              <w:rPr>
                <w:rFonts w:hint="default" w:ascii="Times New Roman" w:hAnsi="Times New Roman" w:cs="Times New Roman"/>
                <w:b w:val="0"/>
                <w:bCs/>
                <w:color w:val="auto"/>
                <w:szCs w:val="21"/>
              </w:rPr>
              <w:t>，呈微碱性反应，饱和水溶液的pH为10.3。溶于酸和</w:t>
            </w:r>
            <w:r>
              <w:rPr>
                <w:rFonts w:hint="default" w:ascii="Times New Roman" w:hAnsi="Times New Roman" w:cs="Times New Roman"/>
                <w:b w:val="0"/>
                <w:bCs/>
                <w:color w:val="auto"/>
                <w:szCs w:val="21"/>
              </w:rPr>
              <w:fldChar w:fldCharType="begin"/>
            </w:r>
            <w:r>
              <w:rPr>
                <w:rFonts w:hint="default" w:ascii="Times New Roman" w:hAnsi="Times New Roman" w:cs="Times New Roman"/>
                <w:b w:val="0"/>
                <w:bCs/>
                <w:color w:val="auto"/>
                <w:szCs w:val="21"/>
              </w:rPr>
              <w:instrText xml:space="preserve"> HYPERLINK "https://baike.baidu.com/item/%E9%93%B5%E7%9B%90" \t "_blank" </w:instrText>
            </w:r>
            <w:r>
              <w:rPr>
                <w:rFonts w:hint="default" w:ascii="Times New Roman" w:hAnsi="Times New Roman" w:cs="Times New Roman"/>
                <w:b w:val="0"/>
                <w:bCs/>
                <w:color w:val="auto"/>
                <w:szCs w:val="21"/>
              </w:rPr>
              <w:fldChar w:fldCharType="separate"/>
            </w:r>
            <w:r>
              <w:rPr>
                <w:rFonts w:hint="default" w:ascii="Times New Roman" w:hAnsi="Times New Roman" w:cs="Times New Roman"/>
                <w:b w:val="0"/>
                <w:bCs/>
                <w:color w:val="auto"/>
                <w:szCs w:val="21"/>
              </w:rPr>
              <w:t>铵盐</w:t>
            </w:r>
            <w:r>
              <w:rPr>
                <w:rFonts w:hint="default" w:ascii="Times New Roman" w:hAnsi="Times New Roman" w:cs="Times New Roman"/>
                <w:b w:val="0"/>
                <w:bCs/>
                <w:color w:val="auto"/>
                <w:szCs w:val="21"/>
              </w:rPr>
              <w:fldChar w:fldCharType="end"/>
            </w:r>
            <w:r>
              <w:rPr>
                <w:rFonts w:hint="default" w:ascii="Times New Roman" w:hAnsi="Times New Roman" w:cs="Times New Roman"/>
                <w:b w:val="0"/>
                <w:bCs/>
                <w:color w:val="auto"/>
                <w:szCs w:val="21"/>
              </w:rPr>
              <w:t>难溶于水，其溶液呈碱性。不溶于乙醇。</w:t>
            </w:r>
          </w:p>
        </w:tc>
        <w:tc>
          <w:tcPr>
            <w:tcW w:w="2707" w:type="dxa"/>
            <w:noWrap w:val="0"/>
            <w:vAlign w:val="center"/>
          </w:tcPr>
          <w:p>
            <w:pPr>
              <w:spacing w:line="300" w:lineRule="exact"/>
              <w:contextualSpacing/>
              <w:jc w:val="center"/>
              <w:rPr>
                <w:rFonts w:hint="default" w:ascii="Times New Roman" w:hAnsi="Times New Roman" w:cs="Times New Roman"/>
                <w:b w:val="0"/>
                <w:bCs/>
                <w:color w:val="auto"/>
                <w:szCs w:val="21"/>
                <w:lang w:val="en-US" w:eastAsia="zh-CN"/>
              </w:rPr>
            </w:pPr>
            <w:r>
              <w:rPr>
                <w:rFonts w:hint="default" w:ascii="Times New Roman" w:hAnsi="Times New Roman" w:cs="Times New Roman"/>
                <w:b w:val="0"/>
                <w:bCs/>
                <w:color w:val="auto"/>
                <w:szCs w:val="21"/>
              </w:rPr>
              <w:t>--</w:t>
            </w:r>
          </w:p>
        </w:tc>
        <w:tc>
          <w:tcPr>
            <w:tcW w:w="2263" w:type="dxa"/>
            <w:noWrap w:val="0"/>
            <w:vAlign w:val="center"/>
          </w:tcPr>
          <w:p>
            <w:pPr>
              <w:spacing w:line="300" w:lineRule="exact"/>
              <w:contextualSpacing/>
              <w:jc w:val="center"/>
              <w:rPr>
                <w:rFonts w:hint="default" w:ascii="Times New Roman" w:hAnsi="Times New Roman" w:cs="Times New Roman"/>
                <w:b w:val="0"/>
                <w:bCs/>
                <w:color w:val="auto"/>
                <w:szCs w:val="21"/>
                <w:lang w:val="en-US" w:eastAsia="zh-CN"/>
              </w:rPr>
            </w:pPr>
            <w:r>
              <w:rPr>
                <w:rFonts w:hint="default" w:ascii="Times New Roman" w:hAnsi="Times New Roman" w:cs="Times New Roman"/>
                <w:b w:val="0"/>
                <w:bCs/>
                <w:color w:val="auto"/>
                <w:szCs w:val="21"/>
              </w:rPr>
              <w:t>能刺激粘膜引起结膜炎和鼻炎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80" w:type="dxa"/>
            <w:noWrap w:val="0"/>
            <w:vAlign w:val="center"/>
          </w:tcPr>
          <w:p>
            <w:pPr>
              <w:spacing w:line="300" w:lineRule="exact"/>
              <w:jc w:val="center"/>
              <w:rPr>
                <w:rFonts w:hint="default" w:ascii="Times New Roman" w:hAnsi="Times New Roman" w:eastAsia="宋体" w:cs="Times New Roman"/>
                <w:color w:val="auto"/>
                <w:kern w:val="2"/>
                <w:sz w:val="21"/>
                <w:szCs w:val="21"/>
                <w:lang w:val="en-US" w:eastAsia="zh-CN" w:bidi="ar-SA"/>
              </w:rPr>
            </w:pPr>
            <w:r>
              <w:rPr>
                <w:color w:val="auto"/>
                <w:szCs w:val="21"/>
              </w:rPr>
              <w:t>7</w:t>
            </w:r>
          </w:p>
        </w:tc>
        <w:tc>
          <w:tcPr>
            <w:tcW w:w="1095" w:type="dxa"/>
            <w:noWrap w:val="0"/>
            <w:vAlign w:val="center"/>
          </w:tcPr>
          <w:p>
            <w:pPr>
              <w:spacing w:line="300" w:lineRule="exact"/>
              <w:contextualSpacing/>
              <w:jc w:val="center"/>
              <w:rPr>
                <w:rFonts w:hint="default" w:ascii="Times New Roman" w:hAnsi="Times New Roman" w:cs="Times New Roman"/>
                <w:b w:val="0"/>
                <w:bCs/>
                <w:color w:val="auto"/>
                <w:szCs w:val="21"/>
                <w:lang w:val="en-US" w:eastAsia="zh-CN"/>
              </w:rPr>
            </w:pPr>
            <w:r>
              <w:rPr>
                <w:rFonts w:hint="default" w:ascii="Times New Roman" w:hAnsi="Times New Roman" w:cs="Times New Roman"/>
                <w:b w:val="0"/>
                <w:bCs/>
                <w:color w:val="auto"/>
                <w:szCs w:val="21"/>
              </w:rPr>
              <w:t>硬脂酸</w:t>
            </w:r>
          </w:p>
        </w:tc>
        <w:tc>
          <w:tcPr>
            <w:tcW w:w="7440" w:type="dxa"/>
            <w:noWrap w:val="0"/>
            <w:vAlign w:val="center"/>
          </w:tcPr>
          <w:p>
            <w:pPr>
              <w:spacing w:line="300" w:lineRule="exact"/>
              <w:contextualSpacing/>
              <w:jc w:val="center"/>
              <w:rPr>
                <w:rFonts w:hint="default" w:ascii="Times New Roman" w:hAnsi="Times New Roman" w:cs="Times New Roman"/>
                <w:b w:val="0"/>
                <w:bCs/>
                <w:color w:val="auto"/>
                <w:szCs w:val="21"/>
                <w:lang w:val="en-US" w:eastAsia="zh-CN"/>
              </w:rPr>
            </w:pPr>
            <w:r>
              <w:rPr>
                <w:rFonts w:hint="default" w:ascii="Times New Roman" w:hAnsi="Times New Roman" w:cs="Times New Roman"/>
                <w:b w:val="0"/>
                <w:bCs/>
                <w:color w:val="auto"/>
                <w:szCs w:val="21"/>
              </w:rPr>
              <w:t>纯品是带有光泽的白色柔软小片，不溶于水，微溶于乙醇，溶于丙酮、苯，易溶于乙醚、氯仿、四氯化碳等，熔点：70~70℃，沸点383℃，相对密度（水=1）：0.87，相对蒸汽密度（空气=1）：9.80，饱和蒸汽压：0.13kpa(173.7℃)，闪点：196℃，引燃温度：395℃。</w:t>
            </w:r>
          </w:p>
        </w:tc>
        <w:tc>
          <w:tcPr>
            <w:tcW w:w="2707" w:type="dxa"/>
            <w:noWrap w:val="0"/>
            <w:vAlign w:val="center"/>
          </w:tcPr>
          <w:p>
            <w:pPr>
              <w:spacing w:line="300" w:lineRule="exact"/>
              <w:contextualSpacing/>
              <w:jc w:val="center"/>
              <w:rPr>
                <w:rFonts w:hint="default" w:ascii="Times New Roman" w:hAnsi="Times New Roman" w:cs="Times New Roman"/>
                <w:b w:val="0"/>
                <w:bCs/>
                <w:color w:val="auto"/>
                <w:szCs w:val="21"/>
                <w:lang w:val="en-US" w:eastAsia="zh-CN"/>
              </w:rPr>
            </w:pPr>
            <w:r>
              <w:rPr>
                <w:rFonts w:hint="default" w:ascii="Times New Roman" w:hAnsi="Times New Roman" w:cs="Times New Roman"/>
                <w:b w:val="0"/>
                <w:bCs/>
                <w:color w:val="auto"/>
                <w:szCs w:val="21"/>
              </w:rPr>
              <w:t>遇明火、高温可燃</w:t>
            </w:r>
          </w:p>
        </w:tc>
        <w:tc>
          <w:tcPr>
            <w:tcW w:w="2263" w:type="dxa"/>
            <w:noWrap w:val="0"/>
            <w:vAlign w:val="center"/>
          </w:tcPr>
          <w:p>
            <w:pPr>
              <w:spacing w:line="300" w:lineRule="exact"/>
              <w:contextualSpacing/>
              <w:jc w:val="center"/>
              <w:rPr>
                <w:rFonts w:hint="default" w:ascii="Times New Roman" w:hAnsi="Times New Roman" w:cs="Times New Roman"/>
                <w:b w:val="0"/>
                <w:bCs/>
                <w:color w:val="auto"/>
                <w:szCs w:val="21"/>
                <w:lang w:val="en-US" w:eastAsia="zh-CN"/>
              </w:rPr>
            </w:pPr>
            <w:r>
              <w:rPr>
                <w:rFonts w:hint="default" w:ascii="Times New Roman" w:hAnsi="Times New Roman" w:cs="Times New Roman"/>
                <w:b w:val="0"/>
                <w:bCs/>
                <w:color w:val="auto"/>
                <w:szCs w:val="21"/>
              </w:rPr>
              <w:t>无毒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80" w:type="dxa"/>
            <w:noWrap w:val="0"/>
            <w:vAlign w:val="center"/>
          </w:tcPr>
          <w:p>
            <w:pPr>
              <w:spacing w:line="300" w:lineRule="exact"/>
              <w:jc w:val="center"/>
              <w:rPr>
                <w:rFonts w:hint="default" w:ascii="Times New Roman" w:hAnsi="Times New Roman" w:eastAsia="宋体" w:cs="Times New Roman"/>
                <w:color w:val="auto"/>
                <w:kern w:val="2"/>
                <w:sz w:val="21"/>
                <w:szCs w:val="21"/>
                <w:lang w:val="en-US" w:eastAsia="zh-CN" w:bidi="ar-SA"/>
              </w:rPr>
            </w:pPr>
            <w:r>
              <w:rPr>
                <w:color w:val="auto"/>
                <w:szCs w:val="21"/>
              </w:rPr>
              <w:t>8</w:t>
            </w:r>
          </w:p>
        </w:tc>
        <w:tc>
          <w:tcPr>
            <w:tcW w:w="1095" w:type="dxa"/>
            <w:noWrap w:val="0"/>
            <w:vAlign w:val="center"/>
          </w:tcPr>
          <w:p>
            <w:pPr>
              <w:spacing w:line="300" w:lineRule="exact"/>
              <w:contextualSpacing/>
              <w:jc w:val="center"/>
              <w:rPr>
                <w:rFonts w:hint="default" w:ascii="Times New Roman" w:hAnsi="Times New Roman" w:cs="Times New Roman"/>
                <w:b w:val="0"/>
                <w:bCs/>
                <w:color w:val="auto"/>
                <w:szCs w:val="21"/>
                <w:lang w:val="en-US" w:eastAsia="zh-CN"/>
              </w:rPr>
            </w:pPr>
            <w:r>
              <w:rPr>
                <w:rFonts w:hint="default" w:ascii="Times New Roman" w:hAnsi="Times New Roman" w:cs="Times New Roman"/>
                <w:b w:val="0"/>
                <w:bCs/>
                <w:color w:val="auto"/>
                <w:szCs w:val="21"/>
              </w:rPr>
              <w:t>防老剂</w:t>
            </w:r>
          </w:p>
        </w:tc>
        <w:tc>
          <w:tcPr>
            <w:tcW w:w="7440" w:type="dxa"/>
            <w:noWrap w:val="0"/>
            <w:vAlign w:val="center"/>
          </w:tcPr>
          <w:p>
            <w:pPr>
              <w:spacing w:line="300" w:lineRule="exact"/>
              <w:contextualSpacing/>
              <w:jc w:val="center"/>
              <w:rPr>
                <w:rFonts w:hint="default" w:ascii="Times New Roman" w:hAnsi="Times New Roman" w:cs="Times New Roman"/>
                <w:b w:val="0"/>
                <w:bCs/>
                <w:color w:val="auto"/>
                <w:szCs w:val="21"/>
                <w:lang w:val="en-US" w:eastAsia="zh-CN"/>
              </w:rPr>
            </w:pPr>
            <w:r>
              <w:rPr>
                <w:rFonts w:hint="default" w:ascii="Times New Roman" w:hAnsi="Times New Roman" w:cs="Times New Roman"/>
                <w:b w:val="0"/>
                <w:bCs/>
                <w:color w:val="auto"/>
                <w:szCs w:val="21"/>
              </w:rPr>
              <w:t>N‐苯基‐2‐萘胺，纯品为浅灰色针状结晶体，熔点为108℃，沸点395-399.5℃，237℃（1.73kPa），相对密度1.18，极易溶于丙酮；乙酸乙酯；氯甲烷；苯；二硫化碳，溶于乙醇；四氯化碳，不溶于汽油和水</w:t>
            </w:r>
          </w:p>
        </w:tc>
        <w:tc>
          <w:tcPr>
            <w:tcW w:w="2707" w:type="dxa"/>
            <w:noWrap w:val="0"/>
            <w:vAlign w:val="center"/>
          </w:tcPr>
          <w:p>
            <w:pPr>
              <w:spacing w:line="300" w:lineRule="exact"/>
              <w:contextualSpacing/>
              <w:jc w:val="center"/>
              <w:rPr>
                <w:rFonts w:hint="default" w:ascii="Times New Roman" w:hAnsi="Times New Roman" w:cs="Times New Roman"/>
                <w:b w:val="0"/>
                <w:bCs/>
                <w:color w:val="auto"/>
                <w:szCs w:val="21"/>
                <w:lang w:val="en-US" w:eastAsia="zh-CN"/>
              </w:rPr>
            </w:pPr>
            <w:r>
              <w:rPr>
                <w:rFonts w:hint="default" w:ascii="Times New Roman" w:hAnsi="Times New Roman" w:cs="Times New Roman"/>
                <w:b w:val="0"/>
                <w:bCs/>
                <w:color w:val="auto"/>
                <w:szCs w:val="21"/>
              </w:rPr>
              <w:t>可燃</w:t>
            </w:r>
          </w:p>
        </w:tc>
        <w:tc>
          <w:tcPr>
            <w:tcW w:w="2263" w:type="dxa"/>
            <w:noWrap w:val="0"/>
            <w:vAlign w:val="center"/>
          </w:tcPr>
          <w:p>
            <w:pPr>
              <w:spacing w:line="300" w:lineRule="exact"/>
              <w:contextualSpacing/>
              <w:jc w:val="center"/>
              <w:rPr>
                <w:rFonts w:hint="default" w:ascii="Times New Roman" w:hAnsi="Times New Roman" w:cs="Times New Roman"/>
                <w:b w:val="0"/>
                <w:bCs/>
                <w:color w:val="auto"/>
                <w:szCs w:val="21"/>
              </w:rPr>
            </w:pPr>
            <w:r>
              <w:rPr>
                <w:rFonts w:hint="default" w:ascii="Times New Roman" w:hAnsi="Times New Roman" w:cs="Times New Roman"/>
                <w:b w:val="0"/>
                <w:bCs/>
                <w:color w:val="auto"/>
                <w:szCs w:val="21"/>
              </w:rPr>
              <w:t>LD50：8730mg/kg（大鼠经口）；</w:t>
            </w:r>
          </w:p>
          <w:p>
            <w:pPr>
              <w:spacing w:line="300" w:lineRule="exact"/>
              <w:contextualSpacing/>
              <w:jc w:val="center"/>
              <w:rPr>
                <w:rFonts w:hint="default" w:ascii="Times New Roman" w:hAnsi="Times New Roman" w:cs="Times New Roman"/>
                <w:b w:val="0"/>
                <w:bCs/>
                <w:color w:val="auto"/>
                <w:szCs w:val="21"/>
              </w:rPr>
            </w:pPr>
            <w:r>
              <w:rPr>
                <w:rFonts w:hint="default" w:ascii="Times New Roman" w:hAnsi="Times New Roman" w:cs="Times New Roman"/>
                <w:b w:val="0"/>
                <w:bCs/>
                <w:color w:val="auto"/>
                <w:szCs w:val="21"/>
              </w:rPr>
              <w:t>1450mg/kg（小鼠经口）</w:t>
            </w:r>
          </w:p>
          <w:p>
            <w:pPr>
              <w:spacing w:line="300" w:lineRule="exact"/>
              <w:contextualSpacing/>
              <w:jc w:val="center"/>
              <w:rPr>
                <w:rFonts w:hint="default" w:ascii="Times New Roman" w:hAnsi="Times New Roman" w:cs="Times New Roman"/>
                <w:b w:val="0"/>
                <w:bCs/>
                <w:color w:val="auto"/>
                <w:szCs w:val="21"/>
                <w:lang w:val="en-US" w:eastAsia="zh-CN"/>
              </w:rPr>
            </w:pPr>
            <w:r>
              <w:rPr>
                <w:rFonts w:hint="default" w:ascii="Times New Roman" w:hAnsi="Times New Roman" w:cs="Times New Roman"/>
                <w:b w:val="0"/>
                <w:bCs/>
                <w:color w:val="auto"/>
                <w:szCs w:val="21"/>
              </w:rPr>
              <w:t>LC50：1920mg/m3（大鼠吸入，4h）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80" w:type="dxa"/>
            <w:noWrap w:val="0"/>
            <w:vAlign w:val="center"/>
          </w:tcPr>
          <w:p>
            <w:pPr>
              <w:spacing w:line="300" w:lineRule="exact"/>
              <w:jc w:val="center"/>
              <w:rPr>
                <w:rFonts w:hint="default" w:ascii="Times New Roman" w:hAnsi="Times New Roman" w:eastAsia="宋体" w:cs="Times New Roman"/>
                <w:color w:val="auto"/>
                <w:kern w:val="2"/>
                <w:sz w:val="21"/>
                <w:szCs w:val="21"/>
                <w:lang w:val="en-US" w:eastAsia="zh-CN" w:bidi="ar-SA"/>
              </w:rPr>
            </w:pPr>
            <w:r>
              <w:rPr>
                <w:color w:val="auto"/>
                <w:szCs w:val="21"/>
              </w:rPr>
              <w:t>9</w:t>
            </w:r>
          </w:p>
        </w:tc>
        <w:tc>
          <w:tcPr>
            <w:tcW w:w="1095" w:type="dxa"/>
            <w:noWrap w:val="0"/>
            <w:vAlign w:val="center"/>
          </w:tcPr>
          <w:p>
            <w:pPr>
              <w:spacing w:line="300" w:lineRule="exact"/>
              <w:contextualSpacing/>
              <w:jc w:val="center"/>
              <w:rPr>
                <w:rFonts w:hint="default" w:ascii="Times New Roman" w:hAnsi="Times New Roman" w:cs="Times New Roman"/>
                <w:b w:val="0"/>
                <w:bCs/>
                <w:color w:val="auto"/>
                <w:szCs w:val="21"/>
                <w:lang w:val="en-US" w:eastAsia="zh-CN"/>
              </w:rPr>
            </w:pPr>
            <w:r>
              <w:rPr>
                <w:rFonts w:hint="default" w:ascii="Times New Roman" w:hAnsi="Times New Roman" w:cs="Times New Roman"/>
                <w:b w:val="0"/>
                <w:bCs/>
                <w:color w:val="auto"/>
                <w:szCs w:val="21"/>
              </w:rPr>
              <w:t>促进剂TMTD</w:t>
            </w:r>
          </w:p>
        </w:tc>
        <w:tc>
          <w:tcPr>
            <w:tcW w:w="7440" w:type="dxa"/>
            <w:noWrap w:val="0"/>
            <w:vAlign w:val="center"/>
          </w:tcPr>
          <w:p>
            <w:pPr>
              <w:spacing w:line="300" w:lineRule="exact"/>
              <w:contextualSpacing/>
              <w:jc w:val="center"/>
              <w:rPr>
                <w:rFonts w:hint="default" w:ascii="Times New Roman" w:hAnsi="Times New Roman" w:cs="Times New Roman"/>
                <w:b w:val="0"/>
                <w:bCs/>
                <w:color w:val="auto"/>
                <w:szCs w:val="21"/>
              </w:rPr>
            </w:pPr>
            <w:r>
              <w:rPr>
                <w:rFonts w:hint="default" w:ascii="Times New Roman" w:hAnsi="Times New Roman" w:cs="Times New Roman"/>
                <w:b w:val="0"/>
                <w:bCs/>
                <w:color w:val="auto"/>
                <w:szCs w:val="21"/>
              </w:rPr>
              <w:t>四甲基二硫化秋兰姆，分子式C6H12N2S4，分子量：240.43；白色或灰白色、有特殊气味、结晶粉末。溶于甲苯、丙酮、二氯乙烷、二硫化碳、无水乙醇、苯、氯仿、二硫化碳等。微溶于乙醇，不溶于水，不溶于稀碱液、汽油，不吸潮。熔点：156-158°C(lit.)沸点：129°C(20mmHg)；密度：1.43；水溶解性：16.5mg/L，</w:t>
            </w:r>
            <w:r>
              <w:rPr>
                <w:rFonts w:hint="default" w:ascii="Times New Roman" w:hAnsi="Times New Roman" w:cs="Times New Roman"/>
                <w:b w:val="0"/>
                <w:bCs/>
                <w:color w:val="auto"/>
                <w:szCs w:val="21"/>
              </w:rPr>
              <w:fldChar w:fldCharType="begin"/>
            </w:r>
            <w:r>
              <w:rPr>
                <w:rFonts w:hint="default" w:ascii="Times New Roman" w:hAnsi="Times New Roman" w:cs="Times New Roman"/>
                <w:b w:val="0"/>
                <w:bCs/>
                <w:color w:val="auto"/>
                <w:szCs w:val="21"/>
              </w:rPr>
              <w:instrText xml:space="preserve"> HYPERLINK "http://baike.baidu.com/view/139661.htm" \t "_blank" </w:instrText>
            </w:r>
            <w:r>
              <w:rPr>
                <w:rFonts w:hint="default" w:ascii="Times New Roman" w:hAnsi="Times New Roman" w:cs="Times New Roman"/>
                <w:b w:val="0"/>
                <w:bCs/>
                <w:color w:val="auto"/>
                <w:szCs w:val="21"/>
              </w:rPr>
              <w:fldChar w:fldCharType="separate"/>
            </w:r>
            <w:r>
              <w:rPr>
                <w:rFonts w:hint="default" w:ascii="Times New Roman" w:hAnsi="Times New Roman" w:cs="Times New Roman"/>
                <w:b w:val="0"/>
                <w:bCs/>
                <w:color w:val="auto"/>
                <w:szCs w:val="21"/>
              </w:rPr>
              <w:t>闪点</w:t>
            </w:r>
            <w:r>
              <w:rPr>
                <w:rFonts w:hint="default" w:ascii="Times New Roman" w:hAnsi="Times New Roman" w:cs="Times New Roman"/>
                <w:b w:val="0"/>
                <w:bCs/>
                <w:color w:val="auto"/>
                <w:szCs w:val="21"/>
              </w:rPr>
              <w:fldChar w:fldCharType="end"/>
            </w:r>
            <w:r>
              <w:rPr>
                <w:rFonts w:hint="default" w:ascii="Times New Roman" w:hAnsi="Times New Roman" w:cs="Times New Roman"/>
                <w:b w:val="0"/>
                <w:bCs/>
                <w:color w:val="auto"/>
                <w:szCs w:val="21"/>
              </w:rPr>
              <w:t>：89°C；储存条件：0-6°C</w:t>
            </w:r>
          </w:p>
          <w:p>
            <w:pPr>
              <w:spacing w:line="300" w:lineRule="exact"/>
              <w:contextualSpacing/>
              <w:jc w:val="center"/>
              <w:rPr>
                <w:rFonts w:hint="default" w:ascii="Times New Roman" w:hAnsi="Times New Roman" w:cs="Times New Roman"/>
                <w:b w:val="0"/>
                <w:bCs/>
                <w:color w:val="auto"/>
                <w:szCs w:val="21"/>
                <w:lang w:val="en-US" w:eastAsia="zh-CN"/>
              </w:rPr>
            </w:pPr>
          </w:p>
        </w:tc>
        <w:tc>
          <w:tcPr>
            <w:tcW w:w="2707" w:type="dxa"/>
            <w:noWrap w:val="0"/>
            <w:vAlign w:val="center"/>
          </w:tcPr>
          <w:p>
            <w:pPr>
              <w:spacing w:line="300" w:lineRule="exact"/>
              <w:contextualSpacing/>
              <w:jc w:val="center"/>
              <w:rPr>
                <w:rFonts w:hint="default" w:ascii="Times New Roman" w:hAnsi="Times New Roman" w:cs="Times New Roman"/>
                <w:b w:val="0"/>
                <w:bCs/>
                <w:color w:val="auto"/>
                <w:szCs w:val="21"/>
                <w:lang w:val="en-US" w:eastAsia="zh-CN"/>
              </w:rPr>
            </w:pPr>
            <w:r>
              <w:rPr>
                <w:rFonts w:hint="default" w:ascii="Times New Roman" w:hAnsi="Times New Roman" w:cs="Times New Roman"/>
                <w:b w:val="0"/>
                <w:bCs/>
                <w:color w:val="auto"/>
                <w:szCs w:val="21"/>
              </w:rPr>
              <w:t>粉尘与空气能形成爆炸性混合物。</w:t>
            </w:r>
          </w:p>
        </w:tc>
        <w:tc>
          <w:tcPr>
            <w:tcW w:w="2263" w:type="dxa"/>
            <w:noWrap w:val="0"/>
            <w:vAlign w:val="center"/>
          </w:tcPr>
          <w:p>
            <w:pPr>
              <w:spacing w:line="300" w:lineRule="exact"/>
              <w:contextualSpacing/>
              <w:jc w:val="center"/>
              <w:rPr>
                <w:rFonts w:hint="default" w:ascii="Times New Roman" w:hAnsi="Times New Roman" w:cs="Times New Roman"/>
                <w:b w:val="0"/>
                <w:bCs/>
                <w:color w:val="auto"/>
                <w:szCs w:val="21"/>
                <w:lang w:val="en-US" w:eastAsia="zh-CN"/>
              </w:rPr>
            </w:pPr>
            <w:r>
              <w:rPr>
                <w:rFonts w:hint="default" w:ascii="Times New Roman" w:hAnsi="Times New Roman" w:cs="Times New Roman"/>
                <w:b w:val="0"/>
                <w:bCs/>
                <w:color w:val="auto"/>
                <w:szCs w:val="21"/>
              </w:rPr>
              <w:t>低毒，有一定的毒性，LD50：865mg/kg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80" w:type="dxa"/>
            <w:noWrap w:val="0"/>
            <w:vAlign w:val="center"/>
          </w:tcPr>
          <w:p>
            <w:pPr>
              <w:spacing w:line="300" w:lineRule="exact"/>
              <w:jc w:val="center"/>
              <w:rPr>
                <w:rFonts w:hint="default" w:ascii="Times New Roman" w:hAnsi="Times New Roman" w:eastAsia="宋体" w:cs="Times New Roman"/>
                <w:color w:val="auto"/>
                <w:kern w:val="2"/>
                <w:sz w:val="21"/>
                <w:szCs w:val="21"/>
                <w:lang w:val="en-US" w:eastAsia="zh-CN" w:bidi="ar-SA"/>
              </w:rPr>
            </w:pPr>
            <w:r>
              <w:rPr>
                <w:color w:val="auto"/>
                <w:szCs w:val="21"/>
              </w:rPr>
              <w:t>10</w:t>
            </w:r>
          </w:p>
        </w:tc>
        <w:tc>
          <w:tcPr>
            <w:tcW w:w="1095" w:type="dxa"/>
            <w:noWrap w:val="0"/>
            <w:vAlign w:val="center"/>
          </w:tcPr>
          <w:p>
            <w:pPr>
              <w:spacing w:line="300" w:lineRule="exact"/>
              <w:contextualSpacing/>
              <w:jc w:val="center"/>
              <w:rPr>
                <w:rFonts w:hint="default" w:ascii="Times New Roman" w:hAnsi="Times New Roman" w:cs="Times New Roman"/>
                <w:b w:val="0"/>
                <w:bCs/>
                <w:color w:val="auto"/>
                <w:szCs w:val="21"/>
                <w:lang w:val="en-US" w:eastAsia="zh-CN"/>
              </w:rPr>
            </w:pPr>
            <w:r>
              <w:rPr>
                <w:rFonts w:hint="default" w:ascii="Times New Roman" w:hAnsi="Times New Roman" w:cs="Times New Roman"/>
                <w:b w:val="0"/>
                <w:bCs/>
                <w:color w:val="auto"/>
                <w:szCs w:val="21"/>
              </w:rPr>
              <w:t>促进剂DM</w:t>
            </w:r>
          </w:p>
        </w:tc>
        <w:tc>
          <w:tcPr>
            <w:tcW w:w="7440" w:type="dxa"/>
            <w:noWrap w:val="0"/>
            <w:vAlign w:val="center"/>
          </w:tcPr>
          <w:p>
            <w:pPr>
              <w:spacing w:line="300" w:lineRule="exact"/>
              <w:contextualSpacing/>
              <w:jc w:val="center"/>
              <w:rPr>
                <w:rFonts w:hint="default" w:ascii="Times New Roman" w:hAnsi="Times New Roman" w:cs="Times New Roman"/>
                <w:b w:val="0"/>
                <w:bCs/>
                <w:color w:val="auto"/>
                <w:szCs w:val="21"/>
                <w:lang w:val="en-US" w:eastAsia="zh-CN"/>
              </w:rPr>
            </w:pPr>
            <w:r>
              <w:rPr>
                <w:rFonts w:hint="default" w:ascii="Times New Roman" w:hAnsi="Times New Roman" w:cs="Times New Roman"/>
                <w:b w:val="0"/>
                <w:bCs/>
                <w:color w:val="auto"/>
                <w:szCs w:val="21"/>
              </w:rPr>
              <w:t>二硫化苯并噻唑，分子式：C14H8N2S4；分子量：332.46；白色或灰白色、有特殊气味、结晶粉末，熔点180℃，相对密度1.5（水），不溶于水，不溶于稀碱液、汽油，溶于乙醇、苯、氯仿和二硫化碳</w:t>
            </w:r>
          </w:p>
        </w:tc>
        <w:tc>
          <w:tcPr>
            <w:tcW w:w="2707" w:type="dxa"/>
            <w:noWrap w:val="0"/>
            <w:vAlign w:val="center"/>
          </w:tcPr>
          <w:p>
            <w:pPr>
              <w:spacing w:line="300" w:lineRule="exact"/>
              <w:contextualSpacing/>
              <w:jc w:val="center"/>
              <w:rPr>
                <w:rFonts w:hint="default" w:ascii="Times New Roman" w:hAnsi="Times New Roman" w:cs="Times New Roman"/>
                <w:b w:val="0"/>
                <w:bCs/>
                <w:color w:val="auto"/>
                <w:szCs w:val="21"/>
                <w:lang w:val="en-US" w:eastAsia="zh-CN"/>
              </w:rPr>
            </w:pPr>
            <w:r>
              <w:rPr>
                <w:rFonts w:hint="default" w:ascii="Times New Roman" w:hAnsi="Times New Roman" w:cs="Times New Roman"/>
                <w:b w:val="0"/>
                <w:bCs/>
                <w:color w:val="auto"/>
                <w:szCs w:val="21"/>
              </w:rPr>
              <w:t>可燃，引燃温度790℃，爆炸下限12.6g/m3</w:t>
            </w:r>
          </w:p>
        </w:tc>
        <w:tc>
          <w:tcPr>
            <w:tcW w:w="2263" w:type="dxa"/>
            <w:noWrap w:val="0"/>
            <w:vAlign w:val="center"/>
          </w:tcPr>
          <w:p>
            <w:pPr>
              <w:spacing w:line="300" w:lineRule="exact"/>
              <w:contextualSpacing/>
              <w:jc w:val="center"/>
              <w:rPr>
                <w:rFonts w:hint="default" w:ascii="Times New Roman" w:hAnsi="Times New Roman" w:cs="Times New Roman"/>
                <w:b w:val="0"/>
                <w:bCs/>
                <w:color w:val="auto"/>
                <w:szCs w:val="21"/>
              </w:rPr>
            </w:pPr>
            <w:r>
              <w:rPr>
                <w:rFonts w:hint="default" w:ascii="Times New Roman" w:hAnsi="Times New Roman" w:cs="Times New Roman"/>
                <w:b w:val="0"/>
                <w:bCs/>
                <w:color w:val="auto"/>
                <w:szCs w:val="21"/>
              </w:rPr>
              <w:t>LD50：870mg/kg（大鼠经口）</w:t>
            </w:r>
          </w:p>
          <w:p>
            <w:pPr>
              <w:spacing w:line="300" w:lineRule="exact"/>
              <w:contextualSpacing/>
              <w:jc w:val="center"/>
              <w:rPr>
                <w:rFonts w:hint="default" w:ascii="Times New Roman" w:hAnsi="Times New Roman" w:cs="Times New Roman"/>
                <w:b w:val="0"/>
                <w:bCs/>
                <w:color w:val="auto"/>
                <w:szCs w:val="21"/>
                <w:lang w:val="en-US" w:eastAsia="zh-CN"/>
              </w:rPr>
            </w:pPr>
            <w:r>
              <w:rPr>
                <w:rFonts w:hint="default" w:ascii="Times New Roman" w:hAnsi="Times New Roman" w:cs="Times New Roman"/>
                <w:b w:val="0"/>
                <w:bCs/>
                <w:color w:val="auto"/>
                <w:szCs w:val="21"/>
              </w:rPr>
              <w:t>LD50：1250mg/kg（小鼠经口）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80" w:type="dxa"/>
            <w:noWrap w:val="0"/>
            <w:vAlign w:val="center"/>
          </w:tcPr>
          <w:p>
            <w:pPr>
              <w:spacing w:line="300" w:lineRule="exact"/>
              <w:jc w:val="center"/>
              <w:rPr>
                <w:rFonts w:hint="default" w:ascii="Times New Roman" w:hAnsi="Times New Roman" w:eastAsia="宋体" w:cs="Times New Roman"/>
                <w:color w:val="auto"/>
                <w:kern w:val="2"/>
                <w:sz w:val="21"/>
                <w:szCs w:val="21"/>
                <w:lang w:val="en-US" w:eastAsia="zh-CN" w:bidi="ar-SA"/>
              </w:rPr>
            </w:pPr>
            <w:r>
              <w:rPr>
                <w:color w:val="auto"/>
                <w:szCs w:val="21"/>
              </w:rPr>
              <w:t>11</w:t>
            </w:r>
          </w:p>
        </w:tc>
        <w:tc>
          <w:tcPr>
            <w:tcW w:w="1095" w:type="dxa"/>
            <w:noWrap w:val="0"/>
            <w:vAlign w:val="center"/>
          </w:tcPr>
          <w:p>
            <w:pPr>
              <w:spacing w:line="300" w:lineRule="exact"/>
              <w:contextualSpacing/>
              <w:jc w:val="center"/>
              <w:rPr>
                <w:rFonts w:hint="default" w:ascii="Times New Roman" w:hAnsi="Times New Roman" w:cs="Times New Roman"/>
                <w:b w:val="0"/>
                <w:bCs/>
                <w:color w:val="auto"/>
                <w:szCs w:val="21"/>
                <w:lang w:val="en-US" w:eastAsia="zh-CN"/>
              </w:rPr>
            </w:pPr>
            <w:r>
              <w:rPr>
                <w:rFonts w:hint="default" w:ascii="Times New Roman" w:hAnsi="Times New Roman" w:cs="Times New Roman"/>
                <w:b w:val="0"/>
                <w:bCs/>
                <w:color w:val="auto"/>
                <w:szCs w:val="21"/>
              </w:rPr>
              <w:t>增塑剂</w:t>
            </w:r>
          </w:p>
        </w:tc>
        <w:tc>
          <w:tcPr>
            <w:tcW w:w="7440" w:type="dxa"/>
            <w:noWrap w:val="0"/>
            <w:vAlign w:val="center"/>
          </w:tcPr>
          <w:p>
            <w:pPr>
              <w:spacing w:line="300" w:lineRule="exact"/>
              <w:contextualSpacing/>
              <w:jc w:val="center"/>
              <w:rPr>
                <w:rFonts w:hint="default" w:ascii="Times New Roman" w:hAnsi="Times New Roman" w:cs="Times New Roman"/>
                <w:b w:val="0"/>
                <w:bCs/>
                <w:color w:val="auto"/>
                <w:szCs w:val="21"/>
                <w:lang w:val="en-US" w:eastAsia="zh-CN"/>
              </w:rPr>
            </w:pPr>
            <w:r>
              <w:rPr>
                <w:rFonts w:hint="default" w:ascii="Times New Roman" w:hAnsi="Times New Roman" w:cs="Times New Roman"/>
                <w:b w:val="0"/>
                <w:bCs/>
                <w:color w:val="auto"/>
                <w:szCs w:val="21"/>
              </w:rPr>
              <w:t>为DOS（癸二酸二辛酯），标准状态下为淡黄色液体，微溶于水，易溶于乙醇和乙醚；熔点（℃）：-55；沸点（℃）：248（1.20kPa）；凝固点：-55℃~-40℃；折射率：1.449~1.451；闪点：277℃；溶解度参数：δ=8.45；相对密度（水=1）：0.91；相对蒸气密度（空气=1）：14.7；饱和蒸气压（kPa）：1.20（248℃）</w:t>
            </w:r>
          </w:p>
        </w:tc>
        <w:tc>
          <w:tcPr>
            <w:tcW w:w="2707" w:type="dxa"/>
            <w:noWrap w:val="0"/>
            <w:vAlign w:val="center"/>
          </w:tcPr>
          <w:p>
            <w:pPr>
              <w:spacing w:line="300" w:lineRule="exact"/>
              <w:contextualSpacing/>
              <w:jc w:val="center"/>
              <w:rPr>
                <w:rFonts w:hint="default" w:ascii="Times New Roman" w:hAnsi="Times New Roman" w:cs="Times New Roman"/>
                <w:b w:val="0"/>
                <w:bCs/>
                <w:color w:val="auto"/>
                <w:szCs w:val="21"/>
              </w:rPr>
            </w:pPr>
            <w:r>
              <w:rPr>
                <w:rFonts w:hint="default" w:ascii="Times New Roman" w:hAnsi="Times New Roman" w:cs="Times New Roman"/>
                <w:b w:val="0"/>
                <w:bCs/>
                <w:color w:val="auto"/>
                <w:szCs w:val="21"/>
              </w:rPr>
              <w:t>危险特性：遇明火、高热可燃。</w:t>
            </w:r>
          </w:p>
          <w:p>
            <w:pPr>
              <w:spacing w:line="300" w:lineRule="exact"/>
              <w:contextualSpacing/>
              <w:jc w:val="center"/>
              <w:rPr>
                <w:rFonts w:hint="default" w:ascii="Times New Roman" w:hAnsi="Times New Roman" w:cs="Times New Roman"/>
                <w:b w:val="0"/>
                <w:bCs/>
                <w:color w:val="auto"/>
                <w:szCs w:val="21"/>
                <w:lang w:val="en-US" w:eastAsia="zh-CN"/>
              </w:rPr>
            </w:pPr>
            <w:r>
              <w:rPr>
                <w:rFonts w:hint="default" w:ascii="Times New Roman" w:hAnsi="Times New Roman" w:cs="Times New Roman"/>
                <w:b w:val="0"/>
                <w:bCs/>
                <w:color w:val="auto"/>
                <w:szCs w:val="21"/>
              </w:rPr>
              <w:t>有害燃烧产物：一氧化碳、二氧化碳。</w:t>
            </w:r>
          </w:p>
        </w:tc>
        <w:tc>
          <w:tcPr>
            <w:tcW w:w="2263" w:type="dxa"/>
            <w:noWrap w:val="0"/>
            <w:vAlign w:val="center"/>
          </w:tcPr>
          <w:p>
            <w:pPr>
              <w:spacing w:line="300" w:lineRule="exact"/>
              <w:contextualSpacing/>
              <w:jc w:val="center"/>
              <w:rPr>
                <w:rFonts w:hint="default" w:ascii="Times New Roman" w:hAnsi="Times New Roman" w:cs="Times New Roman"/>
                <w:b w:val="0"/>
                <w:bCs/>
                <w:color w:val="auto"/>
                <w:szCs w:val="21"/>
              </w:rPr>
            </w:pPr>
            <w:r>
              <w:rPr>
                <w:rFonts w:hint="default" w:ascii="Times New Roman" w:hAnsi="Times New Roman" w:cs="Times New Roman"/>
                <w:b w:val="0"/>
                <w:bCs/>
                <w:color w:val="auto"/>
                <w:szCs w:val="21"/>
              </w:rPr>
              <w:t>毒性分级：低毒</w:t>
            </w:r>
          </w:p>
          <w:p>
            <w:pPr>
              <w:spacing w:line="300" w:lineRule="exact"/>
              <w:contextualSpacing/>
              <w:jc w:val="center"/>
              <w:rPr>
                <w:rFonts w:hint="default" w:ascii="Times New Roman" w:hAnsi="Times New Roman" w:cs="Times New Roman"/>
                <w:b w:val="0"/>
                <w:bCs/>
                <w:color w:val="auto"/>
                <w:szCs w:val="21"/>
                <w:lang w:val="en-US" w:eastAsia="zh-CN"/>
              </w:rPr>
            </w:pPr>
            <w:r>
              <w:rPr>
                <w:rFonts w:hint="default" w:ascii="Times New Roman" w:hAnsi="Times New Roman" w:cs="Times New Roman"/>
                <w:b w:val="0"/>
                <w:bCs/>
                <w:color w:val="auto"/>
                <w:szCs w:val="21"/>
              </w:rPr>
              <w:t>急性毒性：静脉-大鼠 LD50: 900 毫克/公斤; 口服-小鼠LD50: 9500 毫克/ 公斤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80" w:type="dxa"/>
            <w:noWrap w:val="0"/>
            <w:vAlign w:val="center"/>
          </w:tcPr>
          <w:p>
            <w:pPr>
              <w:spacing w:line="300" w:lineRule="exact"/>
              <w:jc w:val="center"/>
              <w:rPr>
                <w:rFonts w:hint="default" w:ascii="Times New Roman" w:hAnsi="Times New Roman" w:eastAsia="宋体" w:cs="Times New Roman"/>
                <w:color w:val="auto"/>
                <w:kern w:val="2"/>
                <w:sz w:val="21"/>
                <w:szCs w:val="21"/>
                <w:lang w:val="en-US" w:eastAsia="zh-CN" w:bidi="ar-SA"/>
              </w:rPr>
            </w:pPr>
            <w:r>
              <w:rPr>
                <w:color w:val="auto"/>
                <w:szCs w:val="21"/>
              </w:rPr>
              <w:t>12</w:t>
            </w:r>
          </w:p>
        </w:tc>
        <w:tc>
          <w:tcPr>
            <w:tcW w:w="1095" w:type="dxa"/>
            <w:noWrap w:val="0"/>
            <w:vAlign w:val="center"/>
          </w:tcPr>
          <w:p>
            <w:pPr>
              <w:spacing w:line="300" w:lineRule="exact"/>
              <w:contextualSpacing/>
              <w:jc w:val="center"/>
              <w:rPr>
                <w:rFonts w:hint="eastAsia" w:ascii="Times New Roman" w:hAnsi="Times New Roman" w:eastAsia="宋体" w:cs="Times New Roman"/>
                <w:b w:val="0"/>
                <w:bCs/>
                <w:color w:val="auto"/>
                <w:szCs w:val="21"/>
                <w:lang w:eastAsia="zh-CN"/>
              </w:rPr>
            </w:pPr>
            <w:r>
              <w:rPr>
                <w:rFonts w:hint="eastAsia" w:cs="Times New Roman"/>
                <w:b w:val="0"/>
                <w:bCs/>
                <w:color w:val="auto"/>
                <w:szCs w:val="21"/>
                <w:lang w:eastAsia="zh-CN"/>
              </w:rPr>
              <w:t>底涂剂</w:t>
            </w:r>
          </w:p>
        </w:tc>
        <w:tc>
          <w:tcPr>
            <w:tcW w:w="7440" w:type="dxa"/>
            <w:noWrap w:val="0"/>
            <w:vAlign w:val="center"/>
          </w:tcPr>
          <w:p>
            <w:pPr>
              <w:spacing w:line="300" w:lineRule="exact"/>
              <w:contextualSpacing/>
              <w:jc w:val="center"/>
              <w:rPr>
                <w:rFonts w:hint="default" w:ascii="Times New Roman" w:hAnsi="Times New Roman" w:eastAsia="宋体" w:cs="Times New Roman"/>
                <w:b w:val="0"/>
                <w:bCs/>
                <w:color w:val="auto"/>
                <w:szCs w:val="21"/>
                <w:lang w:val="en-US" w:eastAsia="zh-CN"/>
              </w:rPr>
            </w:pPr>
            <w:r>
              <w:rPr>
                <w:rFonts w:hint="eastAsia" w:cs="Times New Roman"/>
                <w:b w:val="0"/>
                <w:bCs/>
                <w:color w:val="auto"/>
                <w:szCs w:val="21"/>
                <w:lang w:eastAsia="zh-CN"/>
              </w:rPr>
              <w:t>主要成分为甲醇，甲基乙基酮，甲酚，</w:t>
            </w:r>
            <w:r>
              <w:rPr>
                <w:rFonts w:hint="eastAsia" w:cs="Times New Roman"/>
                <w:b w:val="0"/>
                <w:bCs/>
                <w:color w:val="auto"/>
                <w:szCs w:val="21"/>
                <w:lang w:val="en-US" w:eastAsia="zh-CN"/>
              </w:rPr>
              <w:t>4-甲基-2-戊酮，黄色至琥珀色液体，溶剂气味</w:t>
            </w:r>
          </w:p>
        </w:tc>
        <w:tc>
          <w:tcPr>
            <w:tcW w:w="2707" w:type="dxa"/>
            <w:noWrap w:val="0"/>
            <w:vAlign w:val="center"/>
          </w:tcPr>
          <w:p>
            <w:pPr>
              <w:spacing w:line="300" w:lineRule="exact"/>
              <w:contextualSpacing/>
              <w:jc w:val="center"/>
              <w:rPr>
                <w:rFonts w:hint="default" w:ascii="Times New Roman" w:hAnsi="Times New Roman" w:cs="Times New Roman"/>
                <w:b w:val="0"/>
                <w:bCs/>
                <w:color w:val="auto"/>
                <w:szCs w:val="21"/>
              </w:rPr>
            </w:pPr>
            <w:r>
              <w:rPr>
                <w:rFonts w:hint="default" w:ascii="Times New Roman" w:hAnsi="Times New Roman" w:cs="Times New Roman"/>
                <w:b w:val="0"/>
                <w:bCs/>
                <w:color w:val="auto"/>
                <w:szCs w:val="21"/>
              </w:rPr>
              <w:t>易燃</w:t>
            </w:r>
          </w:p>
        </w:tc>
        <w:tc>
          <w:tcPr>
            <w:tcW w:w="2263" w:type="dxa"/>
            <w:noWrap w:val="0"/>
            <w:vAlign w:val="center"/>
          </w:tcPr>
          <w:p>
            <w:pPr>
              <w:spacing w:line="300" w:lineRule="exact"/>
              <w:contextualSpacing/>
              <w:jc w:val="center"/>
              <w:rPr>
                <w:rFonts w:hint="default" w:ascii="Times New Roman" w:hAnsi="Times New Roman" w:cs="Times New Roman"/>
                <w:b w:val="0"/>
                <w:bCs/>
                <w:color w:val="auto"/>
                <w:szCs w:val="21"/>
              </w:rPr>
            </w:pPr>
            <w:r>
              <w:rPr>
                <w:rFonts w:hint="default" w:ascii="Times New Roman" w:hAnsi="Times New Roman" w:cs="Times New Roman"/>
                <w:b w:val="0"/>
                <w:bCs/>
                <w:color w:val="auto"/>
                <w:szCs w:val="21"/>
              </w:rPr>
              <w:t>急性经口毒性</w:t>
            </w:r>
          </w:p>
          <w:p>
            <w:pPr>
              <w:spacing w:line="300" w:lineRule="exact"/>
              <w:contextualSpacing/>
              <w:jc w:val="center"/>
              <w:rPr>
                <w:rFonts w:hint="eastAsia" w:cs="Times New Roman"/>
                <w:b w:val="0"/>
                <w:bCs/>
                <w:color w:val="auto"/>
                <w:szCs w:val="21"/>
                <w:lang w:eastAsia="zh-CN"/>
              </w:rPr>
            </w:pPr>
            <w:r>
              <w:rPr>
                <w:rFonts w:hint="default" w:ascii="Times New Roman" w:hAnsi="Times New Roman" w:cs="Times New Roman"/>
                <w:b w:val="0"/>
                <w:bCs/>
                <w:color w:val="auto"/>
                <w:szCs w:val="21"/>
              </w:rPr>
              <w:t>急性毒性评估, 211.2 mg/kg</w:t>
            </w:r>
            <w:r>
              <w:rPr>
                <w:rFonts w:hint="eastAsia" w:cs="Times New Roman"/>
                <w:b w:val="0"/>
                <w:bCs/>
                <w:color w:val="auto"/>
                <w:szCs w:val="21"/>
                <w:lang w:eastAsia="zh-CN"/>
              </w:rPr>
              <w:t>；急性经皮毒性</w:t>
            </w:r>
          </w:p>
          <w:p>
            <w:pPr>
              <w:spacing w:line="300" w:lineRule="exact"/>
              <w:contextualSpacing/>
              <w:jc w:val="center"/>
              <w:rPr>
                <w:rFonts w:hint="default" w:ascii="Times New Roman" w:hAnsi="Times New Roman" w:cs="Times New Roman"/>
                <w:b w:val="0"/>
                <w:bCs/>
                <w:color w:val="auto"/>
                <w:szCs w:val="21"/>
              </w:rPr>
            </w:pPr>
            <w:r>
              <w:rPr>
                <w:rFonts w:hint="eastAsia" w:cs="Times New Roman"/>
                <w:b w:val="0"/>
                <w:bCs/>
                <w:color w:val="auto"/>
                <w:szCs w:val="21"/>
                <w:lang w:eastAsia="zh-CN"/>
              </w:rPr>
              <w:t>；</w:t>
            </w:r>
            <w:r>
              <w:rPr>
                <w:rFonts w:hint="eastAsia" w:cs="Times New Roman"/>
                <w:b w:val="0"/>
                <w:bCs/>
                <w:color w:val="auto"/>
                <w:szCs w:val="21"/>
                <w:lang w:val="en-US" w:eastAsia="zh-CN"/>
              </w:rPr>
              <w:t>急性毒性评估, 7.29 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80" w:type="dxa"/>
            <w:noWrap w:val="0"/>
            <w:vAlign w:val="center"/>
          </w:tcPr>
          <w:p>
            <w:pPr>
              <w:spacing w:line="300" w:lineRule="exact"/>
              <w:jc w:val="center"/>
              <w:rPr>
                <w:rFonts w:hint="default" w:ascii="Times New Roman" w:hAnsi="Times New Roman" w:eastAsia="宋体" w:cs="Times New Roman"/>
                <w:color w:val="auto"/>
                <w:kern w:val="2"/>
                <w:sz w:val="21"/>
                <w:szCs w:val="21"/>
                <w:lang w:val="en-US" w:eastAsia="zh-CN" w:bidi="ar-SA"/>
              </w:rPr>
            </w:pPr>
            <w:r>
              <w:rPr>
                <w:color w:val="auto"/>
                <w:szCs w:val="21"/>
              </w:rPr>
              <w:t>13</w:t>
            </w:r>
          </w:p>
        </w:tc>
        <w:tc>
          <w:tcPr>
            <w:tcW w:w="1095" w:type="dxa"/>
            <w:noWrap w:val="0"/>
            <w:vAlign w:val="center"/>
          </w:tcPr>
          <w:p>
            <w:pPr>
              <w:spacing w:line="300" w:lineRule="exact"/>
              <w:contextualSpacing/>
              <w:jc w:val="center"/>
              <w:rPr>
                <w:rFonts w:hint="eastAsia" w:ascii="Times New Roman" w:hAnsi="Times New Roman" w:eastAsia="宋体" w:cs="Times New Roman"/>
                <w:b w:val="0"/>
                <w:bCs/>
                <w:color w:val="auto"/>
                <w:kern w:val="2"/>
                <w:sz w:val="21"/>
                <w:szCs w:val="21"/>
                <w:lang w:val="en-US" w:eastAsia="zh-CN" w:bidi="ar-SA"/>
              </w:rPr>
            </w:pPr>
            <w:r>
              <w:rPr>
                <w:rFonts w:hint="default" w:ascii="Times New Roman" w:hAnsi="Times New Roman" w:cs="Times New Roman"/>
                <w:color w:val="auto"/>
                <w:kern w:val="0"/>
                <w:sz w:val="21"/>
                <w:szCs w:val="21"/>
              </w:rPr>
              <w:t>乙酸丁酯</w:t>
            </w:r>
          </w:p>
        </w:tc>
        <w:tc>
          <w:tcPr>
            <w:tcW w:w="7440" w:type="dxa"/>
            <w:noWrap w:val="0"/>
            <w:vAlign w:val="center"/>
          </w:tcPr>
          <w:p>
            <w:pPr>
              <w:spacing w:line="300" w:lineRule="exact"/>
              <w:contextualSpacing/>
              <w:jc w:val="center"/>
              <w:rPr>
                <w:rFonts w:hint="default" w:cs="Times New Roman"/>
                <w:b w:val="0"/>
                <w:bCs/>
                <w:color w:val="auto"/>
                <w:szCs w:val="21"/>
                <w:lang w:val="en-US" w:eastAsia="zh-CN"/>
              </w:rPr>
            </w:pPr>
            <w:r>
              <w:rPr>
                <w:rFonts w:hint="eastAsia" w:cs="Times New Roman"/>
                <w:b w:val="0"/>
                <w:bCs/>
                <w:color w:val="auto"/>
                <w:szCs w:val="21"/>
                <w:lang w:val="en-US" w:eastAsia="zh-CN"/>
              </w:rPr>
              <w:t>为</w:t>
            </w:r>
            <w:r>
              <w:rPr>
                <w:rFonts w:hint="default" w:cs="Times New Roman"/>
                <w:b w:val="0"/>
                <w:bCs/>
                <w:color w:val="auto"/>
                <w:szCs w:val="21"/>
                <w:lang w:val="en-US" w:eastAsia="zh-CN"/>
              </w:rPr>
              <w:t>无色透明有愉快果香气味的液体。乙酸正丁酯是一种优良的有机溶剂，对</w:t>
            </w:r>
            <w:r>
              <w:rPr>
                <w:rFonts w:hint="default" w:cs="Times New Roman"/>
                <w:b w:val="0"/>
                <w:bCs/>
                <w:color w:val="auto"/>
                <w:szCs w:val="21"/>
                <w:lang w:val="en-US" w:eastAsia="zh-CN"/>
              </w:rPr>
              <w:fldChar w:fldCharType="begin"/>
            </w:r>
            <w:r>
              <w:rPr>
                <w:rFonts w:hint="default" w:cs="Times New Roman"/>
                <w:b w:val="0"/>
                <w:bCs/>
                <w:color w:val="auto"/>
                <w:szCs w:val="21"/>
                <w:lang w:val="en-US" w:eastAsia="zh-CN"/>
              </w:rPr>
              <w:instrText xml:space="preserve"> HYPERLINK "https://baike.baidu.com/item/%E4%B9%99%E5%9F%BA%E7%BA%A4%E7%BB%B4%E7%B4%A0" \t "https://baike.baidu.com/item/%E4%B9%99%E9%85%B8%E4%B8%81%E9%85%AF/_blank" </w:instrText>
            </w:r>
            <w:r>
              <w:rPr>
                <w:rFonts w:hint="default" w:cs="Times New Roman"/>
                <w:b w:val="0"/>
                <w:bCs/>
                <w:color w:val="auto"/>
                <w:szCs w:val="21"/>
                <w:lang w:val="en-US" w:eastAsia="zh-CN"/>
              </w:rPr>
              <w:fldChar w:fldCharType="separate"/>
            </w:r>
            <w:r>
              <w:rPr>
                <w:rFonts w:hint="default" w:cs="Times New Roman"/>
                <w:b w:val="0"/>
                <w:bCs/>
                <w:color w:val="auto"/>
                <w:szCs w:val="21"/>
                <w:lang w:val="en-US" w:eastAsia="zh-CN"/>
              </w:rPr>
              <w:t>乙基纤维素</w:t>
            </w:r>
            <w:r>
              <w:rPr>
                <w:rFonts w:hint="default" w:cs="Times New Roman"/>
                <w:b w:val="0"/>
                <w:bCs/>
                <w:color w:val="auto"/>
                <w:szCs w:val="21"/>
                <w:lang w:val="en-US" w:eastAsia="zh-CN"/>
              </w:rPr>
              <w:fldChar w:fldCharType="end"/>
            </w:r>
            <w:r>
              <w:rPr>
                <w:rFonts w:hint="default" w:cs="Times New Roman"/>
                <w:b w:val="0"/>
                <w:bCs/>
                <w:color w:val="auto"/>
                <w:szCs w:val="21"/>
                <w:lang w:val="en-US" w:eastAsia="zh-CN"/>
              </w:rPr>
              <w:t>、</w:t>
            </w:r>
            <w:r>
              <w:rPr>
                <w:rFonts w:hint="default" w:cs="Times New Roman"/>
                <w:b w:val="0"/>
                <w:bCs/>
                <w:color w:val="auto"/>
                <w:szCs w:val="21"/>
                <w:lang w:val="en-US" w:eastAsia="zh-CN"/>
              </w:rPr>
              <w:fldChar w:fldCharType="begin"/>
            </w:r>
            <w:r>
              <w:rPr>
                <w:rFonts w:hint="default" w:cs="Times New Roman"/>
                <w:b w:val="0"/>
                <w:bCs/>
                <w:color w:val="auto"/>
                <w:szCs w:val="21"/>
                <w:lang w:val="en-US" w:eastAsia="zh-CN"/>
              </w:rPr>
              <w:instrText xml:space="preserve"> HYPERLINK "https://baike.baidu.com/item/%E9%86%8B%E9%85%B8%E4%B8%81%E9%85%B8%E7%BA%A4%E7%BB%B4%E7%B4%A0" \t "https://baike.baidu.com/item/%E4%B9%99%E9%85%B8%E4%B8%81%E9%85%AF/_blank" </w:instrText>
            </w:r>
            <w:r>
              <w:rPr>
                <w:rFonts w:hint="default" w:cs="Times New Roman"/>
                <w:b w:val="0"/>
                <w:bCs/>
                <w:color w:val="auto"/>
                <w:szCs w:val="21"/>
                <w:lang w:val="en-US" w:eastAsia="zh-CN"/>
              </w:rPr>
              <w:fldChar w:fldCharType="separate"/>
            </w:r>
            <w:r>
              <w:rPr>
                <w:rFonts w:hint="default" w:cs="Times New Roman"/>
                <w:b w:val="0"/>
                <w:bCs/>
                <w:color w:val="auto"/>
                <w:szCs w:val="21"/>
                <w:lang w:val="en-US" w:eastAsia="zh-CN"/>
              </w:rPr>
              <w:t>醋酸丁酸纤维素</w:t>
            </w:r>
            <w:r>
              <w:rPr>
                <w:rFonts w:hint="default" w:cs="Times New Roman"/>
                <w:b w:val="0"/>
                <w:bCs/>
                <w:color w:val="auto"/>
                <w:szCs w:val="21"/>
                <w:lang w:val="en-US" w:eastAsia="zh-CN"/>
              </w:rPr>
              <w:fldChar w:fldCharType="end"/>
            </w:r>
            <w:r>
              <w:rPr>
                <w:rFonts w:hint="default" w:cs="Times New Roman"/>
                <w:b w:val="0"/>
                <w:bCs/>
                <w:color w:val="auto"/>
                <w:szCs w:val="21"/>
                <w:lang w:val="en-US" w:eastAsia="zh-CN"/>
              </w:rPr>
              <w:t>、聚苯乙烯、甲基丙烯酸树脂、</w:t>
            </w:r>
            <w:r>
              <w:rPr>
                <w:rFonts w:hint="default" w:cs="Times New Roman"/>
                <w:b w:val="0"/>
                <w:bCs/>
                <w:color w:val="auto"/>
                <w:szCs w:val="21"/>
                <w:lang w:val="en-US" w:eastAsia="zh-CN"/>
              </w:rPr>
              <w:fldChar w:fldCharType="begin"/>
            </w:r>
            <w:r>
              <w:rPr>
                <w:rFonts w:hint="default" w:cs="Times New Roman"/>
                <w:b w:val="0"/>
                <w:bCs/>
                <w:color w:val="auto"/>
                <w:szCs w:val="21"/>
                <w:lang w:val="en-US" w:eastAsia="zh-CN"/>
              </w:rPr>
              <w:instrText xml:space="preserve"> HYPERLINK "https://baike.baidu.com/item/%E6%B0%AF%E5%8C%96%E6%A9%A1%E8%83%B6" \t "https://baike.baidu.com/item/%E4%B9%99%E9%85%B8%E4%B8%81%E9%85%AF/_blank" </w:instrText>
            </w:r>
            <w:r>
              <w:rPr>
                <w:rFonts w:hint="default" w:cs="Times New Roman"/>
                <w:b w:val="0"/>
                <w:bCs/>
                <w:color w:val="auto"/>
                <w:szCs w:val="21"/>
                <w:lang w:val="en-US" w:eastAsia="zh-CN"/>
              </w:rPr>
              <w:fldChar w:fldCharType="separate"/>
            </w:r>
            <w:r>
              <w:rPr>
                <w:rFonts w:hint="default" w:cs="Times New Roman"/>
                <w:b w:val="0"/>
                <w:bCs/>
                <w:color w:val="auto"/>
                <w:szCs w:val="21"/>
                <w:lang w:val="en-US" w:eastAsia="zh-CN"/>
              </w:rPr>
              <w:t>氯化橡胶</w:t>
            </w:r>
            <w:r>
              <w:rPr>
                <w:rFonts w:hint="default" w:cs="Times New Roman"/>
                <w:b w:val="0"/>
                <w:bCs/>
                <w:color w:val="auto"/>
                <w:szCs w:val="21"/>
                <w:lang w:val="en-US" w:eastAsia="zh-CN"/>
              </w:rPr>
              <w:fldChar w:fldCharType="end"/>
            </w:r>
            <w:r>
              <w:rPr>
                <w:rFonts w:hint="default" w:cs="Times New Roman"/>
                <w:b w:val="0"/>
                <w:bCs/>
                <w:color w:val="auto"/>
                <w:szCs w:val="21"/>
                <w:lang w:val="en-US" w:eastAsia="zh-CN"/>
              </w:rPr>
              <w:t>以及多种天然树胶均有较好的</w:t>
            </w:r>
            <w:r>
              <w:rPr>
                <w:rFonts w:hint="default" w:cs="Times New Roman"/>
                <w:b w:val="0"/>
                <w:bCs/>
                <w:color w:val="auto"/>
                <w:szCs w:val="21"/>
                <w:lang w:val="en-US" w:eastAsia="zh-CN"/>
              </w:rPr>
              <w:fldChar w:fldCharType="begin"/>
            </w:r>
            <w:r>
              <w:rPr>
                <w:rFonts w:hint="default" w:cs="Times New Roman"/>
                <w:b w:val="0"/>
                <w:bCs/>
                <w:color w:val="auto"/>
                <w:szCs w:val="21"/>
                <w:lang w:val="en-US" w:eastAsia="zh-CN"/>
              </w:rPr>
              <w:instrText xml:space="preserve"> HYPERLINK "https://baike.baidu.com/item/%E6%BA%B6%E8%A7%A3%E6%80%A7" \t "https://baike.baidu.com/item/%E4%B9%99%E9%85%B8%E4%B8%81%E9%85%AF/_blank" </w:instrText>
            </w:r>
            <w:r>
              <w:rPr>
                <w:rFonts w:hint="default" w:cs="Times New Roman"/>
                <w:b w:val="0"/>
                <w:bCs/>
                <w:color w:val="auto"/>
                <w:szCs w:val="21"/>
                <w:lang w:val="en-US" w:eastAsia="zh-CN"/>
              </w:rPr>
              <w:fldChar w:fldCharType="separate"/>
            </w:r>
            <w:r>
              <w:rPr>
                <w:rFonts w:hint="default" w:cs="Times New Roman"/>
                <w:b w:val="0"/>
                <w:bCs/>
                <w:color w:val="auto"/>
                <w:szCs w:val="21"/>
                <w:lang w:val="en-US" w:eastAsia="zh-CN"/>
              </w:rPr>
              <w:t>溶解性</w:t>
            </w:r>
            <w:r>
              <w:rPr>
                <w:rFonts w:hint="default" w:cs="Times New Roman"/>
                <w:b w:val="0"/>
                <w:bCs/>
                <w:color w:val="auto"/>
                <w:szCs w:val="21"/>
                <w:lang w:val="en-US" w:eastAsia="zh-CN"/>
              </w:rPr>
              <w:fldChar w:fldCharType="end"/>
            </w:r>
            <w:r>
              <w:rPr>
                <w:rFonts w:hint="default" w:cs="Times New Roman"/>
                <w:b w:val="0"/>
                <w:bCs/>
                <w:color w:val="auto"/>
                <w:szCs w:val="21"/>
                <w:lang w:val="en-US" w:eastAsia="zh-CN"/>
              </w:rPr>
              <w:t>能；沸点 126.5℃；凝固点 -77.9℃；相对密度 0.8825；闪点 22℃；沸点126.5 ℃；燃点421℃；溶解度参数δ=8.5；比重0.872-0.885</w:t>
            </w:r>
            <w:r>
              <w:rPr>
                <w:rFonts w:hint="eastAsia" w:cs="Times New Roman"/>
                <w:b w:val="0"/>
                <w:bCs/>
                <w:color w:val="auto"/>
                <w:szCs w:val="21"/>
                <w:lang w:val="en-US" w:eastAsia="zh-CN"/>
              </w:rPr>
              <w:t>。</w:t>
            </w:r>
          </w:p>
        </w:tc>
        <w:tc>
          <w:tcPr>
            <w:tcW w:w="2707" w:type="dxa"/>
            <w:noWrap w:val="0"/>
            <w:vAlign w:val="center"/>
          </w:tcPr>
          <w:p>
            <w:pPr>
              <w:spacing w:line="300" w:lineRule="exact"/>
              <w:contextualSpacing/>
              <w:jc w:val="center"/>
              <w:rPr>
                <w:rFonts w:hint="default" w:cs="Times New Roman"/>
                <w:b w:val="0"/>
                <w:bCs/>
                <w:color w:val="auto"/>
                <w:szCs w:val="21"/>
                <w:lang w:val="en-US" w:eastAsia="zh-CN"/>
              </w:rPr>
            </w:pPr>
            <w:r>
              <w:rPr>
                <w:rFonts w:hint="default" w:cs="Times New Roman"/>
                <w:b w:val="0"/>
                <w:bCs/>
                <w:color w:val="auto"/>
                <w:szCs w:val="21"/>
                <w:lang w:val="en-US" w:eastAsia="zh-CN"/>
              </w:rPr>
              <w:t>易燃</w:t>
            </w:r>
            <w:r>
              <w:rPr>
                <w:rFonts w:hint="eastAsia" w:cs="Times New Roman"/>
                <w:b w:val="0"/>
                <w:bCs/>
                <w:color w:val="auto"/>
                <w:szCs w:val="21"/>
                <w:lang w:val="en-US" w:eastAsia="zh-CN"/>
              </w:rPr>
              <w:t>，</w:t>
            </w:r>
            <w:r>
              <w:rPr>
                <w:rFonts w:hint="default" w:cs="Times New Roman"/>
                <w:b w:val="0"/>
                <w:bCs/>
                <w:color w:val="auto"/>
                <w:szCs w:val="21"/>
                <w:lang w:val="en-US" w:eastAsia="zh-CN"/>
              </w:rPr>
              <w:t>闪点（℃）：22</w:t>
            </w:r>
            <w:r>
              <w:rPr>
                <w:rFonts w:hint="eastAsia" w:cs="Times New Roman"/>
                <w:b w:val="0"/>
                <w:bCs/>
                <w:color w:val="auto"/>
                <w:szCs w:val="21"/>
                <w:lang w:val="en-US" w:eastAsia="zh-CN"/>
              </w:rPr>
              <w:t>；</w:t>
            </w:r>
            <w:r>
              <w:rPr>
                <w:rFonts w:hint="default" w:cs="Times New Roman"/>
                <w:b w:val="0"/>
                <w:bCs/>
                <w:color w:val="auto"/>
                <w:szCs w:val="21"/>
                <w:lang w:val="en-US" w:eastAsia="zh-CN"/>
              </w:rPr>
              <w:t>爆炸下限（%）：1.2爆炸上限（%）：7.5</w:t>
            </w:r>
          </w:p>
        </w:tc>
        <w:tc>
          <w:tcPr>
            <w:tcW w:w="2263" w:type="dxa"/>
            <w:noWrap w:val="0"/>
            <w:vAlign w:val="center"/>
          </w:tcPr>
          <w:p>
            <w:pPr>
              <w:spacing w:line="300" w:lineRule="exact"/>
              <w:contextualSpacing/>
              <w:jc w:val="center"/>
              <w:rPr>
                <w:rFonts w:hint="eastAsia" w:cs="Times New Roman"/>
                <w:b w:val="0"/>
                <w:bCs/>
                <w:color w:val="auto"/>
                <w:szCs w:val="21"/>
                <w:lang w:val="en-US" w:eastAsia="zh-CN"/>
              </w:rPr>
            </w:pPr>
            <w:r>
              <w:rPr>
                <w:rFonts w:hint="eastAsia" w:cs="Times New Roman"/>
                <w:b w:val="0"/>
                <w:bCs/>
                <w:color w:val="auto"/>
                <w:szCs w:val="21"/>
                <w:lang w:val="en-US" w:eastAsia="zh-CN"/>
              </w:rPr>
              <w:t>口服-大鼠 LD50:10768 mg/kg；口服-小鼠 LD50: 7076mg/kg</w:t>
            </w:r>
          </w:p>
        </w:tc>
      </w:tr>
    </w:tbl>
    <w:p>
      <w:pPr>
        <w:rPr>
          <w:rFonts w:hint="eastAsia"/>
        </w:rPr>
        <w:sectPr>
          <w:pgSz w:w="16849" w:h="11911" w:orient="landscape"/>
          <w:pgMar w:top="1587" w:right="1440" w:bottom="1587" w:left="1440" w:header="680" w:footer="652" w:gutter="0"/>
          <w:pgBorders>
            <w:top w:val="none" w:sz="0" w:space="0"/>
            <w:left w:val="none" w:sz="0" w:space="0"/>
            <w:bottom w:val="none" w:sz="0" w:space="0"/>
            <w:right w:val="none" w:sz="0" w:space="0"/>
          </w:pgBorders>
          <w:cols w:space="720" w:num="1"/>
          <w:docGrid w:linePitch="322" w:charSpace="0"/>
        </w:sectPr>
      </w:pPr>
    </w:p>
    <w:p>
      <w:pPr>
        <w:pStyle w:val="5"/>
        <w:spacing w:before="0" w:after="0" w:line="520" w:lineRule="exact"/>
        <w:rPr>
          <w:color w:val="auto"/>
          <w:sz w:val="24"/>
          <w:szCs w:val="24"/>
        </w:rPr>
      </w:pPr>
      <w:r>
        <w:rPr>
          <w:rFonts w:hint="eastAsia"/>
          <w:color w:val="auto"/>
          <w:sz w:val="24"/>
          <w:szCs w:val="24"/>
        </w:rPr>
        <w:t>4</w:t>
      </w:r>
      <w:r>
        <w:rPr>
          <w:color w:val="auto"/>
          <w:sz w:val="24"/>
          <w:szCs w:val="24"/>
        </w:rPr>
        <w:t>.2.4</w:t>
      </w:r>
      <w:r>
        <w:rPr>
          <w:color w:val="auto"/>
          <w:sz w:val="24"/>
        </w:rPr>
        <w:t>主要生产设备</w:t>
      </w:r>
    </w:p>
    <w:p>
      <w:pPr>
        <w:spacing w:line="500" w:lineRule="exact"/>
        <w:ind w:firstLine="472" w:firstLineChars="196"/>
        <w:rPr>
          <w:b/>
          <w:color w:val="auto"/>
          <w:sz w:val="24"/>
        </w:rPr>
      </w:pPr>
      <w:r>
        <w:rPr>
          <w:b/>
          <w:color w:val="auto"/>
          <w:sz w:val="24"/>
        </w:rPr>
        <w:t>（1）主要设备一览表</w:t>
      </w:r>
    </w:p>
    <w:p>
      <w:pPr>
        <w:spacing w:line="440" w:lineRule="exact"/>
        <w:jc w:val="center"/>
        <w:rPr>
          <w:b/>
          <w:color w:val="auto"/>
          <w:sz w:val="24"/>
        </w:rPr>
      </w:pPr>
      <w:r>
        <w:rPr>
          <w:b/>
          <w:color w:val="auto"/>
          <w:sz w:val="24"/>
        </w:rPr>
        <w:t>表</w:t>
      </w:r>
      <w:r>
        <w:rPr>
          <w:rFonts w:hint="eastAsia"/>
          <w:b/>
          <w:color w:val="auto"/>
          <w:sz w:val="24"/>
        </w:rPr>
        <w:t>4</w:t>
      </w:r>
      <w:r>
        <w:rPr>
          <w:b/>
          <w:color w:val="auto"/>
          <w:sz w:val="24"/>
        </w:rPr>
        <w:t>-5  主要生产设备一览表</w:t>
      </w:r>
    </w:p>
    <w:tbl>
      <w:tblPr>
        <w:tblStyle w:val="53"/>
        <w:tblW w:w="4997"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1727"/>
        <w:gridCol w:w="1727"/>
        <w:gridCol w:w="2036"/>
        <w:gridCol w:w="1728"/>
        <w:gridCol w:w="1730"/>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965" w:type="pct"/>
            <w:noWrap/>
            <w:vAlign w:val="center"/>
          </w:tcPr>
          <w:p>
            <w:pPr>
              <w:spacing w:line="320" w:lineRule="exact"/>
              <w:jc w:val="center"/>
              <w:rPr>
                <w:color w:val="auto"/>
                <w:szCs w:val="21"/>
              </w:rPr>
            </w:pPr>
            <w:r>
              <w:rPr>
                <w:color w:val="auto"/>
                <w:szCs w:val="21"/>
              </w:rPr>
              <w:t>序号</w:t>
            </w:r>
          </w:p>
        </w:tc>
        <w:tc>
          <w:tcPr>
            <w:tcW w:w="965" w:type="pct"/>
            <w:noWrap/>
            <w:vAlign w:val="center"/>
          </w:tcPr>
          <w:p>
            <w:pPr>
              <w:spacing w:line="320" w:lineRule="exact"/>
              <w:jc w:val="center"/>
              <w:rPr>
                <w:color w:val="auto"/>
                <w:szCs w:val="21"/>
              </w:rPr>
            </w:pPr>
            <w:r>
              <w:rPr>
                <w:color w:val="auto"/>
                <w:szCs w:val="21"/>
              </w:rPr>
              <w:t>设  备 名 称</w:t>
            </w:r>
          </w:p>
        </w:tc>
        <w:tc>
          <w:tcPr>
            <w:tcW w:w="1137" w:type="pct"/>
            <w:tcBorders>
              <w:right w:val="single" w:color="auto" w:sz="4" w:space="0"/>
            </w:tcBorders>
            <w:noWrap/>
            <w:vAlign w:val="center"/>
          </w:tcPr>
          <w:p>
            <w:pPr>
              <w:spacing w:line="320" w:lineRule="exact"/>
              <w:jc w:val="center"/>
              <w:rPr>
                <w:color w:val="auto"/>
                <w:szCs w:val="21"/>
              </w:rPr>
            </w:pPr>
            <w:r>
              <w:rPr>
                <w:color w:val="auto"/>
                <w:szCs w:val="21"/>
              </w:rPr>
              <w:t>规 格/型 号</w:t>
            </w:r>
          </w:p>
        </w:tc>
        <w:tc>
          <w:tcPr>
            <w:tcW w:w="965" w:type="pct"/>
            <w:tcBorders>
              <w:left w:val="single" w:color="auto" w:sz="4" w:space="0"/>
              <w:right w:val="single" w:color="auto" w:sz="4" w:space="0"/>
            </w:tcBorders>
            <w:vAlign w:val="center"/>
          </w:tcPr>
          <w:p>
            <w:pPr>
              <w:spacing w:line="320" w:lineRule="exact"/>
              <w:jc w:val="center"/>
              <w:rPr>
                <w:color w:val="auto"/>
                <w:szCs w:val="21"/>
              </w:rPr>
            </w:pPr>
            <w:r>
              <w:rPr>
                <w:color w:val="auto"/>
                <w:szCs w:val="21"/>
              </w:rPr>
              <w:t>数量</w:t>
            </w:r>
          </w:p>
        </w:tc>
        <w:tc>
          <w:tcPr>
            <w:tcW w:w="966" w:type="pct"/>
            <w:tcBorders>
              <w:left w:val="single" w:color="auto" w:sz="4" w:space="0"/>
            </w:tcBorders>
            <w:vAlign w:val="center"/>
          </w:tcPr>
          <w:p>
            <w:pPr>
              <w:spacing w:line="320" w:lineRule="exact"/>
              <w:jc w:val="center"/>
              <w:rPr>
                <w:color w:val="auto"/>
                <w:szCs w:val="21"/>
              </w:rPr>
            </w:pPr>
            <w:r>
              <w:rPr>
                <w:color w:val="auto"/>
                <w:szCs w:val="21"/>
              </w:rPr>
              <w:t>单位</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65" w:type="pct"/>
            <w:noWrap/>
            <w:vAlign w:val="center"/>
          </w:tcPr>
          <w:p>
            <w:pPr>
              <w:spacing w:line="320" w:lineRule="exact"/>
              <w:jc w:val="center"/>
              <w:rPr>
                <w:color w:val="auto"/>
                <w:szCs w:val="21"/>
              </w:rPr>
            </w:pPr>
            <w:r>
              <w:rPr>
                <w:color w:val="auto"/>
                <w:szCs w:val="21"/>
              </w:rPr>
              <w:t>1</w:t>
            </w:r>
          </w:p>
        </w:tc>
        <w:tc>
          <w:tcPr>
            <w:tcW w:w="965" w:type="pct"/>
            <w:noWrap/>
            <w:vAlign w:val="center"/>
          </w:tcPr>
          <w:p>
            <w:pPr>
              <w:spacing w:line="320" w:lineRule="exact"/>
              <w:jc w:val="center"/>
              <w:rPr>
                <w:rFonts w:hint="eastAsia"/>
                <w:color w:val="auto"/>
                <w:szCs w:val="21"/>
                <w:lang w:val="en-US" w:eastAsia="zh-CN"/>
              </w:rPr>
            </w:pPr>
            <w:r>
              <w:rPr>
                <w:rFonts w:hint="eastAsia"/>
                <w:color w:val="auto"/>
                <w:szCs w:val="21"/>
              </w:rPr>
              <w:t>自动脱脂机</w:t>
            </w:r>
          </w:p>
        </w:tc>
        <w:tc>
          <w:tcPr>
            <w:tcW w:w="1137" w:type="pct"/>
            <w:tcBorders>
              <w:right w:val="single" w:color="auto" w:sz="4" w:space="0"/>
            </w:tcBorders>
            <w:noWrap/>
            <w:vAlign w:val="center"/>
          </w:tcPr>
          <w:p>
            <w:pPr>
              <w:spacing w:line="320" w:lineRule="exact"/>
              <w:jc w:val="center"/>
              <w:rPr>
                <w:rFonts w:hint="eastAsia"/>
                <w:color w:val="auto"/>
                <w:szCs w:val="21"/>
                <w:lang w:val="en-US" w:eastAsia="zh-CN"/>
              </w:rPr>
            </w:pPr>
            <w:r>
              <w:rPr>
                <w:rFonts w:hint="eastAsia"/>
                <w:color w:val="auto"/>
                <w:szCs w:val="21"/>
              </w:rPr>
              <w:t>65#</w:t>
            </w:r>
          </w:p>
        </w:tc>
        <w:tc>
          <w:tcPr>
            <w:tcW w:w="965" w:type="pct"/>
            <w:tcBorders>
              <w:left w:val="single" w:color="auto" w:sz="4" w:space="0"/>
              <w:right w:val="single" w:color="auto" w:sz="4" w:space="0"/>
            </w:tcBorders>
            <w:vAlign w:val="center"/>
          </w:tcPr>
          <w:p>
            <w:pPr>
              <w:spacing w:line="320" w:lineRule="exact"/>
              <w:jc w:val="center"/>
              <w:rPr>
                <w:rFonts w:hint="eastAsia"/>
                <w:color w:val="auto"/>
                <w:szCs w:val="21"/>
                <w:lang w:val="en-US" w:eastAsia="zh-CN"/>
              </w:rPr>
            </w:pPr>
            <w:r>
              <w:rPr>
                <w:rFonts w:hint="eastAsia"/>
                <w:color w:val="auto"/>
                <w:szCs w:val="21"/>
              </w:rPr>
              <w:t>1</w:t>
            </w:r>
          </w:p>
        </w:tc>
        <w:tc>
          <w:tcPr>
            <w:tcW w:w="966" w:type="pct"/>
            <w:tcBorders>
              <w:left w:val="single" w:color="auto" w:sz="4" w:space="0"/>
            </w:tcBorders>
          </w:tcPr>
          <w:p>
            <w:pPr>
              <w:spacing w:line="320" w:lineRule="exact"/>
              <w:jc w:val="center"/>
              <w:rPr>
                <w:color w:val="auto"/>
                <w:szCs w:val="21"/>
              </w:rPr>
            </w:pPr>
            <w:r>
              <w:rPr>
                <w:color w:val="auto"/>
                <w:szCs w:val="21"/>
              </w:rPr>
              <w:t>台</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80" w:hRule="atLeast"/>
          <w:jc w:val="center"/>
        </w:trPr>
        <w:tc>
          <w:tcPr>
            <w:tcW w:w="965" w:type="pct"/>
            <w:noWrap/>
            <w:vAlign w:val="center"/>
          </w:tcPr>
          <w:p>
            <w:pPr>
              <w:spacing w:line="320" w:lineRule="exact"/>
              <w:jc w:val="center"/>
              <w:rPr>
                <w:color w:val="auto"/>
                <w:szCs w:val="21"/>
              </w:rPr>
            </w:pPr>
            <w:r>
              <w:rPr>
                <w:color w:val="auto"/>
                <w:szCs w:val="21"/>
              </w:rPr>
              <w:t>2</w:t>
            </w:r>
          </w:p>
        </w:tc>
        <w:tc>
          <w:tcPr>
            <w:tcW w:w="965" w:type="pct"/>
            <w:noWrap/>
            <w:vAlign w:val="center"/>
          </w:tcPr>
          <w:p>
            <w:pPr>
              <w:spacing w:line="320" w:lineRule="exact"/>
              <w:jc w:val="center"/>
              <w:rPr>
                <w:rFonts w:hint="eastAsia"/>
                <w:color w:val="auto"/>
                <w:szCs w:val="21"/>
                <w:lang w:val="en-US" w:eastAsia="zh-CN"/>
              </w:rPr>
            </w:pPr>
            <w:r>
              <w:rPr>
                <w:rFonts w:hint="eastAsia"/>
                <w:color w:val="auto"/>
                <w:szCs w:val="21"/>
              </w:rPr>
              <w:t>搅拌机</w:t>
            </w:r>
          </w:p>
        </w:tc>
        <w:tc>
          <w:tcPr>
            <w:tcW w:w="1137" w:type="pct"/>
            <w:tcBorders>
              <w:right w:val="single" w:color="auto" w:sz="4" w:space="0"/>
            </w:tcBorders>
            <w:noWrap/>
            <w:vAlign w:val="center"/>
          </w:tcPr>
          <w:p>
            <w:pPr>
              <w:spacing w:line="320" w:lineRule="exact"/>
              <w:jc w:val="center"/>
              <w:rPr>
                <w:rFonts w:hint="eastAsia"/>
                <w:color w:val="auto"/>
                <w:szCs w:val="21"/>
                <w:lang w:val="en-US" w:eastAsia="zh-CN"/>
              </w:rPr>
            </w:pPr>
            <w:r>
              <w:rPr>
                <w:rFonts w:hint="eastAsia"/>
                <w:color w:val="auto"/>
                <w:szCs w:val="21"/>
              </w:rPr>
              <w:t>100L</w:t>
            </w:r>
          </w:p>
        </w:tc>
        <w:tc>
          <w:tcPr>
            <w:tcW w:w="965" w:type="pct"/>
            <w:tcBorders>
              <w:left w:val="single" w:color="auto" w:sz="4" w:space="0"/>
              <w:right w:val="single" w:color="auto" w:sz="4" w:space="0"/>
            </w:tcBorders>
            <w:vAlign w:val="center"/>
          </w:tcPr>
          <w:p>
            <w:pPr>
              <w:spacing w:line="320" w:lineRule="exact"/>
              <w:jc w:val="center"/>
              <w:rPr>
                <w:rFonts w:hint="eastAsia"/>
                <w:color w:val="auto"/>
                <w:szCs w:val="21"/>
                <w:lang w:val="en-US" w:eastAsia="zh-CN"/>
              </w:rPr>
            </w:pPr>
            <w:r>
              <w:rPr>
                <w:rFonts w:hint="eastAsia"/>
                <w:color w:val="auto"/>
                <w:szCs w:val="21"/>
              </w:rPr>
              <w:t>20</w:t>
            </w:r>
          </w:p>
        </w:tc>
        <w:tc>
          <w:tcPr>
            <w:tcW w:w="966" w:type="pct"/>
            <w:tcBorders>
              <w:left w:val="single" w:color="auto" w:sz="4" w:space="0"/>
            </w:tcBorders>
          </w:tcPr>
          <w:p>
            <w:pPr>
              <w:spacing w:line="320" w:lineRule="exact"/>
              <w:jc w:val="center"/>
              <w:rPr>
                <w:color w:val="auto"/>
                <w:szCs w:val="21"/>
              </w:rPr>
            </w:pPr>
            <w:r>
              <w:rPr>
                <w:color w:val="auto"/>
                <w:szCs w:val="21"/>
              </w:rPr>
              <w:t>台</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80" w:hRule="atLeast"/>
          <w:jc w:val="center"/>
        </w:trPr>
        <w:tc>
          <w:tcPr>
            <w:tcW w:w="965" w:type="pct"/>
            <w:noWrap/>
            <w:vAlign w:val="center"/>
          </w:tcPr>
          <w:p>
            <w:pPr>
              <w:spacing w:line="320" w:lineRule="exact"/>
              <w:jc w:val="center"/>
              <w:rPr>
                <w:color w:val="auto"/>
                <w:szCs w:val="21"/>
              </w:rPr>
            </w:pPr>
            <w:r>
              <w:rPr>
                <w:color w:val="auto"/>
                <w:szCs w:val="21"/>
              </w:rPr>
              <w:t>3</w:t>
            </w:r>
          </w:p>
        </w:tc>
        <w:tc>
          <w:tcPr>
            <w:tcW w:w="965" w:type="pct"/>
            <w:noWrap/>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lang w:eastAsia="zh-CN"/>
              </w:rPr>
              <w:t>开炼机</w:t>
            </w:r>
          </w:p>
        </w:tc>
        <w:tc>
          <w:tcPr>
            <w:tcW w:w="1137" w:type="pct"/>
            <w:tcBorders>
              <w:right w:val="single" w:color="auto" w:sz="4" w:space="0"/>
            </w:tcBorders>
            <w:noWrap/>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rPr>
              <w:t>12#</w:t>
            </w:r>
          </w:p>
        </w:tc>
        <w:tc>
          <w:tcPr>
            <w:tcW w:w="965" w:type="pct"/>
            <w:tcBorders>
              <w:left w:val="single" w:color="auto" w:sz="4" w:space="0"/>
              <w:right w:val="single" w:color="auto" w:sz="4" w:space="0"/>
            </w:tcBorders>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rPr>
              <w:t>1</w:t>
            </w:r>
          </w:p>
        </w:tc>
        <w:tc>
          <w:tcPr>
            <w:tcW w:w="966" w:type="pct"/>
            <w:tcBorders>
              <w:left w:val="single" w:color="auto" w:sz="4" w:space="0"/>
            </w:tcBorders>
            <w:vAlign w:val="top"/>
          </w:tcPr>
          <w:p>
            <w:pPr>
              <w:spacing w:line="320" w:lineRule="exact"/>
              <w:jc w:val="center"/>
              <w:rPr>
                <w:rFonts w:ascii="Times New Roman" w:hAnsi="Times New Roman" w:eastAsia="宋体" w:cs="Times New Roman"/>
                <w:color w:val="auto"/>
                <w:kern w:val="2"/>
                <w:sz w:val="21"/>
                <w:szCs w:val="21"/>
                <w:lang w:val="en-US" w:eastAsia="zh-CN" w:bidi="ar-SA"/>
              </w:rPr>
            </w:pPr>
            <w:r>
              <w:rPr>
                <w:color w:val="auto"/>
                <w:szCs w:val="21"/>
              </w:rPr>
              <w:t>台</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80" w:hRule="atLeast"/>
          <w:jc w:val="center"/>
        </w:trPr>
        <w:tc>
          <w:tcPr>
            <w:tcW w:w="965" w:type="pct"/>
            <w:noWrap/>
            <w:vAlign w:val="center"/>
          </w:tcPr>
          <w:p>
            <w:pPr>
              <w:spacing w:line="320" w:lineRule="exact"/>
              <w:jc w:val="center"/>
              <w:rPr>
                <w:color w:val="auto"/>
                <w:szCs w:val="21"/>
              </w:rPr>
            </w:pPr>
            <w:r>
              <w:rPr>
                <w:color w:val="auto"/>
                <w:szCs w:val="21"/>
              </w:rPr>
              <w:t>4</w:t>
            </w:r>
          </w:p>
        </w:tc>
        <w:tc>
          <w:tcPr>
            <w:tcW w:w="965" w:type="pct"/>
            <w:noWrap/>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rPr>
              <w:t>晾干线</w:t>
            </w:r>
          </w:p>
        </w:tc>
        <w:tc>
          <w:tcPr>
            <w:tcW w:w="1137" w:type="pct"/>
            <w:tcBorders>
              <w:right w:val="single" w:color="auto" w:sz="4" w:space="0"/>
            </w:tcBorders>
            <w:noWrap/>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rPr>
              <w:t>100#</w:t>
            </w:r>
          </w:p>
        </w:tc>
        <w:tc>
          <w:tcPr>
            <w:tcW w:w="965" w:type="pct"/>
            <w:tcBorders>
              <w:left w:val="single" w:color="auto" w:sz="4" w:space="0"/>
              <w:right w:val="single" w:color="auto" w:sz="4" w:space="0"/>
            </w:tcBorders>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rPr>
              <w:t>1</w:t>
            </w:r>
          </w:p>
        </w:tc>
        <w:tc>
          <w:tcPr>
            <w:tcW w:w="966" w:type="pct"/>
            <w:tcBorders>
              <w:left w:val="single" w:color="auto" w:sz="4" w:space="0"/>
            </w:tcBorders>
            <w:vAlign w:val="top"/>
          </w:tcPr>
          <w:p>
            <w:pPr>
              <w:spacing w:line="320" w:lineRule="exact"/>
              <w:jc w:val="center"/>
              <w:rPr>
                <w:rFonts w:ascii="Times New Roman" w:hAnsi="Times New Roman" w:eastAsia="宋体" w:cs="Times New Roman"/>
                <w:color w:val="auto"/>
                <w:kern w:val="2"/>
                <w:sz w:val="21"/>
                <w:szCs w:val="21"/>
                <w:lang w:val="en-US" w:eastAsia="zh-CN" w:bidi="ar-SA"/>
              </w:rPr>
            </w:pPr>
            <w:r>
              <w:rPr>
                <w:color w:val="auto"/>
                <w:szCs w:val="21"/>
              </w:rPr>
              <w:t>台</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80" w:hRule="atLeast"/>
          <w:jc w:val="center"/>
        </w:trPr>
        <w:tc>
          <w:tcPr>
            <w:tcW w:w="965" w:type="pct"/>
            <w:noWrap/>
            <w:vAlign w:val="center"/>
          </w:tcPr>
          <w:p>
            <w:pPr>
              <w:spacing w:line="320" w:lineRule="exact"/>
              <w:jc w:val="center"/>
              <w:rPr>
                <w:color w:val="auto"/>
                <w:szCs w:val="21"/>
              </w:rPr>
            </w:pPr>
            <w:r>
              <w:rPr>
                <w:color w:val="auto"/>
                <w:szCs w:val="21"/>
              </w:rPr>
              <w:t>5</w:t>
            </w:r>
          </w:p>
        </w:tc>
        <w:tc>
          <w:tcPr>
            <w:tcW w:w="965" w:type="pct"/>
            <w:noWrap/>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rPr>
              <w:t>烘干隧道线</w:t>
            </w:r>
          </w:p>
        </w:tc>
        <w:tc>
          <w:tcPr>
            <w:tcW w:w="1137" w:type="pct"/>
            <w:tcBorders>
              <w:right w:val="single" w:color="auto" w:sz="4" w:space="0"/>
            </w:tcBorders>
            <w:noWrap/>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rPr>
              <w:t>1000#</w:t>
            </w:r>
          </w:p>
        </w:tc>
        <w:tc>
          <w:tcPr>
            <w:tcW w:w="965" w:type="pct"/>
            <w:tcBorders>
              <w:left w:val="single" w:color="auto" w:sz="4" w:space="0"/>
              <w:right w:val="single" w:color="auto" w:sz="4" w:space="0"/>
            </w:tcBorders>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rPr>
              <w:t>2</w:t>
            </w:r>
          </w:p>
        </w:tc>
        <w:tc>
          <w:tcPr>
            <w:tcW w:w="966" w:type="pct"/>
            <w:tcBorders>
              <w:left w:val="single" w:color="auto" w:sz="4" w:space="0"/>
            </w:tcBorders>
            <w:vAlign w:val="top"/>
          </w:tcPr>
          <w:p>
            <w:pPr>
              <w:spacing w:line="320" w:lineRule="exact"/>
              <w:jc w:val="center"/>
              <w:rPr>
                <w:rFonts w:ascii="Times New Roman" w:hAnsi="Times New Roman" w:eastAsia="宋体" w:cs="Times New Roman"/>
                <w:color w:val="auto"/>
                <w:kern w:val="2"/>
                <w:sz w:val="21"/>
                <w:szCs w:val="21"/>
                <w:lang w:val="en-US" w:eastAsia="zh-CN" w:bidi="ar-SA"/>
              </w:rPr>
            </w:pPr>
            <w:r>
              <w:rPr>
                <w:color w:val="auto"/>
                <w:szCs w:val="21"/>
              </w:rPr>
              <w:t>台</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80" w:hRule="atLeast"/>
          <w:jc w:val="center"/>
        </w:trPr>
        <w:tc>
          <w:tcPr>
            <w:tcW w:w="965" w:type="pct"/>
            <w:noWrap/>
            <w:vAlign w:val="center"/>
          </w:tcPr>
          <w:p>
            <w:pPr>
              <w:spacing w:line="320" w:lineRule="exact"/>
              <w:jc w:val="center"/>
              <w:rPr>
                <w:color w:val="auto"/>
                <w:szCs w:val="21"/>
              </w:rPr>
            </w:pPr>
            <w:r>
              <w:rPr>
                <w:color w:val="auto"/>
                <w:szCs w:val="21"/>
              </w:rPr>
              <w:t>6</w:t>
            </w:r>
          </w:p>
        </w:tc>
        <w:tc>
          <w:tcPr>
            <w:tcW w:w="965" w:type="pct"/>
            <w:noWrap/>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rPr>
              <w:t>辊涂机</w:t>
            </w:r>
          </w:p>
        </w:tc>
        <w:tc>
          <w:tcPr>
            <w:tcW w:w="1137" w:type="pct"/>
            <w:tcBorders>
              <w:right w:val="single" w:color="auto" w:sz="4" w:space="0"/>
            </w:tcBorders>
            <w:noWrap/>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rPr>
              <w:t>600#</w:t>
            </w:r>
          </w:p>
        </w:tc>
        <w:tc>
          <w:tcPr>
            <w:tcW w:w="965" w:type="pct"/>
            <w:tcBorders>
              <w:left w:val="single" w:color="auto" w:sz="4" w:space="0"/>
              <w:right w:val="single" w:color="auto" w:sz="4" w:space="0"/>
            </w:tcBorders>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rPr>
              <w:t>5</w:t>
            </w:r>
          </w:p>
        </w:tc>
        <w:tc>
          <w:tcPr>
            <w:tcW w:w="966" w:type="pct"/>
            <w:tcBorders>
              <w:left w:val="single" w:color="auto" w:sz="4" w:space="0"/>
            </w:tcBorders>
            <w:vAlign w:val="top"/>
          </w:tcPr>
          <w:p>
            <w:pPr>
              <w:spacing w:line="320" w:lineRule="exact"/>
              <w:jc w:val="center"/>
              <w:rPr>
                <w:rFonts w:ascii="Times New Roman" w:hAnsi="Times New Roman" w:eastAsia="宋体" w:cs="Times New Roman"/>
                <w:color w:val="auto"/>
                <w:kern w:val="2"/>
                <w:sz w:val="21"/>
                <w:szCs w:val="21"/>
                <w:lang w:val="en-US" w:eastAsia="zh-CN" w:bidi="ar-SA"/>
              </w:rPr>
            </w:pPr>
            <w:r>
              <w:rPr>
                <w:color w:val="auto"/>
                <w:szCs w:val="21"/>
              </w:rPr>
              <w:t>台</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80" w:hRule="atLeast"/>
          <w:jc w:val="center"/>
        </w:trPr>
        <w:tc>
          <w:tcPr>
            <w:tcW w:w="965" w:type="pct"/>
            <w:noWrap/>
            <w:vAlign w:val="center"/>
          </w:tcPr>
          <w:p>
            <w:pPr>
              <w:spacing w:line="320" w:lineRule="exact"/>
              <w:jc w:val="center"/>
              <w:rPr>
                <w:color w:val="auto"/>
                <w:szCs w:val="21"/>
              </w:rPr>
            </w:pPr>
            <w:r>
              <w:rPr>
                <w:color w:val="auto"/>
                <w:szCs w:val="21"/>
              </w:rPr>
              <w:t>7</w:t>
            </w:r>
          </w:p>
        </w:tc>
        <w:tc>
          <w:tcPr>
            <w:tcW w:w="965" w:type="pct"/>
            <w:noWrap/>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rPr>
              <w:t>辊涂机</w:t>
            </w:r>
          </w:p>
        </w:tc>
        <w:tc>
          <w:tcPr>
            <w:tcW w:w="1137" w:type="pct"/>
            <w:tcBorders>
              <w:right w:val="single" w:color="auto" w:sz="4" w:space="0"/>
            </w:tcBorders>
            <w:noWrap/>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rPr>
              <w:t>700#</w:t>
            </w:r>
          </w:p>
        </w:tc>
        <w:tc>
          <w:tcPr>
            <w:tcW w:w="965" w:type="pct"/>
            <w:tcBorders>
              <w:left w:val="single" w:color="auto" w:sz="4" w:space="0"/>
              <w:right w:val="single" w:color="auto" w:sz="4" w:space="0"/>
            </w:tcBorders>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rPr>
              <w:t>3</w:t>
            </w:r>
          </w:p>
        </w:tc>
        <w:tc>
          <w:tcPr>
            <w:tcW w:w="966" w:type="pct"/>
            <w:tcBorders>
              <w:left w:val="single" w:color="auto" w:sz="4" w:space="0"/>
            </w:tcBorders>
            <w:vAlign w:val="top"/>
          </w:tcPr>
          <w:p>
            <w:pPr>
              <w:spacing w:line="320" w:lineRule="exact"/>
              <w:jc w:val="center"/>
              <w:rPr>
                <w:rFonts w:ascii="Times New Roman" w:hAnsi="Times New Roman" w:eastAsia="宋体" w:cs="Times New Roman"/>
                <w:color w:val="auto"/>
                <w:kern w:val="2"/>
                <w:sz w:val="21"/>
                <w:szCs w:val="21"/>
                <w:lang w:val="en-US" w:eastAsia="zh-CN" w:bidi="ar-SA"/>
              </w:rPr>
            </w:pPr>
            <w:r>
              <w:rPr>
                <w:color w:val="auto"/>
                <w:szCs w:val="21"/>
              </w:rPr>
              <w:t>台</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80" w:hRule="atLeast"/>
          <w:jc w:val="center"/>
        </w:trPr>
        <w:tc>
          <w:tcPr>
            <w:tcW w:w="965" w:type="pct"/>
            <w:noWrap/>
            <w:vAlign w:val="center"/>
          </w:tcPr>
          <w:p>
            <w:pPr>
              <w:spacing w:line="320" w:lineRule="exact"/>
              <w:jc w:val="center"/>
              <w:rPr>
                <w:color w:val="auto"/>
                <w:szCs w:val="21"/>
              </w:rPr>
            </w:pPr>
            <w:r>
              <w:rPr>
                <w:color w:val="auto"/>
                <w:szCs w:val="21"/>
              </w:rPr>
              <w:t>8</w:t>
            </w:r>
          </w:p>
        </w:tc>
        <w:tc>
          <w:tcPr>
            <w:tcW w:w="965" w:type="pct"/>
            <w:noWrap/>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rPr>
              <w:t>切条机</w:t>
            </w:r>
          </w:p>
        </w:tc>
        <w:tc>
          <w:tcPr>
            <w:tcW w:w="1137" w:type="pct"/>
            <w:tcBorders>
              <w:right w:val="single" w:color="auto" w:sz="4" w:space="0"/>
            </w:tcBorders>
            <w:noWrap/>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rPr>
              <w:t>550/350</w:t>
            </w:r>
          </w:p>
        </w:tc>
        <w:tc>
          <w:tcPr>
            <w:tcW w:w="965" w:type="pct"/>
            <w:tcBorders>
              <w:left w:val="single" w:color="auto" w:sz="4" w:space="0"/>
              <w:right w:val="single" w:color="auto" w:sz="4" w:space="0"/>
            </w:tcBorders>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rPr>
              <w:t>2</w:t>
            </w:r>
          </w:p>
        </w:tc>
        <w:tc>
          <w:tcPr>
            <w:tcW w:w="966" w:type="pct"/>
            <w:tcBorders>
              <w:left w:val="single" w:color="auto" w:sz="4" w:space="0"/>
            </w:tcBorders>
            <w:vAlign w:val="top"/>
          </w:tcPr>
          <w:p>
            <w:pPr>
              <w:spacing w:line="320" w:lineRule="exact"/>
              <w:jc w:val="center"/>
              <w:rPr>
                <w:rFonts w:ascii="Times New Roman" w:hAnsi="Times New Roman" w:eastAsia="宋体" w:cs="Times New Roman"/>
                <w:color w:val="auto"/>
                <w:kern w:val="2"/>
                <w:sz w:val="21"/>
                <w:szCs w:val="21"/>
                <w:lang w:val="en-US" w:eastAsia="zh-CN" w:bidi="ar-SA"/>
              </w:rPr>
            </w:pPr>
            <w:r>
              <w:rPr>
                <w:color w:val="auto"/>
                <w:szCs w:val="21"/>
              </w:rPr>
              <w:t>台</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80" w:hRule="atLeast"/>
          <w:jc w:val="center"/>
        </w:trPr>
        <w:tc>
          <w:tcPr>
            <w:tcW w:w="965" w:type="pct"/>
            <w:noWrap/>
            <w:vAlign w:val="center"/>
          </w:tcPr>
          <w:p>
            <w:pPr>
              <w:spacing w:line="320" w:lineRule="exact"/>
              <w:jc w:val="center"/>
              <w:rPr>
                <w:color w:val="auto"/>
                <w:szCs w:val="21"/>
              </w:rPr>
            </w:pPr>
            <w:r>
              <w:rPr>
                <w:color w:val="auto"/>
                <w:szCs w:val="21"/>
              </w:rPr>
              <w:t>9</w:t>
            </w:r>
          </w:p>
        </w:tc>
        <w:tc>
          <w:tcPr>
            <w:tcW w:w="965" w:type="pct"/>
            <w:noWrap/>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rPr>
              <w:t>叉车</w:t>
            </w:r>
          </w:p>
        </w:tc>
        <w:tc>
          <w:tcPr>
            <w:tcW w:w="1137" w:type="pct"/>
            <w:tcBorders>
              <w:right w:val="single" w:color="auto" w:sz="4" w:space="0"/>
            </w:tcBorders>
            <w:noWrap/>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rPr>
              <w:t>TCM3T</w:t>
            </w:r>
          </w:p>
        </w:tc>
        <w:tc>
          <w:tcPr>
            <w:tcW w:w="965" w:type="pct"/>
            <w:tcBorders>
              <w:left w:val="single" w:color="auto" w:sz="4" w:space="0"/>
              <w:right w:val="single" w:color="auto" w:sz="4" w:space="0"/>
            </w:tcBorders>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rPr>
              <w:t>1</w:t>
            </w:r>
          </w:p>
        </w:tc>
        <w:tc>
          <w:tcPr>
            <w:tcW w:w="966" w:type="pct"/>
            <w:tcBorders>
              <w:left w:val="single" w:color="auto" w:sz="4" w:space="0"/>
            </w:tcBorders>
            <w:vAlign w:val="top"/>
          </w:tcPr>
          <w:p>
            <w:pPr>
              <w:spacing w:line="320" w:lineRule="exact"/>
              <w:jc w:val="center"/>
              <w:rPr>
                <w:rFonts w:ascii="Times New Roman" w:hAnsi="Times New Roman" w:eastAsia="宋体" w:cs="Times New Roman"/>
                <w:color w:val="auto"/>
                <w:kern w:val="2"/>
                <w:sz w:val="21"/>
                <w:szCs w:val="21"/>
                <w:lang w:val="en-US" w:eastAsia="zh-CN" w:bidi="ar-SA"/>
              </w:rPr>
            </w:pPr>
            <w:r>
              <w:rPr>
                <w:color w:val="auto"/>
                <w:szCs w:val="21"/>
              </w:rPr>
              <w:t>台</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80" w:hRule="atLeast"/>
          <w:jc w:val="center"/>
        </w:trPr>
        <w:tc>
          <w:tcPr>
            <w:tcW w:w="965" w:type="pct"/>
            <w:noWrap/>
            <w:vAlign w:val="center"/>
          </w:tcPr>
          <w:p>
            <w:pPr>
              <w:spacing w:line="320" w:lineRule="exact"/>
              <w:jc w:val="center"/>
              <w:rPr>
                <w:color w:val="auto"/>
                <w:szCs w:val="21"/>
              </w:rPr>
            </w:pPr>
            <w:r>
              <w:rPr>
                <w:color w:val="auto"/>
                <w:szCs w:val="21"/>
              </w:rPr>
              <w:t>10</w:t>
            </w:r>
          </w:p>
        </w:tc>
        <w:tc>
          <w:tcPr>
            <w:tcW w:w="965" w:type="pct"/>
            <w:noWrap/>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rPr>
              <w:t>电动剪板机</w:t>
            </w:r>
          </w:p>
        </w:tc>
        <w:tc>
          <w:tcPr>
            <w:tcW w:w="1137" w:type="pct"/>
            <w:tcBorders>
              <w:right w:val="single" w:color="auto" w:sz="4" w:space="0"/>
            </w:tcBorders>
            <w:noWrap/>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rPr>
              <w:t>1200</w:t>
            </w:r>
          </w:p>
        </w:tc>
        <w:tc>
          <w:tcPr>
            <w:tcW w:w="965" w:type="pct"/>
            <w:tcBorders>
              <w:left w:val="single" w:color="auto" w:sz="4" w:space="0"/>
              <w:right w:val="single" w:color="auto" w:sz="4" w:space="0"/>
            </w:tcBorders>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rPr>
              <w:t>1</w:t>
            </w:r>
          </w:p>
        </w:tc>
        <w:tc>
          <w:tcPr>
            <w:tcW w:w="966" w:type="pct"/>
            <w:tcBorders>
              <w:left w:val="single" w:color="auto" w:sz="4" w:space="0"/>
            </w:tcBorders>
            <w:vAlign w:val="top"/>
          </w:tcPr>
          <w:p>
            <w:pPr>
              <w:spacing w:line="320" w:lineRule="exact"/>
              <w:jc w:val="center"/>
              <w:rPr>
                <w:rFonts w:ascii="Times New Roman" w:hAnsi="Times New Roman" w:eastAsia="宋体" w:cs="Times New Roman"/>
                <w:color w:val="auto"/>
                <w:kern w:val="2"/>
                <w:sz w:val="21"/>
                <w:szCs w:val="21"/>
                <w:lang w:val="en-US" w:eastAsia="zh-CN" w:bidi="ar-SA"/>
              </w:rPr>
            </w:pPr>
            <w:r>
              <w:rPr>
                <w:color w:val="auto"/>
                <w:szCs w:val="21"/>
              </w:rPr>
              <w:t>台</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80" w:hRule="atLeast"/>
          <w:jc w:val="center"/>
        </w:trPr>
        <w:tc>
          <w:tcPr>
            <w:tcW w:w="965" w:type="pct"/>
            <w:noWrap/>
            <w:vAlign w:val="center"/>
          </w:tcPr>
          <w:p>
            <w:pPr>
              <w:spacing w:line="320" w:lineRule="exact"/>
              <w:jc w:val="center"/>
              <w:rPr>
                <w:color w:val="auto"/>
                <w:szCs w:val="21"/>
              </w:rPr>
            </w:pPr>
            <w:r>
              <w:rPr>
                <w:color w:val="auto"/>
                <w:szCs w:val="21"/>
              </w:rPr>
              <w:t>11</w:t>
            </w:r>
          </w:p>
        </w:tc>
        <w:tc>
          <w:tcPr>
            <w:tcW w:w="965" w:type="pct"/>
            <w:noWrap/>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rPr>
              <w:t>恒温烤箱</w:t>
            </w:r>
          </w:p>
        </w:tc>
        <w:tc>
          <w:tcPr>
            <w:tcW w:w="1137" w:type="pct"/>
            <w:tcBorders>
              <w:right w:val="single" w:color="auto" w:sz="4" w:space="0"/>
            </w:tcBorders>
            <w:noWrap/>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w:t>
            </w:r>
          </w:p>
        </w:tc>
        <w:tc>
          <w:tcPr>
            <w:tcW w:w="965" w:type="pct"/>
            <w:tcBorders>
              <w:left w:val="single" w:color="auto" w:sz="4" w:space="0"/>
              <w:right w:val="single" w:color="auto" w:sz="4" w:space="0"/>
            </w:tcBorders>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rPr>
              <w:t>1</w:t>
            </w:r>
          </w:p>
        </w:tc>
        <w:tc>
          <w:tcPr>
            <w:tcW w:w="966" w:type="pct"/>
            <w:tcBorders>
              <w:left w:val="single" w:color="auto" w:sz="4" w:space="0"/>
            </w:tcBorders>
            <w:vAlign w:val="top"/>
          </w:tcPr>
          <w:p>
            <w:pPr>
              <w:spacing w:line="320" w:lineRule="exact"/>
              <w:jc w:val="center"/>
              <w:rPr>
                <w:rFonts w:ascii="Times New Roman" w:hAnsi="Times New Roman" w:eastAsia="宋体" w:cs="Times New Roman"/>
                <w:color w:val="auto"/>
                <w:kern w:val="2"/>
                <w:sz w:val="21"/>
                <w:szCs w:val="21"/>
                <w:lang w:val="en-US" w:eastAsia="zh-CN" w:bidi="ar-SA"/>
              </w:rPr>
            </w:pPr>
            <w:r>
              <w:rPr>
                <w:color w:val="auto"/>
                <w:szCs w:val="21"/>
              </w:rPr>
              <w:t>台</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80" w:hRule="atLeast"/>
          <w:jc w:val="center"/>
        </w:trPr>
        <w:tc>
          <w:tcPr>
            <w:tcW w:w="965" w:type="pct"/>
            <w:noWrap/>
            <w:vAlign w:val="center"/>
          </w:tcPr>
          <w:p>
            <w:pPr>
              <w:spacing w:line="320" w:lineRule="exact"/>
              <w:jc w:val="center"/>
              <w:rPr>
                <w:color w:val="auto"/>
                <w:szCs w:val="21"/>
              </w:rPr>
            </w:pPr>
            <w:r>
              <w:rPr>
                <w:color w:val="auto"/>
                <w:szCs w:val="21"/>
              </w:rPr>
              <w:t>12</w:t>
            </w:r>
          </w:p>
        </w:tc>
        <w:tc>
          <w:tcPr>
            <w:tcW w:w="965" w:type="pct"/>
            <w:noWrap/>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rPr>
              <w:t>实验恒温烤箱</w:t>
            </w:r>
          </w:p>
        </w:tc>
        <w:tc>
          <w:tcPr>
            <w:tcW w:w="1137" w:type="pct"/>
            <w:tcBorders>
              <w:right w:val="single" w:color="auto" w:sz="4" w:space="0"/>
            </w:tcBorders>
            <w:noWrap/>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w:t>
            </w:r>
          </w:p>
        </w:tc>
        <w:tc>
          <w:tcPr>
            <w:tcW w:w="965" w:type="pct"/>
            <w:tcBorders>
              <w:left w:val="single" w:color="auto" w:sz="4" w:space="0"/>
              <w:right w:val="single" w:color="auto" w:sz="4" w:space="0"/>
            </w:tcBorders>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rPr>
              <w:t>1</w:t>
            </w:r>
          </w:p>
        </w:tc>
        <w:tc>
          <w:tcPr>
            <w:tcW w:w="966" w:type="pct"/>
            <w:tcBorders>
              <w:left w:val="single" w:color="auto" w:sz="4" w:space="0"/>
            </w:tcBorders>
            <w:vAlign w:val="top"/>
          </w:tcPr>
          <w:p>
            <w:pPr>
              <w:spacing w:line="320" w:lineRule="exact"/>
              <w:jc w:val="center"/>
              <w:rPr>
                <w:rFonts w:ascii="Times New Roman" w:hAnsi="Times New Roman" w:eastAsia="宋体" w:cs="Times New Roman"/>
                <w:color w:val="auto"/>
                <w:kern w:val="2"/>
                <w:sz w:val="21"/>
                <w:szCs w:val="21"/>
                <w:lang w:val="en-US" w:eastAsia="zh-CN" w:bidi="ar-SA"/>
              </w:rPr>
            </w:pPr>
            <w:r>
              <w:rPr>
                <w:color w:val="auto"/>
                <w:szCs w:val="21"/>
              </w:rPr>
              <w:t>台</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80" w:hRule="atLeast"/>
          <w:jc w:val="center"/>
        </w:trPr>
        <w:tc>
          <w:tcPr>
            <w:tcW w:w="965" w:type="pct"/>
            <w:noWrap/>
            <w:vAlign w:val="center"/>
          </w:tcPr>
          <w:p>
            <w:pPr>
              <w:spacing w:line="320" w:lineRule="exact"/>
              <w:jc w:val="center"/>
              <w:rPr>
                <w:color w:val="auto"/>
                <w:szCs w:val="21"/>
              </w:rPr>
            </w:pPr>
            <w:r>
              <w:rPr>
                <w:color w:val="auto"/>
                <w:szCs w:val="21"/>
              </w:rPr>
              <w:t>13</w:t>
            </w:r>
          </w:p>
        </w:tc>
        <w:tc>
          <w:tcPr>
            <w:tcW w:w="965" w:type="pct"/>
            <w:noWrap/>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rPr>
              <w:t>黏度测试仪</w:t>
            </w:r>
          </w:p>
        </w:tc>
        <w:tc>
          <w:tcPr>
            <w:tcW w:w="1137" w:type="pct"/>
            <w:tcBorders>
              <w:right w:val="single" w:color="auto" w:sz="4" w:space="0"/>
            </w:tcBorders>
            <w:noWrap/>
            <w:vAlign w:val="center"/>
          </w:tcPr>
          <w:p>
            <w:pPr>
              <w:spacing w:line="320" w:lineRule="exact"/>
              <w:jc w:val="center"/>
              <w:rPr>
                <w:rFonts w:hint="default" w:ascii="Times New Roman" w:hAnsi="Times New Roman" w:eastAsia="宋体" w:cs="Times New Roman"/>
                <w:color w:val="auto"/>
                <w:kern w:val="2"/>
                <w:sz w:val="21"/>
                <w:szCs w:val="21"/>
                <w:lang w:val="en-US" w:eastAsia="zh-CN" w:bidi="ar-SA"/>
              </w:rPr>
            </w:pPr>
            <w:r>
              <w:rPr>
                <w:rFonts w:hint="eastAsia"/>
                <w:color w:val="auto"/>
                <w:szCs w:val="21"/>
                <w:lang w:val="en-US" w:eastAsia="zh-CN"/>
              </w:rPr>
              <w:t>/</w:t>
            </w:r>
          </w:p>
        </w:tc>
        <w:tc>
          <w:tcPr>
            <w:tcW w:w="965" w:type="pct"/>
            <w:tcBorders>
              <w:left w:val="single" w:color="auto" w:sz="4" w:space="0"/>
              <w:right w:val="single" w:color="auto" w:sz="4" w:space="0"/>
            </w:tcBorders>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rPr>
              <w:t>1</w:t>
            </w:r>
          </w:p>
        </w:tc>
        <w:tc>
          <w:tcPr>
            <w:tcW w:w="966" w:type="pct"/>
            <w:tcBorders>
              <w:left w:val="single" w:color="auto" w:sz="4" w:space="0"/>
            </w:tcBorders>
            <w:vAlign w:val="top"/>
          </w:tcPr>
          <w:p>
            <w:pPr>
              <w:spacing w:line="320" w:lineRule="exact"/>
              <w:jc w:val="center"/>
              <w:rPr>
                <w:rFonts w:ascii="Times New Roman" w:hAnsi="Times New Roman" w:eastAsia="宋体" w:cs="Times New Roman"/>
                <w:color w:val="auto"/>
                <w:kern w:val="2"/>
                <w:sz w:val="21"/>
                <w:szCs w:val="21"/>
                <w:lang w:val="en-US" w:eastAsia="zh-CN" w:bidi="ar-SA"/>
              </w:rPr>
            </w:pPr>
            <w:r>
              <w:rPr>
                <w:color w:val="auto"/>
                <w:szCs w:val="21"/>
              </w:rPr>
              <w:t>台</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80" w:hRule="atLeast"/>
          <w:jc w:val="center"/>
        </w:trPr>
        <w:tc>
          <w:tcPr>
            <w:tcW w:w="965" w:type="pct"/>
            <w:noWrap/>
            <w:vAlign w:val="center"/>
          </w:tcPr>
          <w:p>
            <w:pPr>
              <w:spacing w:line="320" w:lineRule="exact"/>
              <w:jc w:val="center"/>
              <w:rPr>
                <w:color w:val="auto"/>
                <w:szCs w:val="21"/>
              </w:rPr>
            </w:pPr>
            <w:r>
              <w:rPr>
                <w:color w:val="auto"/>
                <w:szCs w:val="21"/>
              </w:rPr>
              <w:t>14</w:t>
            </w:r>
          </w:p>
        </w:tc>
        <w:tc>
          <w:tcPr>
            <w:tcW w:w="965" w:type="pct"/>
            <w:noWrap/>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rPr>
              <w:t>发泡自动涂覆线</w:t>
            </w:r>
          </w:p>
        </w:tc>
        <w:tc>
          <w:tcPr>
            <w:tcW w:w="1137" w:type="pct"/>
            <w:tcBorders>
              <w:right w:val="single" w:color="auto" w:sz="4" w:space="0"/>
            </w:tcBorders>
            <w:noWrap/>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rPr>
              <w:t>800#</w:t>
            </w:r>
          </w:p>
        </w:tc>
        <w:tc>
          <w:tcPr>
            <w:tcW w:w="965" w:type="pct"/>
            <w:tcBorders>
              <w:left w:val="single" w:color="auto" w:sz="4" w:space="0"/>
              <w:right w:val="single" w:color="auto" w:sz="4" w:space="0"/>
            </w:tcBorders>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rPr>
              <w:t>1</w:t>
            </w:r>
          </w:p>
        </w:tc>
        <w:tc>
          <w:tcPr>
            <w:tcW w:w="966" w:type="pct"/>
            <w:tcBorders>
              <w:left w:val="single" w:color="auto" w:sz="4" w:space="0"/>
            </w:tcBorders>
            <w:vAlign w:val="top"/>
          </w:tcPr>
          <w:p>
            <w:pPr>
              <w:spacing w:line="320" w:lineRule="exact"/>
              <w:jc w:val="center"/>
              <w:rPr>
                <w:rFonts w:ascii="Times New Roman" w:hAnsi="Times New Roman" w:eastAsia="宋体" w:cs="Times New Roman"/>
                <w:color w:val="auto"/>
                <w:kern w:val="2"/>
                <w:sz w:val="21"/>
                <w:szCs w:val="21"/>
                <w:lang w:val="en-US" w:eastAsia="zh-CN" w:bidi="ar-SA"/>
              </w:rPr>
            </w:pPr>
            <w:r>
              <w:rPr>
                <w:rFonts w:hint="eastAsia"/>
                <w:color w:val="auto"/>
                <w:szCs w:val="21"/>
              </w:rPr>
              <w:t>组</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80" w:hRule="atLeast"/>
          <w:jc w:val="center"/>
        </w:trPr>
        <w:tc>
          <w:tcPr>
            <w:tcW w:w="965" w:type="pct"/>
            <w:noWrap/>
            <w:vAlign w:val="center"/>
          </w:tcPr>
          <w:p>
            <w:pPr>
              <w:spacing w:line="320" w:lineRule="exact"/>
              <w:jc w:val="center"/>
              <w:rPr>
                <w:color w:val="auto"/>
                <w:szCs w:val="21"/>
              </w:rPr>
            </w:pPr>
            <w:r>
              <w:rPr>
                <w:color w:val="auto"/>
                <w:szCs w:val="21"/>
              </w:rPr>
              <w:t>15</w:t>
            </w:r>
          </w:p>
        </w:tc>
        <w:tc>
          <w:tcPr>
            <w:tcW w:w="965" w:type="pct"/>
            <w:noWrap/>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rPr>
              <w:t>涂层自动涂覆线</w:t>
            </w:r>
          </w:p>
        </w:tc>
        <w:tc>
          <w:tcPr>
            <w:tcW w:w="1137" w:type="pct"/>
            <w:tcBorders>
              <w:right w:val="single" w:color="auto" w:sz="4" w:space="0"/>
            </w:tcBorders>
            <w:noWrap/>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rPr>
              <w:t>600#</w:t>
            </w:r>
          </w:p>
        </w:tc>
        <w:tc>
          <w:tcPr>
            <w:tcW w:w="965" w:type="pct"/>
            <w:tcBorders>
              <w:left w:val="single" w:color="auto" w:sz="4" w:space="0"/>
              <w:right w:val="single" w:color="auto" w:sz="4" w:space="0"/>
            </w:tcBorders>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rPr>
              <w:t>2</w:t>
            </w:r>
          </w:p>
        </w:tc>
        <w:tc>
          <w:tcPr>
            <w:tcW w:w="966" w:type="pct"/>
            <w:tcBorders>
              <w:left w:val="single" w:color="auto" w:sz="4" w:space="0"/>
            </w:tcBorders>
            <w:vAlign w:val="top"/>
          </w:tcPr>
          <w:p>
            <w:pPr>
              <w:spacing w:line="320" w:lineRule="exact"/>
              <w:jc w:val="center"/>
              <w:rPr>
                <w:rFonts w:ascii="Times New Roman" w:hAnsi="Times New Roman" w:eastAsia="宋体" w:cs="Times New Roman"/>
                <w:color w:val="auto"/>
                <w:kern w:val="2"/>
                <w:sz w:val="21"/>
                <w:szCs w:val="21"/>
                <w:lang w:val="en-US" w:eastAsia="zh-CN" w:bidi="ar-SA"/>
              </w:rPr>
            </w:pPr>
            <w:r>
              <w:rPr>
                <w:rFonts w:hint="eastAsia"/>
                <w:color w:val="auto"/>
                <w:szCs w:val="21"/>
              </w:rPr>
              <w:t>组</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80" w:hRule="atLeast"/>
          <w:jc w:val="center"/>
        </w:trPr>
        <w:tc>
          <w:tcPr>
            <w:tcW w:w="965" w:type="pct"/>
            <w:noWrap/>
            <w:vAlign w:val="center"/>
          </w:tcPr>
          <w:p>
            <w:pPr>
              <w:spacing w:line="320" w:lineRule="exact"/>
              <w:jc w:val="center"/>
              <w:rPr>
                <w:color w:val="auto"/>
                <w:szCs w:val="21"/>
              </w:rPr>
            </w:pPr>
            <w:r>
              <w:rPr>
                <w:color w:val="auto"/>
                <w:szCs w:val="21"/>
              </w:rPr>
              <w:t>16</w:t>
            </w:r>
          </w:p>
        </w:tc>
        <w:tc>
          <w:tcPr>
            <w:tcW w:w="965" w:type="pct"/>
            <w:noWrap/>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rPr>
              <w:t>橡胶密炼机</w:t>
            </w:r>
          </w:p>
        </w:tc>
        <w:tc>
          <w:tcPr>
            <w:tcW w:w="1137" w:type="pct"/>
            <w:tcBorders>
              <w:right w:val="single" w:color="auto" w:sz="4" w:space="0"/>
            </w:tcBorders>
            <w:noWrap/>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rPr>
              <w:t>55#</w:t>
            </w:r>
          </w:p>
        </w:tc>
        <w:tc>
          <w:tcPr>
            <w:tcW w:w="965" w:type="pct"/>
            <w:tcBorders>
              <w:left w:val="single" w:color="auto" w:sz="4" w:space="0"/>
              <w:right w:val="single" w:color="auto" w:sz="4" w:space="0"/>
            </w:tcBorders>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rPr>
              <w:t>2</w:t>
            </w:r>
          </w:p>
        </w:tc>
        <w:tc>
          <w:tcPr>
            <w:tcW w:w="966" w:type="pct"/>
            <w:tcBorders>
              <w:left w:val="single" w:color="auto" w:sz="4" w:space="0"/>
            </w:tcBorders>
            <w:vAlign w:val="top"/>
          </w:tcPr>
          <w:p>
            <w:pPr>
              <w:spacing w:line="320" w:lineRule="exact"/>
              <w:jc w:val="center"/>
              <w:rPr>
                <w:rFonts w:ascii="Times New Roman" w:hAnsi="Times New Roman" w:eastAsia="宋体" w:cs="Times New Roman"/>
                <w:color w:val="auto"/>
                <w:kern w:val="2"/>
                <w:sz w:val="21"/>
                <w:szCs w:val="21"/>
                <w:lang w:val="en-US" w:eastAsia="zh-CN" w:bidi="ar-SA"/>
              </w:rPr>
            </w:pPr>
            <w:r>
              <w:rPr>
                <w:color w:val="auto"/>
                <w:szCs w:val="21"/>
              </w:rPr>
              <w:t>台</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80" w:hRule="atLeast"/>
          <w:jc w:val="center"/>
        </w:trPr>
        <w:tc>
          <w:tcPr>
            <w:tcW w:w="965" w:type="pct"/>
            <w:noWrap/>
            <w:vAlign w:val="center"/>
          </w:tcPr>
          <w:p>
            <w:pPr>
              <w:spacing w:line="320" w:lineRule="exact"/>
              <w:jc w:val="center"/>
              <w:rPr>
                <w:color w:val="auto"/>
                <w:szCs w:val="21"/>
              </w:rPr>
            </w:pPr>
            <w:r>
              <w:rPr>
                <w:color w:val="auto"/>
                <w:szCs w:val="21"/>
              </w:rPr>
              <w:t>17</w:t>
            </w:r>
          </w:p>
        </w:tc>
        <w:tc>
          <w:tcPr>
            <w:tcW w:w="965" w:type="pct"/>
            <w:noWrap/>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rPr>
              <w:t>拉力实验机</w:t>
            </w:r>
          </w:p>
        </w:tc>
        <w:tc>
          <w:tcPr>
            <w:tcW w:w="1137" w:type="pct"/>
            <w:tcBorders>
              <w:right w:val="single" w:color="auto" w:sz="4" w:space="0"/>
            </w:tcBorders>
            <w:noWrap/>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w:t>
            </w:r>
          </w:p>
        </w:tc>
        <w:tc>
          <w:tcPr>
            <w:tcW w:w="965" w:type="pct"/>
            <w:tcBorders>
              <w:left w:val="single" w:color="auto" w:sz="4" w:space="0"/>
              <w:right w:val="single" w:color="auto" w:sz="4" w:space="0"/>
            </w:tcBorders>
            <w:vAlign w:val="top"/>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rPr>
              <w:t>1</w:t>
            </w:r>
          </w:p>
        </w:tc>
        <w:tc>
          <w:tcPr>
            <w:tcW w:w="966" w:type="pct"/>
            <w:tcBorders>
              <w:left w:val="single" w:color="auto" w:sz="4" w:space="0"/>
            </w:tcBorders>
            <w:vAlign w:val="top"/>
          </w:tcPr>
          <w:p>
            <w:pPr>
              <w:spacing w:line="320" w:lineRule="exact"/>
              <w:jc w:val="center"/>
              <w:rPr>
                <w:rFonts w:ascii="Times New Roman" w:hAnsi="Times New Roman" w:eastAsia="宋体" w:cs="Times New Roman"/>
                <w:color w:val="auto"/>
                <w:kern w:val="2"/>
                <w:sz w:val="21"/>
                <w:szCs w:val="21"/>
                <w:lang w:val="en-US" w:eastAsia="zh-CN" w:bidi="ar-SA"/>
              </w:rPr>
            </w:pPr>
            <w:r>
              <w:rPr>
                <w:color w:val="auto"/>
                <w:szCs w:val="21"/>
              </w:rPr>
              <w:t>台</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80" w:hRule="atLeast"/>
          <w:jc w:val="center"/>
        </w:trPr>
        <w:tc>
          <w:tcPr>
            <w:tcW w:w="965" w:type="pct"/>
            <w:noWrap/>
            <w:vAlign w:val="center"/>
          </w:tcPr>
          <w:p>
            <w:pPr>
              <w:spacing w:line="320" w:lineRule="exact"/>
              <w:jc w:val="center"/>
              <w:rPr>
                <w:color w:val="auto"/>
                <w:szCs w:val="21"/>
              </w:rPr>
            </w:pPr>
            <w:r>
              <w:rPr>
                <w:color w:val="auto"/>
                <w:szCs w:val="21"/>
              </w:rPr>
              <w:t>18</w:t>
            </w:r>
          </w:p>
        </w:tc>
        <w:tc>
          <w:tcPr>
            <w:tcW w:w="965" w:type="pct"/>
            <w:noWrap/>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rPr>
              <w:t>投影仪</w:t>
            </w:r>
          </w:p>
        </w:tc>
        <w:tc>
          <w:tcPr>
            <w:tcW w:w="1137" w:type="pct"/>
            <w:tcBorders>
              <w:right w:val="single" w:color="auto" w:sz="4" w:space="0"/>
            </w:tcBorders>
            <w:noWrap/>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w:t>
            </w:r>
          </w:p>
        </w:tc>
        <w:tc>
          <w:tcPr>
            <w:tcW w:w="965" w:type="pct"/>
            <w:tcBorders>
              <w:left w:val="single" w:color="auto" w:sz="4" w:space="0"/>
              <w:right w:val="single" w:color="auto" w:sz="4" w:space="0"/>
            </w:tcBorders>
            <w:vAlign w:val="top"/>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rPr>
              <w:t>1</w:t>
            </w:r>
          </w:p>
        </w:tc>
        <w:tc>
          <w:tcPr>
            <w:tcW w:w="966" w:type="pct"/>
            <w:tcBorders>
              <w:left w:val="single" w:color="auto" w:sz="4" w:space="0"/>
            </w:tcBorders>
            <w:vAlign w:val="top"/>
          </w:tcPr>
          <w:p>
            <w:pPr>
              <w:spacing w:line="320" w:lineRule="exact"/>
              <w:jc w:val="center"/>
              <w:rPr>
                <w:rFonts w:ascii="Times New Roman" w:hAnsi="Times New Roman" w:eastAsia="宋体" w:cs="Times New Roman"/>
                <w:color w:val="auto"/>
                <w:kern w:val="2"/>
                <w:sz w:val="21"/>
                <w:szCs w:val="21"/>
                <w:lang w:val="en-US" w:eastAsia="zh-CN" w:bidi="ar-SA"/>
              </w:rPr>
            </w:pPr>
            <w:r>
              <w:rPr>
                <w:color w:val="auto"/>
                <w:szCs w:val="21"/>
              </w:rPr>
              <w:t>台</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80" w:hRule="atLeast"/>
          <w:jc w:val="center"/>
        </w:trPr>
        <w:tc>
          <w:tcPr>
            <w:tcW w:w="965" w:type="pct"/>
            <w:noWrap/>
            <w:vAlign w:val="bottom"/>
          </w:tcPr>
          <w:p>
            <w:pPr>
              <w:spacing w:line="320" w:lineRule="exact"/>
              <w:jc w:val="center"/>
              <w:rPr>
                <w:color w:val="auto"/>
                <w:szCs w:val="21"/>
              </w:rPr>
            </w:pPr>
            <w:r>
              <w:rPr>
                <w:color w:val="auto"/>
                <w:szCs w:val="21"/>
              </w:rPr>
              <w:t>19</w:t>
            </w:r>
          </w:p>
        </w:tc>
        <w:tc>
          <w:tcPr>
            <w:tcW w:w="965" w:type="pct"/>
            <w:noWrap/>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rPr>
              <w:t>电光分析天平</w:t>
            </w:r>
          </w:p>
        </w:tc>
        <w:tc>
          <w:tcPr>
            <w:tcW w:w="1137" w:type="pct"/>
            <w:tcBorders>
              <w:right w:val="single" w:color="auto" w:sz="4" w:space="0"/>
            </w:tcBorders>
            <w:noWrap/>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w:t>
            </w:r>
          </w:p>
        </w:tc>
        <w:tc>
          <w:tcPr>
            <w:tcW w:w="965" w:type="pct"/>
            <w:tcBorders>
              <w:left w:val="single" w:color="auto" w:sz="4" w:space="0"/>
              <w:right w:val="single" w:color="auto" w:sz="4" w:space="0"/>
            </w:tcBorders>
            <w:vAlign w:val="top"/>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rPr>
              <w:t>1</w:t>
            </w:r>
          </w:p>
        </w:tc>
        <w:tc>
          <w:tcPr>
            <w:tcW w:w="966" w:type="pct"/>
            <w:tcBorders>
              <w:left w:val="single" w:color="auto" w:sz="4" w:space="0"/>
            </w:tcBorders>
            <w:vAlign w:val="top"/>
          </w:tcPr>
          <w:p>
            <w:pPr>
              <w:spacing w:line="320" w:lineRule="exact"/>
              <w:jc w:val="center"/>
              <w:rPr>
                <w:rFonts w:ascii="Times New Roman" w:hAnsi="Times New Roman" w:eastAsia="宋体" w:cs="Times New Roman"/>
                <w:color w:val="auto"/>
                <w:kern w:val="2"/>
                <w:sz w:val="21"/>
                <w:szCs w:val="21"/>
                <w:lang w:val="en-US" w:eastAsia="zh-CN" w:bidi="ar-SA"/>
              </w:rPr>
            </w:pPr>
            <w:r>
              <w:rPr>
                <w:color w:val="auto"/>
                <w:szCs w:val="21"/>
              </w:rPr>
              <w:t>台</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80" w:hRule="atLeast"/>
          <w:jc w:val="center"/>
        </w:trPr>
        <w:tc>
          <w:tcPr>
            <w:tcW w:w="965" w:type="pct"/>
            <w:noWrap/>
            <w:vAlign w:val="bottom"/>
          </w:tcPr>
          <w:p>
            <w:pPr>
              <w:spacing w:line="320" w:lineRule="exact"/>
              <w:jc w:val="center"/>
              <w:rPr>
                <w:color w:val="auto"/>
                <w:szCs w:val="21"/>
              </w:rPr>
            </w:pPr>
            <w:r>
              <w:rPr>
                <w:color w:val="auto"/>
                <w:szCs w:val="21"/>
              </w:rPr>
              <w:t>20</w:t>
            </w:r>
          </w:p>
        </w:tc>
        <w:tc>
          <w:tcPr>
            <w:tcW w:w="965" w:type="pct"/>
            <w:noWrap/>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rPr>
              <w:t>硫化仪</w:t>
            </w:r>
          </w:p>
        </w:tc>
        <w:tc>
          <w:tcPr>
            <w:tcW w:w="1137" w:type="pct"/>
            <w:tcBorders>
              <w:right w:val="single" w:color="auto" w:sz="4" w:space="0"/>
            </w:tcBorders>
            <w:noWrap/>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w:t>
            </w:r>
          </w:p>
        </w:tc>
        <w:tc>
          <w:tcPr>
            <w:tcW w:w="965" w:type="pct"/>
            <w:tcBorders>
              <w:left w:val="single" w:color="auto" w:sz="4" w:space="0"/>
              <w:right w:val="single" w:color="auto" w:sz="4" w:space="0"/>
            </w:tcBorders>
            <w:vAlign w:val="top"/>
          </w:tcPr>
          <w:p>
            <w:pPr>
              <w:spacing w:line="320" w:lineRule="exact"/>
              <w:jc w:val="center"/>
              <w:rPr>
                <w:rFonts w:ascii="Times New Roman" w:hAnsi="Times New Roman" w:eastAsia="宋体" w:cs="Times New Roman"/>
                <w:color w:val="auto"/>
                <w:kern w:val="2"/>
                <w:sz w:val="21"/>
                <w:szCs w:val="21"/>
                <w:lang w:val="en-US" w:eastAsia="zh-CN" w:bidi="ar-SA"/>
              </w:rPr>
            </w:pPr>
            <w:r>
              <w:rPr>
                <w:rFonts w:hint="eastAsia"/>
                <w:color w:val="auto"/>
                <w:szCs w:val="21"/>
              </w:rPr>
              <w:t>1</w:t>
            </w:r>
          </w:p>
        </w:tc>
        <w:tc>
          <w:tcPr>
            <w:tcW w:w="966" w:type="pct"/>
            <w:tcBorders>
              <w:left w:val="single" w:color="auto" w:sz="4" w:space="0"/>
            </w:tcBorders>
            <w:vAlign w:val="top"/>
          </w:tcPr>
          <w:p>
            <w:pPr>
              <w:spacing w:line="320" w:lineRule="exact"/>
              <w:jc w:val="center"/>
              <w:rPr>
                <w:rFonts w:ascii="Times New Roman" w:hAnsi="Times New Roman" w:eastAsia="宋体" w:cs="Times New Roman"/>
                <w:color w:val="auto"/>
                <w:kern w:val="2"/>
                <w:sz w:val="21"/>
                <w:szCs w:val="21"/>
                <w:lang w:val="en-US" w:eastAsia="zh-CN" w:bidi="ar-SA"/>
              </w:rPr>
            </w:pPr>
            <w:r>
              <w:rPr>
                <w:color w:val="auto"/>
                <w:szCs w:val="21"/>
              </w:rPr>
              <w:t>台</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80" w:hRule="atLeast"/>
          <w:jc w:val="center"/>
        </w:trPr>
        <w:tc>
          <w:tcPr>
            <w:tcW w:w="965" w:type="pct"/>
            <w:noWrap/>
            <w:vAlign w:val="bottom"/>
          </w:tcPr>
          <w:p>
            <w:pPr>
              <w:spacing w:line="320" w:lineRule="exact"/>
              <w:jc w:val="center"/>
              <w:rPr>
                <w:color w:val="auto"/>
                <w:szCs w:val="21"/>
              </w:rPr>
            </w:pPr>
            <w:r>
              <w:rPr>
                <w:color w:val="auto"/>
                <w:szCs w:val="21"/>
              </w:rPr>
              <w:t>21</w:t>
            </w:r>
          </w:p>
        </w:tc>
        <w:tc>
          <w:tcPr>
            <w:tcW w:w="965" w:type="pct"/>
            <w:noWrap/>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rPr>
              <w:t>硬度计</w:t>
            </w:r>
          </w:p>
        </w:tc>
        <w:tc>
          <w:tcPr>
            <w:tcW w:w="1137" w:type="pct"/>
            <w:tcBorders>
              <w:right w:val="single" w:color="auto" w:sz="4" w:space="0"/>
            </w:tcBorders>
            <w:noWrap/>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w:t>
            </w:r>
          </w:p>
        </w:tc>
        <w:tc>
          <w:tcPr>
            <w:tcW w:w="965" w:type="pct"/>
            <w:tcBorders>
              <w:left w:val="single" w:color="auto" w:sz="4" w:space="0"/>
              <w:right w:val="single" w:color="auto" w:sz="4" w:space="0"/>
            </w:tcBorders>
            <w:vAlign w:val="top"/>
          </w:tcPr>
          <w:p>
            <w:pPr>
              <w:spacing w:line="320" w:lineRule="exact"/>
              <w:jc w:val="center"/>
              <w:rPr>
                <w:rFonts w:ascii="Times New Roman" w:hAnsi="Times New Roman" w:eastAsia="宋体" w:cs="Times New Roman"/>
                <w:color w:val="auto"/>
                <w:kern w:val="2"/>
                <w:sz w:val="21"/>
                <w:szCs w:val="21"/>
                <w:lang w:val="en-US" w:eastAsia="zh-CN" w:bidi="ar-SA"/>
              </w:rPr>
            </w:pPr>
            <w:r>
              <w:rPr>
                <w:rFonts w:hint="eastAsia"/>
                <w:color w:val="auto"/>
                <w:szCs w:val="21"/>
              </w:rPr>
              <w:t>1</w:t>
            </w:r>
          </w:p>
        </w:tc>
        <w:tc>
          <w:tcPr>
            <w:tcW w:w="966" w:type="pct"/>
            <w:tcBorders>
              <w:left w:val="single" w:color="auto" w:sz="4" w:space="0"/>
            </w:tcBorders>
            <w:vAlign w:val="top"/>
          </w:tcPr>
          <w:p>
            <w:pPr>
              <w:spacing w:line="320" w:lineRule="exact"/>
              <w:jc w:val="center"/>
              <w:rPr>
                <w:rFonts w:ascii="Times New Roman" w:hAnsi="Times New Roman" w:eastAsia="宋体" w:cs="Times New Roman"/>
                <w:color w:val="auto"/>
                <w:kern w:val="2"/>
                <w:sz w:val="21"/>
                <w:szCs w:val="21"/>
                <w:lang w:val="en-US" w:eastAsia="zh-CN" w:bidi="ar-SA"/>
              </w:rPr>
            </w:pPr>
            <w:r>
              <w:rPr>
                <w:color w:val="auto"/>
                <w:szCs w:val="21"/>
              </w:rPr>
              <w:t>台</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80" w:hRule="atLeast"/>
          <w:jc w:val="center"/>
        </w:trPr>
        <w:tc>
          <w:tcPr>
            <w:tcW w:w="965" w:type="pct"/>
            <w:noWrap/>
            <w:vAlign w:val="bottom"/>
          </w:tcPr>
          <w:p>
            <w:pPr>
              <w:spacing w:line="320" w:lineRule="exact"/>
              <w:jc w:val="center"/>
              <w:rPr>
                <w:color w:val="auto"/>
                <w:szCs w:val="21"/>
              </w:rPr>
            </w:pPr>
            <w:r>
              <w:rPr>
                <w:color w:val="auto"/>
                <w:szCs w:val="21"/>
              </w:rPr>
              <w:t>22</w:t>
            </w:r>
          </w:p>
        </w:tc>
        <w:tc>
          <w:tcPr>
            <w:tcW w:w="965" w:type="pct"/>
            <w:noWrap/>
            <w:vAlign w:val="center"/>
          </w:tcPr>
          <w:p>
            <w:pPr>
              <w:spacing w:line="320" w:lineRule="exact"/>
              <w:jc w:val="center"/>
              <w:rPr>
                <w:rFonts w:ascii="Times New Roman" w:hAnsi="Times New Roman" w:eastAsia="宋体" w:cs="Times New Roman"/>
                <w:color w:val="auto"/>
                <w:kern w:val="2"/>
                <w:sz w:val="21"/>
                <w:szCs w:val="21"/>
                <w:lang w:val="en-US" w:eastAsia="zh-CN" w:bidi="ar-SA"/>
              </w:rPr>
            </w:pPr>
            <w:r>
              <w:rPr>
                <w:rFonts w:hint="eastAsia"/>
                <w:color w:val="auto"/>
                <w:szCs w:val="21"/>
              </w:rPr>
              <w:t>老化实验箱</w:t>
            </w:r>
          </w:p>
        </w:tc>
        <w:tc>
          <w:tcPr>
            <w:tcW w:w="1137" w:type="pct"/>
            <w:tcBorders>
              <w:right w:val="single" w:color="auto" w:sz="4" w:space="0"/>
            </w:tcBorders>
            <w:noWrap/>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w:t>
            </w:r>
          </w:p>
        </w:tc>
        <w:tc>
          <w:tcPr>
            <w:tcW w:w="965" w:type="pct"/>
            <w:tcBorders>
              <w:left w:val="single" w:color="auto" w:sz="4" w:space="0"/>
              <w:right w:val="single" w:color="auto" w:sz="4" w:space="0"/>
            </w:tcBorders>
            <w:vAlign w:val="top"/>
          </w:tcPr>
          <w:p>
            <w:pPr>
              <w:spacing w:line="320" w:lineRule="exact"/>
              <w:jc w:val="center"/>
              <w:rPr>
                <w:rFonts w:ascii="Times New Roman" w:hAnsi="Times New Roman" w:eastAsia="宋体" w:cs="Times New Roman"/>
                <w:color w:val="auto"/>
                <w:kern w:val="2"/>
                <w:sz w:val="21"/>
                <w:szCs w:val="21"/>
                <w:lang w:val="en-US" w:eastAsia="zh-CN" w:bidi="ar-SA"/>
              </w:rPr>
            </w:pPr>
            <w:r>
              <w:rPr>
                <w:rFonts w:hint="eastAsia"/>
                <w:color w:val="auto"/>
                <w:szCs w:val="21"/>
              </w:rPr>
              <w:t>1</w:t>
            </w:r>
          </w:p>
        </w:tc>
        <w:tc>
          <w:tcPr>
            <w:tcW w:w="966" w:type="pct"/>
            <w:tcBorders>
              <w:left w:val="single" w:color="auto" w:sz="4" w:space="0"/>
            </w:tcBorders>
            <w:vAlign w:val="top"/>
          </w:tcPr>
          <w:p>
            <w:pPr>
              <w:spacing w:line="320" w:lineRule="exact"/>
              <w:jc w:val="center"/>
              <w:rPr>
                <w:rFonts w:ascii="Times New Roman" w:hAnsi="Times New Roman" w:eastAsia="宋体" w:cs="Times New Roman"/>
                <w:color w:val="auto"/>
                <w:kern w:val="2"/>
                <w:sz w:val="21"/>
                <w:szCs w:val="21"/>
                <w:lang w:val="en-US" w:eastAsia="zh-CN" w:bidi="ar-SA"/>
              </w:rPr>
            </w:pPr>
            <w:r>
              <w:rPr>
                <w:color w:val="auto"/>
                <w:szCs w:val="21"/>
              </w:rPr>
              <w:t>台</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80" w:hRule="atLeast"/>
          <w:jc w:val="center"/>
        </w:trPr>
        <w:tc>
          <w:tcPr>
            <w:tcW w:w="965" w:type="pct"/>
            <w:vAlign w:val="bottom"/>
          </w:tcPr>
          <w:p>
            <w:pPr>
              <w:spacing w:line="320" w:lineRule="exact"/>
              <w:jc w:val="center"/>
              <w:rPr>
                <w:color w:val="auto"/>
                <w:szCs w:val="21"/>
              </w:rPr>
            </w:pPr>
            <w:r>
              <w:rPr>
                <w:color w:val="auto"/>
                <w:szCs w:val="21"/>
              </w:rPr>
              <w:t>23</w:t>
            </w:r>
          </w:p>
        </w:tc>
        <w:tc>
          <w:tcPr>
            <w:tcW w:w="965" w:type="pct"/>
            <w:vAlign w:val="center"/>
          </w:tcPr>
          <w:p>
            <w:pPr>
              <w:spacing w:line="320" w:lineRule="exact"/>
              <w:jc w:val="center"/>
              <w:rPr>
                <w:rFonts w:ascii="Times New Roman" w:hAnsi="Times New Roman" w:eastAsia="宋体" w:cs="Times New Roman"/>
                <w:color w:val="auto"/>
                <w:kern w:val="2"/>
                <w:sz w:val="21"/>
                <w:szCs w:val="21"/>
                <w:lang w:val="en-US" w:eastAsia="zh-CN" w:bidi="ar-SA"/>
              </w:rPr>
            </w:pPr>
            <w:r>
              <w:rPr>
                <w:rFonts w:hint="eastAsia"/>
                <w:color w:val="auto"/>
                <w:szCs w:val="21"/>
              </w:rPr>
              <w:t>耐臭氧试验机</w:t>
            </w:r>
          </w:p>
        </w:tc>
        <w:tc>
          <w:tcPr>
            <w:tcW w:w="1137" w:type="pct"/>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w:t>
            </w:r>
          </w:p>
        </w:tc>
        <w:tc>
          <w:tcPr>
            <w:tcW w:w="965" w:type="pct"/>
            <w:vAlign w:val="top"/>
          </w:tcPr>
          <w:p>
            <w:pPr>
              <w:spacing w:line="320" w:lineRule="exact"/>
              <w:jc w:val="center"/>
              <w:rPr>
                <w:rFonts w:ascii="Times New Roman" w:hAnsi="Times New Roman" w:eastAsia="宋体" w:cs="Times New Roman"/>
                <w:color w:val="auto"/>
                <w:kern w:val="2"/>
                <w:sz w:val="21"/>
                <w:szCs w:val="21"/>
                <w:lang w:val="en-US" w:eastAsia="zh-CN" w:bidi="ar-SA"/>
              </w:rPr>
            </w:pPr>
            <w:r>
              <w:rPr>
                <w:rFonts w:hint="eastAsia"/>
                <w:color w:val="auto"/>
                <w:szCs w:val="21"/>
              </w:rPr>
              <w:t>1</w:t>
            </w:r>
          </w:p>
        </w:tc>
        <w:tc>
          <w:tcPr>
            <w:tcW w:w="966" w:type="pct"/>
            <w:vAlign w:val="top"/>
          </w:tcPr>
          <w:p>
            <w:pPr>
              <w:spacing w:line="320" w:lineRule="exact"/>
              <w:jc w:val="center"/>
              <w:rPr>
                <w:rFonts w:ascii="Times New Roman" w:hAnsi="Times New Roman" w:eastAsia="宋体" w:cs="Times New Roman"/>
                <w:color w:val="auto"/>
                <w:kern w:val="2"/>
                <w:sz w:val="21"/>
                <w:szCs w:val="21"/>
                <w:lang w:val="en-US" w:eastAsia="zh-CN" w:bidi="ar-SA"/>
              </w:rPr>
            </w:pPr>
            <w:r>
              <w:rPr>
                <w:color w:val="auto"/>
                <w:szCs w:val="21"/>
              </w:rPr>
              <w:t>台</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80" w:hRule="atLeast"/>
          <w:jc w:val="center"/>
        </w:trPr>
        <w:tc>
          <w:tcPr>
            <w:tcW w:w="965" w:type="pct"/>
            <w:vAlign w:val="bottom"/>
          </w:tcPr>
          <w:p>
            <w:pPr>
              <w:spacing w:line="320" w:lineRule="exact"/>
              <w:jc w:val="center"/>
              <w:rPr>
                <w:color w:val="auto"/>
                <w:szCs w:val="21"/>
              </w:rPr>
            </w:pPr>
            <w:r>
              <w:rPr>
                <w:color w:val="auto"/>
                <w:szCs w:val="21"/>
              </w:rPr>
              <w:t>24</w:t>
            </w:r>
          </w:p>
        </w:tc>
        <w:tc>
          <w:tcPr>
            <w:tcW w:w="965" w:type="pct"/>
            <w:vAlign w:val="center"/>
          </w:tcPr>
          <w:p>
            <w:pPr>
              <w:spacing w:line="320" w:lineRule="exact"/>
              <w:jc w:val="center"/>
              <w:rPr>
                <w:rFonts w:ascii="Times New Roman" w:hAnsi="Times New Roman" w:eastAsia="宋体" w:cs="Times New Roman"/>
                <w:color w:val="auto"/>
                <w:kern w:val="2"/>
                <w:sz w:val="21"/>
                <w:szCs w:val="21"/>
                <w:lang w:val="en-US" w:eastAsia="zh-CN" w:bidi="ar-SA"/>
              </w:rPr>
            </w:pPr>
            <w:r>
              <w:rPr>
                <w:rFonts w:hint="eastAsia"/>
                <w:color w:val="auto"/>
                <w:szCs w:val="21"/>
                <w:lang w:val="en-US" w:eastAsia="zh-CN"/>
              </w:rPr>
              <w:t>风机</w:t>
            </w:r>
          </w:p>
        </w:tc>
        <w:tc>
          <w:tcPr>
            <w:tcW w:w="1137" w:type="pct"/>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w:t>
            </w:r>
          </w:p>
        </w:tc>
        <w:tc>
          <w:tcPr>
            <w:tcW w:w="965" w:type="pct"/>
            <w:vAlign w:val="top"/>
          </w:tcPr>
          <w:p>
            <w:pPr>
              <w:spacing w:line="320" w:lineRule="exact"/>
              <w:jc w:val="center"/>
              <w:rPr>
                <w:rFonts w:hint="default" w:ascii="Times New Roman" w:hAnsi="Times New Roman" w:eastAsia="宋体" w:cs="Times New Roman"/>
                <w:color w:val="auto"/>
                <w:kern w:val="2"/>
                <w:sz w:val="21"/>
                <w:szCs w:val="21"/>
                <w:lang w:val="en-US" w:eastAsia="zh-CN" w:bidi="ar-SA"/>
              </w:rPr>
            </w:pPr>
            <w:r>
              <w:rPr>
                <w:rFonts w:hint="eastAsia"/>
                <w:color w:val="auto"/>
                <w:szCs w:val="21"/>
                <w:lang w:val="en-US" w:eastAsia="zh-CN"/>
              </w:rPr>
              <w:t>3</w:t>
            </w:r>
          </w:p>
        </w:tc>
        <w:tc>
          <w:tcPr>
            <w:tcW w:w="966" w:type="pct"/>
            <w:vAlign w:val="top"/>
          </w:tcPr>
          <w:p>
            <w:pPr>
              <w:spacing w:line="320" w:lineRule="exact"/>
              <w:jc w:val="center"/>
              <w:rPr>
                <w:rFonts w:ascii="Times New Roman" w:hAnsi="Times New Roman" w:eastAsia="宋体" w:cs="Times New Roman"/>
                <w:color w:val="auto"/>
                <w:kern w:val="2"/>
                <w:sz w:val="21"/>
                <w:szCs w:val="21"/>
                <w:lang w:val="en-US" w:eastAsia="zh-CN" w:bidi="ar-SA"/>
              </w:rPr>
            </w:pPr>
            <w:r>
              <w:rPr>
                <w:color w:val="auto"/>
                <w:szCs w:val="21"/>
              </w:rPr>
              <w:t>台</w:t>
            </w:r>
          </w:p>
        </w:tc>
      </w:tr>
    </w:tbl>
    <w:p>
      <w:pPr>
        <w:rPr>
          <w:color w:val="auto"/>
        </w:rPr>
      </w:pPr>
    </w:p>
    <w:p>
      <w:pPr>
        <w:pStyle w:val="5"/>
        <w:spacing w:before="0" w:after="0" w:line="520" w:lineRule="exact"/>
        <w:rPr>
          <w:color w:val="auto"/>
          <w:sz w:val="24"/>
        </w:rPr>
      </w:pPr>
      <w:r>
        <w:rPr>
          <w:rFonts w:hint="eastAsia"/>
          <w:color w:val="auto"/>
          <w:sz w:val="24"/>
          <w:szCs w:val="24"/>
        </w:rPr>
        <w:t>4</w:t>
      </w:r>
      <w:r>
        <w:rPr>
          <w:color w:val="auto"/>
          <w:sz w:val="24"/>
          <w:szCs w:val="24"/>
        </w:rPr>
        <w:t>.2.</w:t>
      </w:r>
      <w:r>
        <w:rPr>
          <w:rFonts w:hint="eastAsia"/>
          <w:color w:val="auto"/>
          <w:sz w:val="24"/>
          <w:szCs w:val="24"/>
        </w:rPr>
        <w:t>5</w:t>
      </w:r>
      <w:r>
        <w:rPr>
          <w:color w:val="auto"/>
          <w:sz w:val="24"/>
        </w:rPr>
        <w:t>污染源强及污染防治措施</w:t>
      </w:r>
    </w:p>
    <w:p>
      <w:pPr>
        <w:spacing w:line="520" w:lineRule="exact"/>
        <w:ind w:firstLine="480" w:firstLineChars="200"/>
        <w:rPr>
          <w:b/>
          <w:color w:val="auto"/>
          <w:sz w:val="24"/>
        </w:rPr>
      </w:pPr>
      <w:r>
        <w:rPr>
          <w:color w:val="auto"/>
          <w:sz w:val="24"/>
        </w:rPr>
        <w:t>本项目营运期会产生废气、废水、噪声和固废，具体见下表。</w:t>
      </w:r>
    </w:p>
    <w:p>
      <w:pPr>
        <w:adjustRightInd w:val="0"/>
        <w:snapToGrid w:val="0"/>
        <w:spacing w:line="520" w:lineRule="exact"/>
        <w:jc w:val="center"/>
        <w:rPr>
          <w:b/>
          <w:color w:val="auto"/>
          <w:sz w:val="24"/>
        </w:rPr>
      </w:pPr>
    </w:p>
    <w:p>
      <w:pPr>
        <w:adjustRightInd w:val="0"/>
        <w:snapToGrid w:val="0"/>
        <w:spacing w:line="520" w:lineRule="exact"/>
        <w:jc w:val="center"/>
        <w:rPr>
          <w:b/>
          <w:color w:val="auto"/>
          <w:sz w:val="24"/>
        </w:rPr>
      </w:pPr>
    </w:p>
    <w:p>
      <w:pPr>
        <w:adjustRightInd w:val="0"/>
        <w:snapToGrid w:val="0"/>
        <w:spacing w:line="520" w:lineRule="exact"/>
        <w:jc w:val="center"/>
        <w:rPr>
          <w:b/>
          <w:color w:val="auto"/>
          <w:sz w:val="24"/>
        </w:rPr>
      </w:pPr>
    </w:p>
    <w:p>
      <w:pPr>
        <w:pStyle w:val="2"/>
      </w:pPr>
    </w:p>
    <w:p>
      <w:pPr>
        <w:adjustRightInd w:val="0"/>
        <w:snapToGrid w:val="0"/>
        <w:spacing w:line="520" w:lineRule="exact"/>
        <w:jc w:val="center"/>
        <w:rPr>
          <w:b/>
          <w:color w:val="auto"/>
          <w:sz w:val="24"/>
        </w:rPr>
      </w:pPr>
    </w:p>
    <w:p>
      <w:pPr>
        <w:adjustRightInd w:val="0"/>
        <w:snapToGrid w:val="0"/>
        <w:spacing w:line="520" w:lineRule="exact"/>
        <w:jc w:val="center"/>
        <w:rPr>
          <w:b/>
          <w:color w:val="auto"/>
          <w:sz w:val="24"/>
        </w:rPr>
      </w:pPr>
      <w:r>
        <w:rPr>
          <w:b/>
          <w:color w:val="auto"/>
          <w:sz w:val="24"/>
        </w:rPr>
        <w:t>表</w:t>
      </w:r>
      <w:r>
        <w:rPr>
          <w:rFonts w:hint="eastAsia"/>
          <w:b/>
          <w:color w:val="auto"/>
          <w:sz w:val="24"/>
        </w:rPr>
        <w:t>4</w:t>
      </w:r>
      <w:r>
        <w:rPr>
          <w:b/>
          <w:color w:val="auto"/>
          <w:sz w:val="24"/>
        </w:rPr>
        <w:t>-</w:t>
      </w:r>
      <w:r>
        <w:rPr>
          <w:rFonts w:hint="eastAsia"/>
          <w:b/>
          <w:color w:val="auto"/>
          <w:sz w:val="24"/>
        </w:rPr>
        <w:t>6</w:t>
      </w:r>
      <w:r>
        <w:rPr>
          <w:b/>
          <w:color w:val="auto"/>
          <w:sz w:val="24"/>
        </w:rPr>
        <w:t xml:space="preserve">  营运期污染工序及主要污染因子汇总</w:t>
      </w:r>
    </w:p>
    <w:tbl>
      <w:tblPr>
        <w:tblStyle w:val="5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87"/>
        <w:gridCol w:w="2578"/>
        <w:gridCol w:w="528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 w:hRule="atLeast"/>
          <w:jc w:val="center"/>
        </w:trPr>
        <w:tc>
          <w:tcPr>
            <w:tcW w:w="887" w:type="dxa"/>
            <w:vAlign w:val="center"/>
          </w:tcPr>
          <w:p>
            <w:pPr>
              <w:adjustRightInd w:val="0"/>
              <w:snapToGrid w:val="0"/>
              <w:jc w:val="center"/>
              <w:rPr>
                <w:color w:val="auto"/>
                <w:szCs w:val="21"/>
              </w:rPr>
            </w:pPr>
            <w:r>
              <w:rPr>
                <w:color w:val="auto"/>
                <w:szCs w:val="21"/>
              </w:rPr>
              <w:t>类别</w:t>
            </w:r>
          </w:p>
        </w:tc>
        <w:tc>
          <w:tcPr>
            <w:tcW w:w="2578" w:type="dxa"/>
            <w:vAlign w:val="center"/>
          </w:tcPr>
          <w:p>
            <w:pPr>
              <w:adjustRightInd w:val="0"/>
              <w:snapToGrid w:val="0"/>
              <w:jc w:val="center"/>
              <w:rPr>
                <w:color w:val="auto"/>
                <w:szCs w:val="21"/>
              </w:rPr>
            </w:pPr>
            <w:r>
              <w:rPr>
                <w:color w:val="auto"/>
                <w:szCs w:val="21"/>
              </w:rPr>
              <w:t>污染源</w:t>
            </w:r>
          </w:p>
        </w:tc>
        <w:tc>
          <w:tcPr>
            <w:tcW w:w="5287" w:type="dxa"/>
            <w:vAlign w:val="center"/>
          </w:tcPr>
          <w:p>
            <w:pPr>
              <w:adjustRightInd w:val="0"/>
              <w:snapToGrid w:val="0"/>
              <w:jc w:val="center"/>
              <w:rPr>
                <w:color w:val="auto"/>
                <w:szCs w:val="21"/>
              </w:rPr>
            </w:pPr>
            <w:r>
              <w:rPr>
                <w:color w:val="auto"/>
                <w:szCs w:val="21"/>
              </w:rPr>
              <w:t>主要污染因子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 w:hRule="atLeast"/>
          <w:jc w:val="center"/>
        </w:trPr>
        <w:tc>
          <w:tcPr>
            <w:tcW w:w="887" w:type="dxa"/>
            <w:vMerge w:val="restart"/>
            <w:vAlign w:val="center"/>
          </w:tcPr>
          <w:p>
            <w:pPr>
              <w:adjustRightInd w:val="0"/>
              <w:snapToGrid w:val="0"/>
              <w:jc w:val="center"/>
              <w:rPr>
                <w:color w:val="auto"/>
                <w:szCs w:val="21"/>
              </w:rPr>
            </w:pPr>
            <w:r>
              <w:rPr>
                <w:color w:val="auto"/>
                <w:szCs w:val="21"/>
              </w:rPr>
              <w:t>废气</w:t>
            </w:r>
          </w:p>
        </w:tc>
        <w:tc>
          <w:tcPr>
            <w:tcW w:w="2578" w:type="dxa"/>
            <w:vAlign w:val="center"/>
          </w:tcPr>
          <w:p>
            <w:pPr>
              <w:adjustRightInd w:val="0"/>
              <w:snapToGrid w:val="0"/>
              <w:jc w:val="center"/>
              <w:rPr>
                <w:rFonts w:hint="eastAsia" w:eastAsia="宋体"/>
                <w:color w:val="auto"/>
                <w:szCs w:val="21"/>
                <w:lang w:eastAsia="zh-CN"/>
              </w:rPr>
            </w:pPr>
            <w:r>
              <w:rPr>
                <w:color w:val="auto"/>
                <w:szCs w:val="21"/>
              </w:rPr>
              <w:t>开</w:t>
            </w:r>
            <w:r>
              <w:rPr>
                <w:rFonts w:hint="eastAsia"/>
                <w:color w:val="auto"/>
                <w:szCs w:val="21"/>
                <w:lang w:eastAsia="zh-CN"/>
              </w:rPr>
              <w:t>炼</w:t>
            </w:r>
            <w:r>
              <w:rPr>
                <w:color w:val="auto"/>
                <w:szCs w:val="21"/>
              </w:rPr>
              <w:t>、</w:t>
            </w:r>
            <w:r>
              <w:rPr>
                <w:rFonts w:hint="eastAsia"/>
                <w:color w:val="auto"/>
                <w:szCs w:val="21"/>
                <w:lang w:eastAsia="zh-CN"/>
              </w:rPr>
              <w:t>密炼</w:t>
            </w:r>
          </w:p>
        </w:tc>
        <w:tc>
          <w:tcPr>
            <w:tcW w:w="5287" w:type="dxa"/>
            <w:vAlign w:val="center"/>
          </w:tcPr>
          <w:p>
            <w:pPr>
              <w:adjustRightInd w:val="0"/>
              <w:snapToGrid w:val="0"/>
              <w:jc w:val="center"/>
              <w:rPr>
                <w:color w:val="auto"/>
                <w:szCs w:val="21"/>
              </w:rPr>
            </w:pPr>
            <w:r>
              <w:rPr>
                <w:rFonts w:hint="eastAsia"/>
                <w:color w:val="auto"/>
                <w:szCs w:val="21"/>
                <w:lang w:eastAsia="zh-CN"/>
              </w:rPr>
              <w:t>颗粒物、</w:t>
            </w:r>
            <w:r>
              <w:rPr>
                <w:color w:val="auto"/>
                <w:szCs w:val="21"/>
              </w:rPr>
              <w:t>非甲烷总烃、H</w:t>
            </w:r>
            <w:r>
              <w:rPr>
                <w:color w:val="auto"/>
                <w:szCs w:val="21"/>
                <w:vertAlign w:val="subscript"/>
              </w:rPr>
              <w:t>2</w:t>
            </w:r>
            <w:r>
              <w:rPr>
                <w:color w:val="auto"/>
                <w:szCs w:val="21"/>
              </w:rPr>
              <w:t>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 w:hRule="atLeast"/>
          <w:jc w:val="center"/>
        </w:trPr>
        <w:tc>
          <w:tcPr>
            <w:tcW w:w="887" w:type="dxa"/>
            <w:vMerge w:val="continue"/>
            <w:vAlign w:val="center"/>
          </w:tcPr>
          <w:p>
            <w:pPr>
              <w:adjustRightInd w:val="0"/>
              <w:snapToGrid w:val="0"/>
              <w:jc w:val="center"/>
              <w:rPr>
                <w:color w:val="auto"/>
                <w:szCs w:val="21"/>
              </w:rPr>
            </w:pPr>
          </w:p>
        </w:tc>
        <w:tc>
          <w:tcPr>
            <w:tcW w:w="2578" w:type="dxa"/>
            <w:vAlign w:val="center"/>
          </w:tcPr>
          <w:p>
            <w:pPr>
              <w:adjustRightInd w:val="0"/>
              <w:snapToGrid w:val="0"/>
              <w:jc w:val="center"/>
              <w:rPr>
                <w:color w:val="auto"/>
                <w:szCs w:val="21"/>
              </w:rPr>
            </w:pPr>
            <w:r>
              <w:rPr>
                <w:color w:val="auto"/>
                <w:szCs w:val="21"/>
              </w:rPr>
              <w:t>涂胶、晾干</w:t>
            </w:r>
          </w:p>
        </w:tc>
        <w:tc>
          <w:tcPr>
            <w:tcW w:w="5287" w:type="dxa"/>
            <w:vAlign w:val="center"/>
          </w:tcPr>
          <w:p>
            <w:pPr>
              <w:adjustRightInd w:val="0"/>
              <w:snapToGrid w:val="0"/>
              <w:jc w:val="center"/>
              <w:rPr>
                <w:color w:val="auto"/>
                <w:szCs w:val="21"/>
              </w:rPr>
            </w:pPr>
            <w:r>
              <w:rPr>
                <w:color w:val="auto"/>
                <w:szCs w:val="21"/>
              </w:rPr>
              <w:t>非甲烷总烃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 w:hRule="atLeast"/>
          <w:jc w:val="center"/>
        </w:trPr>
        <w:tc>
          <w:tcPr>
            <w:tcW w:w="887" w:type="dxa"/>
            <w:vMerge w:val="continue"/>
            <w:vAlign w:val="center"/>
          </w:tcPr>
          <w:p>
            <w:pPr>
              <w:adjustRightInd w:val="0"/>
              <w:snapToGrid w:val="0"/>
              <w:jc w:val="center"/>
              <w:rPr>
                <w:color w:val="auto"/>
                <w:szCs w:val="21"/>
              </w:rPr>
            </w:pPr>
          </w:p>
        </w:tc>
        <w:tc>
          <w:tcPr>
            <w:tcW w:w="2578" w:type="dxa"/>
            <w:vAlign w:val="center"/>
          </w:tcPr>
          <w:p>
            <w:pPr>
              <w:adjustRightInd w:val="0"/>
              <w:snapToGrid w:val="0"/>
              <w:jc w:val="center"/>
              <w:rPr>
                <w:rFonts w:hint="eastAsia" w:eastAsia="宋体"/>
                <w:color w:val="auto"/>
                <w:szCs w:val="21"/>
                <w:lang w:eastAsia="zh-CN"/>
              </w:rPr>
            </w:pPr>
            <w:r>
              <w:rPr>
                <w:rFonts w:hint="eastAsia"/>
                <w:color w:val="auto"/>
                <w:szCs w:val="21"/>
                <w:lang w:eastAsia="zh-CN"/>
              </w:rPr>
              <w:t>配料</w:t>
            </w:r>
          </w:p>
        </w:tc>
        <w:tc>
          <w:tcPr>
            <w:tcW w:w="5287" w:type="dxa"/>
            <w:vAlign w:val="center"/>
          </w:tcPr>
          <w:p>
            <w:pPr>
              <w:adjustRightInd w:val="0"/>
              <w:snapToGrid w:val="0"/>
              <w:jc w:val="center"/>
              <w:rPr>
                <w:rFonts w:hint="eastAsia" w:eastAsia="宋体"/>
                <w:color w:val="auto"/>
                <w:szCs w:val="21"/>
                <w:lang w:eastAsia="zh-CN"/>
              </w:rPr>
            </w:pPr>
            <w:r>
              <w:rPr>
                <w:rFonts w:hint="eastAsia"/>
                <w:color w:val="auto"/>
                <w:szCs w:val="21"/>
                <w:lang w:eastAsia="zh-CN"/>
              </w:rPr>
              <w:t>颗粒物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 w:hRule="atLeast"/>
          <w:jc w:val="center"/>
        </w:trPr>
        <w:tc>
          <w:tcPr>
            <w:tcW w:w="887" w:type="dxa"/>
            <w:vMerge w:val="restart"/>
            <w:vAlign w:val="center"/>
          </w:tcPr>
          <w:p>
            <w:pPr>
              <w:adjustRightInd w:val="0"/>
              <w:snapToGrid w:val="0"/>
              <w:jc w:val="center"/>
              <w:rPr>
                <w:color w:val="auto"/>
                <w:szCs w:val="21"/>
              </w:rPr>
            </w:pPr>
            <w:r>
              <w:rPr>
                <w:color w:val="auto"/>
                <w:szCs w:val="21"/>
              </w:rPr>
              <w:t>废水</w:t>
            </w:r>
          </w:p>
        </w:tc>
        <w:tc>
          <w:tcPr>
            <w:tcW w:w="2578" w:type="dxa"/>
            <w:vAlign w:val="center"/>
          </w:tcPr>
          <w:p>
            <w:pPr>
              <w:adjustRightInd w:val="0"/>
              <w:snapToGrid w:val="0"/>
              <w:jc w:val="center"/>
              <w:rPr>
                <w:color w:val="auto"/>
                <w:szCs w:val="21"/>
              </w:rPr>
            </w:pPr>
            <w:r>
              <w:rPr>
                <w:color w:val="auto"/>
                <w:szCs w:val="21"/>
              </w:rPr>
              <w:t>职工生活</w:t>
            </w:r>
          </w:p>
        </w:tc>
        <w:tc>
          <w:tcPr>
            <w:tcW w:w="5287" w:type="dxa"/>
            <w:vAlign w:val="center"/>
          </w:tcPr>
          <w:p>
            <w:pPr>
              <w:adjustRightInd w:val="0"/>
              <w:snapToGrid w:val="0"/>
              <w:jc w:val="center"/>
              <w:rPr>
                <w:color w:val="auto"/>
                <w:szCs w:val="21"/>
              </w:rPr>
            </w:pPr>
            <w:r>
              <w:rPr>
                <w:color w:val="auto"/>
                <w:szCs w:val="21"/>
              </w:rPr>
              <w:t>生活污水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42" w:hRule="atLeast"/>
          <w:jc w:val="center"/>
        </w:trPr>
        <w:tc>
          <w:tcPr>
            <w:tcW w:w="887" w:type="dxa"/>
            <w:vMerge w:val="continue"/>
            <w:vAlign w:val="center"/>
          </w:tcPr>
          <w:p>
            <w:pPr>
              <w:adjustRightInd w:val="0"/>
              <w:snapToGrid w:val="0"/>
              <w:jc w:val="center"/>
              <w:rPr>
                <w:color w:val="auto"/>
                <w:szCs w:val="21"/>
              </w:rPr>
            </w:pPr>
          </w:p>
        </w:tc>
        <w:tc>
          <w:tcPr>
            <w:tcW w:w="2578" w:type="dxa"/>
            <w:vAlign w:val="center"/>
          </w:tcPr>
          <w:p>
            <w:pPr>
              <w:adjustRightInd w:val="0"/>
              <w:snapToGrid w:val="0"/>
              <w:jc w:val="center"/>
              <w:rPr>
                <w:rFonts w:hint="eastAsia" w:eastAsia="宋体"/>
                <w:color w:val="auto"/>
                <w:szCs w:val="21"/>
                <w:lang w:eastAsia="zh-CN"/>
              </w:rPr>
            </w:pPr>
            <w:r>
              <w:rPr>
                <w:rFonts w:hint="eastAsia"/>
                <w:color w:val="auto"/>
                <w:szCs w:val="21"/>
                <w:lang w:eastAsia="zh-CN"/>
              </w:rPr>
              <w:t>脱脂</w:t>
            </w:r>
          </w:p>
        </w:tc>
        <w:tc>
          <w:tcPr>
            <w:tcW w:w="5287" w:type="dxa"/>
            <w:vAlign w:val="center"/>
          </w:tcPr>
          <w:p>
            <w:pPr>
              <w:adjustRightInd w:val="0"/>
              <w:snapToGrid w:val="0"/>
              <w:jc w:val="center"/>
              <w:rPr>
                <w:color w:val="auto"/>
                <w:szCs w:val="21"/>
              </w:rPr>
            </w:pPr>
            <w:r>
              <w:rPr>
                <w:rFonts w:hint="eastAsia"/>
                <w:color w:val="auto"/>
                <w:szCs w:val="21"/>
                <w:lang w:eastAsia="zh-CN"/>
              </w:rPr>
              <w:t>脱脂废水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 w:hRule="atLeast"/>
          <w:jc w:val="center"/>
        </w:trPr>
        <w:tc>
          <w:tcPr>
            <w:tcW w:w="887" w:type="dxa"/>
            <w:tcBorders>
              <w:bottom w:val="single" w:color="auto" w:sz="4" w:space="0"/>
            </w:tcBorders>
            <w:vAlign w:val="center"/>
          </w:tcPr>
          <w:p>
            <w:pPr>
              <w:adjustRightInd w:val="0"/>
              <w:snapToGrid w:val="0"/>
              <w:jc w:val="center"/>
              <w:rPr>
                <w:color w:val="auto"/>
                <w:szCs w:val="21"/>
              </w:rPr>
            </w:pPr>
            <w:r>
              <w:rPr>
                <w:color w:val="auto"/>
                <w:szCs w:val="21"/>
              </w:rPr>
              <w:t>噪声</w:t>
            </w:r>
          </w:p>
        </w:tc>
        <w:tc>
          <w:tcPr>
            <w:tcW w:w="2578" w:type="dxa"/>
            <w:tcBorders>
              <w:bottom w:val="single" w:color="auto" w:sz="4" w:space="0"/>
            </w:tcBorders>
            <w:vAlign w:val="center"/>
          </w:tcPr>
          <w:p>
            <w:pPr>
              <w:adjustRightInd w:val="0"/>
              <w:snapToGrid w:val="0"/>
              <w:jc w:val="center"/>
              <w:rPr>
                <w:color w:val="auto"/>
                <w:szCs w:val="21"/>
              </w:rPr>
            </w:pPr>
            <w:r>
              <w:rPr>
                <w:color w:val="auto"/>
                <w:szCs w:val="21"/>
              </w:rPr>
              <w:t>设备噪声</w:t>
            </w:r>
          </w:p>
        </w:tc>
        <w:tc>
          <w:tcPr>
            <w:tcW w:w="5287" w:type="dxa"/>
            <w:tcBorders>
              <w:bottom w:val="single" w:color="auto" w:sz="4" w:space="0"/>
            </w:tcBorders>
            <w:vAlign w:val="center"/>
          </w:tcPr>
          <w:p>
            <w:pPr>
              <w:adjustRightInd w:val="0"/>
              <w:snapToGrid w:val="0"/>
              <w:jc w:val="center"/>
              <w:rPr>
                <w:color w:val="auto"/>
                <w:szCs w:val="21"/>
              </w:rPr>
            </w:pPr>
            <w:r>
              <w:rPr>
                <w:color w:val="auto"/>
                <w:szCs w:val="21"/>
              </w:rPr>
              <w:t>等效声级，dB（A）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 w:hRule="atLeast"/>
          <w:jc w:val="center"/>
        </w:trPr>
        <w:tc>
          <w:tcPr>
            <w:tcW w:w="887" w:type="dxa"/>
            <w:vMerge w:val="restart"/>
            <w:vAlign w:val="center"/>
          </w:tcPr>
          <w:p>
            <w:pPr>
              <w:adjustRightInd w:val="0"/>
              <w:snapToGrid w:val="0"/>
              <w:jc w:val="center"/>
              <w:rPr>
                <w:rFonts w:hint="eastAsia" w:eastAsia="宋体"/>
                <w:color w:val="auto"/>
                <w:szCs w:val="21"/>
                <w:lang w:eastAsia="zh-CN"/>
              </w:rPr>
            </w:pPr>
            <w:r>
              <w:rPr>
                <w:rFonts w:hint="eastAsia"/>
                <w:color w:val="auto"/>
                <w:szCs w:val="21"/>
                <w:lang w:eastAsia="zh-CN"/>
              </w:rPr>
              <w:t>固废</w:t>
            </w:r>
          </w:p>
        </w:tc>
        <w:tc>
          <w:tcPr>
            <w:tcW w:w="2578" w:type="dxa"/>
            <w:vAlign w:val="center"/>
          </w:tcPr>
          <w:p>
            <w:pPr>
              <w:adjustRightInd w:val="0"/>
              <w:snapToGrid w:val="0"/>
              <w:jc w:val="center"/>
              <w:rPr>
                <w:rFonts w:ascii="Times New Roman" w:hAnsi="Times New Roman" w:eastAsia="宋体" w:cs="Times New Roman"/>
                <w:color w:val="auto"/>
                <w:kern w:val="2"/>
                <w:sz w:val="21"/>
                <w:szCs w:val="21"/>
                <w:lang w:val="en-US" w:eastAsia="zh-CN" w:bidi="ar-SA"/>
              </w:rPr>
            </w:pPr>
            <w:r>
              <w:rPr>
                <w:color w:val="auto"/>
                <w:szCs w:val="21"/>
              </w:rPr>
              <w:t>废气处理装置</w:t>
            </w:r>
          </w:p>
        </w:tc>
        <w:tc>
          <w:tcPr>
            <w:tcW w:w="5287" w:type="dxa"/>
            <w:tcBorders>
              <w:bottom w:val="single" w:color="auto" w:sz="4" w:space="0"/>
            </w:tcBorders>
            <w:vAlign w:val="center"/>
          </w:tcPr>
          <w:p>
            <w:pPr>
              <w:adjustRightInd w:val="0"/>
              <w:snapToGrid w:val="0"/>
              <w:jc w:val="center"/>
              <w:rPr>
                <w:rFonts w:hint="default" w:ascii="Times New Roman" w:hAnsi="Times New Roman" w:eastAsia="宋体" w:cs="Times New Roman"/>
                <w:color w:val="auto"/>
                <w:kern w:val="2"/>
                <w:sz w:val="21"/>
                <w:szCs w:val="21"/>
                <w:lang w:val="en-US" w:eastAsia="zh-CN" w:bidi="ar-SA"/>
              </w:rPr>
            </w:pPr>
            <w:r>
              <w:rPr>
                <w:color w:val="auto"/>
                <w:szCs w:val="21"/>
              </w:rPr>
              <w:t>废活性炭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 w:hRule="atLeast"/>
          <w:jc w:val="center"/>
        </w:trPr>
        <w:tc>
          <w:tcPr>
            <w:tcW w:w="887" w:type="dxa"/>
            <w:vMerge w:val="continue"/>
            <w:vAlign w:val="center"/>
          </w:tcPr>
          <w:p>
            <w:pPr>
              <w:adjustRightInd w:val="0"/>
              <w:snapToGrid w:val="0"/>
              <w:jc w:val="center"/>
              <w:rPr>
                <w:color w:val="auto"/>
                <w:szCs w:val="21"/>
              </w:rPr>
            </w:pPr>
          </w:p>
        </w:tc>
        <w:tc>
          <w:tcPr>
            <w:tcW w:w="2578" w:type="dxa"/>
            <w:vAlign w:val="center"/>
          </w:tcPr>
          <w:p>
            <w:pPr>
              <w:adjustRightInd w:val="0"/>
              <w:snapToGrid w:val="0"/>
              <w:jc w:val="center"/>
              <w:rPr>
                <w:rFonts w:ascii="Times New Roman" w:hAnsi="Times New Roman" w:eastAsia="宋体" w:cs="Times New Roman"/>
                <w:color w:val="auto"/>
                <w:kern w:val="2"/>
                <w:sz w:val="21"/>
                <w:szCs w:val="21"/>
                <w:lang w:val="en-US" w:eastAsia="zh-CN" w:bidi="ar-SA"/>
              </w:rPr>
            </w:pPr>
            <w:r>
              <w:rPr>
                <w:color w:val="auto"/>
                <w:szCs w:val="21"/>
              </w:rPr>
              <w:t>除尘器</w:t>
            </w:r>
          </w:p>
        </w:tc>
        <w:tc>
          <w:tcPr>
            <w:tcW w:w="5287" w:type="dxa"/>
            <w:tcBorders>
              <w:bottom w:val="single" w:color="auto" w:sz="4" w:space="0"/>
            </w:tcBorders>
            <w:vAlign w:val="center"/>
          </w:tcPr>
          <w:p>
            <w:pPr>
              <w:adjustRightInd w:val="0"/>
              <w:snapToGrid w:val="0"/>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lang w:eastAsia="zh-CN"/>
              </w:rPr>
              <w:t>收集的粉尘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 w:hRule="atLeast"/>
          <w:jc w:val="center"/>
        </w:trPr>
        <w:tc>
          <w:tcPr>
            <w:tcW w:w="887" w:type="dxa"/>
            <w:vMerge w:val="continue"/>
            <w:vAlign w:val="center"/>
          </w:tcPr>
          <w:p>
            <w:pPr>
              <w:adjustRightInd w:val="0"/>
              <w:snapToGrid w:val="0"/>
              <w:jc w:val="center"/>
              <w:rPr>
                <w:color w:val="auto"/>
                <w:szCs w:val="21"/>
              </w:rPr>
            </w:pPr>
          </w:p>
        </w:tc>
        <w:tc>
          <w:tcPr>
            <w:tcW w:w="2578" w:type="dxa"/>
            <w:vAlign w:val="center"/>
          </w:tcPr>
          <w:p>
            <w:pPr>
              <w:adjustRightInd w:val="0"/>
              <w:snapToGrid w:val="0"/>
              <w:jc w:val="center"/>
              <w:rPr>
                <w:rFonts w:ascii="Times New Roman" w:hAnsi="Times New Roman" w:eastAsia="宋体" w:cs="Times New Roman"/>
                <w:color w:val="auto"/>
                <w:kern w:val="2"/>
                <w:sz w:val="21"/>
                <w:szCs w:val="21"/>
                <w:lang w:val="en-US" w:eastAsia="zh-CN" w:bidi="ar-SA"/>
              </w:rPr>
            </w:pPr>
            <w:r>
              <w:rPr>
                <w:color w:val="auto"/>
                <w:szCs w:val="21"/>
              </w:rPr>
              <w:t>原辅材料包装</w:t>
            </w:r>
          </w:p>
        </w:tc>
        <w:tc>
          <w:tcPr>
            <w:tcW w:w="5287" w:type="dxa"/>
            <w:tcBorders>
              <w:bottom w:val="single" w:color="auto" w:sz="4" w:space="0"/>
            </w:tcBorders>
            <w:vAlign w:val="center"/>
          </w:tcPr>
          <w:p>
            <w:pPr>
              <w:adjustRightInd w:val="0"/>
              <w:snapToGrid w:val="0"/>
              <w:jc w:val="center"/>
              <w:rPr>
                <w:rFonts w:hint="default" w:ascii="Times New Roman" w:hAnsi="Times New Roman" w:eastAsia="宋体" w:cs="Times New Roman"/>
                <w:color w:val="auto"/>
                <w:kern w:val="2"/>
                <w:sz w:val="21"/>
                <w:szCs w:val="21"/>
                <w:lang w:val="en-US" w:eastAsia="zh-CN" w:bidi="ar-SA"/>
              </w:rPr>
            </w:pPr>
            <w:r>
              <w:rPr>
                <w:color w:val="auto"/>
                <w:szCs w:val="21"/>
              </w:rPr>
              <w:t>废包装袋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 w:hRule="atLeast"/>
          <w:jc w:val="center"/>
        </w:trPr>
        <w:tc>
          <w:tcPr>
            <w:tcW w:w="887" w:type="dxa"/>
            <w:vMerge w:val="continue"/>
            <w:vAlign w:val="center"/>
          </w:tcPr>
          <w:p>
            <w:pPr>
              <w:adjustRightInd w:val="0"/>
              <w:snapToGrid w:val="0"/>
              <w:jc w:val="center"/>
              <w:rPr>
                <w:color w:val="auto"/>
                <w:szCs w:val="21"/>
              </w:rPr>
            </w:pPr>
          </w:p>
        </w:tc>
        <w:tc>
          <w:tcPr>
            <w:tcW w:w="2578" w:type="dxa"/>
            <w:vAlign w:val="center"/>
          </w:tcPr>
          <w:p>
            <w:pPr>
              <w:adjustRightInd w:val="0"/>
              <w:snapToGrid w:val="0"/>
              <w:jc w:val="center"/>
              <w:rPr>
                <w:rFonts w:ascii="Times New Roman" w:hAnsi="Times New Roman" w:eastAsia="宋体" w:cs="Times New Roman"/>
                <w:color w:val="auto"/>
                <w:kern w:val="2"/>
                <w:sz w:val="21"/>
                <w:szCs w:val="21"/>
                <w:lang w:val="en-US" w:eastAsia="zh-CN" w:bidi="ar-SA"/>
              </w:rPr>
            </w:pPr>
            <w:r>
              <w:rPr>
                <w:color w:val="auto"/>
                <w:szCs w:val="21"/>
              </w:rPr>
              <w:t>职工生活</w:t>
            </w:r>
          </w:p>
        </w:tc>
        <w:tc>
          <w:tcPr>
            <w:tcW w:w="5287" w:type="dxa"/>
            <w:tcBorders>
              <w:bottom w:val="single" w:color="auto" w:sz="4" w:space="0"/>
            </w:tcBorders>
            <w:vAlign w:val="center"/>
          </w:tcPr>
          <w:p>
            <w:pPr>
              <w:adjustRightInd w:val="0"/>
              <w:snapToGrid w:val="0"/>
              <w:jc w:val="center"/>
              <w:rPr>
                <w:rFonts w:ascii="Times New Roman" w:hAnsi="Times New Roman" w:eastAsia="宋体" w:cs="Times New Roman"/>
                <w:color w:val="auto"/>
                <w:kern w:val="2"/>
                <w:sz w:val="21"/>
                <w:szCs w:val="21"/>
                <w:lang w:val="en-US" w:eastAsia="zh-CN" w:bidi="ar-SA"/>
              </w:rPr>
            </w:pPr>
            <w:r>
              <w:rPr>
                <w:color w:val="auto"/>
                <w:szCs w:val="21"/>
              </w:rPr>
              <w:t>生活垃圾</w:t>
            </w:r>
          </w:p>
        </w:tc>
      </w:tr>
    </w:tbl>
    <w:p>
      <w:pPr>
        <w:spacing w:line="360" w:lineRule="auto"/>
        <w:ind w:firstLine="482" w:firstLineChars="200"/>
        <w:rPr>
          <w:b/>
          <w:color w:val="auto"/>
          <w:sz w:val="24"/>
        </w:rPr>
      </w:pPr>
      <w:r>
        <w:rPr>
          <w:rFonts w:hint="eastAsia"/>
          <w:b/>
          <w:color w:val="auto"/>
          <w:sz w:val="24"/>
          <w:lang w:val="en-US" w:eastAsia="zh-CN"/>
        </w:rPr>
        <w:t>1、</w:t>
      </w:r>
      <w:r>
        <w:rPr>
          <w:b/>
          <w:color w:val="auto"/>
          <w:sz w:val="24"/>
        </w:rPr>
        <w:t>废气</w:t>
      </w:r>
    </w:p>
    <w:p>
      <w:pPr>
        <w:pStyle w:val="15"/>
        <w:adjustRightInd w:val="0"/>
        <w:snapToGrid w:val="0"/>
        <w:spacing w:line="360" w:lineRule="auto"/>
        <w:ind w:firstLine="472" w:firstLineChars="0"/>
        <w:rPr>
          <w:b/>
          <w:bCs/>
          <w:color w:val="auto"/>
        </w:rPr>
      </w:pPr>
      <w:r>
        <w:rPr>
          <w:color w:val="auto"/>
        </w:rPr>
        <w:t>项目废气主要为</w:t>
      </w:r>
      <w:r>
        <w:rPr>
          <w:rFonts w:hint="eastAsia"/>
          <w:color w:val="auto"/>
          <w:lang w:eastAsia="zh-CN"/>
        </w:rPr>
        <w:t>配料粉尘；</w:t>
      </w:r>
      <w:r>
        <w:rPr>
          <w:color w:val="auto"/>
        </w:rPr>
        <w:t>涂胶、晾干</w:t>
      </w:r>
      <w:r>
        <w:rPr>
          <w:rFonts w:hint="eastAsia"/>
          <w:color w:val="auto"/>
          <w:lang w:eastAsia="zh-CN"/>
        </w:rPr>
        <w:t>、烘干</w:t>
      </w:r>
      <w:r>
        <w:rPr>
          <w:color w:val="auto"/>
        </w:rPr>
        <w:t>废气</w:t>
      </w:r>
      <w:r>
        <w:rPr>
          <w:rFonts w:hint="eastAsia"/>
          <w:color w:val="auto"/>
          <w:lang w:eastAsia="zh-CN"/>
        </w:rPr>
        <w:t>；</w:t>
      </w:r>
      <w:r>
        <w:rPr>
          <w:color w:val="auto"/>
        </w:rPr>
        <w:t>配胶、</w:t>
      </w:r>
      <w:r>
        <w:rPr>
          <w:rFonts w:hint="eastAsia"/>
          <w:color w:val="auto"/>
          <w:lang w:eastAsia="zh-CN"/>
        </w:rPr>
        <w:t>密炼、</w:t>
      </w:r>
      <w:r>
        <w:rPr>
          <w:color w:val="auto"/>
          <w:szCs w:val="24"/>
        </w:rPr>
        <w:t>开炼废气。</w:t>
      </w:r>
    </w:p>
    <w:p>
      <w:pPr>
        <w:spacing w:line="480" w:lineRule="exact"/>
        <w:ind w:firstLine="480"/>
        <w:jc w:val="left"/>
        <w:rPr>
          <w:rFonts w:hint="default" w:ascii="Times New Roman" w:hAnsi="Times New Roman" w:cs="Times New Roman"/>
          <w:b/>
          <w:bCs/>
          <w:color w:val="auto"/>
          <w:sz w:val="24"/>
          <w:lang w:eastAsia="zh-CN"/>
        </w:rPr>
      </w:pPr>
      <w:r>
        <w:rPr>
          <w:rFonts w:hint="eastAsia" w:ascii="Times New Roman" w:hAnsi="Times New Roman" w:cs="Times New Roman"/>
          <w:b/>
          <w:bCs/>
          <w:color w:val="auto"/>
          <w:sz w:val="24"/>
          <w:lang w:eastAsia="zh-CN"/>
        </w:rPr>
        <w:t>（</w:t>
      </w:r>
      <w:r>
        <w:rPr>
          <w:rFonts w:hint="eastAsia" w:ascii="Times New Roman" w:hAnsi="Times New Roman" w:cs="Times New Roman"/>
          <w:b/>
          <w:bCs/>
          <w:color w:val="auto"/>
          <w:sz w:val="24"/>
          <w:lang w:val="en-US" w:eastAsia="zh-CN"/>
        </w:rPr>
        <w:t>1</w:t>
      </w:r>
      <w:r>
        <w:rPr>
          <w:rFonts w:hint="eastAsia" w:ascii="Times New Roman" w:hAnsi="Times New Roman" w:cs="Times New Roman"/>
          <w:b/>
          <w:bCs/>
          <w:color w:val="auto"/>
          <w:sz w:val="24"/>
          <w:lang w:eastAsia="zh-CN"/>
        </w:rPr>
        <w:t>）</w:t>
      </w:r>
      <w:r>
        <w:rPr>
          <w:rFonts w:hint="default" w:ascii="Times New Roman" w:hAnsi="Times New Roman" w:cs="Times New Roman"/>
          <w:b/>
          <w:bCs/>
          <w:color w:val="auto"/>
          <w:sz w:val="24"/>
        </w:rPr>
        <w:t>配料粉尘</w:t>
      </w:r>
    </w:p>
    <w:p>
      <w:pPr>
        <w:spacing w:line="480" w:lineRule="exact"/>
        <w:ind w:firstLine="480"/>
        <w:jc w:val="left"/>
        <w:rPr>
          <w:rFonts w:hint="eastAsia"/>
          <w:color w:val="auto"/>
          <w:sz w:val="24"/>
          <w:lang w:eastAsia="zh-CN"/>
        </w:rPr>
      </w:pPr>
      <w:r>
        <w:rPr>
          <w:rFonts w:hint="default" w:ascii="Times New Roman" w:hAnsi="Times New Roman" w:cs="Times New Roman"/>
          <w:color w:val="auto"/>
          <w:sz w:val="24"/>
        </w:rPr>
        <w:t>项目小料包括</w:t>
      </w:r>
      <w:r>
        <w:rPr>
          <w:rFonts w:hint="eastAsia" w:ascii="Times New Roman" w:hAnsi="Times New Roman" w:cs="Times New Roman"/>
          <w:color w:val="auto"/>
          <w:sz w:val="24"/>
          <w:lang w:eastAsia="zh-CN"/>
        </w:rPr>
        <w:t>炭黑、</w:t>
      </w:r>
      <w:r>
        <w:rPr>
          <w:rFonts w:hint="default" w:ascii="Times New Roman" w:hAnsi="Times New Roman" w:cs="Times New Roman"/>
          <w:color w:val="auto"/>
          <w:sz w:val="24"/>
        </w:rPr>
        <w:t>氧化锌、氧化镁、防老剂、硫磺、促进剂、硬脂酸等。小料经</w:t>
      </w:r>
      <w:r>
        <w:rPr>
          <w:rFonts w:hint="eastAsia" w:ascii="Times New Roman" w:hAnsi="Times New Roman" w:cs="Times New Roman"/>
          <w:color w:val="auto"/>
          <w:sz w:val="24"/>
          <w:lang w:eastAsia="zh-CN"/>
        </w:rPr>
        <w:t>人工进行配料，</w:t>
      </w:r>
      <w:r>
        <w:rPr>
          <w:rFonts w:hint="default" w:ascii="Times New Roman" w:hAnsi="Times New Roman" w:cs="Times New Roman"/>
          <w:color w:val="auto"/>
          <w:sz w:val="24"/>
        </w:rPr>
        <w:t>随后投入包装袋中即可。项目小料粉状原料消耗量为2</w:t>
      </w:r>
      <w:r>
        <w:rPr>
          <w:rFonts w:hint="eastAsia" w:ascii="Times New Roman" w:hAnsi="Times New Roman" w:cs="Times New Roman"/>
          <w:color w:val="auto"/>
          <w:sz w:val="24"/>
          <w:lang w:val="en-US" w:eastAsia="zh-CN"/>
        </w:rPr>
        <w:t>39.25</w:t>
      </w:r>
      <w:r>
        <w:rPr>
          <w:rFonts w:hint="default" w:ascii="Times New Roman" w:hAnsi="Times New Roman" w:cs="Times New Roman"/>
          <w:color w:val="auto"/>
          <w:sz w:val="24"/>
        </w:rPr>
        <w:t>t/a；</w:t>
      </w:r>
      <w:r>
        <w:rPr>
          <w:rFonts w:hint="default" w:ascii="Times New Roman" w:hAnsi="Times New Roman" w:cs="Times New Roman"/>
          <w:color w:val="auto"/>
          <w:kern w:val="0"/>
          <w:sz w:val="24"/>
        </w:rPr>
        <w:t>经类比，粉尘的产生量约为原料用量的0.1%，配料工序产生的粉尘量约为0.222t/a，</w:t>
      </w:r>
      <w:r>
        <w:rPr>
          <w:rFonts w:hint="eastAsia" w:ascii="Times New Roman" w:hAnsi="Times New Roman" w:cs="Times New Roman"/>
          <w:color w:val="auto"/>
          <w:kern w:val="0"/>
          <w:sz w:val="24"/>
          <w:lang w:eastAsia="zh-CN"/>
        </w:rPr>
        <w:t>项目单独设置一间配料间，在配料间配料工序上方设置集气罩，产生的粉尘通过收集后经一套布袋除尘器进行净化处理，经</w:t>
      </w:r>
      <w:r>
        <w:rPr>
          <w:rFonts w:hint="eastAsia" w:ascii="Times New Roman" w:hAnsi="Times New Roman" w:cs="Times New Roman"/>
          <w:color w:val="auto"/>
          <w:kern w:val="0"/>
          <w:sz w:val="24"/>
          <w:lang w:val="en-US" w:eastAsia="zh-CN"/>
        </w:rPr>
        <w:t>1根15m高排气筒排放</w:t>
      </w:r>
      <w:r>
        <w:rPr>
          <w:rFonts w:hint="eastAsia" w:cs="Times New Roman"/>
          <w:color w:val="auto"/>
          <w:kern w:val="0"/>
          <w:sz w:val="24"/>
          <w:lang w:val="en-US" w:eastAsia="zh-CN"/>
        </w:rPr>
        <w:t>（1#排气筒）</w:t>
      </w:r>
      <w:r>
        <w:rPr>
          <w:rFonts w:hint="eastAsia" w:ascii="Times New Roman" w:hAnsi="Times New Roman" w:cs="Times New Roman"/>
          <w:color w:val="auto"/>
          <w:kern w:val="0"/>
          <w:sz w:val="24"/>
          <w:lang w:val="en-US" w:eastAsia="zh-CN"/>
        </w:rPr>
        <w:t>。</w:t>
      </w:r>
      <w:r>
        <w:rPr>
          <w:rFonts w:hint="default" w:ascii="Times New Roman" w:hAnsi="Times New Roman" w:cs="Times New Roman"/>
          <w:color w:val="auto"/>
          <w:kern w:val="0"/>
          <w:sz w:val="24"/>
        </w:rPr>
        <w:t>小料配料工序每天约</w:t>
      </w:r>
      <w:r>
        <w:rPr>
          <w:rFonts w:hint="default" w:ascii="Times New Roman" w:hAnsi="Times New Roman" w:cs="Times New Roman"/>
          <w:color w:val="auto"/>
          <w:kern w:val="0"/>
          <w:sz w:val="24"/>
          <w:lang w:val="en-US" w:eastAsia="zh-CN"/>
        </w:rPr>
        <w:t>4</w:t>
      </w:r>
      <w:r>
        <w:rPr>
          <w:rFonts w:hint="default" w:ascii="Times New Roman" w:hAnsi="Times New Roman" w:cs="Times New Roman"/>
          <w:color w:val="auto"/>
          <w:kern w:val="0"/>
          <w:sz w:val="24"/>
        </w:rPr>
        <w:t>小时，全年300天</w:t>
      </w:r>
      <w:r>
        <w:rPr>
          <w:rFonts w:hint="eastAsia" w:ascii="Times New Roman" w:hAnsi="Times New Roman" w:cs="Times New Roman"/>
          <w:color w:val="auto"/>
          <w:kern w:val="0"/>
          <w:sz w:val="24"/>
          <w:lang w:eastAsia="zh-CN"/>
        </w:rPr>
        <w:t>，风机风量为</w:t>
      </w:r>
      <w:r>
        <w:rPr>
          <w:rFonts w:hint="eastAsia" w:ascii="Times New Roman" w:hAnsi="Times New Roman" w:cs="Times New Roman"/>
          <w:color w:val="auto"/>
          <w:kern w:val="0"/>
          <w:sz w:val="24"/>
          <w:lang w:val="en-US" w:eastAsia="zh-CN"/>
        </w:rPr>
        <w:t>3000</w:t>
      </w:r>
      <w:r>
        <w:rPr>
          <w:color w:val="auto"/>
          <w:sz w:val="24"/>
        </w:rPr>
        <w:t>m³/h，</w:t>
      </w:r>
      <w:r>
        <w:rPr>
          <w:rFonts w:hint="eastAsia"/>
          <w:color w:val="auto"/>
          <w:sz w:val="24"/>
          <w:lang w:eastAsia="zh-CN"/>
        </w:rPr>
        <w:t>粉尘收集效率</w:t>
      </w:r>
      <w:r>
        <w:rPr>
          <w:rFonts w:hint="eastAsia"/>
          <w:color w:val="auto"/>
          <w:sz w:val="24"/>
          <w:lang w:val="en-US" w:eastAsia="zh-CN"/>
        </w:rPr>
        <w:t>95%，</w:t>
      </w:r>
      <w:r>
        <w:rPr>
          <w:color w:val="auto"/>
          <w:sz w:val="24"/>
        </w:rPr>
        <w:t>净化装置净化效率以9</w:t>
      </w:r>
      <w:r>
        <w:rPr>
          <w:rFonts w:hint="eastAsia"/>
          <w:color w:val="auto"/>
          <w:sz w:val="24"/>
          <w:lang w:val="en-US" w:eastAsia="zh-CN"/>
        </w:rPr>
        <w:t>9</w:t>
      </w:r>
      <w:r>
        <w:rPr>
          <w:color w:val="auto"/>
          <w:sz w:val="24"/>
        </w:rPr>
        <w:t>%计</w:t>
      </w:r>
      <w:r>
        <w:rPr>
          <w:rFonts w:hint="eastAsia"/>
          <w:color w:val="auto"/>
          <w:sz w:val="24"/>
          <w:lang w:eastAsia="zh-CN"/>
        </w:rPr>
        <w:t>。</w:t>
      </w:r>
    </w:p>
    <w:p>
      <w:pPr>
        <w:numPr>
          <w:ilvl w:val="0"/>
          <w:numId w:val="0"/>
        </w:numPr>
        <w:spacing w:line="480" w:lineRule="exact"/>
        <w:ind w:firstLine="482" w:firstLineChars="200"/>
        <w:jc w:val="left"/>
        <w:rPr>
          <w:b/>
          <w:bCs/>
          <w:color w:val="auto"/>
          <w:sz w:val="24"/>
        </w:rPr>
      </w:pPr>
      <w:r>
        <w:rPr>
          <w:rFonts w:hint="eastAsia"/>
          <w:b/>
          <w:color w:val="auto"/>
          <w:sz w:val="24"/>
          <w:lang w:eastAsia="zh-CN"/>
        </w:rPr>
        <w:t>（</w:t>
      </w:r>
      <w:r>
        <w:rPr>
          <w:rFonts w:hint="eastAsia"/>
          <w:b/>
          <w:color w:val="auto"/>
          <w:sz w:val="24"/>
          <w:lang w:val="en-US" w:eastAsia="zh-CN"/>
        </w:rPr>
        <w:t>2</w:t>
      </w:r>
      <w:r>
        <w:rPr>
          <w:rFonts w:hint="eastAsia"/>
          <w:b/>
          <w:color w:val="auto"/>
          <w:sz w:val="24"/>
          <w:lang w:eastAsia="zh-CN"/>
        </w:rPr>
        <w:t>）配胶、开</w:t>
      </w:r>
      <w:r>
        <w:rPr>
          <w:b/>
          <w:color w:val="auto"/>
          <w:sz w:val="24"/>
        </w:rPr>
        <w:t>炼、</w:t>
      </w:r>
      <w:r>
        <w:rPr>
          <w:rFonts w:hint="eastAsia"/>
          <w:b/>
          <w:color w:val="auto"/>
          <w:sz w:val="24"/>
          <w:lang w:eastAsia="zh-CN"/>
        </w:rPr>
        <w:t>密炼</w:t>
      </w:r>
      <w:r>
        <w:rPr>
          <w:b/>
          <w:color w:val="auto"/>
          <w:sz w:val="24"/>
        </w:rPr>
        <w:t>废气</w:t>
      </w:r>
    </w:p>
    <w:p>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lang w:val="en-US"/>
        </w:rPr>
      </w:pPr>
      <w:r>
        <w:rPr>
          <w:rFonts w:hint="eastAsia"/>
          <w:b/>
          <w:color w:val="auto"/>
          <w:sz w:val="24"/>
          <w:lang w:eastAsia="zh-CN"/>
        </w:rPr>
        <w:t>配胶废气：</w:t>
      </w:r>
      <w:r>
        <w:rPr>
          <w:rFonts w:hint="eastAsia" w:ascii="Times New Roman" w:hAnsi="Times New Roman" w:cs="Times New Roman"/>
          <w:color w:val="auto"/>
          <w:sz w:val="24"/>
          <w:lang w:eastAsia="zh-CN"/>
        </w:rPr>
        <w:t>本项配胶</w:t>
      </w:r>
      <w:r>
        <w:rPr>
          <w:rFonts w:hint="eastAsia" w:ascii="Times New Roman" w:hAnsi="Times New Roman" w:cs="Times New Roman"/>
          <w:color w:val="auto"/>
          <w:sz w:val="24"/>
          <w:lang w:val="en-US" w:eastAsia="zh-CN"/>
        </w:rPr>
        <w:t>胶料的</w:t>
      </w:r>
      <w:r>
        <w:rPr>
          <w:rFonts w:hint="eastAsia" w:ascii="Times New Roman" w:hAnsi="Times New Roman" w:eastAsia="宋体" w:cs="Times New Roman"/>
          <w:color w:val="auto"/>
          <w:sz w:val="24"/>
          <w:lang w:val="en-US" w:eastAsia="zh-CN"/>
        </w:rPr>
        <w:t>主要成分为混炼胶、稀释剂、有机硅、底涂剂、发泡粉。类比现有项目配胶VOCs产生量约为原料的1%，项目稀释剂、底涂剂挥发量均为100%，稀释剂用量为18t/a，底涂剂用量为1t/a，则配胶搅拌间VOCs产生量为0.19t/a。发泡粉为粉状，投料搅拌过程中会产生粉尘，</w:t>
      </w:r>
      <w:r>
        <w:rPr>
          <w:rFonts w:hint="default" w:ascii="Times New Roman" w:hAnsi="Times New Roman" w:eastAsia="宋体" w:cs="Times New Roman"/>
          <w:color w:val="auto"/>
          <w:sz w:val="24"/>
        </w:rPr>
        <w:t>参照《逸散性</w:t>
      </w:r>
      <w:r>
        <w:rPr>
          <w:rFonts w:hint="default" w:ascii="Times New Roman" w:hAnsi="Times New Roman" w:eastAsia="宋体" w:cs="Times New Roman"/>
          <w:color w:val="auto"/>
          <w:sz w:val="24"/>
          <w:lang w:eastAsia="zh-CN"/>
        </w:rPr>
        <w:t>工业</w:t>
      </w:r>
      <w:r>
        <w:rPr>
          <w:rFonts w:hint="default" w:ascii="Times New Roman" w:hAnsi="Times New Roman" w:eastAsia="宋体" w:cs="Times New Roman"/>
          <w:color w:val="auto"/>
          <w:sz w:val="24"/>
        </w:rPr>
        <w:t>粉尘控制技术》《中国环境科学出版社》中“粒料加工厂逸散尘的排放因子”，</w:t>
      </w:r>
      <w:r>
        <w:rPr>
          <w:rFonts w:hint="eastAsia" w:ascii="Times New Roman" w:hAnsi="Times New Roman" w:eastAsia="宋体" w:cs="Times New Roman"/>
          <w:color w:val="auto"/>
          <w:sz w:val="24"/>
          <w:lang w:eastAsia="zh-CN"/>
        </w:rPr>
        <w:t>卸料</w:t>
      </w:r>
      <w:r>
        <w:rPr>
          <w:rFonts w:hint="default" w:ascii="Times New Roman" w:hAnsi="Times New Roman" w:eastAsia="宋体" w:cs="Times New Roman"/>
          <w:color w:val="auto"/>
          <w:sz w:val="24"/>
        </w:rPr>
        <w:t>、投料的排放因子为0.</w:t>
      </w:r>
      <w:r>
        <w:rPr>
          <w:rFonts w:hint="eastAsia" w:ascii="Times New Roman" w:hAnsi="Times New Roman" w:eastAsia="宋体" w:cs="Times New Roman"/>
          <w:color w:val="auto"/>
          <w:sz w:val="24"/>
          <w:lang w:val="en-US" w:eastAsia="zh-CN"/>
        </w:rPr>
        <w:t>02</w:t>
      </w:r>
      <w:r>
        <w:rPr>
          <w:rFonts w:hint="default" w:ascii="Times New Roman" w:hAnsi="Times New Roman" w:eastAsia="宋体" w:cs="Times New Roman"/>
          <w:color w:val="auto"/>
          <w:sz w:val="24"/>
        </w:rPr>
        <w:t>kg/t，本项目</w:t>
      </w:r>
      <w:r>
        <w:rPr>
          <w:rFonts w:hint="eastAsia" w:ascii="Times New Roman" w:hAnsi="Times New Roman" w:eastAsia="宋体" w:cs="Times New Roman"/>
          <w:color w:val="auto"/>
          <w:sz w:val="24"/>
          <w:lang w:val="en-US" w:eastAsia="zh-CN"/>
        </w:rPr>
        <w:t>发泡粉使用量</w:t>
      </w:r>
      <w:r>
        <w:rPr>
          <w:rFonts w:hint="eastAsia" w:ascii="Times New Roman" w:hAnsi="Times New Roman" w:eastAsia="宋体" w:cs="Times New Roman"/>
          <w:color w:val="auto"/>
          <w:sz w:val="24"/>
          <w:lang w:eastAsia="zh-CN"/>
        </w:rPr>
        <w:t>为</w:t>
      </w:r>
      <w:r>
        <w:rPr>
          <w:rFonts w:hint="eastAsia" w:ascii="Times New Roman" w:hAnsi="Times New Roman" w:eastAsia="宋体" w:cs="Times New Roman"/>
          <w:color w:val="auto"/>
          <w:sz w:val="24"/>
          <w:lang w:val="en-US" w:eastAsia="zh-CN"/>
        </w:rPr>
        <w:t>10</w:t>
      </w:r>
      <w:r>
        <w:rPr>
          <w:rFonts w:hint="default" w:ascii="Times New Roman" w:hAnsi="Times New Roman" w:eastAsia="宋体" w:cs="Times New Roman"/>
          <w:color w:val="auto"/>
          <w:sz w:val="24"/>
        </w:rPr>
        <w:t>万t/a，</w:t>
      </w:r>
      <w:r>
        <w:rPr>
          <w:rFonts w:hint="eastAsia" w:ascii="Times New Roman" w:hAnsi="Times New Roman" w:eastAsia="宋体" w:cs="Times New Roman"/>
          <w:color w:val="auto"/>
          <w:sz w:val="24"/>
          <w:lang w:eastAsia="zh-CN"/>
        </w:rPr>
        <w:t>则</w:t>
      </w:r>
      <w:r>
        <w:rPr>
          <w:rFonts w:hint="default" w:ascii="Times New Roman" w:hAnsi="Times New Roman" w:eastAsia="宋体" w:cs="Times New Roman"/>
          <w:color w:val="auto"/>
          <w:sz w:val="24"/>
        </w:rPr>
        <w:t>投料粉尘产生量</w:t>
      </w:r>
      <w:r>
        <w:rPr>
          <w:rFonts w:hint="eastAsia" w:ascii="Times New Roman" w:hAnsi="Times New Roman" w:eastAsia="宋体" w:cs="Times New Roman"/>
          <w:color w:val="auto"/>
          <w:sz w:val="24"/>
          <w:lang w:eastAsia="zh-CN"/>
        </w:rPr>
        <w:t>约</w:t>
      </w:r>
      <w:r>
        <w:rPr>
          <w:rFonts w:hint="default" w:ascii="Times New Roman" w:hAnsi="Times New Roman" w:eastAsia="宋体" w:cs="Times New Roman"/>
          <w:color w:val="auto"/>
          <w:sz w:val="24"/>
        </w:rPr>
        <w:t>为</w:t>
      </w:r>
      <w:r>
        <w:rPr>
          <w:rFonts w:hint="eastAsia" w:ascii="Times New Roman" w:hAnsi="Times New Roman" w:eastAsia="宋体" w:cs="Times New Roman"/>
          <w:color w:val="auto"/>
          <w:sz w:val="24"/>
          <w:lang w:val="en-US" w:eastAsia="zh-CN"/>
        </w:rPr>
        <w:t>0.2</w:t>
      </w:r>
      <w:r>
        <w:rPr>
          <w:rFonts w:hint="default" w:ascii="Times New Roman" w:hAnsi="Times New Roman" w:eastAsia="宋体" w:cs="Times New Roman"/>
          <w:color w:val="auto"/>
          <w:sz w:val="24"/>
        </w:rPr>
        <w:t>t/a</w:t>
      </w:r>
      <w:r>
        <w:rPr>
          <w:rFonts w:hint="default" w:ascii="Times New Roman" w:hAnsi="Times New Roman" w:eastAsia="宋体" w:cs="Times New Roman"/>
          <w:color w:val="auto"/>
          <w:sz w:val="24"/>
          <w:lang w:val="en-US" w:eastAsia="zh-CN"/>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cs="Times New Roman"/>
          <w:color w:val="auto"/>
          <w:sz w:val="24"/>
        </w:rPr>
      </w:pPr>
      <w:r>
        <w:rPr>
          <w:rFonts w:hint="default" w:ascii="Times New Roman" w:hAnsi="Times New Roman" w:cs="Times New Roman"/>
          <w:b/>
          <w:bCs/>
          <w:color w:val="auto"/>
          <w:sz w:val="24"/>
        </w:rPr>
        <w:t>密炼颗粒物</w:t>
      </w:r>
      <w:r>
        <w:rPr>
          <w:rFonts w:hint="default" w:ascii="Times New Roman" w:hAnsi="Times New Roman" w:cs="Times New Roman"/>
          <w:b/>
          <w:bCs/>
          <w:color w:val="auto"/>
          <w:sz w:val="24"/>
          <w:lang w:eastAsia="zh-CN"/>
        </w:rPr>
        <w:t>：</w:t>
      </w:r>
      <w:r>
        <w:rPr>
          <w:rFonts w:hint="default" w:ascii="Times New Roman" w:hAnsi="Times New Roman" w:cs="Times New Roman"/>
          <w:color w:val="auto"/>
          <w:sz w:val="24"/>
        </w:rPr>
        <w:t>根据《橡胶制品生产过程中有机废气的排放系数》（橡胶工业2006年第53卷）及《橡胶制品生产过程中废气污染物的排放系数》（橡胶工业2016年第63卷，橡胶制品密炼过程中颗粒物产生系数</w:t>
      </w:r>
      <w:r>
        <w:rPr>
          <w:rFonts w:hint="default" w:ascii="Times New Roman" w:hAnsi="Times New Roman" w:cs="Times New Roman"/>
          <w:color w:val="auto"/>
          <w:sz w:val="24"/>
          <w:lang w:val="en-US" w:eastAsia="zh-CN"/>
        </w:rPr>
        <w:t>925</w:t>
      </w:r>
      <w:r>
        <w:rPr>
          <w:rFonts w:hint="default" w:ascii="Times New Roman" w:hAnsi="Times New Roman" w:cs="Times New Roman"/>
          <w:color w:val="auto"/>
          <w:sz w:val="24"/>
        </w:rPr>
        <w:t>mg/kg-原料，</w:t>
      </w:r>
      <w:r>
        <w:rPr>
          <w:rFonts w:hint="eastAsia" w:ascii="Times New Roman" w:hAnsi="Times New Roman" w:cs="Times New Roman"/>
          <w:color w:val="auto"/>
          <w:sz w:val="24"/>
          <w:lang w:eastAsia="zh-CN"/>
        </w:rPr>
        <w:t>本项目密炼粉状原料用量为</w:t>
      </w:r>
      <w:r>
        <w:rPr>
          <w:rFonts w:hint="default" w:ascii="Times New Roman" w:hAnsi="Times New Roman" w:cs="Times New Roman"/>
          <w:color w:val="auto"/>
          <w:sz w:val="24"/>
        </w:rPr>
        <w:t>2</w:t>
      </w:r>
      <w:r>
        <w:rPr>
          <w:rFonts w:hint="eastAsia" w:ascii="Times New Roman" w:hAnsi="Times New Roman" w:cs="Times New Roman"/>
          <w:color w:val="auto"/>
          <w:sz w:val="24"/>
          <w:lang w:val="en-US" w:eastAsia="zh-CN"/>
        </w:rPr>
        <w:t>39.25</w:t>
      </w:r>
      <w:r>
        <w:rPr>
          <w:rFonts w:hint="default" w:ascii="Times New Roman" w:hAnsi="Times New Roman" w:cs="Times New Roman"/>
          <w:color w:val="auto"/>
          <w:sz w:val="24"/>
        </w:rPr>
        <w:t>t/a</w:t>
      </w:r>
      <w:r>
        <w:rPr>
          <w:rFonts w:hint="eastAsia" w:cs="Times New Roman"/>
          <w:color w:val="auto"/>
          <w:sz w:val="24"/>
          <w:lang w:eastAsia="zh-CN"/>
        </w:rPr>
        <w:t>，</w:t>
      </w:r>
      <w:r>
        <w:rPr>
          <w:rFonts w:hint="default" w:ascii="Times New Roman" w:hAnsi="Times New Roman" w:cs="Times New Roman"/>
          <w:color w:val="auto"/>
          <w:sz w:val="24"/>
          <w:lang w:eastAsia="zh-CN"/>
        </w:rPr>
        <w:t>则</w:t>
      </w:r>
      <w:r>
        <w:rPr>
          <w:rFonts w:hint="default" w:ascii="Times New Roman" w:hAnsi="Times New Roman" w:cs="Times New Roman"/>
          <w:color w:val="auto"/>
          <w:sz w:val="24"/>
        </w:rPr>
        <w:t>密炼工序颗粒物产生量</w:t>
      </w:r>
      <w:r>
        <w:rPr>
          <w:rFonts w:hint="default" w:ascii="Times New Roman" w:hAnsi="Times New Roman" w:cs="Times New Roman"/>
          <w:color w:val="auto"/>
          <w:sz w:val="24"/>
          <w:lang w:eastAsia="zh-CN"/>
        </w:rPr>
        <w:t>为</w:t>
      </w:r>
      <w:r>
        <w:rPr>
          <w:rFonts w:hint="default" w:ascii="Times New Roman" w:hAnsi="Times New Roman" w:cs="Times New Roman"/>
          <w:color w:val="auto"/>
          <w:sz w:val="24"/>
        </w:rPr>
        <w:t>0</w:t>
      </w:r>
      <w:r>
        <w:rPr>
          <w:rFonts w:hint="default" w:ascii="Times New Roman" w:hAnsi="Times New Roman" w:cs="Times New Roman"/>
          <w:color w:val="auto"/>
          <w:sz w:val="24"/>
          <w:lang w:val="en-US" w:eastAsia="zh-CN"/>
        </w:rPr>
        <w:t>.</w:t>
      </w:r>
      <w:r>
        <w:rPr>
          <w:rFonts w:hint="eastAsia" w:cs="Times New Roman"/>
          <w:color w:val="auto"/>
          <w:sz w:val="24"/>
          <w:lang w:val="en-US" w:eastAsia="zh-CN"/>
        </w:rPr>
        <w:t>22</w:t>
      </w:r>
      <w:r>
        <w:rPr>
          <w:rFonts w:hint="default" w:ascii="Times New Roman" w:hAnsi="Times New Roman" w:cs="Times New Roman"/>
          <w:color w:val="auto"/>
          <w:sz w:val="24"/>
          <w:lang w:val="en-US" w:eastAsia="zh-CN"/>
        </w:rPr>
        <w:t>t</w:t>
      </w:r>
      <w:r>
        <w:rPr>
          <w:rFonts w:hint="default" w:ascii="Times New Roman" w:hAnsi="Times New Roman" w:cs="Times New Roman"/>
          <w:color w:val="auto"/>
          <w:sz w:val="24"/>
        </w:rPr>
        <w:t>/a。</w:t>
      </w:r>
    </w:p>
    <w:p>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cs="Times New Roman"/>
          <w:color w:val="auto"/>
          <w:sz w:val="24"/>
          <w:lang w:val="en-US" w:eastAsia="zh-CN"/>
        </w:rPr>
      </w:pPr>
      <w:r>
        <w:rPr>
          <w:rFonts w:hint="default" w:ascii="Times New Roman" w:hAnsi="Times New Roman" w:cs="Times New Roman"/>
          <w:b/>
          <w:bCs/>
          <w:color w:val="auto"/>
          <w:sz w:val="24"/>
        </w:rPr>
        <w:t>有机废气</w:t>
      </w:r>
      <w:r>
        <w:rPr>
          <w:rFonts w:hint="default" w:ascii="Times New Roman" w:hAnsi="Times New Roman" w:cs="Times New Roman"/>
          <w:b/>
          <w:bCs/>
          <w:color w:val="auto"/>
          <w:sz w:val="24"/>
          <w:lang w:eastAsia="zh-CN"/>
        </w:rPr>
        <w:t>：</w:t>
      </w:r>
      <w:r>
        <w:rPr>
          <w:rFonts w:hint="default" w:ascii="Times New Roman" w:hAnsi="Times New Roman" w:cs="Times New Roman"/>
          <w:color w:val="auto"/>
          <w:sz w:val="24"/>
        </w:rPr>
        <w:t>根据《橡胶制品生产过程中有机废气的排放系数》（橡胶工业2006年第53卷）及《橡胶制品生产过程中废气污染物的排放系数》（橡胶工业2016年第63卷，美国橡胶制造者协会对橡胶制品在生产过程中有机废气排放系数的测试过程和测试结果），参照美国国家环保局EPA编制的《空气污染物排放系数汇编》（俗称AP-42）中橡胶制品业排放因子列表（2009年2月更新），橡胶制品有机废气（主要为非甲烷总烃）产生系数：密炼工序</w:t>
      </w:r>
      <w:r>
        <w:rPr>
          <w:rFonts w:hint="default" w:ascii="Times New Roman" w:hAnsi="Times New Roman" w:cs="Times New Roman"/>
          <w:color w:val="auto"/>
          <w:sz w:val="24"/>
          <w:lang w:val="en-US" w:eastAsia="zh-CN"/>
        </w:rPr>
        <w:t>256</w:t>
      </w:r>
      <w:r>
        <w:rPr>
          <w:rFonts w:hint="default" w:ascii="Times New Roman" w:hAnsi="Times New Roman" w:cs="Times New Roman"/>
          <w:color w:val="auto"/>
          <w:sz w:val="24"/>
        </w:rPr>
        <w:t>mg/kg-胶料、开炼工序</w:t>
      </w:r>
      <w:r>
        <w:rPr>
          <w:rFonts w:hint="default" w:ascii="Times New Roman" w:hAnsi="Times New Roman" w:cs="Times New Roman"/>
          <w:color w:val="auto"/>
          <w:sz w:val="24"/>
          <w:lang w:val="en-US" w:eastAsia="zh-CN"/>
        </w:rPr>
        <w:t>144</w:t>
      </w:r>
      <w:r>
        <w:rPr>
          <w:rFonts w:hint="default" w:ascii="Times New Roman" w:hAnsi="Times New Roman" w:cs="Times New Roman"/>
          <w:color w:val="auto"/>
          <w:sz w:val="24"/>
        </w:rPr>
        <w:t>mg/kg-胶料</w:t>
      </w:r>
      <w:r>
        <w:rPr>
          <w:rFonts w:hint="eastAsia" w:ascii="Times New Roman" w:hAnsi="Times New Roman" w:cs="Times New Roman"/>
          <w:color w:val="auto"/>
          <w:sz w:val="24"/>
          <w:lang w:eastAsia="zh-CN"/>
        </w:rPr>
        <w:t>；</w:t>
      </w:r>
      <w:r>
        <w:rPr>
          <w:rFonts w:hint="default" w:ascii="Times New Roman" w:hAnsi="Times New Roman" w:cs="Times New Roman"/>
          <w:color w:val="auto"/>
          <w:sz w:val="24"/>
        </w:rPr>
        <w:t>硫化氢产生系数：密炼工序</w:t>
      </w:r>
      <w:r>
        <w:rPr>
          <w:rFonts w:hint="default" w:ascii="Times New Roman" w:hAnsi="Times New Roman" w:cs="Times New Roman"/>
          <w:color w:val="auto"/>
          <w:sz w:val="24"/>
          <w:lang w:val="en-US" w:eastAsia="zh-CN"/>
        </w:rPr>
        <w:t>116</w:t>
      </w:r>
      <w:r>
        <w:rPr>
          <w:rFonts w:hint="default" w:ascii="Times New Roman" w:hAnsi="Times New Roman" w:cs="Times New Roman"/>
          <w:color w:val="auto"/>
          <w:sz w:val="24"/>
        </w:rPr>
        <w:t>mg/kg-胶料</w:t>
      </w:r>
      <w:r>
        <w:rPr>
          <w:rFonts w:hint="default" w:ascii="Times New Roman" w:hAnsi="Times New Roman" w:cs="Times New Roman"/>
          <w:color w:val="auto"/>
          <w:sz w:val="24"/>
          <w:lang w:eastAsia="zh-CN"/>
        </w:rPr>
        <w:t>、</w:t>
      </w:r>
      <w:r>
        <w:rPr>
          <w:rFonts w:hint="default" w:ascii="Times New Roman" w:hAnsi="Times New Roman" w:cs="Times New Roman"/>
          <w:color w:val="auto"/>
          <w:sz w:val="24"/>
        </w:rPr>
        <w:t>开炼工序</w:t>
      </w:r>
      <w:r>
        <w:rPr>
          <w:rFonts w:hint="default" w:ascii="Times New Roman" w:hAnsi="Times New Roman" w:cs="Times New Roman"/>
          <w:color w:val="auto"/>
          <w:sz w:val="24"/>
          <w:lang w:val="en-US" w:eastAsia="zh-CN"/>
        </w:rPr>
        <w:t>71</w:t>
      </w:r>
      <w:r>
        <w:rPr>
          <w:rFonts w:hint="default" w:ascii="Times New Roman" w:hAnsi="Times New Roman" w:cs="Times New Roman"/>
          <w:color w:val="auto"/>
          <w:sz w:val="24"/>
        </w:rPr>
        <w:t>mg/kg-胶料</w:t>
      </w:r>
      <w:r>
        <w:rPr>
          <w:rFonts w:hint="eastAsia" w:ascii="Times New Roman" w:hAnsi="Times New Roman" w:cs="Times New Roman"/>
          <w:color w:val="auto"/>
          <w:sz w:val="24"/>
          <w:lang w:eastAsia="zh-CN"/>
        </w:rPr>
        <w:t>，</w:t>
      </w:r>
      <w:r>
        <w:rPr>
          <w:rFonts w:hint="default" w:ascii="Times New Roman" w:hAnsi="Times New Roman" w:cs="Times New Roman"/>
          <w:color w:val="auto"/>
          <w:sz w:val="24"/>
          <w:lang w:eastAsia="zh-CN"/>
        </w:rPr>
        <w:t>项目使用胶料</w:t>
      </w:r>
      <w:r>
        <w:rPr>
          <w:rFonts w:hint="eastAsia" w:cs="Times New Roman"/>
          <w:color w:val="auto"/>
          <w:sz w:val="24"/>
          <w:lang w:val="en-US" w:eastAsia="zh-CN"/>
        </w:rPr>
        <w:t>454.25</w:t>
      </w:r>
      <w:r>
        <w:rPr>
          <w:rFonts w:hint="default" w:ascii="Times New Roman" w:hAnsi="Times New Roman" w:cs="Times New Roman"/>
          <w:color w:val="auto"/>
          <w:sz w:val="24"/>
          <w:lang w:val="en-US" w:eastAsia="zh-CN"/>
        </w:rPr>
        <w:t>t/a，</w:t>
      </w:r>
      <w:r>
        <w:rPr>
          <w:rFonts w:hint="default" w:ascii="Times New Roman" w:hAnsi="Times New Roman" w:cs="Times New Roman"/>
          <w:color w:val="auto"/>
          <w:sz w:val="24"/>
        </w:rPr>
        <w:t>计算可知非甲烷总烃</w:t>
      </w:r>
      <w:r>
        <w:rPr>
          <w:rFonts w:hint="default" w:ascii="Times New Roman" w:hAnsi="Times New Roman" w:cs="Times New Roman"/>
          <w:color w:val="auto"/>
          <w:sz w:val="24"/>
          <w:lang w:eastAsia="zh-CN"/>
        </w:rPr>
        <w:t>产生量为</w:t>
      </w:r>
      <w:r>
        <w:rPr>
          <w:rFonts w:hint="default" w:ascii="Times New Roman" w:hAnsi="Times New Roman" w:cs="Times New Roman"/>
          <w:color w:val="auto"/>
          <w:sz w:val="24"/>
          <w:lang w:val="en-US" w:eastAsia="zh-CN"/>
        </w:rPr>
        <w:t>0.</w:t>
      </w:r>
      <w:r>
        <w:rPr>
          <w:rFonts w:hint="eastAsia" w:cs="Times New Roman"/>
          <w:color w:val="auto"/>
          <w:sz w:val="24"/>
          <w:lang w:val="en-US" w:eastAsia="zh-CN"/>
        </w:rPr>
        <w:t>18</w:t>
      </w:r>
      <w:r>
        <w:rPr>
          <w:rFonts w:hint="default" w:ascii="Times New Roman" w:hAnsi="Times New Roman" w:cs="Times New Roman"/>
          <w:color w:val="auto"/>
          <w:sz w:val="24"/>
        </w:rPr>
        <w:t>t/a、H</w:t>
      </w:r>
      <w:r>
        <w:rPr>
          <w:rFonts w:hint="default" w:ascii="Times New Roman" w:hAnsi="Times New Roman" w:cs="Times New Roman"/>
          <w:bCs/>
          <w:color w:val="auto"/>
          <w:sz w:val="24"/>
          <w:vertAlign w:val="subscript"/>
        </w:rPr>
        <w:t>2</w:t>
      </w:r>
      <w:r>
        <w:rPr>
          <w:rFonts w:hint="default" w:ascii="Times New Roman" w:hAnsi="Times New Roman" w:cs="Times New Roman"/>
          <w:bCs/>
          <w:color w:val="auto"/>
          <w:sz w:val="24"/>
        </w:rPr>
        <w:t>S</w:t>
      </w:r>
      <w:r>
        <w:rPr>
          <w:rFonts w:hint="default" w:ascii="Times New Roman" w:hAnsi="Times New Roman" w:cs="Times New Roman"/>
          <w:color w:val="auto"/>
          <w:sz w:val="24"/>
          <w:lang w:eastAsia="zh-CN"/>
        </w:rPr>
        <w:t>产生量为</w:t>
      </w:r>
      <w:r>
        <w:rPr>
          <w:rFonts w:hint="default" w:ascii="Times New Roman" w:hAnsi="Times New Roman" w:cs="Times New Roman"/>
          <w:bCs/>
          <w:color w:val="auto"/>
          <w:sz w:val="24"/>
        </w:rPr>
        <w:t>0.</w:t>
      </w:r>
      <w:r>
        <w:rPr>
          <w:rFonts w:hint="eastAsia" w:cs="Times New Roman"/>
          <w:bCs/>
          <w:color w:val="auto"/>
          <w:sz w:val="24"/>
          <w:lang w:val="en-US" w:eastAsia="zh-CN"/>
        </w:rPr>
        <w:t>085t</w:t>
      </w:r>
      <w:r>
        <w:rPr>
          <w:rFonts w:hint="default" w:ascii="Times New Roman" w:hAnsi="Times New Roman" w:cs="Times New Roman"/>
          <w:color w:val="auto"/>
          <w:sz w:val="24"/>
        </w:rPr>
        <w:t>/a。</w:t>
      </w:r>
      <w:r>
        <w:rPr>
          <w:rFonts w:hint="default" w:ascii="Times New Roman" w:hAnsi="Times New Roman" w:cs="Times New Roman"/>
          <w:color w:val="auto"/>
          <w:sz w:val="24"/>
          <w:lang w:val="en-US" w:eastAsia="zh-CN"/>
        </w:rPr>
        <w:t xml:space="preserve">                  </w:t>
      </w:r>
    </w:p>
    <w:p>
      <w:pPr>
        <w:adjustRightInd w:val="0"/>
        <w:snapToGrid w:val="0"/>
        <w:spacing w:line="520" w:lineRule="exact"/>
        <w:ind w:firstLine="482" w:firstLineChars="200"/>
        <w:rPr>
          <w:rFonts w:hint="default" w:ascii="Times New Roman" w:hAnsi="Times New Roman" w:cs="Times New Roman"/>
          <w:b/>
          <w:color w:val="auto"/>
          <w:sz w:val="24"/>
        </w:rPr>
      </w:pPr>
      <w:r>
        <w:rPr>
          <w:rFonts w:hint="default" w:ascii="Times New Roman" w:hAnsi="Times New Roman" w:cs="Times New Roman"/>
          <w:b/>
          <w:color w:val="auto"/>
          <w:sz w:val="24"/>
        </w:rPr>
        <w:t>废气收集方式、收集效率、风机风量、处理措施：</w:t>
      </w:r>
    </w:p>
    <w:p>
      <w:pPr>
        <w:autoSpaceDE w:val="0"/>
        <w:autoSpaceDN w:val="0"/>
        <w:adjustRightInd w:val="0"/>
        <w:snapToGrid w:val="0"/>
        <w:spacing w:line="520" w:lineRule="exact"/>
        <w:ind w:firstLine="480" w:firstLineChars="200"/>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eastAsia="zh-CN"/>
        </w:rPr>
        <w:t>针对本项目的平面布局以及实际生产情况，密炼工序、</w:t>
      </w:r>
      <w:r>
        <w:rPr>
          <w:rFonts w:hint="default" w:ascii="Times New Roman" w:hAnsi="Times New Roman" w:cs="Times New Roman"/>
          <w:color w:val="auto"/>
          <w:sz w:val="24"/>
          <w:lang w:val="en-US" w:eastAsia="zh-CN"/>
        </w:rPr>
        <w:t>开炼</w:t>
      </w:r>
      <w:r>
        <w:rPr>
          <w:rFonts w:hint="default" w:ascii="Times New Roman" w:hAnsi="Times New Roman" w:cs="Times New Roman"/>
          <w:color w:val="auto"/>
          <w:sz w:val="24"/>
          <w:lang w:eastAsia="zh-CN"/>
        </w:rPr>
        <w:t>工序</w:t>
      </w:r>
      <w:r>
        <w:rPr>
          <w:rFonts w:hint="eastAsia" w:cs="Times New Roman"/>
          <w:color w:val="auto"/>
          <w:sz w:val="24"/>
          <w:lang w:eastAsia="zh-CN"/>
        </w:rPr>
        <w:t>、配胶搅拌</w:t>
      </w:r>
      <w:r>
        <w:rPr>
          <w:rFonts w:hint="default" w:ascii="Times New Roman" w:hAnsi="Times New Roman" w:cs="Times New Roman"/>
          <w:color w:val="auto"/>
          <w:sz w:val="24"/>
          <w:lang w:val="en-US" w:eastAsia="zh-CN"/>
        </w:rPr>
        <w:t>生产时间较短，为4h/d。本项目将配</w:t>
      </w:r>
      <w:r>
        <w:rPr>
          <w:rFonts w:hint="eastAsia" w:cs="Times New Roman"/>
          <w:color w:val="auto"/>
          <w:sz w:val="24"/>
          <w:lang w:val="en-US" w:eastAsia="zh-CN"/>
        </w:rPr>
        <w:t>胶搅拌间设置集气装置，单独设置一套布袋除尘器处理投料粉尘，密炼产生的粉尘单独设置一套布袋除尘器净化处理，投料粉尘、密炼粉尘分别设置2套布袋除尘器进行处理后，再与开炼废气一并进入一套二级活性炭净化装</w:t>
      </w:r>
      <w:r>
        <w:rPr>
          <w:rFonts w:hint="eastAsia" w:ascii="Times New Roman" w:hAnsi="Times New Roman" w:cs="Times New Roman"/>
          <w:color w:val="auto"/>
          <w:sz w:val="24"/>
          <w:lang w:val="en-US" w:eastAsia="zh-CN"/>
        </w:rPr>
        <w:t>置+15m高排气筒（</w:t>
      </w:r>
      <w:r>
        <w:rPr>
          <w:rFonts w:hint="eastAsia" w:cs="Times New Roman"/>
          <w:color w:val="auto"/>
          <w:sz w:val="24"/>
          <w:lang w:val="en-US" w:eastAsia="zh-CN"/>
        </w:rPr>
        <w:t>2</w:t>
      </w:r>
      <w:r>
        <w:rPr>
          <w:rFonts w:hint="eastAsia" w:ascii="Times New Roman" w:hAnsi="Times New Roman" w:cs="Times New Roman"/>
          <w:color w:val="auto"/>
          <w:sz w:val="24"/>
          <w:lang w:val="en-US" w:eastAsia="zh-CN"/>
        </w:rPr>
        <w:t>#排气</w:t>
      </w:r>
      <w:r>
        <w:rPr>
          <w:rFonts w:hint="default" w:ascii="Times New Roman" w:hAnsi="Times New Roman" w:cs="Times New Roman"/>
          <w:color w:val="auto"/>
          <w:sz w:val="24"/>
          <w:lang w:val="en-US" w:eastAsia="zh-CN"/>
        </w:rPr>
        <w:t>筒）进行处理</w:t>
      </w:r>
      <w:r>
        <w:rPr>
          <w:rFonts w:hint="eastAsia" w:cs="Times New Roman"/>
          <w:color w:val="auto"/>
          <w:sz w:val="24"/>
          <w:lang w:val="en-US" w:eastAsia="zh-CN"/>
        </w:rPr>
        <w:t>。</w:t>
      </w:r>
      <w:r>
        <w:rPr>
          <w:rFonts w:hint="default" w:ascii="Times New Roman" w:hAnsi="Times New Roman" w:cs="Times New Roman"/>
          <w:color w:val="auto"/>
          <w:sz w:val="24"/>
          <w:lang w:eastAsia="zh-CN"/>
        </w:rPr>
        <w:t>风机总风量为</w:t>
      </w:r>
      <w:r>
        <w:rPr>
          <w:rFonts w:hint="eastAsia" w:cs="Times New Roman"/>
          <w:color w:val="auto"/>
          <w:sz w:val="24"/>
          <w:lang w:val="en-US" w:eastAsia="zh-CN"/>
        </w:rPr>
        <w:t>2</w:t>
      </w:r>
      <w:r>
        <w:rPr>
          <w:rFonts w:hint="default" w:ascii="Times New Roman" w:hAnsi="Times New Roman" w:cs="Times New Roman"/>
          <w:color w:val="auto"/>
          <w:sz w:val="24"/>
          <w:lang w:val="en-US" w:eastAsia="zh-CN"/>
        </w:rPr>
        <w:t>0000</w:t>
      </w:r>
      <w:r>
        <w:rPr>
          <w:rFonts w:hint="default" w:ascii="Times New Roman" w:hAnsi="Times New Roman" w:cs="Times New Roman"/>
          <w:color w:val="auto"/>
          <w:sz w:val="24"/>
        </w:rPr>
        <w:t>m³/h</w:t>
      </w:r>
      <w:r>
        <w:rPr>
          <w:rFonts w:hint="default" w:ascii="Times New Roman" w:hAnsi="Times New Roman" w:cs="Times New Roman"/>
          <w:color w:val="auto"/>
          <w:sz w:val="24"/>
          <w:lang w:eastAsia="zh-CN"/>
        </w:rPr>
        <w:t>，</w:t>
      </w:r>
      <w:r>
        <w:rPr>
          <w:rFonts w:hint="default" w:ascii="Times New Roman" w:hAnsi="Times New Roman" w:cs="Times New Roman"/>
          <w:color w:val="auto"/>
          <w:sz w:val="24"/>
          <w:lang w:val="en-US" w:eastAsia="zh-CN"/>
        </w:rPr>
        <w:t>布袋除尘装置净化效率以99%计</w:t>
      </w:r>
      <w:r>
        <w:rPr>
          <w:rFonts w:hint="default" w:ascii="Times New Roman" w:hAnsi="Times New Roman" w:cs="Times New Roman"/>
          <w:color w:val="auto"/>
          <w:sz w:val="24"/>
          <w:lang w:eastAsia="zh-CN"/>
        </w:rPr>
        <w:t>，</w:t>
      </w:r>
      <w:r>
        <w:rPr>
          <w:rFonts w:hint="eastAsia" w:cs="Times New Roman"/>
          <w:color w:val="auto"/>
          <w:sz w:val="24"/>
          <w:lang w:eastAsia="zh-CN"/>
        </w:rPr>
        <w:t>二级活性炭净化装</w:t>
      </w:r>
      <w:r>
        <w:rPr>
          <w:rFonts w:hint="default" w:ascii="Times New Roman" w:hAnsi="Times New Roman" w:cs="Times New Roman"/>
          <w:color w:val="auto"/>
          <w:sz w:val="24"/>
          <w:lang w:val="en-US" w:eastAsia="zh-CN"/>
        </w:rPr>
        <w:t>置净化效率以</w:t>
      </w:r>
      <w:r>
        <w:rPr>
          <w:rFonts w:hint="eastAsia" w:cs="Times New Roman"/>
          <w:color w:val="auto"/>
          <w:sz w:val="24"/>
          <w:lang w:val="en-US" w:eastAsia="zh-CN"/>
        </w:rPr>
        <w:t>95</w:t>
      </w:r>
      <w:r>
        <w:rPr>
          <w:rFonts w:hint="default" w:ascii="Times New Roman" w:hAnsi="Times New Roman" w:cs="Times New Roman"/>
          <w:color w:val="auto"/>
          <w:sz w:val="24"/>
          <w:lang w:val="en-US" w:eastAsia="zh-CN"/>
        </w:rPr>
        <w:t>%计。</w:t>
      </w:r>
    </w:p>
    <w:p>
      <w:pPr>
        <w:spacing w:line="520" w:lineRule="exact"/>
        <w:ind w:firstLine="482"/>
        <w:rPr>
          <w:rFonts w:hint="default" w:ascii="Times New Roman" w:hAnsi="Times New Roman" w:cs="Times New Roman"/>
          <w:b/>
          <w:color w:val="auto"/>
          <w:sz w:val="24"/>
        </w:rPr>
      </w:pPr>
      <w:r>
        <w:rPr>
          <w:rFonts w:hint="default" w:ascii="Times New Roman" w:hAnsi="Times New Roman" w:cs="Times New Roman"/>
          <w:b/>
          <w:color w:val="auto"/>
          <w:sz w:val="24"/>
          <w:lang w:val="en-US" w:eastAsia="zh-CN"/>
        </w:rPr>
        <w:t>2#排气筒</w:t>
      </w:r>
      <w:r>
        <w:rPr>
          <w:rFonts w:hint="default" w:ascii="Times New Roman" w:hAnsi="Times New Roman" w:cs="Times New Roman"/>
          <w:b/>
          <w:color w:val="auto"/>
          <w:sz w:val="24"/>
        </w:rPr>
        <w:t>达标分析：</w:t>
      </w:r>
    </w:p>
    <w:p>
      <w:pPr>
        <w:spacing w:line="520" w:lineRule="exact"/>
        <w:ind w:firstLine="482"/>
        <w:rPr>
          <w:rFonts w:hint="default" w:ascii="Times New Roman" w:hAnsi="Times New Roman" w:cs="Times New Roman"/>
          <w:color w:val="auto"/>
          <w:sz w:val="24"/>
        </w:rPr>
      </w:pPr>
      <w:r>
        <w:rPr>
          <w:rFonts w:hint="default" w:ascii="Times New Roman" w:hAnsi="Times New Roman" w:cs="Times New Roman"/>
          <w:color w:val="auto"/>
          <w:sz w:val="24"/>
        </w:rPr>
        <w:t>基准排气量换算：</w:t>
      </w:r>
    </w:p>
    <w:p>
      <w:pPr>
        <w:spacing w:line="520" w:lineRule="exact"/>
        <w:ind w:firstLine="482"/>
        <w:rPr>
          <w:rFonts w:hint="default" w:ascii="Times New Roman" w:hAnsi="Times New Roman" w:cs="Times New Roman"/>
          <w:color w:val="auto"/>
          <w:sz w:val="24"/>
        </w:rPr>
      </w:pPr>
      <w:r>
        <w:rPr>
          <w:rFonts w:hint="default" w:ascii="Times New Roman" w:hAnsi="Times New Roman" w:cs="Times New Roman"/>
          <w:color w:val="auto"/>
          <w:sz w:val="24"/>
          <w:lang w:eastAsia="zh-CN"/>
        </w:rPr>
        <w:t>密炼粉尘</w:t>
      </w:r>
      <w:r>
        <w:rPr>
          <w:rFonts w:hint="default" w:ascii="Times New Roman" w:hAnsi="Times New Roman" w:cs="Times New Roman"/>
          <w:color w:val="auto"/>
          <w:sz w:val="24"/>
        </w:rPr>
        <w:t>胶料基准排气量2000m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/t胶料，折合风量</w:t>
      </w:r>
      <w:r>
        <w:rPr>
          <w:rFonts w:hint="eastAsia" w:cs="Times New Roman"/>
          <w:color w:val="auto"/>
          <w:sz w:val="24"/>
          <w:lang w:val="en-US" w:eastAsia="zh-CN"/>
        </w:rPr>
        <w:t>757</w:t>
      </w:r>
      <w:r>
        <w:rPr>
          <w:rFonts w:hint="default" w:ascii="Times New Roman" w:hAnsi="Times New Roman" w:cs="Times New Roman"/>
          <w:color w:val="auto"/>
          <w:sz w:val="24"/>
        </w:rPr>
        <w:t>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/h，本项目设计风机风量</w:t>
      </w:r>
      <w:r>
        <w:rPr>
          <w:rFonts w:hint="eastAsia" w:cs="Times New Roman"/>
          <w:color w:val="auto"/>
          <w:sz w:val="24"/>
          <w:lang w:val="en-US" w:eastAsia="zh-CN"/>
        </w:rPr>
        <w:t>2</w:t>
      </w:r>
      <w:r>
        <w:rPr>
          <w:rFonts w:hint="default" w:ascii="Times New Roman" w:hAnsi="Times New Roman" w:cs="Times New Roman"/>
          <w:color w:val="auto"/>
          <w:sz w:val="24"/>
          <w:lang w:val="en-US" w:eastAsia="zh-CN"/>
        </w:rPr>
        <w:t>0</w:t>
      </w:r>
      <w:r>
        <w:rPr>
          <w:rFonts w:hint="default" w:ascii="Times New Roman" w:hAnsi="Times New Roman" w:cs="Times New Roman"/>
          <w:color w:val="auto"/>
          <w:sz w:val="24"/>
        </w:rPr>
        <w:t>000m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/h</w:t>
      </w:r>
      <w:r>
        <w:rPr>
          <w:rFonts w:hint="default" w:ascii="Times New Roman" w:hAnsi="Times New Roman" w:cs="Times New Roman"/>
          <w:color w:val="auto"/>
          <w:sz w:val="24"/>
          <w:lang w:eastAsia="zh-CN"/>
        </w:rPr>
        <w:t>；密炼、</w:t>
      </w:r>
      <w:r>
        <w:rPr>
          <w:rFonts w:hint="eastAsia" w:cs="Times New Roman"/>
          <w:color w:val="auto"/>
          <w:sz w:val="24"/>
          <w:lang w:eastAsia="zh-CN"/>
        </w:rPr>
        <w:t>开炼</w:t>
      </w:r>
      <w:r>
        <w:rPr>
          <w:rFonts w:hint="default" w:ascii="Times New Roman" w:hAnsi="Times New Roman" w:cs="Times New Roman"/>
          <w:color w:val="auto"/>
          <w:sz w:val="24"/>
          <w:lang w:eastAsia="zh-CN"/>
        </w:rPr>
        <w:t>非甲烷总烃</w:t>
      </w:r>
      <w:r>
        <w:rPr>
          <w:rFonts w:hint="default" w:ascii="Times New Roman" w:hAnsi="Times New Roman" w:cs="Times New Roman"/>
          <w:color w:val="auto"/>
          <w:sz w:val="24"/>
        </w:rPr>
        <w:t>基准排气量2000m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/t胶料，折合风量</w:t>
      </w:r>
      <w:r>
        <w:rPr>
          <w:rFonts w:hint="eastAsia" w:cs="Times New Roman"/>
          <w:color w:val="auto"/>
          <w:sz w:val="24"/>
          <w:lang w:val="en-US" w:eastAsia="zh-CN"/>
        </w:rPr>
        <w:t>757</w:t>
      </w:r>
      <w:r>
        <w:rPr>
          <w:rFonts w:hint="default" w:ascii="Times New Roman" w:hAnsi="Times New Roman" w:cs="Times New Roman"/>
          <w:color w:val="auto"/>
          <w:sz w:val="24"/>
        </w:rPr>
        <w:t>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/h，设计风机风量</w:t>
      </w:r>
      <w:r>
        <w:rPr>
          <w:rFonts w:hint="eastAsia" w:cs="Times New Roman"/>
          <w:color w:val="auto"/>
          <w:sz w:val="24"/>
          <w:lang w:val="en-US" w:eastAsia="zh-CN"/>
        </w:rPr>
        <w:t>2</w:t>
      </w:r>
      <w:r>
        <w:rPr>
          <w:rFonts w:hint="default" w:ascii="Times New Roman" w:hAnsi="Times New Roman" w:cs="Times New Roman"/>
          <w:color w:val="auto"/>
          <w:sz w:val="24"/>
          <w:lang w:val="en-US" w:eastAsia="zh-CN"/>
        </w:rPr>
        <w:t>0</w:t>
      </w:r>
      <w:r>
        <w:rPr>
          <w:rFonts w:hint="default" w:ascii="Times New Roman" w:hAnsi="Times New Roman" w:cs="Times New Roman"/>
          <w:color w:val="auto"/>
          <w:sz w:val="24"/>
        </w:rPr>
        <w:t>000m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/h，因此需以大气污染物基准气量排放浓度作为判定排放是否达标的依据。</w:t>
      </w:r>
    </w:p>
    <w:p>
      <w:pPr>
        <w:spacing w:line="520" w:lineRule="exact"/>
        <w:ind w:firstLine="482"/>
        <w:rPr>
          <w:rFonts w:hint="default" w:ascii="Times New Roman" w:hAnsi="Times New Roman" w:cs="Times New Roman"/>
          <w:color w:val="auto"/>
          <w:sz w:val="24"/>
          <w:vertAlign w:val="superscript"/>
        </w:rPr>
      </w:pPr>
      <w:r>
        <w:rPr>
          <w:rFonts w:hint="default" w:ascii="Times New Roman" w:hAnsi="Times New Roman" w:cs="Times New Roman"/>
          <w:color w:val="auto"/>
          <w:sz w:val="24"/>
        </w:rPr>
        <w:t>C</w:t>
      </w:r>
      <w:r>
        <w:rPr>
          <w:rFonts w:hint="default" w:ascii="Times New Roman" w:hAnsi="Times New Roman" w:cs="Times New Roman"/>
          <w:color w:val="auto"/>
          <w:sz w:val="18"/>
          <w:szCs w:val="18"/>
        </w:rPr>
        <w:t>基准排放浓度</w:t>
      </w:r>
      <w:r>
        <w:rPr>
          <w:rFonts w:hint="default" w:ascii="Times New Roman" w:hAnsi="Times New Roman" w:cs="Times New Roman"/>
          <w:color w:val="auto"/>
          <w:sz w:val="24"/>
        </w:rPr>
        <w:t>（颗粒物）=（</w:t>
      </w:r>
      <w:r>
        <w:rPr>
          <w:rFonts w:hint="eastAsia" w:cs="Times New Roman"/>
          <w:color w:val="auto"/>
          <w:sz w:val="24"/>
          <w:lang w:val="en-US" w:eastAsia="zh-CN"/>
        </w:rPr>
        <w:t>2</w:t>
      </w:r>
      <w:r>
        <w:rPr>
          <w:rFonts w:hint="default" w:ascii="Times New Roman" w:hAnsi="Times New Roman" w:cs="Times New Roman"/>
          <w:color w:val="auto"/>
          <w:sz w:val="24"/>
          <w:lang w:val="en-US" w:eastAsia="zh-CN"/>
        </w:rPr>
        <w:t>0000</w:t>
      </w:r>
      <w:r>
        <w:rPr>
          <w:rFonts w:hint="default" w:ascii="Times New Roman" w:hAnsi="Times New Roman" w:cs="Times New Roman"/>
          <w:color w:val="auto"/>
          <w:sz w:val="24"/>
        </w:rPr>
        <w:t>/</w:t>
      </w:r>
      <w:r>
        <w:rPr>
          <w:rFonts w:hint="eastAsia" w:cs="Times New Roman"/>
          <w:color w:val="auto"/>
          <w:sz w:val="24"/>
          <w:lang w:val="en-US" w:eastAsia="zh-CN"/>
        </w:rPr>
        <w:t>757</w:t>
      </w:r>
      <w:r>
        <w:rPr>
          <w:rFonts w:hint="default" w:ascii="Times New Roman" w:hAnsi="Times New Roman" w:cs="Times New Roman"/>
          <w:color w:val="auto"/>
          <w:sz w:val="24"/>
        </w:rPr>
        <w:t>）*</w:t>
      </w:r>
      <w:r>
        <w:rPr>
          <w:rFonts w:hint="default" w:ascii="Times New Roman" w:hAnsi="Times New Roman" w:cs="Times New Roman"/>
          <w:color w:val="auto"/>
          <w:sz w:val="24"/>
          <w:lang w:val="en-US" w:eastAsia="zh-CN"/>
        </w:rPr>
        <w:t>0.</w:t>
      </w:r>
      <w:r>
        <w:rPr>
          <w:rFonts w:hint="eastAsia" w:cs="Times New Roman"/>
          <w:color w:val="auto"/>
          <w:sz w:val="24"/>
          <w:lang w:val="en-US" w:eastAsia="zh-CN"/>
        </w:rPr>
        <w:t>088</w:t>
      </w:r>
      <w:r>
        <w:rPr>
          <w:rFonts w:hint="default" w:ascii="Times New Roman" w:hAnsi="Times New Roman" w:cs="Times New Roman"/>
          <w:color w:val="auto"/>
          <w:sz w:val="24"/>
        </w:rPr>
        <w:t>mg/m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w:t>
      </w:r>
      <w:r>
        <w:rPr>
          <w:rFonts w:hint="eastAsia" w:cs="Times New Roman"/>
          <w:color w:val="auto"/>
          <w:sz w:val="24"/>
          <w:lang w:val="en-US" w:eastAsia="zh-CN"/>
        </w:rPr>
        <w:t>2.3</w:t>
      </w:r>
      <w:r>
        <w:rPr>
          <w:rFonts w:hint="default" w:ascii="Times New Roman" w:hAnsi="Times New Roman" w:cs="Times New Roman"/>
          <w:color w:val="auto"/>
          <w:sz w:val="24"/>
        </w:rPr>
        <w:t>mg/m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&lt;12mg/m</w:t>
      </w:r>
      <w:r>
        <w:rPr>
          <w:rFonts w:hint="default" w:ascii="Times New Roman" w:hAnsi="Times New Roman" w:cs="Times New Roman"/>
          <w:color w:val="auto"/>
          <w:sz w:val="24"/>
          <w:vertAlign w:val="superscript"/>
        </w:rPr>
        <w:t>3</w:t>
      </w:r>
    </w:p>
    <w:p>
      <w:pPr>
        <w:spacing w:line="520" w:lineRule="exact"/>
        <w:ind w:firstLine="482"/>
        <w:rPr>
          <w:rFonts w:hint="default" w:ascii="Times New Roman" w:hAnsi="Times New Roman" w:cs="Times New Roman"/>
          <w:color w:val="auto"/>
          <w:sz w:val="24"/>
        </w:rPr>
      </w:pPr>
      <w:r>
        <w:rPr>
          <w:rFonts w:hint="default" w:ascii="Times New Roman" w:hAnsi="Times New Roman" w:cs="Times New Roman"/>
          <w:color w:val="auto"/>
          <w:sz w:val="24"/>
        </w:rPr>
        <w:t>C</w:t>
      </w:r>
      <w:r>
        <w:rPr>
          <w:rFonts w:hint="default" w:ascii="Times New Roman" w:hAnsi="Times New Roman" w:cs="Times New Roman"/>
          <w:color w:val="auto"/>
          <w:sz w:val="18"/>
          <w:szCs w:val="18"/>
        </w:rPr>
        <w:t>基准排放浓度</w:t>
      </w:r>
      <w:r>
        <w:rPr>
          <w:rFonts w:hint="default" w:ascii="Times New Roman" w:hAnsi="Times New Roman" w:cs="Times New Roman"/>
          <w:color w:val="auto"/>
          <w:sz w:val="24"/>
        </w:rPr>
        <w:t>（非甲烷总烃）=（</w:t>
      </w:r>
      <w:r>
        <w:rPr>
          <w:rFonts w:hint="eastAsia" w:cs="Times New Roman"/>
          <w:color w:val="auto"/>
          <w:sz w:val="24"/>
          <w:lang w:val="en-US" w:eastAsia="zh-CN"/>
        </w:rPr>
        <w:t>2</w:t>
      </w:r>
      <w:r>
        <w:rPr>
          <w:rFonts w:hint="default" w:ascii="Times New Roman" w:hAnsi="Times New Roman" w:cs="Times New Roman"/>
          <w:color w:val="auto"/>
          <w:sz w:val="24"/>
          <w:lang w:val="en-US" w:eastAsia="zh-CN"/>
        </w:rPr>
        <w:t>0000/</w:t>
      </w:r>
      <w:r>
        <w:rPr>
          <w:rFonts w:hint="eastAsia" w:cs="Times New Roman"/>
          <w:color w:val="auto"/>
          <w:sz w:val="24"/>
          <w:lang w:val="en-US" w:eastAsia="zh-CN"/>
        </w:rPr>
        <w:t>757</w:t>
      </w:r>
      <w:r>
        <w:rPr>
          <w:rFonts w:hint="default" w:ascii="Times New Roman" w:hAnsi="Times New Roman" w:cs="Times New Roman"/>
          <w:color w:val="auto"/>
          <w:sz w:val="24"/>
        </w:rPr>
        <w:t>）*</w:t>
      </w:r>
      <w:r>
        <w:rPr>
          <w:rFonts w:hint="default" w:ascii="Times New Roman" w:hAnsi="Times New Roman" w:cs="Times New Roman"/>
          <w:color w:val="auto"/>
          <w:sz w:val="24"/>
          <w:lang w:val="en-US" w:eastAsia="zh-CN"/>
        </w:rPr>
        <w:t>0.</w:t>
      </w:r>
      <w:r>
        <w:rPr>
          <w:rFonts w:hint="eastAsia" w:cs="Times New Roman"/>
          <w:color w:val="auto"/>
          <w:sz w:val="24"/>
          <w:lang w:val="en-US" w:eastAsia="zh-CN"/>
        </w:rPr>
        <w:t>34</w:t>
      </w:r>
      <w:r>
        <w:rPr>
          <w:rFonts w:hint="default" w:ascii="Times New Roman" w:hAnsi="Times New Roman" w:cs="Times New Roman"/>
          <w:color w:val="auto"/>
          <w:sz w:val="24"/>
        </w:rPr>
        <w:t>mg/m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w:t>
      </w:r>
      <w:r>
        <w:rPr>
          <w:rFonts w:hint="eastAsia" w:cs="Times New Roman"/>
          <w:color w:val="auto"/>
          <w:sz w:val="24"/>
          <w:lang w:val="en-US" w:eastAsia="zh-CN"/>
        </w:rPr>
        <w:t>9</w:t>
      </w:r>
      <w:r>
        <w:rPr>
          <w:rFonts w:hint="default" w:ascii="Times New Roman" w:hAnsi="Times New Roman" w:cs="Times New Roman"/>
          <w:color w:val="auto"/>
          <w:sz w:val="24"/>
        </w:rPr>
        <w:t>mg/m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&lt;10mg/m</w:t>
      </w:r>
      <w:r>
        <w:rPr>
          <w:rFonts w:hint="default" w:ascii="Times New Roman" w:hAnsi="Times New Roman" w:cs="Times New Roman"/>
          <w:color w:val="auto"/>
          <w:sz w:val="24"/>
          <w:vertAlign w:val="superscript"/>
        </w:rPr>
        <w:t>3</w:t>
      </w:r>
    </w:p>
    <w:p>
      <w:pPr>
        <w:spacing w:line="520" w:lineRule="exact"/>
        <w:ind w:firstLine="482"/>
        <w:rPr>
          <w:rFonts w:hint="default" w:ascii="Times New Roman" w:hAnsi="Times New Roman" w:cs="Times New Roman"/>
          <w:color w:val="auto"/>
          <w:sz w:val="24"/>
        </w:rPr>
      </w:pPr>
      <w:r>
        <w:rPr>
          <w:rFonts w:hint="default" w:ascii="Times New Roman" w:hAnsi="Times New Roman" w:cs="Times New Roman"/>
          <w:color w:val="auto"/>
          <w:sz w:val="24"/>
        </w:rPr>
        <w:t>因此，颗粒</w:t>
      </w:r>
      <w:r>
        <w:rPr>
          <w:rFonts w:hint="default" w:ascii="Times New Roman" w:hAnsi="Times New Roman" w:cs="Times New Roman"/>
          <w:color w:val="auto"/>
          <w:sz w:val="24"/>
          <w:lang w:eastAsia="zh-CN"/>
        </w:rPr>
        <w:t>排</w:t>
      </w:r>
      <w:r>
        <w:rPr>
          <w:rFonts w:hint="default" w:ascii="Times New Roman" w:hAnsi="Times New Roman" w:cs="Times New Roman"/>
          <w:color w:val="auto"/>
          <w:sz w:val="24"/>
        </w:rPr>
        <w:t>放浓度能够满足《橡胶制品工业污染物排放标准》（GB27632-2011）表5新建企业大气污染物颗粒物的排放限值；</w:t>
      </w:r>
    </w:p>
    <w:p>
      <w:pPr>
        <w:spacing w:line="520" w:lineRule="exact"/>
        <w:ind w:firstLine="482"/>
        <w:rPr>
          <w:rFonts w:hint="default" w:ascii="Times New Roman" w:hAnsi="Times New Roman" w:cs="Times New Roman"/>
          <w:color w:val="auto"/>
          <w:lang w:eastAsia="zh-CN"/>
        </w:rPr>
      </w:pPr>
      <w:r>
        <w:rPr>
          <w:rFonts w:hint="default" w:ascii="Times New Roman" w:hAnsi="Times New Roman" w:cs="Times New Roman"/>
          <w:color w:val="auto"/>
          <w:sz w:val="24"/>
        </w:rPr>
        <w:t>非甲烷总烃排放浓度能够满足《橡胶制品工业污染物排放标准》（GB27632-2011）表5 新建企业非甲烷总烃排放排放限值和《工业企业挥发性有机物排放控制标准》（DB12/524-2014）表2中橡胶制品行业轮胎制品企业及其他制品企业炼胶、硫化工艺最高允许排放浓度和最高允许排放速率要求</w:t>
      </w:r>
      <w:r>
        <w:rPr>
          <w:rFonts w:hint="default" w:ascii="Times New Roman" w:hAnsi="Times New Roman" w:cs="Times New Roman"/>
          <w:color w:val="auto"/>
          <w:sz w:val="24"/>
          <w:lang w:eastAsia="zh-CN"/>
        </w:rPr>
        <w:t>。</w:t>
      </w:r>
    </w:p>
    <w:p>
      <w:pPr>
        <w:numPr>
          <w:ilvl w:val="0"/>
          <w:numId w:val="0"/>
        </w:numPr>
        <w:spacing w:line="480" w:lineRule="exact"/>
        <w:ind w:firstLine="482" w:firstLineChars="200"/>
        <w:jc w:val="left"/>
        <w:rPr>
          <w:rFonts w:hint="eastAsia"/>
          <w:b/>
          <w:bCs/>
          <w:color w:val="auto"/>
          <w:sz w:val="24"/>
          <w:lang w:eastAsia="zh-CN"/>
        </w:rPr>
      </w:pPr>
    </w:p>
    <w:p>
      <w:pPr>
        <w:numPr>
          <w:ilvl w:val="0"/>
          <w:numId w:val="0"/>
        </w:numPr>
        <w:spacing w:line="480" w:lineRule="exact"/>
        <w:ind w:firstLine="482" w:firstLineChars="200"/>
        <w:jc w:val="left"/>
        <w:rPr>
          <w:b/>
          <w:bCs/>
          <w:color w:val="auto"/>
          <w:sz w:val="24"/>
        </w:rPr>
      </w:pPr>
      <w:r>
        <w:rPr>
          <w:rFonts w:hint="eastAsia"/>
          <w:b/>
          <w:bCs/>
          <w:color w:val="auto"/>
          <w:sz w:val="24"/>
          <w:lang w:eastAsia="zh-CN"/>
        </w:rPr>
        <w:t>（</w:t>
      </w:r>
      <w:r>
        <w:rPr>
          <w:rFonts w:hint="eastAsia"/>
          <w:b/>
          <w:bCs/>
          <w:color w:val="auto"/>
          <w:sz w:val="24"/>
          <w:lang w:val="en-US" w:eastAsia="zh-CN"/>
        </w:rPr>
        <w:t>3</w:t>
      </w:r>
      <w:r>
        <w:rPr>
          <w:rFonts w:hint="eastAsia"/>
          <w:b/>
          <w:bCs/>
          <w:color w:val="auto"/>
          <w:sz w:val="24"/>
          <w:lang w:eastAsia="zh-CN"/>
        </w:rPr>
        <w:t>）</w:t>
      </w:r>
      <w:r>
        <w:rPr>
          <w:b/>
          <w:bCs/>
          <w:color w:val="auto"/>
          <w:sz w:val="24"/>
        </w:rPr>
        <w:t>涂胶、晾干</w:t>
      </w:r>
      <w:r>
        <w:rPr>
          <w:rFonts w:hint="eastAsia"/>
          <w:b/>
          <w:bCs/>
          <w:color w:val="auto"/>
          <w:sz w:val="24"/>
          <w:lang w:eastAsia="zh-CN"/>
        </w:rPr>
        <w:t>、烘干</w:t>
      </w:r>
      <w:r>
        <w:rPr>
          <w:b/>
          <w:bCs/>
          <w:color w:val="auto"/>
          <w:sz w:val="24"/>
        </w:rPr>
        <w:t>废气</w:t>
      </w:r>
    </w:p>
    <w:p>
      <w:pPr>
        <w:adjustRightInd w:val="0"/>
        <w:snapToGrid w:val="0"/>
        <w:spacing w:line="360" w:lineRule="auto"/>
        <w:ind w:firstLine="480" w:firstLineChars="200"/>
        <w:rPr>
          <w:rFonts w:hint="default"/>
          <w:b w:val="0"/>
          <w:bCs w:val="0"/>
          <w:color w:val="auto"/>
          <w:sz w:val="24"/>
          <w:lang w:val="en-US" w:eastAsia="zh-CN"/>
        </w:rPr>
      </w:pPr>
      <w:r>
        <w:rPr>
          <w:b w:val="0"/>
          <w:bCs w:val="0"/>
          <w:color w:val="auto"/>
          <w:sz w:val="24"/>
        </w:rPr>
        <w:t>本项目配胶、涂胶、晾干</w:t>
      </w:r>
      <w:r>
        <w:rPr>
          <w:rFonts w:hint="eastAsia"/>
          <w:b w:val="0"/>
          <w:bCs w:val="0"/>
          <w:color w:val="auto"/>
          <w:sz w:val="24"/>
          <w:lang w:eastAsia="zh-CN"/>
        </w:rPr>
        <w:t>、烘干工序均会产生</w:t>
      </w:r>
      <w:r>
        <w:rPr>
          <w:rFonts w:hint="eastAsia"/>
          <w:b w:val="0"/>
          <w:bCs w:val="0"/>
          <w:color w:val="auto"/>
          <w:sz w:val="24"/>
          <w:lang w:val="en-US" w:eastAsia="zh-CN"/>
        </w:rPr>
        <w:t>VOCs，胶料的主要成分为混炼胶、稀释剂、有机硅、底涂剂。根据企业提供的稀释剂监测报告可知，项目稀释剂、底涂剂挥发量均为100%，稀释剂用量为18t/a，底涂剂用量为1t/a，则VOCs产生量为19t/a。项目涂胶、晾干、烘干工序胶料中有机溶剂全部挥发（搅拌工序挥发1%，后道工序挥发为99%），则VOCs产生量为18.81t/a。</w:t>
      </w:r>
    </w:p>
    <w:p>
      <w:pPr>
        <w:adjustRightInd w:val="0"/>
        <w:snapToGrid w:val="0"/>
        <w:spacing w:line="360" w:lineRule="auto"/>
        <w:ind w:firstLine="480" w:firstLineChars="200"/>
      </w:pPr>
      <w:r>
        <w:rPr>
          <w:b w:val="0"/>
          <w:bCs w:val="0"/>
          <w:color w:val="auto"/>
          <w:sz w:val="24"/>
        </w:rPr>
        <w:t>为了减小废气无组织排放，项目将配胶</w:t>
      </w:r>
      <w:r>
        <w:rPr>
          <w:rFonts w:hint="eastAsia"/>
          <w:b w:val="0"/>
          <w:bCs w:val="0"/>
          <w:color w:val="auto"/>
          <w:sz w:val="24"/>
          <w:lang w:eastAsia="zh-CN"/>
        </w:rPr>
        <w:t>区域设置单独的配胶间，涂胶工序中全自动生产线为全封闭，半自动生产线设置集气罩收集涂胶废气，晾干、烘干工序设置隧道式封闭通道，项目在配胶、</w:t>
      </w:r>
      <w:r>
        <w:rPr>
          <w:b w:val="0"/>
          <w:bCs w:val="0"/>
          <w:color w:val="auto"/>
          <w:sz w:val="24"/>
        </w:rPr>
        <w:t>涂胶、晾干</w:t>
      </w:r>
      <w:r>
        <w:rPr>
          <w:rFonts w:hint="eastAsia"/>
          <w:b w:val="0"/>
          <w:bCs w:val="0"/>
          <w:color w:val="auto"/>
          <w:sz w:val="24"/>
          <w:lang w:eastAsia="zh-CN"/>
        </w:rPr>
        <w:t>、烘干工序设置集气装置，可有效提高废气的收集效率。经收集的废气通过一套催化燃烧装置进行净化处理，</w:t>
      </w:r>
      <w:r>
        <w:rPr>
          <w:b w:val="0"/>
          <w:bCs w:val="0"/>
          <w:color w:val="auto"/>
          <w:sz w:val="24"/>
        </w:rPr>
        <w:t>经1根15m高排气筒（</w:t>
      </w:r>
      <w:r>
        <w:rPr>
          <w:rFonts w:hint="eastAsia"/>
          <w:b w:val="0"/>
          <w:bCs w:val="0"/>
          <w:color w:val="auto"/>
          <w:sz w:val="24"/>
          <w:lang w:val="en-US" w:eastAsia="zh-CN"/>
        </w:rPr>
        <w:t>3#排气筒</w:t>
      </w:r>
      <w:r>
        <w:rPr>
          <w:b w:val="0"/>
          <w:bCs w:val="0"/>
          <w:color w:val="auto"/>
          <w:sz w:val="24"/>
        </w:rPr>
        <w:t>）排放。</w:t>
      </w:r>
      <w:r>
        <w:rPr>
          <w:color w:val="auto"/>
          <w:sz w:val="24"/>
        </w:rPr>
        <w:t>风机总风量为</w:t>
      </w:r>
      <w:r>
        <w:rPr>
          <w:rFonts w:hint="eastAsia"/>
          <w:color w:val="auto"/>
          <w:sz w:val="24"/>
          <w:lang w:val="en-US" w:eastAsia="zh-CN"/>
        </w:rPr>
        <w:t>450</w:t>
      </w:r>
      <w:r>
        <w:rPr>
          <w:color w:val="auto"/>
          <w:sz w:val="24"/>
        </w:rPr>
        <w:t>00m³/h，净化装置净化效率以9</w:t>
      </w:r>
      <w:r>
        <w:rPr>
          <w:rFonts w:hint="eastAsia"/>
          <w:color w:val="auto"/>
          <w:sz w:val="24"/>
          <w:lang w:val="en-US" w:eastAsia="zh-CN"/>
        </w:rPr>
        <w:t>9</w:t>
      </w:r>
      <w:r>
        <w:rPr>
          <w:color w:val="auto"/>
          <w:sz w:val="24"/>
        </w:rPr>
        <w:t>%计，年工作</w:t>
      </w:r>
      <w:r>
        <w:rPr>
          <w:rFonts w:hint="eastAsia"/>
          <w:color w:val="auto"/>
          <w:sz w:val="24"/>
          <w:lang w:val="en-US" w:eastAsia="zh-CN"/>
        </w:rPr>
        <w:t>24</w:t>
      </w:r>
      <w:r>
        <w:rPr>
          <w:color w:val="auto"/>
          <w:sz w:val="24"/>
        </w:rPr>
        <w:t>00h。</w:t>
      </w:r>
    </w:p>
    <w:p>
      <w:pPr>
        <w:adjustRightInd w:val="0"/>
        <w:snapToGrid w:val="0"/>
        <w:spacing w:line="360" w:lineRule="auto"/>
        <w:ind w:firstLine="482" w:firstLineChars="200"/>
        <w:rPr>
          <w:b/>
          <w:bCs/>
          <w:color w:val="auto"/>
          <w:sz w:val="24"/>
        </w:rPr>
      </w:pPr>
    </w:p>
    <w:p>
      <w:pPr>
        <w:autoSpaceDE w:val="0"/>
        <w:autoSpaceDN w:val="0"/>
        <w:adjustRightInd w:val="0"/>
        <w:snapToGrid w:val="0"/>
        <w:spacing w:line="520" w:lineRule="exact"/>
        <w:ind w:firstLine="480" w:firstLineChars="200"/>
        <w:rPr>
          <w:b/>
          <w:bCs/>
          <w:color w:val="auto"/>
          <w:sz w:val="24"/>
        </w:rPr>
      </w:pPr>
      <w:r>
        <w:rPr>
          <w:color w:val="auto"/>
          <w:sz w:val="24"/>
        </w:rPr>
        <w:t>废气产排情况见下表：</w:t>
      </w:r>
    </w:p>
    <w:p>
      <w:pPr>
        <w:spacing w:line="360" w:lineRule="auto"/>
        <w:jc w:val="center"/>
        <w:rPr>
          <w:b/>
          <w:bCs/>
          <w:color w:val="auto"/>
          <w:sz w:val="24"/>
        </w:rPr>
        <w:sectPr>
          <w:pgSz w:w="11911" w:h="16849"/>
          <w:pgMar w:top="1440" w:right="1587" w:bottom="1440" w:left="1587" w:header="680" w:footer="652" w:gutter="0"/>
          <w:pgBorders>
            <w:top w:val="none" w:sz="0" w:space="0"/>
            <w:left w:val="none" w:sz="0" w:space="0"/>
            <w:bottom w:val="none" w:sz="0" w:space="0"/>
            <w:right w:val="none" w:sz="0" w:space="0"/>
          </w:pgBorders>
          <w:cols w:space="720" w:num="1"/>
          <w:docGrid w:linePitch="322" w:charSpace="0"/>
        </w:sectPr>
      </w:pPr>
    </w:p>
    <w:p>
      <w:pPr>
        <w:spacing w:line="360" w:lineRule="auto"/>
        <w:jc w:val="center"/>
        <w:rPr>
          <w:b/>
          <w:bCs/>
          <w:color w:val="auto"/>
          <w:sz w:val="24"/>
        </w:rPr>
      </w:pPr>
      <w:r>
        <w:rPr>
          <w:b/>
          <w:bCs/>
          <w:color w:val="auto"/>
          <w:sz w:val="24"/>
        </w:rPr>
        <w:t>表</w:t>
      </w:r>
      <w:r>
        <w:rPr>
          <w:rFonts w:hint="eastAsia"/>
          <w:b/>
          <w:bCs/>
          <w:color w:val="auto"/>
          <w:sz w:val="24"/>
        </w:rPr>
        <w:t>4</w:t>
      </w:r>
      <w:r>
        <w:rPr>
          <w:b/>
          <w:bCs/>
          <w:color w:val="auto"/>
          <w:sz w:val="24"/>
        </w:rPr>
        <w:t>-</w:t>
      </w:r>
      <w:r>
        <w:rPr>
          <w:rFonts w:hint="eastAsia"/>
          <w:b/>
          <w:bCs/>
          <w:color w:val="auto"/>
          <w:sz w:val="24"/>
        </w:rPr>
        <w:t>7</w:t>
      </w:r>
      <w:r>
        <w:rPr>
          <w:b/>
          <w:bCs/>
          <w:color w:val="auto"/>
          <w:sz w:val="24"/>
        </w:rPr>
        <w:t xml:space="preserve">  本</w:t>
      </w:r>
      <w:r>
        <w:rPr>
          <w:rFonts w:eastAsia="宋体"/>
          <w:b/>
          <w:bCs/>
          <w:color w:val="auto"/>
          <w:sz w:val="24"/>
        </w:rPr>
        <w:t>项目有组织废</w:t>
      </w:r>
      <w:r>
        <w:rPr>
          <w:b/>
          <w:bCs/>
          <w:color w:val="auto"/>
          <w:sz w:val="24"/>
        </w:rPr>
        <w:t>气产排情况</w:t>
      </w:r>
    </w:p>
    <w:tbl>
      <w:tblPr>
        <w:tblStyle w:val="53"/>
        <w:tblW w:w="4995"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84"/>
        <w:gridCol w:w="906"/>
        <w:gridCol w:w="906"/>
        <w:gridCol w:w="1001"/>
        <w:gridCol w:w="831"/>
        <w:gridCol w:w="831"/>
        <w:gridCol w:w="874"/>
        <w:gridCol w:w="874"/>
        <w:gridCol w:w="871"/>
        <w:gridCol w:w="1021"/>
        <w:gridCol w:w="854"/>
        <w:gridCol w:w="902"/>
        <w:gridCol w:w="874"/>
        <w:gridCol w:w="874"/>
        <w:gridCol w:w="874"/>
        <w:gridCol w:w="89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 w:hRule="atLeast"/>
        </w:trPr>
        <w:tc>
          <w:tcPr>
            <w:tcW w:w="276" w:type="pct"/>
            <w:vMerge w:val="restart"/>
            <w:vAlign w:val="center"/>
          </w:tcPr>
          <w:p>
            <w:pPr>
              <w:jc w:val="center"/>
              <w:rPr>
                <w:rFonts w:eastAsia="宋体"/>
                <w:b/>
                <w:bCs w:val="0"/>
                <w:color w:val="auto"/>
                <w:szCs w:val="21"/>
              </w:rPr>
            </w:pPr>
            <w:r>
              <w:rPr>
                <w:rFonts w:eastAsia="宋体"/>
                <w:b/>
                <w:bCs w:val="0"/>
                <w:color w:val="auto"/>
                <w:szCs w:val="21"/>
              </w:rPr>
              <w:t>排气筒</w:t>
            </w:r>
          </w:p>
        </w:tc>
        <w:tc>
          <w:tcPr>
            <w:tcW w:w="319" w:type="pct"/>
            <w:vMerge w:val="restart"/>
            <w:vAlign w:val="center"/>
          </w:tcPr>
          <w:p>
            <w:pPr>
              <w:jc w:val="center"/>
              <w:rPr>
                <w:rFonts w:eastAsia="宋体"/>
                <w:b/>
                <w:bCs w:val="0"/>
                <w:color w:val="auto"/>
                <w:szCs w:val="21"/>
              </w:rPr>
            </w:pPr>
            <w:r>
              <w:rPr>
                <w:rFonts w:eastAsia="宋体"/>
                <w:b/>
                <w:bCs w:val="0"/>
                <w:color w:val="auto"/>
                <w:szCs w:val="21"/>
              </w:rPr>
              <w:t>产物环节</w:t>
            </w:r>
          </w:p>
        </w:tc>
        <w:tc>
          <w:tcPr>
            <w:tcW w:w="319" w:type="pct"/>
            <w:vMerge w:val="restart"/>
            <w:vAlign w:val="center"/>
          </w:tcPr>
          <w:p>
            <w:pPr>
              <w:jc w:val="center"/>
              <w:rPr>
                <w:rFonts w:eastAsia="宋体"/>
                <w:b/>
                <w:bCs w:val="0"/>
                <w:color w:val="auto"/>
                <w:szCs w:val="21"/>
              </w:rPr>
            </w:pPr>
            <w:r>
              <w:rPr>
                <w:rFonts w:eastAsia="宋体"/>
                <w:b/>
                <w:bCs w:val="0"/>
                <w:color w:val="auto"/>
                <w:szCs w:val="21"/>
              </w:rPr>
              <w:t>污染物</w:t>
            </w:r>
          </w:p>
        </w:tc>
        <w:tc>
          <w:tcPr>
            <w:tcW w:w="353" w:type="pct"/>
            <w:vMerge w:val="restart"/>
            <w:vAlign w:val="center"/>
          </w:tcPr>
          <w:p>
            <w:pPr>
              <w:jc w:val="center"/>
              <w:rPr>
                <w:rFonts w:eastAsia="宋体"/>
                <w:b/>
                <w:bCs w:val="0"/>
                <w:color w:val="auto"/>
                <w:szCs w:val="21"/>
              </w:rPr>
            </w:pPr>
            <w:r>
              <w:rPr>
                <w:rFonts w:eastAsia="宋体"/>
                <w:b/>
                <w:bCs w:val="0"/>
                <w:color w:val="auto"/>
                <w:szCs w:val="21"/>
              </w:rPr>
              <w:t>排放形式</w:t>
            </w:r>
          </w:p>
        </w:tc>
        <w:tc>
          <w:tcPr>
            <w:tcW w:w="293" w:type="pct"/>
            <w:vMerge w:val="restart"/>
            <w:vAlign w:val="center"/>
          </w:tcPr>
          <w:p>
            <w:pPr>
              <w:jc w:val="center"/>
              <w:rPr>
                <w:rFonts w:eastAsia="宋体"/>
                <w:b/>
                <w:bCs w:val="0"/>
                <w:color w:val="auto"/>
                <w:szCs w:val="21"/>
              </w:rPr>
            </w:pPr>
            <w:r>
              <w:rPr>
                <w:rFonts w:eastAsia="宋体"/>
                <w:b/>
                <w:bCs w:val="0"/>
                <w:color w:val="auto"/>
                <w:szCs w:val="21"/>
              </w:rPr>
              <w:t>风量</w:t>
            </w:r>
          </w:p>
        </w:tc>
        <w:tc>
          <w:tcPr>
            <w:tcW w:w="293" w:type="pct"/>
            <w:vMerge w:val="restart"/>
            <w:vAlign w:val="center"/>
          </w:tcPr>
          <w:p>
            <w:pPr>
              <w:jc w:val="center"/>
              <w:rPr>
                <w:rFonts w:eastAsia="宋体"/>
                <w:b/>
                <w:bCs w:val="0"/>
                <w:color w:val="auto"/>
                <w:szCs w:val="21"/>
              </w:rPr>
            </w:pPr>
            <w:r>
              <w:rPr>
                <w:rFonts w:eastAsia="宋体"/>
                <w:b/>
                <w:bCs w:val="0"/>
                <w:color w:val="auto"/>
                <w:szCs w:val="21"/>
              </w:rPr>
              <w:t>产生量t/a</w:t>
            </w:r>
          </w:p>
        </w:tc>
        <w:tc>
          <w:tcPr>
            <w:tcW w:w="308" w:type="pct"/>
            <w:vMerge w:val="restart"/>
            <w:vAlign w:val="center"/>
          </w:tcPr>
          <w:p>
            <w:pPr>
              <w:jc w:val="center"/>
              <w:rPr>
                <w:rFonts w:eastAsia="宋体"/>
                <w:b/>
                <w:bCs w:val="0"/>
                <w:color w:val="auto"/>
                <w:szCs w:val="21"/>
              </w:rPr>
            </w:pPr>
            <w:r>
              <w:rPr>
                <w:rFonts w:eastAsia="宋体"/>
                <w:b/>
                <w:bCs w:val="0"/>
                <w:color w:val="auto"/>
                <w:szCs w:val="21"/>
              </w:rPr>
              <w:t>产生速率kg/h</w:t>
            </w:r>
          </w:p>
        </w:tc>
        <w:tc>
          <w:tcPr>
            <w:tcW w:w="308" w:type="pct"/>
            <w:vMerge w:val="restart"/>
            <w:vAlign w:val="center"/>
          </w:tcPr>
          <w:p>
            <w:pPr>
              <w:jc w:val="center"/>
              <w:rPr>
                <w:rFonts w:eastAsia="宋体"/>
                <w:b/>
                <w:bCs w:val="0"/>
                <w:color w:val="auto"/>
                <w:szCs w:val="21"/>
              </w:rPr>
            </w:pPr>
            <w:r>
              <w:rPr>
                <w:rFonts w:eastAsia="宋体"/>
                <w:b/>
                <w:bCs w:val="0"/>
                <w:color w:val="auto"/>
                <w:szCs w:val="21"/>
              </w:rPr>
              <w:t>产生浓度mg/m3</w:t>
            </w:r>
          </w:p>
        </w:tc>
        <w:tc>
          <w:tcPr>
            <w:tcW w:w="307" w:type="pct"/>
            <w:vMerge w:val="restart"/>
            <w:vAlign w:val="center"/>
          </w:tcPr>
          <w:p>
            <w:pPr>
              <w:jc w:val="center"/>
              <w:rPr>
                <w:rFonts w:eastAsia="宋体"/>
                <w:b/>
                <w:bCs w:val="0"/>
                <w:color w:val="auto"/>
                <w:szCs w:val="21"/>
              </w:rPr>
            </w:pPr>
            <w:r>
              <w:rPr>
                <w:rFonts w:eastAsia="宋体"/>
                <w:b/>
                <w:bCs w:val="0"/>
                <w:color w:val="auto"/>
                <w:szCs w:val="21"/>
              </w:rPr>
              <w:t>环保措施</w:t>
            </w:r>
          </w:p>
        </w:tc>
        <w:tc>
          <w:tcPr>
            <w:tcW w:w="360" w:type="pct"/>
            <w:vMerge w:val="restart"/>
            <w:vAlign w:val="center"/>
          </w:tcPr>
          <w:p>
            <w:pPr>
              <w:jc w:val="center"/>
              <w:rPr>
                <w:rFonts w:eastAsia="宋体"/>
                <w:b/>
                <w:bCs w:val="0"/>
                <w:color w:val="auto"/>
                <w:szCs w:val="21"/>
              </w:rPr>
            </w:pPr>
            <w:r>
              <w:rPr>
                <w:rFonts w:eastAsia="宋体"/>
                <w:b/>
                <w:bCs w:val="0"/>
                <w:color w:val="auto"/>
                <w:szCs w:val="21"/>
              </w:rPr>
              <w:t>处理效率</w:t>
            </w:r>
          </w:p>
        </w:tc>
        <w:tc>
          <w:tcPr>
            <w:tcW w:w="301" w:type="pct"/>
            <w:vMerge w:val="restart"/>
            <w:vAlign w:val="center"/>
          </w:tcPr>
          <w:p>
            <w:pPr>
              <w:jc w:val="center"/>
              <w:rPr>
                <w:rFonts w:eastAsia="宋体"/>
                <w:b/>
                <w:bCs w:val="0"/>
                <w:color w:val="auto"/>
                <w:szCs w:val="21"/>
              </w:rPr>
            </w:pPr>
            <w:r>
              <w:rPr>
                <w:rFonts w:eastAsia="宋体"/>
                <w:b/>
                <w:bCs w:val="0"/>
                <w:color w:val="auto"/>
                <w:szCs w:val="21"/>
              </w:rPr>
              <w:t>排放量t/a</w:t>
            </w:r>
          </w:p>
        </w:tc>
        <w:tc>
          <w:tcPr>
            <w:tcW w:w="318" w:type="pct"/>
            <w:vMerge w:val="restart"/>
            <w:vAlign w:val="center"/>
          </w:tcPr>
          <w:p>
            <w:pPr>
              <w:jc w:val="center"/>
              <w:rPr>
                <w:rFonts w:eastAsia="宋体"/>
                <w:b/>
                <w:bCs w:val="0"/>
                <w:color w:val="auto"/>
                <w:szCs w:val="21"/>
              </w:rPr>
            </w:pPr>
            <w:r>
              <w:rPr>
                <w:rFonts w:eastAsia="宋体"/>
                <w:b/>
                <w:bCs w:val="0"/>
                <w:color w:val="auto"/>
                <w:szCs w:val="21"/>
              </w:rPr>
              <w:t>排放速率kg/h</w:t>
            </w:r>
          </w:p>
        </w:tc>
        <w:tc>
          <w:tcPr>
            <w:tcW w:w="308" w:type="pct"/>
            <w:vMerge w:val="restart"/>
            <w:vAlign w:val="center"/>
          </w:tcPr>
          <w:p>
            <w:pPr>
              <w:jc w:val="center"/>
              <w:rPr>
                <w:rFonts w:eastAsia="宋体"/>
                <w:b/>
                <w:bCs w:val="0"/>
                <w:color w:val="auto"/>
                <w:szCs w:val="21"/>
              </w:rPr>
            </w:pPr>
            <w:r>
              <w:rPr>
                <w:rFonts w:eastAsia="宋体"/>
                <w:b/>
                <w:bCs w:val="0"/>
                <w:color w:val="auto"/>
                <w:szCs w:val="21"/>
              </w:rPr>
              <w:t>排放浓度mg/m3</w:t>
            </w:r>
          </w:p>
        </w:tc>
        <w:tc>
          <w:tcPr>
            <w:tcW w:w="932" w:type="pct"/>
            <w:gridSpan w:val="3"/>
            <w:vAlign w:val="center"/>
          </w:tcPr>
          <w:p>
            <w:pPr>
              <w:jc w:val="center"/>
              <w:rPr>
                <w:rFonts w:eastAsia="宋体"/>
                <w:b/>
                <w:bCs w:val="0"/>
                <w:color w:val="auto"/>
                <w:szCs w:val="21"/>
              </w:rPr>
            </w:pPr>
            <w:r>
              <w:rPr>
                <w:rFonts w:eastAsia="宋体"/>
                <w:b/>
                <w:bCs w:val="0"/>
                <w:color w:val="auto"/>
                <w:szCs w:val="21"/>
              </w:rPr>
              <w:t>排气筒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 w:hRule="atLeast"/>
        </w:trPr>
        <w:tc>
          <w:tcPr>
            <w:tcW w:w="276" w:type="pct"/>
            <w:vMerge w:val="continue"/>
            <w:vAlign w:val="center"/>
          </w:tcPr>
          <w:p>
            <w:pPr>
              <w:jc w:val="center"/>
              <w:rPr>
                <w:rFonts w:eastAsia="宋体"/>
                <w:b/>
                <w:bCs w:val="0"/>
                <w:color w:val="auto"/>
                <w:szCs w:val="21"/>
              </w:rPr>
            </w:pPr>
          </w:p>
        </w:tc>
        <w:tc>
          <w:tcPr>
            <w:tcW w:w="319" w:type="pct"/>
            <w:vMerge w:val="continue"/>
            <w:vAlign w:val="center"/>
          </w:tcPr>
          <w:p>
            <w:pPr>
              <w:jc w:val="center"/>
              <w:rPr>
                <w:rFonts w:eastAsia="宋体"/>
                <w:b/>
                <w:bCs w:val="0"/>
                <w:color w:val="auto"/>
                <w:szCs w:val="21"/>
              </w:rPr>
            </w:pPr>
          </w:p>
        </w:tc>
        <w:tc>
          <w:tcPr>
            <w:tcW w:w="319" w:type="pct"/>
            <w:vMerge w:val="continue"/>
            <w:vAlign w:val="center"/>
          </w:tcPr>
          <w:p>
            <w:pPr>
              <w:jc w:val="center"/>
              <w:rPr>
                <w:rFonts w:eastAsia="宋体"/>
                <w:b/>
                <w:bCs w:val="0"/>
                <w:color w:val="auto"/>
                <w:szCs w:val="21"/>
              </w:rPr>
            </w:pPr>
          </w:p>
        </w:tc>
        <w:tc>
          <w:tcPr>
            <w:tcW w:w="353" w:type="pct"/>
            <w:vMerge w:val="continue"/>
            <w:vAlign w:val="center"/>
          </w:tcPr>
          <w:p>
            <w:pPr>
              <w:jc w:val="center"/>
              <w:rPr>
                <w:rFonts w:eastAsia="宋体"/>
                <w:b/>
                <w:bCs w:val="0"/>
                <w:color w:val="auto"/>
                <w:szCs w:val="21"/>
              </w:rPr>
            </w:pPr>
          </w:p>
        </w:tc>
        <w:tc>
          <w:tcPr>
            <w:tcW w:w="293" w:type="pct"/>
            <w:vMerge w:val="continue"/>
            <w:vAlign w:val="center"/>
          </w:tcPr>
          <w:p>
            <w:pPr>
              <w:jc w:val="center"/>
              <w:rPr>
                <w:rFonts w:eastAsia="宋体"/>
                <w:b/>
                <w:bCs w:val="0"/>
                <w:color w:val="auto"/>
                <w:szCs w:val="21"/>
              </w:rPr>
            </w:pPr>
          </w:p>
        </w:tc>
        <w:tc>
          <w:tcPr>
            <w:tcW w:w="293" w:type="pct"/>
            <w:vMerge w:val="continue"/>
            <w:vAlign w:val="center"/>
          </w:tcPr>
          <w:p>
            <w:pPr>
              <w:jc w:val="center"/>
              <w:rPr>
                <w:rFonts w:eastAsia="宋体"/>
                <w:b/>
                <w:bCs w:val="0"/>
                <w:color w:val="auto"/>
                <w:szCs w:val="21"/>
              </w:rPr>
            </w:pPr>
          </w:p>
        </w:tc>
        <w:tc>
          <w:tcPr>
            <w:tcW w:w="308" w:type="pct"/>
            <w:vMerge w:val="continue"/>
            <w:vAlign w:val="center"/>
          </w:tcPr>
          <w:p>
            <w:pPr>
              <w:jc w:val="center"/>
              <w:rPr>
                <w:rFonts w:eastAsia="宋体"/>
                <w:b/>
                <w:bCs w:val="0"/>
                <w:color w:val="auto"/>
                <w:szCs w:val="21"/>
              </w:rPr>
            </w:pPr>
          </w:p>
        </w:tc>
        <w:tc>
          <w:tcPr>
            <w:tcW w:w="308" w:type="pct"/>
            <w:vMerge w:val="continue"/>
            <w:vAlign w:val="center"/>
          </w:tcPr>
          <w:p>
            <w:pPr>
              <w:jc w:val="center"/>
              <w:rPr>
                <w:rFonts w:eastAsia="宋体"/>
                <w:b/>
                <w:bCs w:val="0"/>
                <w:color w:val="auto"/>
                <w:szCs w:val="21"/>
              </w:rPr>
            </w:pPr>
          </w:p>
        </w:tc>
        <w:tc>
          <w:tcPr>
            <w:tcW w:w="307" w:type="pct"/>
            <w:vMerge w:val="continue"/>
            <w:vAlign w:val="center"/>
          </w:tcPr>
          <w:p>
            <w:pPr>
              <w:jc w:val="center"/>
              <w:rPr>
                <w:rFonts w:eastAsia="宋体"/>
                <w:b/>
                <w:bCs w:val="0"/>
                <w:color w:val="auto"/>
                <w:szCs w:val="21"/>
              </w:rPr>
            </w:pPr>
          </w:p>
        </w:tc>
        <w:tc>
          <w:tcPr>
            <w:tcW w:w="360" w:type="pct"/>
            <w:vMerge w:val="continue"/>
            <w:vAlign w:val="center"/>
          </w:tcPr>
          <w:p>
            <w:pPr>
              <w:jc w:val="center"/>
              <w:rPr>
                <w:rFonts w:eastAsia="宋体"/>
                <w:b/>
                <w:bCs w:val="0"/>
                <w:color w:val="auto"/>
                <w:szCs w:val="21"/>
              </w:rPr>
            </w:pPr>
          </w:p>
        </w:tc>
        <w:tc>
          <w:tcPr>
            <w:tcW w:w="301" w:type="pct"/>
            <w:vMerge w:val="continue"/>
            <w:vAlign w:val="center"/>
          </w:tcPr>
          <w:p>
            <w:pPr>
              <w:jc w:val="center"/>
              <w:rPr>
                <w:rFonts w:eastAsia="宋体"/>
                <w:b/>
                <w:bCs w:val="0"/>
                <w:color w:val="auto"/>
                <w:szCs w:val="21"/>
              </w:rPr>
            </w:pPr>
          </w:p>
        </w:tc>
        <w:tc>
          <w:tcPr>
            <w:tcW w:w="318" w:type="pct"/>
            <w:vMerge w:val="continue"/>
            <w:vAlign w:val="center"/>
          </w:tcPr>
          <w:p>
            <w:pPr>
              <w:jc w:val="center"/>
              <w:rPr>
                <w:rFonts w:eastAsia="宋体"/>
                <w:b/>
                <w:bCs w:val="0"/>
                <w:color w:val="auto"/>
                <w:szCs w:val="21"/>
              </w:rPr>
            </w:pPr>
          </w:p>
        </w:tc>
        <w:tc>
          <w:tcPr>
            <w:tcW w:w="308" w:type="pct"/>
            <w:vMerge w:val="continue"/>
            <w:vAlign w:val="center"/>
          </w:tcPr>
          <w:p>
            <w:pPr>
              <w:jc w:val="center"/>
              <w:rPr>
                <w:rFonts w:eastAsia="宋体"/>
                <w:b/>
                <w:bCs w:val="0"/>
                <w:color w:val="auto"/>
                <w:szCs w:val="21"/>
              </w:rPr>
            </w:pPr>
          </w:p>
        </w:tc>
        <w:tc>
          <w:tcPr>
            <w:tcW w:w="308" w:type="pct"/>
            <w:vAlign w:val="center"/>
          </w:tcPr>
          <w:p>
            <w:pPr>
              <w:jc w:val="center"/>
              <w:rPr>
                <w:rFonts w:eastAsia="宋体"/>
                <w:b/>
                <w:bCs w:val="0"/>
                <w:color w:val="auto"/>
                <w:szCs w:val="21"/>
              </w:rPr>
            </w:pPr>
            <w:r>
              <w:rPr>
                <w:rFonts w:eastAsia="宋体"/>
                <w:b/>
                <w:bCs w:val="0"/>
                <w:color w:val="auto"/>
                <w:szCs w:val="21"/>
              </w:rPr>
              <w:t>高度m</w:t>
            </w:r>
          </w:p>
        </w:tc>
        <w:tc>
          <w:tcPr>
            <w:tcW w:w="308" w:type="pct"/>
            <w:vAlign w:val="center"/>
          </w:tcPr>
          <w:p>
            <w:pPr>
              <w:jc w:val="center"/>
              <w:rPr>
                <w:rFonts w:eastAsia="宋体"/>
                <w:b/>
                <w:bCs w:val="0"/>
                <w:color w:val="auto"/>
                <w:szCs w:val="21"/>
              </w:rPr>
            </w:pPr>
            <w:r>
              <w:rPr>
                <w:rFonts w:eastAsia="宋体"/>
                <w:b/>
                <w:bCs w:val="0"/>
                <w:color w:val="auto"/>
                <w:szCs w:val="21"/>
              </w:rPr>
              <w:t xml:space="preserve">直径m </w:t>
            </w:r>
          </w:p>
        </w:tc>
        <w:tc>
          <w:tcPr>
            <w:tcW w:w="315" w:type="pct"/>
            <w:vAlign w:val="center"/>
          </w:tcPr>
          <w:p>
            <w:pPr>
              <w:jc w:val="center"/>
              <w:rPr>
                <w:rFonts w:eastAsia="宋体"/>
                <w:b/>
                <w:bCs w:val="0"/>
                <w:color w:val="auto"/>
                <w:szCs w:val="21"/>
              </w:rPr>
            </w:pPr>
            <w:r>
              <w:rPr>
                <w:rFonts w:eastAsia="宋体"/>
                <w:b/>
                <w:bCs w:val="0"/>
                <w:color w:val="auto"/>
                <w:szCs w:val="21"/>
              </w:rPr>
              <w:t>温度℃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 w:hRule="atLeast"/>
        </w:trPr>
        <w:tc>
          <w:tcPr>
            <w:tcW w:w="276" w:type="pct"/>
            <w:vAlign w:val="center"/>
          </w:tcPr>
          <w:p>
            <w:pPr>
              <w:jc w:val="center"/>
              <w:rPr>
                <w:rFonts w:hint="default" w:eastAsia="宋体"/>
                <w:bCs/>
                <w:color w:val="auto"/>
                <w:szCs w:val="21"/>
                <w:lang w:val="en-US" w:eastAsia="zh-CN"/>
              </w:rPr>
            </w:pPr>
            <w:r>
              <w:rPr>
                <w:rFonts w:hint="eastAsia" w:eastAsia="宋体"/>
                <w:bCs/>
                <w:color w:val="auto"/>
                <w:szCs w:val="21"/>
                <w:lang w:val="en-US" w:eastAsia="zh-CN"/>
              </w:rPr>
              <w:t>1#排气筒</w:t>
            </w:r>
          </w:p>
        </w:tc>
        <w:tc>
          <w:tcPr>
            <w:tcW w:w="319" w:type="pct"/>
            <w:vAlign w:val="center"/>
          </w:tcPr>
          <w:p>
            <w:pPr>
              <w:jc w:val="center"/>
              <w:rPr>
                <w:rFonts w:hint="eastAsia" w:eastAsia="宋体"/>
                <w:bCs/>
                <w:color w:val="auto"/>
                <w:szCs w:val="21"/>
                <w:lang w:eastAsia="zh-CN"/>
              </w:rPr>
            </w:pPr>
            <w:r>
              <w:rPr>
                <w:rFonts w:eastAsia="宋体"/>
                <w:bCs/>
                <w:color w:val="auto"/>
                <w:szCs w:val="21"/>
              </w:rPr>
              <w:t>配</w:t>
            </w:r>
            <w:r>
              <w:rPr>
                <w:rFonts w:hint="eastAsia" w:eastAsia="宋体"/>
                <w:bCs/>
                <w:color w:val="auto"/>
                <w:szCs w:val="21"/>
                <w:lang w:eastAsia="zh-CN"/>
              </w:rPr>
              <w:t>料</w:t>
            </w:r>
          </w:p>
        </w:tc>
        <w:tc>
          <w:tcPr>
            <w:tcW w:w="319" w:type="pct"/>
            <w:vAlign w:val="center"/>
          </w:tcPr>
          <w:p>
            <w:pPr>
              <w:jc w:val="center"/>
              <w:rPr>
                <w:rFonts w:hint="eastAsia" w:eastAsia="宋体"/>
                <w:bCs/>
                <w:color w:val="auto"/>
                <w:szCs w:val="21"/>
                <w:lang w:eastAsia="zh-CN"/>
              </w:rPr>
            </w:pPr>
            <w:r>
              <w:rPr>
                <w:rFonts w:hint="eastAsia" w:eastAsia="宋体"/>
                <w:bCs/>
                <w:color w:val="auto"/>
                <w:szCs w:val="21"/>
                <w:lang w:eastAsia="zh-CN"/>
              </w:rPr>
              <w:t>颗粒物</w:t>
            </w:r>
          </w:p>
        </w:tc>
        <w:tc>
          <w:tcPr>
            <w:tcW w:w="353" w:type="pct"/>
            <w:vAlign w:val="center"/>
          </w:tcPr>
          <w:p>
            <w:pPr>
              <w:jc w:val="center"/>
              <w:rPr>
                <w:rFonts w:eastAsia="宋体"/>
                <w:bCs/>
                <w:color w:val="auto"/>
                <w:szCs w:val="21"/>
              </w:rPr>
            </w:pPr>
            <w:r>
              <w:rPr>
                <w:rFonts w:eastAsia="宋体"/>
                <w:bCs/>
                <w:color w:val="auto"/>
                <w:szCs w:val="21"/>
              </w:rPr>
              <w:t>有组织</w:t>
            </w:r>
          </w:p>
        </w:tc>
        <w:tc>
          <w:tcPr>
            <w:tcW w:w="293" w:type="pct"/>
            <w:vAlign w:val="center"/>
          </w:tcPr>
          <w:p>
            <w:pPr>
              <w:jc w:val="center"/>
              <w:rPr>
                <w:rFonts w:eastAsia="宋体"/>
                <w:bCs/>
                <w:color w:val="auto"/>
                <w:szCs w:val="21"/>
              </w:rPr>
            </w:pPr>
            <w:r>
              <w:rPr>
                <w:rFonts w:hint="eastAsia" w:eastAsia="宋体"/>
                <w:bCs/>
                <w:color w:val="auto"/>
                <w:szCs w:val="21"/>
                <w:lang w:val="en-US" w:eastAsia="zh-CN"/>
              </w:rPr>
              <w:t>30</w:t>
            </w:r>
            <w:r>
              <w:rPr>
                <w:rFonts w:eastAsia="宋体"/>
                <w:bCs/>
                <w:color w:val="auto"/>
                <w:szCs w:val="21"/>
              </w:rPr>
              <w:t>00</w:t>
            </w:r>
          </w:p>
        </w:tc>
        <w:tc>
          <w:tcPr>
            <w:tcW w:w="293" w:type="pct"/>
            <w:vAlign w:val="center"/>
          </w:tcPr>
          <w:p>
            <w:pPr>
              <w:jc w:val="center"/>
              <w:rPr>
                <w:rFonts w:eastAsia="宋体"/>
                <w:bCs/>
                <w:color w:val="auto"/>
                <w:szCs w:val="21"/>
              </w:rPr>
            </w:pPr>
            <w:r>
              <w:rPr>
                <w:rFonts w:hint="eastAsia" w:eastAsia="宋体"/>
                <w:bCs/>
                <w:color w:val="auto"/>
                <w:szCs w:val="21"/>
                <w:lang w:val="en-US" w:eastAsia="zh-CN"/>
              </w:rPr>
              <w:t xml:space="preserve">0.23 </w:t>
            </w:r>
          </w:p>
        </w:tc>
        <w:tc>
          <w:tcPr>
            <w:tcW w:w="308" w:type="pct"/>
            <w:vAlign w:val="center"/>
          </w:tcPr>
          <w:p>
            <w:pPr>
              <w:jc w:val="center"/>
              <w:rPr>
                <w:rFonts w:eastAsia="宋体"/>
                <w:bCs/>
                <w:color w:val="auto"/>
                <w:szCs w:val="21"/>
              </w:rPr>
            </w:pPr>
            <w:r>
              <w:rPr>
                <w:rFonts w:hint="eastAsia" w:eastAsia="宋体"/>
                <w:bCs/>
                <w:color w:val="auto"/>
                <w:szCs w:val="21"/>
                <w:lang w:val="en-US" w:eastAsia="zh-CN"/>
              </w:rPr>
              <w:t xml:space="preserve">0.19 </w:t>
            </w:r>
          </w:p>
        </w:tc>
        <w:tc>
          <w:tcPr>
            <w:tcW w:w="308" w:type="pct"/>
            <w:vAlign w:val="center"/>
          </w:tcPr>
          <w:p>
            <w:pPr>
              <w:jc w:val="center"/>
              <w:rPr>
                <w:rFonts w:hint="default" w:eastAsia="宋体"/>
                <w:bCs/>
                <w:color w:val="auto"/>
                <w:szCs w:val="21"/>
                <w:lang w:val="en-US"/>
              </w:rPr>
            </w:pPr>
            <w:r>
              <w:rPr>
                <w:rFonts w:hint="eastAsia" w:eastAsia="宋体"/>
                <w:bCs/>
                <w:color w:val="auto"/>
                <w:szCs w:val="21"/>
                <w:lang w:val="en-US" w:eastAsia="zh-CN"/>
              </w:rPr>
              <w:t>63.14</w:t>
            </w:r>
          </w:p>
        </w:tc>
        <w:tc>
          <w:tcPr>
            <w:tcW w:w="307" w:type="pct"/>
            <w:vAlign w:val="center"/>
          </w:tcPr>
          <w:p>
            <w:pPr>
              <w:jc w:val="center"/>
              <w:rPr>
                <w:rFonts w:hint="eastAsia" w:eastAsia="宋体"/>
                <w:bCs/>
                <w:color w:val="auto"/>
                <w:szCs w:val="21"/>
                <w:lang w:eastAsia="zh-CN"/>
              </w:rPr>
            </w:pPr>
            <w:r>
              <w:rPr>
                <w:rFonts w:hint="eastAsia"/>
                <w:bCs/>
                <w:color w:val="auto"/>
                <w:szCs w:val="21"/>
                <w:lang w:eastAsia="zh-CN"/>
              </w:rPr>
              <w:t>布袋除尘器</w:t>
            </w:r>
          </w:p>
        </w:tc>
        <w:tc>
          <w:tcPr>
            <w:tcW w:w="360" w:type="pct"/>
            <w:vAlign w:val="center"/>
          </w:tcPr>
          <w:p>
            <w:pPr>
              <w:jc w:val="center"/>
              <w:rPr>
                <w:rFonts w:eastAsia="宋体"/>
                <w:bCs/>
                <w:color w:val="auto"/>
                <w:szCs w:val="21"/>
              </w:rPr>
            </w:pPr>
            <w:r>
              <w:rPr>
                <w:rFonts w:eastAsia="宋体"/>
                <w:bCs/>
                <w:color w:val="auto"/>
                <w:szCs w:val="21"/>
              </w:rPr>
              <w:t>9</w:t>
            </w:r>
            <w:r>
              <w:rPr>
                <w:rFonts w:hint="eastAsia" w:eastAsia="宋体"/>
                <w:bCs/>
                <w:color w:val="auto"/>
                <w:szCs w:val="21"/>
                <w:lang w:val="en-US" w:eastAsia="zh-CN"/>
              </w:rPr>
              <w:t>9</w:t>
            </w:r>
            <w:r>
              <w:rPr>
                <w:rFonts w:eastAsia="宋体"/>
                <w:bCs/>
                <w:color w:val="auto"/>
                <w:szCs w:val="21"/>
              </w:rPr>
              <w:t>%</w:t>
            </w:r>
          </w:p>
        </w:tc>
        <w:tc>
          <w:tcPr>
            <w:tcW w:w="301" w:type="pct"/>
            <w:vAlign w:val="center"/>
          </w:tcPr>
          <w:p>
            <w:pPr>
              <w:jc w:val="center"/>
              <w:rPr>
                <w:rFonts w:hint="default" w:eastAsia="宋体"/>
                <w:bCs/>
                <w:color w:val="auto"/>
                <w:szCs w:val="21"/>
                <w:lang w:val="en-US"/>
              </w:rPr>
            </w:pPr>
            <w:r>
              <w:rPr>
                <w:rFonts w:hint="eastAsia" w:eastAsia="宋体"/>
                <w:bCs/>
                <w:color w:val="auto"/>
                <w:szCs w:val="21"/>
                <w:lang w:val="en-US" w:eastAsia="zh-CN"/>
              </w:rPr>
              <w:t>0.0023</w:t>
            </w:r>
          </w:p>
        </w:tc>
        <w:tc>
          <w:tcPr>
            <w:tcW w:w="318" w:type="pct"/>
            <w:vAlign w:val="center"/>
          </w:tcPr>
          <w:p>
            <w:pPr>
              <w:jc w:val="center"/>
              <w:rPr>
                <w:rFonts w:hint="default" w:eastAsia="宋体"/>
                <w:bCs/>
                <w:color w:val="auto"/>
                <w:szCs w:val="21"/>
                <w:lang w:val="en-US"/>
              </w:rPr>
            </w:pPr>
            <w:r>
              <w:rPr>
                <w:rFonts w:hint="eastAsia" w:eastAsia="宋体"/>
                <w:bCs/>
                <w:color w:val="auto"/>
                <w:szCs w:val="21"/>
                <w:lang w:val="en-US" w:eastAsia="zh-CN"/>
              </w:rPr>
              <w:t>0.0019</w:t>
            </w:r>
          </w:p>
        </w:tc>
        <w:tc>
          <w:tcPr>
            <w:tcW w:w="308" w:type="pct"/>
            <w:vAlign w:val="center"/>
          </w:tcPr>
          <w:p>
            <w:pPr>
              <w:jc w:val="center"/>
              <w:rPr>
                <w:rFonts w:eastAsia="宋体"/>
                <w:bCs/>
                <w:color w:val="auto"/>
                <w:szCs w:val="21"/>
              </w:rPr>
            </w:pPr>
            <w:r>
              <w:rPr>
                <w:rFonts w:hint="eastAsia" w:eastAsia="宋体"/>
                <w:bCs/>
                <w:color w:val="auto"/>
                <w:szCs w:val="21"/>
                <w:lang w:val="en-US" w:eastAsia="zh-CN"/>
              </w:rPr>
              <w:t>0.63</w:t>
            </w:r>
          </w:p>
        </w:tc>
        <w:tc>
          <w:tcPr>
            <w:tcW w:w="308" w:type="pct"/>
            <w:vAlign w:val="center"/>
          </w:tcPr>
          <w:p>
            <w:pPr>
              <w:jc w:val="center"/>
              <w:rPr>
                <w:rFonts w:eastAsia="宋体"/>
                <w:bCs/>
                <w:color w:val="auto"/>
                <w:szCs w:val="21"/>
              </w:rPr>
            </w:pPr>
            <w:r>
              <w:rPr>
                <w:rFonts w:eastAsia="宋体"/>
                <w:bCs/>
                <w:color w:val="auto"/>
                <w:szCs w:val="21"/>
              </w:rPr>
              <w:t>15</w:t>
            </w:r>
          </w:p>
        </w:tc>
        <w:tc>
          <w:tcPr>
            <w:tcW w:w="308" w:type="pct"/>
            <w:vAlign w:val="center"/>
          </w:tcPr>
          <w:p>
            <w:pPr>
              <w:jc w:val="center"/>
              <w:rPr>
                <w:rFonts w:hint="eastAsia" w:eastAsia="宋体"/>
                <w:bCs/>
                <w:color w:val="auto"/>
                <w:szCs w:val="21"/>
                <w:lang w:val="en-US" w:eastAsia="zh-CN"/>
              </w:rPr>
            </w:pPr>
            <w:r>
              <w:rPr>
                <w:rFonts w:hint="eastAsia" w:eastAsia="宋体"/>
                <w:bCs/>
                <w:color w:val="auto"/>
                <w:szCs w:val="21"/>
              </w:rPr>
              <w:t>0.</w:t>
            </w:r>
            <w:r>
              <w:rPr>
                <w:rFonts w:hint="eastAsia" w:eastAsia="宋体"/>
                <w:bCs/>
                <w:color w:val="auto"/>
                <w:szCs w:val="21"/>
                <w:lang w:val="en-US" w:eastAsia="zh-CN"/>
              </w:rPr>
              <w:t>3</w:t>
            </w:r>
          </w:p>
        </w:tc>
        <w:tc>
          <w:tcPr>
            <w:tcW w:w="315" w:type="pct"/>
            <w:vAlign w:val="center"/>
          </w:tcPr>
          <w:p>
            <w:pPr>
              <w:jc w:val="center"/>
              <w:rPr>
                <w:rFonts w:eastAsia="宋体"/>
                <w:bCs/>
                <w:color w:val="auto"/>
                <w:szCs w:val="21"/>
              </w:rPr>
            </w:pPr>
            <w:r>
              <w:rPr>
                <w:rFonts w:eastAsia="宋体"/>
                <w:bCs/>
                <w:color w:val="auto"/>
                <w:szCs w:val="21"/>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 w:hRule="atLeast"/>
        </w:trPr>
        <w:tc>
          <w:tcPr>
            <w:tcW w:w="276" w:type="pct"/>
            <w:vMerge w:val="restart"/>
            <w:vAlign w:val="center"/>
          </w:tcPr>
          <w:p>
            <w:pPr>
              <w:jc w:val="center"/>
              <w:rPr>
                <w:rFonts w:hint="default" w:eastAsia="宋体"/>
                <w:bCs/>
                <w:color w:val="auto"/>
                <w:szCs w:val="21"/>
                <w:lang w:val="en-US" w:eastAsia="zh-CN"/>
              </w:rPr>
            </w:pPr>
            <w:r>
              <w:rPr>
                <w:rFonts w:hint="eastAsia" w:eastAsia="宋体"/>
                <w:bCs/>
                <w:color w:val="auto"/>
                <w:szCs w:val="21"/>
                <w:lang w:val="en-US" w:eastAsia="zh-CN"/>
              </w:rPr>
              <w:t>2#排气筒</w:t>
            </w:r>
          </w:p>
        </w:tc>
        <w:tc>
          <w:tcPr>
            <w:tcW w:w="906" w:type="dxa"/>
            <w:vMerge w:val="restart"/>
            <w:vAlign w:val="center"/>
          </w:tcPr>
          <w:p>
            <w:pPr>
              <w:jc w:val="center"/>
              <w:rPr>
                <w:rFonts w:eastAsia="宋体"/>
                <w:bCs/>
                <w:color w:val="auto"/>
                <w:szCs w:val="21"/>
              </w:rPr>
            </w:pPr>
            <w:r>
              <w:rPr>
                <w:rFonts w:hint="eastAsia" w:eastAsia="宋体"/>
                <w:bCs/>
                <w:color w:val="auto"/>
                <w:szCs w:val="21"/>
                <w:lang w:eastAsia="zh-CN"/>
              </w:rPr>
              <w:t>配胶、开</w:t>
            </w:r>
            <w:r>
              <w:rPr>
                <w:rFonts w:eastAsia="宋体"/>
                <w:bCs/>
                <w:color w:val="auto"/>
                <w:szCs w:val="21"/>
              </w:rPr>
              <w:t>炼、</w:t>
            </w:r>
            <w:r>
              <w:rPr>
                <w:rFonts w:hint="eastAsia" w:eastAsia="宋体"/>
                <w:bCs/>
                <w:color w:val="auto"/>
                <w:szCs w:val="21"/>
                <w:lang w:eastAsia="zh-CN"/>
              </w:rPr>
              <w:t>密炼</w:t>
            </w:r>
          </w:p>
        </w:tc>
        <w:tc>
          <w:tcPr>
            <w:tcW w:w="319" w:type="pct"/>
            <w:vAlign w:val="center"/>
          </w:tcPr>
          <w:p>
            <w:pPr>
              <w:jc w:val="center"/>
              <w:rPr>
                <w:rFonts w:eastAsia="宋体"/>
                <w:bCs/>
                <w:color w:val="auto"/>
                <w:szCs w:val="21"/>
              </w:rPr>
            </w:pPr>
            <w:r>
              <w:rPr>
                <w:rFonts w:hint="eastAsia" w:eastAsia="宋体"/>
                <w:bCs/>
                <w:color w:val="auto"/>
                <w:szCs w:val="21"/>
                <w:lang w:eastAsia="zh-CN"/>
              </w:rPr>
              <w:t>颗粒物</w:t>
            </w:r>
          </w:p>
        </w:tc>
        <w:tc>
          <w:tcPr>
            <w:tcW w:w="353" w:type="pct"/>
            <w:vMerge w:val="restart"/>
            <w:vAlign w:val="center"/>
          </w:tcPr>
          <w:p>
            <w:pPr>
              <w:jc w:val="center"/>
              <w:rPr>
                <w:rFonts w:eastAsia="宋体"/>
                <w:bCs/>
                <w:color w:val="auto"/>
                <w:szCs w:val="21"/>
              </w:rPr>
            </w:pPr>
            <w:r>
              <w:rPr>
                <w:rFonts w:eastAsia="宋体"/>
                <w:bCs/>
                <w:color w:val="auto"/>
                <w:szCs w:val="21"/>
              </w:rPr>
              <w:t>有组织</w:t>
            </w:r>
          </w:p>
        </w:tc>
        <w:tc>
          <w:tcPr>
            <w:tcW w:w="293" w:type="pct"/>
            <w:vMerge w:val="restart"/>
            <w:vAlign w:val="center"/>
          </w:tcPr>
          <w:p>
            <w:pPr>
              <w:jc w:val="center"/>
              <w:rPr>
                <w:rFonts w:eastAsia="宋体"/>
                <w:bCs/>
                <w:color w:val="auto"/>
                <w:szCs w:val="21"/>
              </w:rPr>
            </w:pPr>
            <w:r>
              <w:rPr>
                <w:rFonts w:eastAsia="宋体"/>
                <w:bCs/>
                <w:color w:val="auto"/>
                <w:szCs w:val="21"/>
              </w:rPr>
              <w:t>20000</w:t>
            </w:r>
          </w:p>
        </w:tc>
        <w:tc>
          <w:tcPr>
            <w:tcW w:w="293" w:type="pct"/>
            <w:vAlign w:val="center"/>
          </w:tcPr>
          <w:p>
            <w:pPr>
              <w:jc w:val="center"/>
              <w:rPr>
                <w:rFonts w:eastAsia="宋体"/>
                <w:bCs/>
                <w:color w:val="auto"/>
                <w:szCs w:val="21"/>
              </w:rPr>
            </w:pPr>
            <w:r>
              <w:rPr>
                <w:rFonts w:hint="eastAsia" w:eastAsia="宋体"/>
                <w:bCs/>
                <w:color w:val="auto"/>
                <w:szCs w:val="21"/>
                <w:lang w:val="en-US" w:eastAsia="zh-CN"/>
              </w:rPr>
              <w:t>0.4</w:t>
            </w:r>
          </w:p>
        </w:tc>
        <w:tc>
          <w:tcPr>
            <w:tcW w:w="308" w:type="pct"/>
            <w:vAlign w:val="center"/>
          </w:tcPr>
          <w:p>
            <w:pPr>
              <w:jc w:val="center"/>
              <w:rPr>
                <w:rFonts w:eastAsia="宋体"/>
                <w:bCs/>
                <w:color w:val="auto"/>
                <w:szCs w:val="21"/>
              </w:rPr>
            </w:pPr>
            <w:r>
              <w:rPr>
                <w:rFonts w:hint="eastAsia" w:eastAsia="宋体"/>
                <w:bCs/>
                <w:color w:val="auto"/>
                <w:szCs w:val="21"/>
                <w:lang w:val="en-US" w:eastAsia="zh-CN"/>
              </w:rPr>
              <w:t xml:space="preserve">0.33 </w:t>
            </w:r>
          </w:p>
        </w:tc>
        <w:tc>
          <w:tcPr>
            <w:tcW w:w="308" w:type="pct"/>
            <w:vAlign w:val="center"/>
          </w:tcPr>
          <w:p>
            <w:pPr>
              <w:jc w:val="center"/>
              <w:rPr>
                <w:rFonts w:eastAsia="宋体"/>
                <w:bCs/>
                <w:color w:val="auto"/>
                <w:szCs w:val="21"/>
              </w:rPr>
            </w:pPr>
            <w:r>
              <w:rPr>
                <w:rFonts w:hint="eastAsia" w:eastAsia="宋体"/>
                <w:bCs/>
                <w:color w:val="auto"/>
                <w:szCs w:val="21"/>
                <w:lang w:val="en-US" w:eastAsia="zh-CN"/>
              </w:rPr>
              <w:t xml:space="preserve">16.68 </w:t>
            </w:r>
          </w:p>
        </w:tc>
        <w:tc>
          <w:tcPr>
            <w:tcW w:w="307" w:type="pct"/>
            <w:vMerge w:val="restart"/>
            <w:vAlign w:val="center"/>
          </w:tcPr>
          <w:p>
            <w:pPr>
              <w:jc w:val="center"/>
              <w:rPr>
                <w:rFonts w:eastAsia="宋体"/>
                <w:bCs/>
                <w:color w:val="auto"/>
                <w:szCs w:val="21"/>
              </w:rPr>
            </w:pPr>
            <w:r>
              <w:rPr>
                <w:rFonts w:hint="eastAsia"/>
                <w:bCs/>
                <w:color w:val="auto"/>
                <w:szCs w:val="21"/>
                <w:lang w:eastAsia="zh-CN"/>
              </w:rPr>
              <w:t>布袋除尘器</w:t>
            </w:r>
            <w:r>
              <w:rPr>
                <w:rFonts w:hint="eastAsia"/>
                <w:bCs/>
                <w:color w:val="auto"/>
                <w:szCs w:val="21"/>
                <w:lang w:val="en-US" w:eastAsia="zh-CN"/>
              </w:rPr>
              <w:t>+</w:t>
            </w:r>
            <w:r>
              <w:rPr>
                <w:rFonts w:hint="eastAsia"/>
                <w:bCs/>
                <w:color w:val="auto"/>
                <w:szCs w:val="21"/>
                <w:lang w:eastAsia="zh-CN"/>
              </w:rPr>
              <w:t>二级活性炭净化装</w:t>
            </w:r>
            <w:r>
              <w:rPr>
                <w:rFonts w:eastAsia="宋体"/>
                <w:bCs/>
                <w:color w:val="auto"/>
                <w:szCs w:val="21"/>
              </w:rPr>
              <w:t>置</w:t>
            </w:r>
          </w:p>
        </w:tc>
        <w:tc>
          <w:tcPr>
            <w:tcW w:w="360" w:type="pct"/>
            <w:vMerge w:val="restart"/>
            <w:vAlign w:val="center"/>
          </w:tcPr>
          <w:p>
            <w:pPr>
              <w:jc w:val="center"/>
              <w:rPr>
                <w:rFonts w:eastAsia="宋体"/>
                <w:bCs/>
                <w:color w:val="auto"/>
                <w:szCs w:val="21"/>
              </w:rPr>
            </w:pPr>
            <w:r>
              <w:rPr>
                <w:rFonts w:eastAsia="宋体"/>
                <w:bCs/>
                <w:color w:val="auto"/>
                <w:szCs w:val="21"/>
              </w:rPr>
              <w:t>90%</w:t>
            </w:r>
          </w:p>
        </w:tc>
        <w:tc>
          <w:tcPr>
            <w:tcW w:w="301" w:type="pct"/>
            <w:vAlign w:val="center"/>
          </w:tcPr>
          <w:p>
            <w:pPr>
              <w:jc w:val="center"/>
              <w:rPr>
                <w:rFonts w:eastAsia="宋体"/>
                <w:bCs/>
                <w:color w:val="auto"/>
                <w:szCs w:val="21"/>
              </w:rPr>
            </w:pPr>
            <w:r>
              <w:rPr>
                <w:rFonts w:hint="eastAsia" w:eastAsia="宋体"/>
                <w:bCs/>
                <w:color w:val="auto"/>
                <w:szCs w:val="21"/>
                <w:lang w:val="en-US" w:eastAsia="zh-CN"/>
              </w:rPr>
              <w:t>0.004</w:t>
            </w:r>
          </w:p>
        </w:tc>
        <w:tc>
          <w:tcPr>
            <w:tcW w:w="318" w:type="pct"/>
            <w:vAlign w:val="center"/>
          </w:tcPr>
          <w:p>
            <w:pPr>
              <w:jc w:val="center"/>
              <w:rPr>
                <w:rFonts w:eastAsia="宋体"/>
                <w:bCs/>
                <w:color w:val="auto"/>
                <w:szCs w:val="21"/>
              </w:rPr>
            </w:pPr>
            <w:r>
              <w:rPr>
                <w:rFonts w:hint="eastAsia" w:eastAsia="宋体"/>
                <w:bCs/>
                <w:color w:val="auto"/>
                <w:szCs w:val="21"/>
                <w:lang w:val="en-US" w:eastAsia="zh-CN"/>
              </w:rPr>
              <w:t>0.0033</w:t>
            </w:r>
          </w:p>
        </w:tc>
        <w:tc>
          <w:tcPr>
            <w:tcW w:w="308" w:type="pct"/>
            <w:vAlign w:val="center"/>
          </w:tcPr>
          <w:p>
            <w:pPr>
              <w:jc w:val="center"/>
              <w:rPr>
                <w:rFonts w:hint="default" w:eastAsia="宋体"/>
                <w:bCs/>
                <w:color w:val="auto"/>
                <w:szCs w:val="21"/>
                <w:lang w:val="en-US"/>
              </w:rPr>
            </w:pPr>
            <w:r>
              <w:rPr>
                <w:rFonts w:hint="eastAsia" w:eastAsia="宋体"/>
                <w:bCs/>
                <w:color w:val="auto"/>
                <w:szCs w:val="21"/>
                <w:lang w:val="en-US" w:eastAsia="zh-CN"/>
              </w:rPr>
              <w:t>0.17</w:t>
            </w:r>
          </w:p>
        </w:tc>
        <w:tc>
          <w:tcPr>
            <w:tcW w:w="308" w:type="pct"/>
            <w:vMerge w:val="restart"/>
            <w:vAlign w:val="center"/>
          </w:tcPr>
          <w:p>
            <w:pPr>
              <w:jc w:val="center"/>
              <w:rPr>
                <w:rFonts w:eastAsia="宋体"/>
                <w:bCs/>
                <w:color w:val="auto"/>
                <w:szCs w:val="21"/>
              </w:rPr>
            </w:pPr>
            <w:r>
              <w:rPr>
                <w:rFonts w:eastAsia="宋体"/>
                <w:bCs/>
                <w:color w:val="auto"/>
                <w:szCs w:val="21"/>
              </w:rPr>
              <w:t>15</w:t>
            </w:r>
          </w:p>
        </w:tc>
        <w:tc>
          <w:tcPr>
            <w:tcW w:w="308" w:type="pct"/>
            <w:vMerge w:val="restart"/>
            <w:vAlign w:val="center"/>
          </w:tcPr>
          <w:p>
            <w:pPr>
              <w:jc w:val="center"/>
              <w:rPr>
                <w:rFonts w:hint="eastAsia" w:eastAsia="宋体"/>
                <w:bCs/>
                <w:color w:val="auto"/>
                <w:szCs w:val="21"/>
                <w:lang w:eastAsia="zh-CN"/>
              </w:rPr>
            </w:pPr>
            <w:r>
              <w:rPr>
                <w:rFonts w:hint="eastAsia" w:eastAsia="宋体"/>
                <w:bCs/>
                <w:color w:val="auto"/>
                <w:szCs w:val="21"/>
              </w:rPr>
              <w:t>0.</w:t>
            </w:r>
            <w:r>
              <w:rPr>
                <w:rFonts w:hint="eastAsia" w:eastAsia="宋体"/>
                <w:bCs/>
                <w:color w:val="auto"/>
                <w:szCs w:val="21"/>
                <w:lang w:val="en-US" w:eastAsia="zh-CN"/>
              </w:rPr>
              <w:t>6</w:t>
            </w:r>
          </w:p>
        </w:tc>
        <w:tc>
          <w:tcPr>
            <w:tcW w:w="315" w:type="pct"/>
            <w:vMerge w:val="restart"/>
            <w:vAlign w:val="center"/>
          </w:tcPr>
          <w:p>
            <w:pPr>
              <w:jc w:val="center"/>
              <w:rPr>
                <w:rFonts w:eastAsia="宋体"/>
                <w:bCs/>
                <w:color w:val="auto"/>
                <w:szCs w:val="21"/>
              </w:rPr>
            </w:pPr>
            <w:r>
              <w:rPr>
                <w:rFonts w:eastAsia="宋体"/>
                <w:bCs/>
                <w:color w:val="auto"/>
                <w:szCs w:val="21"/>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 w:hRule="atLeast"/>
        </w:trPr>
        <w:tc>
          <w:tcPr>
            <w:tcW w:w="276" w:type="pct"/>
            <w:vMerge w:val="continue"/>
            <w:vAlign w:val="center"/>
          </w:tcPr>
          <w:p>
            <w:pPr>
              <w:jc w:val="center"/>
              <w:rPr>
                <w:rFonts w:hint="eastAsia" w:eastAsia="宋体"/>
                <w:bCs/>
                <w:color w:val="auto"/>
                <w:szCs w:val="21"/>
                <w:lang w:val="en-US" w:eastAsia="zh-CN"/>
              </w:rPr>
            </w:pPr>
          </w:p>
        </w:tc>
        <w:tc>
          <w:tcPr>
            <w:tcW w:w="319" w:type="pct"/>
            <w:vMerge w:val="continue"/>
            <w:vAlign w:val="center"/>
          </w:tcPr>
          <w:p>
            <w:pPr>
              <w:jc w:val="center"/>
              <w:rPr>
                <w:rFonts w:hint="eastAsia" w:eastAsia="宋体"/>
                <w:bCs/>
                <w:color w:val="auto"/>
                <w:szCs w:val="21"/>
                <w:lang w:eastAsia="zh-CN"/>
              </w:rPr>
            </w:pPr>
          </w:p>
        </w:tc>
        <w:tc>
          <w:tcPr>
            <w:tcW w:w="319" w:type="pct"/>
            <w:vAlign w:val="center"/>
          </w:tcPr>
          <w:p>
            <w:pPr>
              <w:jc w:val="center"/>
              <w:rPr>
                <w:rFonts w:eastAsia="宋体"/>
                <w:bCs/>
                <w:color w:val="auto"/>
                <w:szCs w:val="21"/>
              </w:rPr>
            </w:pPr>
            <w:r>
              <w:rPr>
                <w:rFonts w:eastAsia="宋体"/>
                <w:bCs/>
                <w:color w:val="auto"/>
                <w:szCs w:val="21"/>
              </w:rPr>
              <w:t>非甲烷总烃</w:t>
            </w:r>
          </w:p>
        </w:tc>
        <w:tc>
          <w:tcPr>
            <w:tcW w:w="353" w:type="pct"/>
            <w:vMerge w:val="continue"/>
            <w:vAlign w:val="center"/>
          </w:tcPr>
          <w:p>
            <w:pPr>
              <w:jc w:val="center"/>
              <w:rPr>
                <w:rFonts w:eastAsia="宋体"/>
                <w:bCs/>
                <w:color w:val="auto"/>
                <w:szCs w:val="21"/>
              </w:rPr>
            </w:pPr>
          </w:p>
        </w:tc>
        <w:tc>
          <w:tcPr>
            <w:tcW w:w="293" w:type="pct"/>
            <w:vMerge w:val="continue"/>
            <w:vAlign w:val="center"/>
          </w:tcPr>
          <w:p>
            <w:pPr>
              <w:jc w:val="center"/>
              <w:rPr>
                <w:rFonts w:eastAsia="宋体"/>
                <w:bCs/>
                <w:color w:val="auto"/>
                <w:szCs w:val="21"/>
              </w:rPr>
            </w:pPr>
          </w:p>
        </w:tc>
        <w:tc>
          <w:tcPr>
            <w:tcW w:w="293" w:type="pct"/>
            <w:vAlign w:val="center"/>
          </w:tcPr>
          <w:p>
            <w:pPr>
              <w:jc w:val="center"/>
              <w:rPr>
                <w:rFonts w:hint="eastAsia" w:eastAsia="宋体"/>
                <w:bCs/>
                <w:color w:val="auto"/>
                <w:szCs w:val="21"/>
                <w:lang w:val="en-US" w:eastAsia="zh-CN"/>
              </w:rPr>
            </w:pPr>
            <w:r>
              <w:rPr>
                <w:rFonts w:hint="eastAsia" w:eastAsia="宋体"/>
                <w:bCs/>
                <w:color w:val="auto"/>
                <w:szCs w:val="21"/>
                <w:lang w:val="en-US" w:eastAsia="zh-CN"/>
              </w:rPr>
              <w:t xml:space="preserve">0.33 </w:t>
            </w:r>
          </w:p>
        </w:tc>
        <w:tc>
          <w:tcPr>
            <w:tcW w:w="308" w:type="pct"/>
            <w:vAlign w:val="center"/>
          </w:tcPr>
          <w:p>
            <w:pPr>
              <w:jc w:val="center"/>
              <w:rPr>
                <w:rFonts w:hint="eastAsia" w:eastAsia="宋体"/>
                <w:bCs/>
                <w:color w:val="auto"/>
                <w:szCs w:val="21"/>
                <w:lang w:val="en-US" w:eastAsia="zh-CN"/>
              </w:rPr>
            </w:pPr>
            <w:r>
              <w:rPr>
                <w:rFonts w:hint="eastAsia" w:eastAsia="宋体"/>
                <w:bCs/>
                <w:color w:val="auto"/>
                <w:szCs w:val="21"/>
                <w:lang w:val="en-US" w:eastAsia="zh-CN"/>
              </w:rPr>
              <w:t xml:space="preserve">0.28 </w:t>
            </w:r>
          </w:p>
        </w:tc>
        <w:tc>
          <w:tcPr>
            <w:tcW w:w="308" w:type="pct"/>
            <w:vAlign w:val="center"/>
          </w:tcPr>
          <w:p>
            <w:pPr>
              <w:jc w:val="center"/>
              <w:rPr>
                <w:rFonts w:hint="eastAsia" w:eastAsia="宋体"/>
                <w:bCs/>
                <w:color w:val="auto"/>
                <w:szCs w:val="21"/>
                <w:lang w:val="en-US" w:eastAsia="zh-CN"/>
              </w:rPr>
            </w:pPr>
            <w:r>
              <w:rPr>
                <w:rFonts w:hint="eastAsia" w:eastAsia="宋体"/>
                <w:bCs/>
                <w:color w:val="auto"/>
                <w:szCs w:val="21"/>
                <w:lang w:val="en-US" w:eastAsia="zh-CN"/>
              </w:rPr>
              <w:t>13.94</w:t>
            </w:r>
          </w:p>
        </w:tc>
        <w:tc>
          <w:tcPr>
            <w:tcW w:w="307" w:type="pct"/>
            <w:vMerge w:val="continue"/>
            <w:vAlign w:val="center"/>
          </w:tcPr>
          <w:p>
            <w:pPr>
              <w:jc w:val="center"/>
              <w:rPr>
                <w:rFonts w:eastAsia="宋体"/>
                <w:bCs/>
                <w:color w:val="auto"/>
                <w:szCs w:val="21"/>
              </w:rPr>
            </w:pPr>
          </w:p>
        </w:tc>
        <w:tc>
          <w:tcPr>
            <w:tcW w:w="360" w:type="pct"/>
            <w:vMerge w:val="continue"/>
            <w:vAlign w:val="center"/>
          </w:tcPr>
          <w:p>
            <w:pPr>
              <w:jc w:val="center"/>
              <w:rPr>
                <w:rFonts w:eastAsia="宋体"/>
                <w:bCs/>
                <w:color w:val="auto"/>
                <w:szCs w:val="21"/>
              </w:rPr>
            </w:pPr>
          </w:p>
        </w:tc>
        <w:tc>
          <w:tcPr>
            <w:tcW w:w="301" w:type="pct"/>
            <w:vAlign w:val="center"/>
          </w:tcPr>
          <w:p>
            <w:pPr>
              <w:jc w:val="center"/>
              <w:rPr>
                <w:rFonts w:hint="eastAsia" w:eastAsia="宋体"/>
                <w:bCs/>
                <w:color w:val="auto"/>
                <w:szCs w:val="21"/>
                <w:lang w:val="en-US" w:eastAsia="zh-CN"/>
              </w:rPr>
            </w:pPr>
            <w:r>
              <w:rPr>
                <w:rFonts w:hint="eastAsia" w:eastAsia="宋体"/>
                <w:bCs/>
                <w:color w:val="auto"/>
                <w:szCs w:val="21"/>
                <w:lang w:val="en-US" w:eastAsia="zh-CN"/>
              </w:rPr>
              <w:t>0.017</w:t>
            </w:r>
          </w:p>
        </w:tc>
        <w:tc>
          <w:tcPr>
            <w:tcW w:w="318" w:type="pct"/>
            <w:vAlign w:val="center"/>
          </w:tcPr>
          <w:p>
            <w:pPr>
              <w:jc w:val="center"/>
              <w:rPr>
                <w:rFonts w:hint="eastAsia" w:eastAsia="宋体"/>
                <w:bCs/>
                <w:color w:val="auto"/>
                <w:szCs w:val="21"/>
                <w:lang w:val="en-US" w:eastAsia="zh-CN"/>
              </w:rPr>
            </w:pPr>
            <w:r>
              <w:rPr>
                <w:rFonts w:hint="eastAsia" w:eastAsia="宋体"/>
                <w:bCs/>
                <w:color w:val="auto"/>
                <w:szCs w:val="21"/>
                <w:lang w:val="en-US" w:eastAsia="zh-CN"/>
              </w:rPr>
              <w:t>0.014</w:t>
            </w:r>
          </w:p>
        </w:tc>
        <w:tc>
          <w:tcPr>
            <w:tcW w:w="308" w:type="pct"/>
            <w:vAlign w:val="center"/>
          </w:tcPr>
          <w:p>
            <w:pPr>
              <w:jc w:val="center"/>
              <w:rPr>
                <w:rFonts w:hint="eastAsia" w:eastAsia="宋体"/>
                <w:bCs/>
                <w:color w:val="auto"/>
                <w:szCs w:val="21"/>
                <w:lang w:val="en-US" w:eastAsia="zh-CN"/>
              </w:rPr>
            </w:pPr>
            <w:r>
              <w:rPr>
                <w:rFonts w:hint="eastAsia" w:eastAsia="宋体"/>
                <w:bCs/>
                <w:color w:val="auto"/>
                <w:szCs w:val="21"/>
                <w:lang w:val="en-US" w:eastAsia="zh-CN"/>
              </w:rPr>
              <w:t>0.7</w:t>
            </w:r>
          </w:p>
        </w:tc>
        <w:tc>
          <w:tcPr>
            <w:tcW w:w="308" w:type="pct"/>
            <w:vMerge w:val="continue"/>
            <w:vAlign w:val="center"/>
          </w:tcPr>
          <w:p>
            <w:pPr>
              <w:jc w:val="center"/>
              <w:rPr>
                <w:rFonts w:eastAsia="宋体"/>
                <w:bCs/>
                <w:color w:val="auto"/>
                <w:szCs w:val="21"/>
              </w:rPr>
            </w:pPr>
          </w:p>
        </w:tc>
        <w:tc>
          <w:tcPr>
            <w:tcW w:w="308" w:type="pct"/>
            <w:vMerge w:val="continue"/>
            <w:vAlign w:val="center"/>
          </w:tcPr>
          <w:p>
            <w:pPr>
              <w:jc w:val="center"/>
              <w:rPr>
                <w:rFonts w:hint="eastAsia" w:eastAsia="宋体"/>
                <w:bCs/>
                <w:color w:val="auto"/>
                <w:szCs w:val="21"/>
              </w:rPr>
            </w:pPr>
          </w:p>
        </w:tc>
        <w:tc>
          <w:tcPr>
            <w:tcW w:w="315" w:type="pct"/>
            <w:vMerge w:val="continue"/>
            <w:vAlign w:val="center"/>
          </w:tcPr>
          <w:p>
            <w:pPr>
              <w:jc w:val="center"/>
              <w:rPr>
                <w:rFonts w:eastAsia="宋体"/>
                <w:bCs/>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 w:hRule="atLeast"/>
        </w:trPr>
        <w:tc>
          <w:tcPr>
            <w:tcW w:w="276" w:type="pct"/>
            <w:vMerge w:val="continue"/>
            <w:vAlign w:val="center"/>
          </w:tcPr>
          <w:p>
            <w:pPr>
              <w:jc w:val="center"/>
              <w:rPr>
                <w:rFonts w:eastAsia="宋体"/>
                <w:bCs/>
                <w:color w:val="auto"/>
                <w:szCs w:val="21"/>
              </w:rPr>
            </w:pPr>
          </w:p>
        </w:tc>
        <w:tc>
          <w:tcPr>
            <w:tcW w:w="319" w:type="pct"/>
            <w:vMerge w:val="continue"/>
            <w:vAlign w:val="center"/>
          </w:tcPr>
          <w:p>
            <w:pPr>
              <w:jc w:val="center"/>
              <w:rPr>
                <w:rFonts w:eastAsia="宋体"/>
                <w:bCs/>
                <w:color w:val="auto"/>
                <w:szCs w:val="21"/>
              </w:rPr>
            </w:pPr>
          </w:p>
        </w:tc>
        <w:tc>
          <w:tcPr>
            <w:tcW w:w="319" w:type="pct"/>
            <w:vAlign w:val="center"/>
          </w:tcPr>
          <w:p>
            <w:pPr>
              <w:jc w:val="center"/>
              <w:rPr>
                <w:rFonts w:eastAsia="宋体"/>
                <w:bCs/>
                <w:color w:val="auto"/>
                <w:szCs w:val="21"/>
              </w:rPr>
            </w:pPr>
            <w:r>
              <w:rPr>
                <w:rFonts w:eastAsia="宋体"/>
                <w:bCs/>
                <w:color w:val="auto"/>
                <w:szCs w:val="21"/>
              </w:rPr>
              <w:t>H2S</w:t>
            </w:r>
          </w:p>
        </w:tc>
        <w:tc>
          <w:tcPr>
            <w:tcW w:w="353" w:type="pct"/>
            <w:vMerge w:val="continue"/>
            <w:vAlign w:val="center"/>
          </w:tcPr>
          <w:p>
            <w:pPr>
              <w:jc w:val="center"/>
              <w:rPr>
                <w:rFonts w:eastAsia="宋体"/>
                <w:bCs/>
                <w:color w:val="auto"/>
                <w:szCs w:val="21"/>
              </w:rPr>
            </w:pPr>
          </w:p>
        </w:tc>
        <w:tc>
          <w:tcPr>
            <w:tcW w:w="293" w:type="pct"/>
            <w:vMerge w:val="continue"/>
            <w:vAlign w:val="center"/>
          </w:tcPr>
          <w:p>
            <w:pPr>
              <w:jc w:val="center"/>
              <w:rPr>
                <w:rFonts w:eastAsia="宋体"/>
                <w:bCs/>
                <w:color w:val="auto"/>
                <w:szCs w:val="21"/>
              </w:rPr>
            </w:pPr>
          </w:p>
        </w:tc>
        <w:tc>
          <w:tcPr>
            <w:tcW w:w="293" w:type="pct"/>
            <w:vAlign w:val="center"/>
          </w:tcPr>
          <w:p>
            <w:pPr>
              <w:jc w:val="center"/>
              <w:rPr>
                <w:rFonts w:eastAsia="宋体"/>
                <w:bCs/>
                <w:color w:val="auto"/>
                <w:szCs w:val="21"/>
              </w:rPr>
            </w:pPr>
            <w:r>
              <w:rPr>
                <w:rFonts w:hint="eastAsia" w:eastAsia="宋体"/>
                <w:bCs/>
                <w:color w:val="auto"/>
                <w:szCs w:val="21"/>
                <w:lang w:val="en-US" w:eastAsia="zh-CN"/>
              </w:rPr>
              <w:t>0.076</w:t>
            </w:r>
          </w:p>
        </w:tc>
        <w:tc>
          <w:tcPr>
            <w:tcW w:w="308" w:type="pct"/>
            <w:vAlign w:val="center"/>
          </w:tcPr>
          <w:p>
            <w:pPr>
              <w:jc w:val="center"/>
              <w:rPr>
                <w:rFonts w:hint="default" w:eastAsia="宋体"/>
                <w:bCs/>
                <w:color w:val="auto"/>
                <w:szCs w:val="21"/>
                <w:lang w:val="en-US"/>
              </w:rPr>
            </w:pPr>
            <w:r>
              <w:rPr>
                <w:rFonts w:hint="eastAsia" w:eastAsia="宋体"/>
                <w:bCs/>
                <w:color w:val="auto"/>
                <w:szCs w:val="21"/>
                <w:lang w:val="en-US" w:eastAsia="zh-CN"/>
              </w:rPr>
              <w:t>0.064</w:t>
            </w:r>
          </w:p>
        </w:tc>
        <w:tc>
          <w:tcPr>
            <w:tcW w:w="308" w:type="pct"/>
            <w:vAlign w:val="center"/>
          </w:tcPr>
          <w:p>
            <w:pPr>
              <w:jc w:val="center"/>
              <w:rPr>
                <w:rFonts w:eastAsia="宋体"/>
                <w:bCs/>
                <w:color w:val="auto"/>
                <w:szCs w:val="21"/>
              </w:rPr>
            </w:pPr>
            <w:r>
              <w:rPr>
                <w:rFonts w:hint="eastAsia" w:eastAsia="宋体"/>
                <w:bCs/>
                <w:color w:val="auto"/>
                <w:szCs w:val="21"/>
                <w:lang w:val="en-US" w:eastAsia="zh-CN"/>
              </w:rPr>
              <w:t>3.19</w:t>
            </w:r>
          </w:p>
        </w:tc>
        <w:tc>
          <w:tcPr>
            <w:tcW w:w="307" w:type="pct"/>
            <w:vMerge w:val="continue"/>
            <w:vAlign w:val="center"/>
          </w:tcPr>
          <w:p>
            <w:pPr>
              <w:jc w:val="center"/>
              <w:rPr>
                <w:rFonts w:eastAsia="宋体"/>
                <w:bCs/>
                <w:color w:val="auto"/>
                <w:szCs w:val="21"/>
              </w:rPr>
            </w:pPr>
          </w:p>
        </w:tc>
        <w:tc>
          <w:tcPr>
            <w:tcW w:w="360" w:type="pct"/>
            <w:vMerge w:val="continue"/>
            <w:vAlign w:val="center"/>
          </w:tcPr>
          <w:p>
            <w:pPr>
              <w:jc w:val="center"/>
              <w:rPr>
                <w:rFonts w:eastAsia="宋体"/>
                <w:bCs/>
                <w:color w:val="auto"/>
                <w:szCs w:val="21"/>
              </w:rPr>
            </w:pPr>
          </w:p>
        </w:tc>
        <w:tc>
          <w:tcPr>
            <w:tcW w:w="301" w:type="pct"/>
            <w:vAlign w:val="center"/>
          </w:tcPr>
          <w:p>
            <w:pPr>
              <w:jc w:val="center"/>
              <w:rPr>
                <w:rFonts w:eastAsia="宋体"/>
                <w:bCs/>
                <w:color w:val="auto"/>
                <w:szCs w:val="21"/>
              </w:rPr>
            </w:pPr>
            <w:r>
              <w:rPr>
                <w:rFonts w:hint="eastAsia" w:eastAsia="宋体"/>
                <w:bCs/>
                <w:color w:val="auto"/>
                <w:szCs w:val="21"/>
                <w:lang w:val="en-US" w:eastAsia="zh-CN"/>
              </w:rPr>
              <w:t>0.0038</w:t>
            </w:r>
          </w:p>
        </w:tc>
        <w:tc>
          <w:tcPr>
            <w:tcW w:w="318" w:type="pct"/>
            <w:vAlign w:val="center"/>
          </w:tcPr>
          <w:p>
            <w:pPr>
              <w:jc w:val="center"/>
              <w:rPr>
                <w:rFonts w:eastAsia="宋体"/>
                <w:bCs/>
                <w:color w:val="auto"/>
                <w:szCs w:val="21"/>
              </w:rPr>
            </w:pPr>
            <w:r>
              <w:rPr>
                <w:rFonts w:hint="eastAsia" w:eastAsia="宋体"/>
                <w:bCs/>
                <w:color w:val="auto"/>
                <w:szCs w:val="21"/>
                <w:lang w:val="en-US" w:eastAsia="zh-CN"/>
              </w:rPr>
              <w:t>0.0032</w:t>
            </w:r>
          </w:p>
        </w:tc>
        <w:tc>
          <w:tcPr>
            <w:tcW w:w="308" w:type="pct"/>
            <w:vAlign w:val="center"/>
          </w:tcPr>
          <w:p>
            <w:pPr>
              <w:jc w:val="center"/>
              <w:rPr>
                <w:rFonts w:eastAsia="宋体"/>
                <w:bCs/>
                <w:color w:val="auto"/>
                <w:szCs w:val="21"/>
              </w:rPr>
            </w:pPr>
            <w:r>
              <w:rPr>
                <w:rFonts w:hint="eastAsia" w:eastAsia="宋体"/>
                <w:bCs/>
                <w:color w:val="auto"/>
                <w:szCs w:val="21"/>
                <w:lang w:val="en-US" w:eastAsia="zh-CN"/>
              </w:rPr>
              <w:t>0.16</w:t>
            </w:r>
          </w:p>
        </w:tc>
        <w:tc>
          <w:tcPr>
            <w:tcW w:w="308" w:type="pct"/>
            <w:vMerge w:val="continue"/>
            <w:vAlign w:val="center"/>
          </w:tcPr>
          <w:p>
            <w:pPr>
              <w:jc w:val="center"/>
              <w:rPr>
                <w:rFonts w:eastAsia="宋体"/>
                <w:bCs/>
                <w:color w:val="auto"/>
                <w:szCs w:val="21"/>
              </w:rPr>
            </w:pPr>
          </w:p>
        </w:tc>
        <w:tc>
          <w:tcPr>
            <w:tcW w:w="308" w:type="pct"/>
            <w:vMerge w:val="continue"/>
            <w:vAlign w:val="center"/>
          </w:tcPr>
          <w:p>
            <w:pPr>
              <w:jc w:val="center"/>
              <w:rPr>
                <w:rFonts w:eastAsia="宋体"/>
                <w:bCs/>
                <w:color w:val="auto"/>
                <w:szCs w:val="21"/>
              </w:rPr>
            </w:pPr>
          </w:p>
        </w:tc>
        <w:tc>
          <w:tcPr>
            <w:tcW w:w="315" w:type="pct"/>
            <w:vMerge w:val="continue"/>
            <w:vAlign w:val="center"/>
          </w:tcPr>
          <w:p>
            <w:pPr>
              <w:jc w:val="center"/>
              <w:rPr>
                <w:rFonts w:eastAsia="宋体"/>
                <w:bCs/>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 w:hRule="atLeast"/>
        </w:trPr>
        <w:tc>
          <w:tcPr>
            <w:tcW w:w="276" w:type="pct"/>
            <w:vAlign w:val="center"/>
          </w:tcPr>
          <w:p>
            <w:pPr>
              <w:jc w:val="center"/>
              <w:rPr>
                <w:rFonts w:hint="default" w:eastAsia="宋体"/>
                <w:bCs/>
                <w:color w:val="auto"/>
                <w:szCs w:val="21"/>
                <w:lang w:val="en-US" w:eastAsia="zh-CN"/>
              </w:rPr>
            </w:pPr>
            <w:r>
              <w:rPr>
                <w:rFonts w:hint="eastAsia" w:eastAsia="宋体"/>
                <w:bCs/>
                <w:color w:val="auto"/>
                <w:szCs w:val="21"/>
                <w:lang w:val="en-US" w:eastAsia="zh-CN"/>
              </w:rPr>
              <w:t>3#排气筒</w:t>
            </w:r>
          </w:p>
        </w:tc>
        <w:tc>
          <w:tcPr>
            <w:tcW w:w="906" w:type="dxa"/>
            <w:vAlign w:val="center"/>
          </w:tcPr>
          <w:p>
            <w:pPr>
              <w:jc w:val="center"/>
              <w:rPr>
                <w:rFonts w:eastAsia="宋体"/>
                <w:bCs/>
                <w:color w:val="auto"/>
                <w:szCs w:val="21"/>
              </w:rPr>
            </w:pPr>
            <w:r>
              <w:rPr>
                <w:rFonts w:eastAsia="宋体"/>
                <w:bCs/>
                <w:color w:val="auto"/>
                <w:szCs w:val="21"/>
              </w:rPr>
              <w:t>涂胶、晾干</w:t>
            </w:r>
            <w:r>
              <w:rPr>
                <w:rFonts w:hint="eastAsia" w:eastAsia="宋体"/>
                <w:bCs/>
                <w:color w:val="auto"/>
                <w:szCs w:val="21"/>
                <w:lang w:eastAsia="zh-CN"/>
              </w:rPr>
              <w:t>、烘干</w:t>
            </w:r>
          </w:p>
        </w:tc>
        <w:tc>
          <w:tcPr>
            <w:tcW w:w="319" w:type="pct"/>
            <w:vAlign w:val="center"/>
          </w:tcPr>
          <w:p>
            <w:pPr>
              <w:jc w:val="center"/>
              <w:rPr>
                <w:rFonts w:eastAsia="宋体"/>
                <w:bCs/>
                <w:color w:val="auto"/>
                <w:szCs w:val="21"/>
              </w:rPr>
            </w:pPr>
            <w:r>
              <w:rPr>
                <w:rFonts w:eastAsia="宋体"/>
                <w:bCs/>
                <w:color w:val="auto"/>
                <w:szCs w:val="21"/>
              </w:rPr>
              <w:t>非甲烷总烃</w:t>
            </w:r>
          </w:p>
        </w:tc>
        <w:tc>
          <w:tcPr>
            <w:tcW w:w="353" w:type="pct"/>
            <w:vAlign w:val="center"/>
          </w:tcPr>
          <w:p>
            <w:pPr>
              <w:jc w:val="center"/>
              <w:rPr>
                <w:rFonts w:eastAsia="宋体"/>
                <w:bCs/>
                <w:color w:val="auto"/>
                <w:szCs w:val="21"/>
              </w:rPr>
            </w:pPr>
            <w:r>
              <w:rPr>
                <w:rFonts w:eastAsia="宋体"/>
                <w:bCs/>
                <w:color w:val="auto"/>
                <w:szCs w:val="21"/>
              </w:rPr>
              <w:t>有组织</w:t>
            </w:r>
          </w:p>
        </w:tc>
        <w:tc>
          <w:tcPr>
            <w:tcW w:w="293" w:type="pct"/>
            <w:vAlign w:val="center"/>
          </w:tcPr>
          <w:p>
            <w:pPr>
              <w:jc w:val="center"/>
              <w:rPr>
                <w:rFonts w:eastAsia="宋体"/>
                <w:bCs/>
                <w:color w:val="auto"/>
                <w:szCs w:val="21"/>
              </w:rPr>
            </w:pPr>
            <w:r>
              <w:rPr>
                <w:rFonts w:hint="eastAsia" w:eastAsia="宋体"/>
                <w:bCs/>
                <w:color w:val="auto"/>
                <w:szCs w:val="21"/>
                <w:lang w:val="en-US" w:eastAsia="zh-CN"/>
              </w:rPr>
              <w:t>450</w:t>
            </w:r>
            <w:r>
              <w:rPr>
                <w:rFonts w:eastAsia="宋体"/>
                <w:bCs/>
                <w:color w:val="auto"/>
                <w:szCs w:val="21"/>
              </w:rPr>
              <w:t>00</w:t>
            </w:r>
          </w:p>
        </w:tc>
        <w:tc>
          <w:tcPr>
            <w:tcW w:w="831" w:type="dxa"/>
            <w:vAlign w:val="center"/>
          </w:tcPr>
          <w:p>
            <w:pPr>
              <w:jc w:val="center"/>
              <w:rPr>
                <w:rFonts w:eastAsia="宋体"/>
                <w:bCs/>
                <w:color w:val="auto"/>
                <w:szCs w:val="21"/>
              </w:rPr>
            </w:pPr>
            <w:r>
              <w:rPr>
                <w:rFonts w:hint="eastAsia" w:eastAsia="宋体"/>
                <w:bCs/>
                <w:color w:val="auto"/>
                <w:szCs w:val="21"/>
                <w:lang w:val="en-US" w:eastAsia="zh-CN"/>
              </w:rPr>
              <w:t>18.43</w:t>
            </w:r>
          </w:p>
        </w:tc>
        <w:tc>
          <w:tcPr>
            <w:tcW w:w="874" w:type="dxa"/>
            <w:vAlign w:val="center"/>
          </w:tcPr>
          <w:p>
            <w:pPr>
              <w:jc w:val="center"/>
              <w:rPr>
                <w:rFonts w:eastAsia="宋体"/>
                <w:bCs/>
                <w:color w:val="auto"/>
                <w:szCs w:val="21"/>
              </w:rPr>
            </w:pPr>
            <w:r>
              <w:rPr>
                <w:rFonts w:hint="eastAsia" w:eastAsia="宋体"/>
                <w:bCs/>
                <w:color w:val="auto"/>
                <w:szCs w:val="21"/>
                <w:lang w:val="en-US" w:eastAsia="zh-CN"/>
              </w:rPr>
              <w:t xml:space="preserve">7.68 </w:t>
            </w:r>
          </w:p>
        </w:tc>
        <w:tc>
          <w:tcPr>
            <w:tcW w:w="874" w:type="dxa"/>
            <w:vAlign w:val="center"/>
          </w:tcPr>
          <w:p>
            <w:pPr>
              <w:jc w:val="center"/>
              <w:rPr>
                <w:rFonts w:eastAsia="宋体"/>
                <w:bCs/>
                <w:color w:val="auto"/>
                <w:szCs w:val="21"/>
              </w:rPr>
            </w:pPr>
            <w:r>
              <w:rPr>
                <w:rFonts w:hint="eastAsia" w:eastAsia="宋体"/>
                <w:bCs/>
                <w:color w:val="auto"/>
                <w:szCs w:val="21"/>
                <w:lang w:val="en-US" w:eastAsia="zh-CN"/>
              </w:rPr>
              <w:t>170.68</w:t>
            </w:r>
          </w:p>
        </w:tc>
        <w:tc>
          <w:tcPr>
            <w:tcW w:w="307" w:type="pct"/>
            <w:vAlign w:val="center"/>
          </w:tcPr>
          <w:p>
            <w:pPr>
              <w:jc w:val="center"/>
              <w:rPr>
                <w:rFonts w:hint="eastAsia" w:eastAsia="宋体"/>
                <w:bCs/>
                <w:color w:val="auto"/>
                <w:szCs w:val="21"/>
                <w:lang w:eastAsia="zh-CN"/>
              </w:rPr>
            </w:pPr>
            <w:r>
              <w:rPr>
                <w:rFonts w:hint="eastAsia" w:eastAsia="宋体"/>
                <w:bCs/>
                <w:color w:val="auto"/>
                <w:szCs w:val="21"/>
                <w:lang w:eastAsia="zh-CN"/>
              </w:rPr>
              <w:t>催化燃烧装置</w:t>
            </w:r>
          </w:p>
        </w:tc>
        <w:tc>
          <w:tcPr>
            <w:tcW w:w="360" w:type="pct"/>
            <w:vAlign w:val="center"/>
          </w:tcPr>
          <w:p>
            <w:pPr>
              <w:jc w:val="center"/>
              <w:rPr>
                <w:rFonts w:eastAsia="宋体"/>
                <w:bCs/>
                <w:color w:val="auto"/>
                <w:szCs w:val="21"/>
              </w:rPr>
            </w:pPr>
            <w:r>
              <w:rPr>
                <w:rFonts w:eastAsia="宋体"/>
                <w:bCs/>
                <w:color w:val="auto"/>
                <w:szCs w:val="21"/>
              </w:rPr>
              <w:t>99%</w:t>
            </w:r>
          </w:p>
        </w:tc>
        <w:tc>
          <w:tcPr>
            <w:tcW w:w="854" w:type="dxa"/>
            <w:vAlign w:val="center"/>
          </w:tcPr>
          <w:p>
            <w:pPr>
              <w:jc w:val="center"/>
              <w:rPr>
                <w:rFonts w:eastAsia="宋体"/>
                <w:bCs/>
                <w:color w:val="auto"/>
                <w:szCs w:val="21"/>
              </w:rPr>
            </w:pPr>
            <w:r>
              <w:rPr>
                <w:rFonts w:hint="eastAsia" w:eastAsia="宋体"/>
                <w:bCs/>
                <w:color w:val="auto"/>
                <w:szCs w:val="21"/>
                <w:lang w:val="en-US" w:eastAsia="zh-CN"/>
              </w:rPr>
              <w:t>0.18</w:t>
            </w:r>
          </w:p>
        </w:tc>
        <w:tc>
          <w:tcPr>
            <w:tcW w:w="902" w:type="dxa"/>
            <w:vAlign w:val="center"/>
          </w:tcPr>
          <w:p>
            <w:pPr>
              <w:jc w:val="center"/>
              <w:rPr>
                <w:rFonts w:eastAsia="宋体"/>
                <w:bCs/>
                <w:color w:val="auto"/>
                <w:szCs w:val="21"/>
              </w:rPr>
            </w:pPr>
            <w:r>
              <w:rPr>
                <w:rFonts w:hint="eastAsia" w:eastAsia="宋体"/>
                <w:bCs/>
                <w:color w:val="auto"/>
                <w:szCs w:val="21"/>
                <w:lang w:val="en-US" w:eastAsia="zh-CN"/>
              </w:rPr>
              <w:t>0.077</w:t>
            </w:r>
          </w:p>
        </w:tc>
        <w:tc>
          <w:tcPr>
            <w:tcW w:w="874" w:type="dxa"/>
            <w:vAlign w:val="center"/>
          </w:tcPr>
          <w:p>
            <w:pPr>
              <w:jc w:val="center"/>
              <w:rPr>
                <w:rFonts w:eastAsia="宋体"/>
                <w:bCs/>
                <w:color w:val="auto"/>
                <w:szCs w:val="21"/>
              </w:rPr>
            </w:pPr>
            <w:r>
              <w:rPr>
                <w:rFonts w:hint="eastAsia" w:eastAsia="宋体"/>
                <w:bCs/>
                <w:color w:val="auto"/>
                <w:szCs w:val="21"/>
                <w:lang w:val="en-US" w:eastAsia="zh-CN"/>
              </w:rPr>
              <w:t>1.7</w:t>
            </w:r>
          </w:p>
        </w:tc>
        <w:tc>
          <w:tcPr>
            <w:tcW w:w="308" w:type="pct"/>
            <w:vAlign w:val="center"/>
          </w:tcPr>
          <w:p>
            <w:pPr>
              <w:jc w:val="center"/>
              <w:rPr>
                <w:rFonts w:eastAsia="宋体"/>
                <w:bCs/>
                <w:color w:val="auto"/>
                <w:szCs w:val="21"/>
                <w:lang w:val="en-US" w:eastAsia="zh-CN"/>
              </w:rPr>
            </w:pPr>
            <w:r>
              <w:rPr>
                <w:rFonts w:eastAsia="宋体"/>
                <w:bCs/>
                <w:color w:val="auto"/>
                <w:szCs w:val="21"/>
              </w:rPr>
              <w:t>15</w:t>
            </w:r>
          </w:p>
        </w:tc>
        <w:tc>
          <w:tcPr>
            <w:tcW w:w="308" w:type="pct"/>
            <w:vAlign w:val="center"/>
          </w:tcPr>
          <w:p>
            <w:pPr>
              <w:jc w:val="center"/>
              <w:rPr>
                <w:rFonts w:hint="eastAsia" w:eastAsia="宋体"/>
                <w:bCs/>
                <w:color w:val="auto"/>
                <w:szCs w:val="21"/>
                <w:lang w:val="en-US" w:eastAsia="zh-CN"/>
              </w:rPr>
            </w:pPr>
            <w:r>
              <w:rPr>
                <w:rFonts w:hint="eastAsia" w:eastAsia="宋体"/>
                <w:bCs/>
                <w:color w:val="auto"/>
                <w:szCs w:val="21"/>
                <w:lang w:val="en-US" w:eastAsia="zh-CN"/>
              </w:rPr>
              <w:t>1</w:t>
            </w:r>
          </w:p>
        </w:tc>
        <w:tc>
          <w:tcPr>
            <w:tcW w:w="315" w:type="pct"/>
            <w:vAlign w:val="center"/>
          </w:tcPr>
          <w:p>
            <w:pPr>
              <w:jc w:val="center"/>
              <w:rPr>
                <w:rFonts w:hint="default" w:eastAsia="宋体"/>
                <w:bCs/>
                <w:color w:val="auto"/>
                <w:szCs w:val="21"/>
                <w:lang w:val="en-US" w:eastAsia="zh-CN"/>
              </w:rPr>
            </w:pPr>
            <w:r>
              <w:rPr>
                <w:rFonts w:hint="eastAsia" w:eastAsia="宋体"/>
                <w:bCs/>
                <w:color w:val="auto"/>
                <w:szCs w:val="21"/>
                <w:lang w:val="en-US" w:eastAsia="zh-CN"/>
              </w:rPr>
              <w:t>30</w:t>
            </w:r>
          </w:p>
        </w:tc>
      </w:tr>
    </w:tbl>
    <w:p>
      <w:pPr>
        <w:spacing w:line="520" w:lineRule="exact"/>
        <w:ind w:firstLine="482" w:firstLineChars="200"/>
        <w:rPr>
          <w:b/>
          <w:color w:val="auto"/>
          <w:sz w:val="24"/>
        </w:rPr>
      </w:pPr>
    </w:p>
    <w:p>
      <w:pPr>
        <w:pStyle w:val="195"/>
        <w:spacing w:line="440" w:lineRule="exact"/>
        <w:ind w:firstLine="489"/>
        <w:jc w:val="center"/>
        <w:rPr>
          <w:b/>
          <w:color w:val="auto"/>
        </w:rPr>
      </w:pPr>
      <w:r>
        <w:rPr>
          <w:b/>
          <w:color w:val="auto"/>
        </w:rPr>
        <w:t>表</w:t>
      </w:r>
      <w:r>
        <w:rPr>
          <w:rFonts w:hint="eastAsia"/>
          <w:b/>
          <w:color w:val="auto"/>
          <w:lang w:val="en-US" w:eastAsia="zh-CN"/>
        </w:rPr>
        <w:t>4-8</w:t>
      </w:r>
      <w:r>
        <w:rPr>
          <w:b/>
          <w:color w:val="auto"/>
        </w:rPr>
        <w:t xml:space="preserve">  </w:t>
      </w:r>
      <w:r>
        <w:rPr>
          <w:b/>
          <w:bCs/>
          <w:color w:val="auto"/>
        </w:rPr>
        <w:t>项目</w:t>
      </w:r>
      <w:r>
        <w:rPr>
          <w:b/>
          <w:color w:val="auto"/>
        </w:rPr>
        <w:t>无组织排放废气</w:t>
      </w:r>
    </w:p>
    <w:tbl>
      <w:tblPr>
        <w:tblStyle w:val="53"/>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21"/>
        <w:gridCol w:w="2538"/>
        <w:gridCol w:w="1764"/>
        <w:gridCol w:w="1869"/>
        <w:gridCol w:w="2065"/>
        <w:gridCol w:w="2099"/>
        <w:gridCol w:w="21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7" w:type="pct"/>
            <w:vMerge w:val="restart"/>
            <w:noWrap w:val="0"/>
            <w:vAlign w:val="center"/>
          </w:tcPr>
          <w:p>
            <w:pPr>
              <w:pStyle w:val="31"/>
              <w:tabs>
                <w:tab w:val="left" w:pos="0"/>
              </w:tabs>
              <w:spacing w:line="360" w:lineRule="exact"/>
              <w:jc w:val="center"/>
              <w:rPr>
                <w:rFonts w:ascii="Times New Roman" w:hAnsi="Times New Roman"/>
                <w:b/>
                <w:color w:val="auto"/>
                <w:szCs w:val="21"/>
              </w:rPr>
            </w:pPr>
            <w:r>
              <w:rPr>
                <w:rFonts w:ascii="Times New Roman" w:hAnsi="Times New Roman"/>
                <w:b/>
                <w:color w:val="auto"/>
                <w:szCs w:val="21"/>
              </w:rPr>
              <w:t>污染源</w:t>
            </w:r>
          </w:p>
        </w:tc>
        <w:tc>
          <w:tcPr>
            <w:tcW w:w="895" w:type="pct"/>
            <w:vMerge w:val="restart"/>
            <w:noWrap w:val="0"/>
            <w:vAlign w:val="center"/>
          </w:tcPr>
          <w:p>
            <w:pPr>
              <w:pStyle w:val="31"/>
              <w:tabs>
                <w:tab w:val="left" w:pos="0"/>
              </w:tabs>
              <w:spacing w:line="360" w:lineRule="exact"/>
              <w:jc w:val="center"/>
              <w:rPr>
                <w:rFonts w:ascii="Times New Roman" w:hAnsi="Times New Roman"/>
                <w:b/>
                <w:color w:val="auto"/>
                <w:szCs w:val="21"/>
              </w:rPr>
            </w:pPr>
            <w:r>
              <w:rPr>
                <w:rFonts w:ascii="Times New Roman" w:hAnsi="Times New Roman"/>
                <w:b/>
                <w:color w:val="auto"/>
                <w:szCs w:val="21"/>
              </w:rPr>
              <w:t>污染工序</w:t>
            </w:r>
          </w:p>
        </w:tc>
        <w:tc>
          <w:tcPr>
            <w:tcW w:w="622" w:type="pct"/>
            <w:vMerge w:val="restart"/>
            <w:noWrap w:val="0"/>
            <w:vAlign w:val="center"/>
          </w:tcPr>
          <w:p>
            <w:pPr>
              <w:pStyle w:val="31"/>
              <w:tabs>
                <w:tab w:val="left" w:pos="0"/>
              </w:tabs>
              <w:spacing w:line="360" w:lineRule="exact"/>
              <w:jc w:val="center"/>
              <w:rPr>
                <w:rFonts w:ascii="Times New Roman" w:hAnsi="Times New Roman"/>
                <w:b/>
                <w:color w:val="auto"/>
                <w:szCs w:val="21"/>
              </w:rPr>
            </w:pPr>
            <w:r>
              <w:rPr>
                <w:rFonts w:ascii="Times New Roman" w:hAnsi="Times New Roman"/>
                <w:b/>
                <w:color w:val="auto"/>
                <w:szCs w:val="21"/>
              </w:rPr>
              <w:t>污染物</w:t>
            </w:r>
          </w:p>
        </w:tc>
        <w:tc>
          <w:tcPr>
            <w:tcW w:w="659" w:type="pct"/>
            <w:vMerge w:val="restart"/>
            <w:noWrap w:val="0"/>
            <w:vAlign w:val="center"/>
          </w:tcPr>
          <w:p>
            <w:pPr>
              <w:pStyle w:val="31"/>
              <w:tabs>
                <w:tab w:val="left" w:pos="0"/>
              </w:tabs>
              <w:spacing w:line="360" w:lineRule="exact"/>
              <w:jc w:val="center"/>
              <w:rPr>
                <w:rFonts w:ascii="Times New Roman" w:hAnsi="Times New Roman"/>
                <w:b/>
                <w:color w:val="auto"/>
                <w:szCs w:val="21"/>
              </w:rPr>
            </w:pPr>
            <w:r>
              <w:rPr>
                <w:rFonts w:ascii="Times New Roman" w:hAnsi="Times New Roman"/>
                <w:b/>
                <w:color w:val="auto"/>
                <w:szCs w:val="21"/>
              </w:rPr>
              <w:t>排放量</w:t>
            </w:r>
          </w:p>
          <w:p>
            <w:pPr>
              <w:pStyle w:val="31"/>
              <w:tabs>
                <w:tab w:val="left" w:pos="0"/>
              </w:tabs>
              <w:spacing w:line="360" w:lineRule="exact"/>
              <w:jc w:val="center"/>
              <w:rPr>
                <w:rFonts w:ascii="Times New Roman" w:hAnsi="Times New Roman"/>
                <w:b/>
                <w:color w:val="auto"/>
                <w:szCs w:val="21"/>
              </w:rPr>
            </w:pPr>
            <w:r>
              <w:rPr>
                <w:rFonts w:ascii="Times New Roman" w:hAnsi="Times New Roman"/>
                <w:b/>
                <w:color w:val="auto"/>
                <w:szCs w:val="21"/>
              </w:rPr>
              <w:t>（</w:t>
            </w:r>
            <w:r>
              <w:rPr>
                <w:rFonts w:ascii="Times New Roman" w:hAnsi="Times New Roman"/>
                <w:b/>
                <w:bCs/>
                <w:color w:val="auto"/>
                <w:szCs w:val="21"/>
              </w:rPr>
              <w:t>t/a）</w:t>
            </w:r>
          </w:p>
        </w:tc>
        <w:tc>
          <w:tcPr>
            <w:tcW w:w="2215" w:type="pct"/>
            <w:gridSpan w:val="3"/>
            <w:noWrap w:val="0"/>
            <w:vAlign w:val="center"/>
          </w:tcPr>
          <w:p>
            <w:pPr>
              <w:pStyle w:val="31"/>
              <w:tabs>
                <w:tab w:val="left" w:pos="0"/>
              </w:tabs>
              <w:spacing w:line="360" w:lineRule="exact"/>
              <w:jc w:val="center"/>
              <w:rPr>
                <w:rFonts w:ascii="Times New Roman" w:hAnsi="Times New Roman"/>
                <w:b/>
                <w:color w:val="auto"/>
                <w:szCs w:val="21"/>
              </w:rPr>
            </w:pPr>
            <w:r>
              <w:rPr>
                <w:rFonts w:ascii="Times New Roman" w:hAnsi="Times New Roman"/>
                <w:b/>
                <w:color w:val="auto"/>
                <w:szCs w:val="21"/>
              </w:rPr>
              <w:t>面源参数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7" w:type="pct"/>
            <w:vMerge w:val="continue"/>
            <w:noWrap w:val="0"/>
            <w:vAlign w:val="center"/>
          </w:tcPr>
          <w:p>
            <w:pPr>
              <w:pStyle w:val="31"/>
              <w:tabs>
                <w:tab w:val="left" w:pos="0"/>
              </w:tabs>
              <w:spacing w:line="360" w:lineRule="exact"/>
              <w:jc w:val="center"/>
              <w:rPr>
                <w:rFonts w:ascii="Times New Roman" w:hAnsi="Times New Roman"/>
                <w:b/>
                <w:color w:val="auto"/>
                <w:szCs w:val="21"/>
              </w:rPr>
            </w:pPr>
          </w:p>
        </w:tc>
        <w:tc>
          <w:tcPr>
            <w:tcW w:w="895" w:type="pct"/>
            <w:vMerge w:val="continue"/>
            <w:noWrap w:val="0"/>
            <w:vAlign w:val="center"/>
          </w:tcPr>
          <w:p>
            <w:pPr>
              <w:pStyle w:val="31"/>
              <w:tabs>
                <w:tab w:val="left" w:pos="0"/>
              </w:tabs>
              <w:spacing w:line="360" w:lineRule="exact"/>
              <w:jc w:val="center"/>
              <w:rPr>
                <w:rFonts w:ascii="Times New Roman" w:hAnsi="Times New Roman"/>
                <w:b/>
                <w:color w:val="auto"/>
                <w:szCs w:val="21"/>
              </w:rPr>
            </w:pPr>
          </w:p>
        </w:tc>
        <w:tc>
          <w:tcPr>
            <w:tcW w:w="622" w:type="pct"/>
            <w:vMerge w:val="continue"/>
            <w:noWrap w:val="0"/>
            <w:vAlign w:val="center"/>
          </w:tcPr>
          <w:p>
            <w:pPr>
              <w:pStyle w:val="31"/>
              <w:tabs>
                <w:tab w:val="left" w:pos="0"/>
              </w:tabs>
              <w:spacing w:line="360" w:lineRule="exact"/>
              <w:jc w:val="center"/>
              <w:rPr>
                <w:rFonts w:ascii="Times New Roman" w:hAnsi="Times New Roman"/>
                <w:b/>
                <w:color w:val="auto"/>
                <w:szCs w:val="21"/>
              </w:rPr>
            </w:pPr>
          </w:p>
        </w:tc>
        <w:tc>
          <w:tcPr>
            <w:tcW w:w="659" w:type="pct"/>
            <w:vMerge w:val="continue"/>
            <w:noWrap w:val="0"/>
            <w:vAlign w:val="center"/>
          </w:tcPr>
          <w:p>
            <w:pPr>
              <w:pStyle w:val="31"/>
              <w:tabs>
                <w:tab w:val="left" w:pos="0"/>
              </w:tabs>
              <w:spacing w:line="360" w:lineRule="exact"/>
              <w:jc w:val="center"/>
              <w:rPr>
                <w:rFonts w:ascii="Times New Roman" w:hAnsi="Times New Roman"/>
                <w:b/>
                <w:color w:val="auto"/>
                <w:szCs w:val="21"/>
              </w:rPr>
            </w:pPr>
          </w:p>
        </w:tc>
        <w:tc>
          <w:tcPr>
            <w:tcW w:w="728" w:type="pct"/>
            <w:noWrap w:val="0"/>
            <w:vAlign w:val="center"/>
          </w:tcPr>
          <w:p>
            <w:pPr>
              <w:pStyle w:val="31"/>
              <w:tabs>
                <w:tab w:val="left" w:pos="0"/>
              </w:tabs>
              <w:spacing w:line="360" w:lineRule="exact"/>
              <w:jc w:val="center"/>
              <w:rPr>
                <w:rFonts w:ascii="Times New Roman" w:hAnsi="Times New Roman"/>
                <w:b/>
                <w:color w:val="auto"/>
                <w:szCs w:val="21"/>
              </w:rPr>
            </w:pPr>
            <w:r>
              <w:rPr>
                <w:rFonts w:ascii="Times New Roman" w:hAnsi="Times New Roman"/>
                <w:b/>
                <w:bCs/>
                <w:color w:val="auto"/>
                <w:szCs w:val="21"/>
              </w:rPr>
              <w:t>长度（m）</w:t>
            </w:r>
          </w:p>
        </w:tc>
        <w:tc>
          <w:tcPr>
            <w:tcW w:w="740" w:type="pct"/>
            <w:noWrap w:val="0"/>
            <w:vAlign w:val="center"/>
          </w:tcPr>
          <w:p>
            <w:pPr>
              <w:pStyle w:val="31"/>
              <w:tabs>
                <w:tab w:val="left" w:pos="0"/>
              </w:tabs>
              <w:spacing w:line="360" w:lineRule="exact"/>
              <w:jc w:val="center"/>
              <w:rPr>
                <w:rFonts w:ascii="Times New Roman" w:hAnsi="Times New Roman"/>
                <w:b/>
                <w:color w:val="auto"/>
                <w:szCs w:val="21"/>
              </w:rPr>
            </w:pPr>
            <w:r>
              <w:rPr>
                <w:rFonts w:ascii="Times New Roman" w:hAnsi="Times New Roman"/>
                <w:b/>
                <w:bCs/>
                <w:color w:val="auto"/>
                <w:szCs w:val="21"/>
              </w:rPr>
              <w:t>宽度（m）</w:t>
            </w:r>
          </w:p>
        </w:tc>
        <w:tc>
          <w:tcPr>
            <w:tcW w:w="746" w:type="pct"/>
            <w:noWrap w:val="0"/>
            <w:vAlign w:val="center"/>
          </w:tcPr>
          <w:p>
            <w:pPr>
              <w:pStyle w:val="31"/>
              <w:tabs>
                <w:tab w:val="left" w:pos="0"/>
              </w:tabs>
              <w:spacing w:line="360" w:lineRule="exact"/>
              <w:jc w:val="center"/>
              <w:rPr>
                <w:rFonts w:ascii="Times New Roman" w:hAnsi="Times New Roman"/>
                <w:b/>
                <w:color w:val="auto"/>
                <w:szCs w:val="21"/>
              </w:rPr>
            </w:pPr>
            <w:r>
              <w:rPr>
                <w:rFonts w:ascii="Times New Roman" w:hAnsi="Times New Roman"/>
                <w:b/>
                <w:bCs/>
                <w:color w:val="auto"/>
                <w:szCs w:val="21"/>
              </w:rPr>
              <w:t>高度（m）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7" w:type="pct"/>
            <w:vMerge w:val="restart"/>
            <w:noWrap w:val="0"/>
            <w:vAlign w:val="center"/>
          </w:tcPr>
          <w:p>
            <w:pPr>
              <w:pStyle w:val="306"/>
              <w:spacing w:line="360" w:lineRule="exact"/>
              <w:ind w:left="-105" w:leftChars="-50" w:right="-105" w:rightChars="-50"/>
              <w:rPr>
                <w:rFonts w:eastAsia="宋体"/>
                <w:color w:val="auto"/>
                <w:sz w:val="21"/>
                <w:szCs w:val="21"/>
              </w:rPr>
            </w:pPr>
            <w:r>
              <w:rPr>
                <w:rFonts w:eastAsia="宋体"/>
                <w:color w:val="auto"/>
                <w:sz w:val="21"/>
                <w:szCs w:val="21"/>
              </w:rPr>
              <w:t>生产车间</w:t>
            </w:r>
          </w:p>
        </w:tc>
        <w:tc>
          <w:tcPr>
            <w:tcW w:w="895" w:type="pct"/>
            <w:vMerge w:val="restart"/>
            <w:noWrap w:val="0"/>
            <w:vAlign w:val="center"/>
          </w:tcPr>
          <w:p>
            <w:pPr>
              <w:pStyle w:val="306"/>
              <w:spacing w:line="360" w:lineRule="exact"/>
              <w:ind w:left="-105" w:leftChars="-50" w:right="-105" w:rightChars="-50"/>
              <w:rPr>
                <w:rFonts w:eastAsia="宋体"/>
                <w:color w:val="auto"/>
                <w:sz w:val="21"/>
                <w:szCs w:val="21"/>
              </w:rPr>
            </w:pPr>
            <w:r>
              <w:rPr>
                <w:rFonts w:eastAsia="宋体"/>
                <w:color w:val="auto"/>
                <w:sz w:val="21"/>
                <w:szCs w:val="21"/>
              </w:rPr>
              <w:t>配</w:t>
            </w:r>
            <w:r>
              <w:rPr>
                <w:rFonts w:hint="eastAsia" w:eastAsia="宋体"/>
                <w:color w:val="auto"/>
                <w:sz w:val="21"/>
                <w:szCs w:val="21"/>
                <w:lang w:eastAsia="zh-CN"/>
              </w:rPr>
              <w:t>料</w:t>
            </w:r>
          </w:p>
          <w:p>
            <w:pPr>
              <w:pStyle w:val="306"/>
              <w:spacing w:line="360" w:lineRule="exact"/>
              <w:ind w:left="-105" w:leftChars="-50" w:right="-105" w:rightChars="-50"/>
              <w:rPr>
                <w:rFonts w:eastAsia="宋体"/>
                <w:color w:val="auto"/>
                <w:sz w:val="21"/>
                <w:szCs w:val="21"/>
                <w:lang w:val="en-US" w:eastAsia="zh-CN"/>
              </w:rPr>
            </w:pPr>
            <w:r>
              <w:rPr>
                <w:rFonts w:hint="eastAsia" w:eastAsia="宋体"/>
                <w:color w:val="auto"/>
                <w:sz w:val="21"/>
                <w:szCs w:val="21"/>
                <w:lang w:eastAsia="zh-CN"/>
              </w:rPr>
              <w:t>配胶、开</w:t>
            </w:r>
            <w:r>
              <w:rPr>
                <w:rFonts w:eastAsia="宋体"/>
                <w:color w:val="auto"/>
                <w:sz w:val="21"/>
                <w:szCs w:val="21"/>
              </w:rPr>
              <w:t>炼、</w:t>
            </w:r>
            <w:r>
              <w:rPr>
                <w:rFonts w:hint="eastAsia" w:eastAsia="宋体"/>
                <w:color w:val="auto"/>
                <w:sz w:val="21"/>
                <w:szCs w:val="21"/>
                <w:lang w:eastAsia="zh-CN"/>
              </w:rPr>
              <w:t>密炼、</w:t>
            </w:r>
            <w:r>
              <w:rPr>
                <w:rFonts w:eastAsia="宋体"/>
                <w:color w:val="auto"/>
                <w:sz w:val="21"/>
                <w:szCs w:val="21"/>
              </w:rPr>
              <w:t>涂胶、晾干</w:t>
            </w:r>
            <w:r>
              <w:rPr>
                <w:rFonts w:hint="eastAsia" w:eastAsia="宋体"/>
                <w:color w:val="auto"/>
                <w:sz w:val="21"/>
                <w:szCs w:val="21"/>
                <w:lang w:eastAsia="zh-CN"/>
              </w:rPr>
              <w:t>、烘干</w:t>
            </w:r>
          </w:p>
        </w:tc>
        <w:tc>
          <w:tcPr>
            <w:tcW w:w="622" w:type="pct"/>
            <w:noWrap w:val="0"/>
            <w:vAlign w:val="center"/>
          </w:tcPr>
          <w:p>
            <w:pPr>
              <w:pStyle w:val="306"/>
              <w:spacing w:line="360" w:lineRule="exact"/>
              <w:ind w:left="-105" w:leftChars="-50" w:right="-105" w:rightChars="-50"/>
              <w:rPr>
                <w:rFonts w:eastAsia="宋体"/>
                <w:color w:val="auto"/>
                <w:sz w:val="21"/>
                <w:szCs w:val="21"/>
                <w:lang w:val="en-US" w:eastAsia="zh-CN"/>
              </w:rPr>
            </w:pPr>
            <w:r>
              <w:rPr>
                <w:rFonts w:hint="eastAsia" w:eastAsia="宋体"/>
                <w:color w:val="auto"/>
                <w:sz w:val="21"/>
                <w:szCs w:val="21"/>
                <w:lang w:eastAsia="zh-CN"/>
              </w:rPr>
              <w:t>颗粒物</w:t>
            </w:r>
          </w:p>
        </w:tc>
        <w:tc>
          <w:tcPr>
            <w:tcW w:w="659" w:type="pct"/>
            <w:noWrap w:val="0"/>
            <w:vAlign w:val="center"/>
          </w:tcPr>
          <w:p>
            <w:pPr>
              <w:pStyle w:val="306"/>
              <w:spacing w:line="360" w:lineRule="exact"/>
              <w:ind w:left="-105" w:leftChars="-50" w:right="-105" w:rightChars="-50"/>
              <w:rPr>
                <w:rFonts w:hint="eastAsia" w:eastAsia="宋体"/>
                <w:color w:val="auto"/>
                <w:sz w:val="21"/>
                <w:szCs w:val="21"/>
              </w:rPr>
            </w:pPr>
            <w:r>
              <w:rPr>
                <w:rFonts w:hint="eastAsia" w:eastAsia="宋体"/>
                <w:color w:val="auto"/>
                <w:sz w:val="21"/>
                <w:szCs w:val="21"/>
                <w:lang w:val="en-US" w:eastAsia="zh-CN"/>
              </w:rPr>
              <w:t>0.033</w:t>
            </w:r>
          </w:p>
        </w:tc>
        <w:tc>
          <w:tcPr>
            <w:tcW w:w="728" w:type="pct"/>
            <w:vMerge w:val="restart"/>
            <w:noWrap w:val="0"/>
            <w:vAlign w:val="center"/>
          </w:tcPr>
          <w:p>
            <w:pPr>
              <w:pStyle w:val="306"/>
              <w:spacing w:line="360" w:lineRule="exact"/>
              <w:ind w:left="-105" w:leftChars="-50" w:right="-105" w:rightChars="-50"/>
              <w:rPr>
                <w:color w:val="auto"/>
                <w:sz w:val="21"/>
                <w:szCs w:val="21"/>
              </w:rPr>
            </w:pPr>
            <w:r>
              <w:rPr>
                <w:color w:val="auto"/>
                <w:sz w:val="21"/>
                <w:szCs w:val="21"/>
              </w:rPr>
              <w:t>100</w:t>
            </w:r>
          </w:p>
        </w:tc>
        <w:tc>
          <w:tcPr>
            <w:tcW w:w="740" w:type="pct"/>
            <w:vMerge w:val="restart"/>
            <w:noWrap w:val="0"/>
            <w:vAlign w:val="center"/>
          </w:tcPr>
          <w:p>
            <w:pPr>
              <w:pStyle w:val="306"/>
              <w:spacing w:line="360" w:lineRule="exact"/>
              <w:ind w:left="-105" w:leftChars="-50" w:right="-105" w:rightChars="-50"/>
              <w:rPr>
                <w:rFonts w:hint="default" w:eastAsia="宋体"/>
                <w:color w:val="auto"/>
                <w:sz w:val="21"/>
                <w:szCs w:val="21"/>
                <w:lang w:val="en-US" w:eastAsia="zh-CN"/>
              </w:rPr>
            </w:pPr>
            <w:r>
              <w:rPr>
                <w:rFonts w:hint="eastAsia"/>
                <w:color w:val="auto"/>
                <w:sz w:val="21"/>
                <w:szCs w:val="21"/>
                <w:lang w:val="en-US" w:eastAsia="zh-CN"/>
              </w:rPr>
              <w:t>26.4</w:t>
            </w:r>
          </w:p>
        </w:tc>
        <w:tc>
          <w:tcPr>
            <w:tcW w:w="746" w:type="pct"/>
            <w:vMerge w:val="restart"/>
            <w:noWrap w:val="0"/>
            <w:vAlign w:val="center"/>
          </w:tcPr>
          <w:p>
            <w:pPr>
              <w:pStyle w:val="306"/>
              <w:spacing w:line="360" w:lineRule="exact"/>
              <w:ind w:left="-105" w:leftChars="-50" w:right="-105" w:rightChars="-50"/>
              <w:rPr>
                <w:rFonts w:hint="default" w:eastAsia="宋体"/>
                <w:color w:val="auto"/>
                <w:sz w:val="21"/>
                <w:szCs w:val="21"/>
                <w:lang w:val="en-US" w:eastAsia="zh-CN"/>
              </w:rPr>
            </w:pPr>
            <w:r>
              <w:rPr>
                <w:rFonts w:hint="eastAsia"/>
                <w:color w:val="auto"/>
                <w:sz w:val="21"/>
                <w:szCs w:val="21"/>
                <w:lang w:val="en-US" w:eastAsia="zh-CN"/>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7" w:type="pct"/>
            <w:vMerge w:val="continue"/>
            <w:noWrap w:val="0"/>
            <w:vAlign w:val="center"/>
          </w:tcPr>
          <w:p>
            <w:pPr>
              <w:pStyle w:val="306"/>
              <w:spacing w:line="360" w:lineRule="exact"/>
              <w:ind w:left="-105" w:leftChars="-50" w:right="-105" w:rightChars="-50"/>
              <w:rPr>
                <w:color w:val="auto"/>
                <w:sz w:val="21"/>
                <w:szCs w:val="21"/>
              </w:rPr>
            </w:pPr>
          </w:p>
        </w:tc>
        <w:tc>
          <w:tcPr>
            <w:tcW w:w="895" w:type="pct"/>
            <w:vMerge w:val="continue"/>
            <w:noWrap w:val="0"/>
            <w:vAlign w:val="center"/>
          </w:tcPr>
          <w:p>
            <w:pPr>
              <w:jc w:val="center"/>
              <w:rPr>
                <w:rFonts w:ascii="Times New Roman" w:hAnsi="Times New Roman" w:eastAsia="宋体" w:cs="Times New Roman"/>
                <w:bCs/>
                <w:color w:val="auto"/>
                <w:kern w:val="2"/>
                <w:sz w:val="21"/>
                <w:szCs w:val="21"/>
                <w:lang w:val="en-US" w:eastAsia="zh-CN" w:bidi="ar-SA"/>
              </w:rPr>
            </w:pPr>
          </w:p>
        </w:tc>
        <w:tc>
          <w:tcPr>
            <w:tcW w:w="622" w:type="pct"/>
            <w:noWrap w:val="0"/>
            <w:vAlign w:val="center"/>
          </w:tcPr>
          <w:p>
            <w:pPr>
              <w:pStyle w:val="306"/>
              <w:spacing w:line="360" w:lineRule="exact"/>
              <w:ind w:left="-105" w:leftChars="-50" w:right="-105" w:rightChars="-50"/>
              <w:rPr>
                <w:rFonts w:eastAsia="宋体"/>
                <w:color w:val="auto"/>
                <w:sz w:val="21"/>
                <w:szCs w:val="21"/>
                <w:lang w:val="en-US" w:eastAsia="zh-CN"/>
              </w:rPr>
            </w:pPr>
            <w:r>
              <w:rPr>
                <w:rFonts w:eastAsia="宋体"/>
                <w:color w:val="auto"/>
                <w:sz w:val="21"/>
                <w:szCs w:val="21"/>
              </w:rPr>
              <w:t>非甲烷总烃</w:t>
            </w:r>
          </w:p>
        </w:tc>
        <w:tc>
          <w:tcPr>
            <w:tcW w:w="659" w:type="pct"/>
            <w:noWrap w:val="0"/>
            <w:vAlign w:val="center"/>
          </w:tcPr>
          <w:p>
            <w:pPr>
              <w:pStyle w:val="306"/>
              <w:spacing w:line="360" w:lineRule="exact"/>
              <w:ind w:left="-105" w:leftChars="-50" w:right="-105" w:rightChars="-50"/>
              <w:rPr>
                <w:rFonts w:hint="eastAsia" w:eastAsia="宋体"/>
                <w:color w:val="auto"/>
                <w:sz w:val="21"/>
                <w:szCs w:val="21"/>
              </w:rPr>
            </w:pPr>
            <w:r>
              <w:rPr>
                <w:rFonts w:hint="eastAsia" w:eastAsia="宋体"/>
                <w:color w:val="auto"/>
                <w:sz w:val="21"/>
                <w:szCs w:val="21"/>
                <w:lang w:val="en-US" w:eastAsia="zh-CN"/>
              </w:rPr>
              <w:t>0.473</w:t>
            </w:r>
          </w:p>
        </w:tc>
        <w:tc>
          <w:tcPr>
            <w:tcW w:w="728" w:type="pct"/>
            <w:vMerge w:val="continue"/>
            <w:noWrap w:val="0"/>
            <w:vAlign w:val="center"/>
          </w:tcPr>
          <w:p>
            <w:pPr>
              <w:pStyle w:val="306"/>
              <w:spacing w:line="360" w:lineRule="exact"/>
              <w:ind w:left="-105" w:leftChars="-50" w:right="-105" w:rightChars="-50"/>
              <w:rPr>
                <w:color w:val="auto"/>
                <w:sz w:val="21"/>
                <w:szCs w:val="21"/>
              </w:rPr>
            </w:pPr>
          </w:p>
        </w:tc>
        <w:tc>
          <w:tcPr>
            <w:tcW w:w="740" w:type="pct"/>
            <w:vMerge w:val="continue"/>
            <w:noWrap w:val="0"/>
            <w:vAlign w:val="center"/>
          </w:tcPr>
          <w:p>
            <w:pPr>
              <w:pStyle w:val="306"/>
              <w:spacing w:line="360" w:lineRule="exact"/>
              <w:ind w:left="-105" w:leftChars="-50" w:right="-105" w:rightChars="-50"/>
              <w:rPr>
                <w:color w:val="auto"/>
                <w:sz w:val="21"/>
                <w:szCs w:val="21"/>
              </w:rPr>
            </w:pPr>
          </w:p>
        </w:tc>
        <w:tc>
          <w:tcPr>
            <w:tcW w:w="746" w:type="pct"/>
            <w:vMerge w:val="continue"/>
            <w:noWrap w:val="0"/>
            <w:vAlign w:val="center"/>
          </w:tcPr>
          <w:p>
            <w:pPr>
              <w:pStyle w:val="306"/>
              <w:spacing w:line="360" w:lineRule="exact"/>
              <w:ind w:left="-105" w:leftChars="-50" w:right="-105" w:rightChars="-50"/>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7" w:type="pct"/>
            <w:vMerge w:val="continue"/>
            <w:noWrap w:val="0"/>
            <w:vAlign w:val="center"/>
          </w:tcPr>
          <w:p>
            <w:pPr>
              <w:pStyle w:val="306"/>
              <w:spacing w:line="360" w:lineRule="exact"/>
              <w:ind w:left="-105" w:leftChars="-50" w:right="-105" w:rightChars="-50"/>
              <w:rPr>
                <w:color w:val="auto"/>
                <w:sz w:val="21"/>
                <w:szCs w:val="21"/>
              </w:rPr>
            </w:pPr>
          </w:p>
        </w:tc>
        <w:tc>
          <w:tcPr>
            <w:tcW w:w="895" w:type="pct"/>
            <w:vMerge w:val="continue"/>
            <w:noWrap w:val="0"/>
            <w:vAlign w:val="center"/>
          </w:tcPr>
          <w:p>
            <w:pPr>
              <w:pStyle w:val="306"/>
              <w:spacing w:line="360" w:lineRule="exact"/>
              <w:ind w:left="-105" w:leftChars="-50" w:right="-105" w:rightChars="-50"/>
              <w:rPr>
                <w:color w:val="auto"/>
                <w:sz w:val="21"/>
                <w:szCs w:val="21"/>
              </w:rPr>
            </w:pPr>
          </w:p>
        </w:tc>
        <w:tc>
          <w:tcPr>
            <w:tcW w:w="622" w:type="pct"/>
            <w:noWrap w:val="0"/>
            <w:vAlign w:val="center"/>
          </w:tcPr>
          <w:p>
            <w:pPr>
              <w:pStyle w:val="306"/>
              <w:spacing w:line="360" w:lineRule="exact"/>
              <w:ind w:left="-105" w:leftChars="-50" w:right="-105" w:rightChars="-50"/>
              <w:rPr>
                <w:rFonts w:eastAsia="宋体"/>
                <w:color w:val="auto"/>
                <w:sz w:val="21"/>
                <w:szCs w:val="21"/>
                <w:lang w:val="en-US" w:eastAsia="zh-CN"/>
              </w:rPr>
            </w:pPr>
            <w:r>
              <w:rPr>
                <w:rFonts w:eastAsia="宋体"/>
                <w:color w:val="auto"/>
                <w:sz w:val="21"/>
                <w:szCs w:val="21"/>
              </w:rPr>
              <w:t>H</w:t>
            </w:r>
            <w:r>
              <w:rPr>
                <w:rFonts w:eastAsia="宋体"/>
                <w:color w:val="auto"/>
                <w:sz w:val="21"/>
                <w:szCs w:val="21"/>
                <w:vertAlign w:val="subscript"/>
              </w:rPr>
              <w:t>2</w:t>
            </w:r>
            <w:r>
              <w:rPr>
                <w:rFonts w:eastAsia="宋体"/>
                <w:color w:val="auto"/>
                <w:sz w:val="21"/>
                <w:szCs w:val="21"/>
              </w:rPr>
              <w:t>S</w:t>
            </w:r>
          </w:p>
        </w:tc>
        <w:tc>
          <w:tcPr>
            <w:tcW w:w="659" w:type="pct"/>
            <w:noWrap w:val="0"/>
            <w:vAlign w:val="center"/>
          </w:tcPr>
          <w:p>
            <w:pPr>
              <w:pStyle w:val="306"/>
              <w:spacing w:line="360" w:lineRule="exact"/>
              <w:ind w:left="-105" w:leftChars="-50" w:right="-105" w:rightChars="-50"/>
              <w:rPr>
                <w:rFonts w:hint="eastAsia" w:eastAsia="宋体"/>
                <w:color w:val="auto"/>
                <w:sz w:val="21"/>
                <w:szCs w:val="21"/>
              </w:rPr>
            </w:pPr>
            <w:r>
              <w:rPr>
                <w:rFonts w:hint="eastAsia" w:eastAsia="宋体"/>
                <w:color w:val="auto"/>
                <w:sz w:val="21"/>
                <w:szCs w:val="21"/>
                <w:lang w:val="en-US" w:eastAsia="zh-CN"/>
              </w:rPr>
              <w:t>0.0085</w:t>
            </w:r>
          </w:p>
        </w:tc>
        <w:tc>
          <w:tcPr>
            <w:tcW w:w="728" w:type="pct"/>
            <w:vMerge w:val="continue"/>
            <w:noWrap w:val="0"/>
            <w:vAlign w:val="center"/>
          </w:tcPr>
          <w:p>
            <w:pPr>
              <w:pStyle w:val="306"/>
              <w:spacing w:line="360" w:lineRule="exact"/>
              <w:ind w:left="-105" w:leftChars="-50" w:right="-105" w:rightChars="-50"/>
              <w:rPr>
                <w:color w:val="auto"/>
                <w:sz w:val="21"/>
                <w:szCs w:val="21"/>
              </w:rPr>
            </w:pPr>
          </w:p>
        </w:tc>
        <w:tc>
          <w:tcPr>
            <w:tcW w:w="740" w:type="pct"/>
            <w:vMerge w:val="continue"/>
            <w:noWrap w:val="0"/>
            <w:vAlign w:val="center"/>
          </w:tcPr>
          <w:p>
            <w:pPr>
              <w:pStyle w:val="306"/>
              <w:spacing w:line="360" w:lineRule="exact"/>
              <w:ind w:left="-105" w:leftChars="-50" w:right="-105" w:rightChars="-50"/>
              <w:rPr>
                <w:color w:val="auto"/>
                <w:sz w:val="21"/>
                <w:szCs w:val="21"/>
              </w:rPr>
            </w:pPr>
          </w:p>
        </w:tc>
        <w:tc>
          <w:tcPr>
            <w:tcW w:w="746" w:type="pct"/>
            <w:vMerge w:val="continue"/>
            <w:noWrap w:val="0"/>
            <w:vAlign w:val="center"/>
          </w:tcPr>
          <w:p>
            <w:pPr>
              <w:pStyle w:val="306"/>
              <w:spacing w:line="360" w:lineRule="exact"/>
              <w:ind w:left="-105" w:leftChars="-50" w:right="-105" w:rightChars="-50"/>
              <w:rPr>
                <w:color w:val="auto"/>
                <w:sz w:val="21"/>
                <w:szCs w:val="21"/>
              </w:rPr>
            </w:pPr>
          </w:p>
        </w:tc>
      </w:tr>
    </w:tbl>
    <w:p>
      <w:pPr>
        <w:spacing w:line="520" w:lineRule="exact"/>
        <w:ind w:firstLine="482" w:firstLineChars="200"/>
        <w:rPr>
          <w:b/>
          <w:color w:val="auto"/>
          <w:sz w:val="24"/>
        </w:rPr>
        <w:sectPr>
          <w:pgSz w:w="16849" w:h="11911" w:orient="landscape"/>
          <w:pgMar w:top="1587" w:right="1440" w:bottom="1587" w:left="1440" w:header="680" w:footer="652" w:gutter="0"/>
          <w:pgBorders>
            <w:top w:val="none" w:sz="0" w:space="0"/>
            <w:left w:val="none" w:sz="0" w:space="0"/>
            <w:bottom w:val="none" w:sz="0" w:space="0"/>
            <w:right w:val="none" w:sz="0" w:space="0"/>
          </w:pgBorders>
          <w:cols w:space="720" w:num="1"/>
          <w:docGrid w:linePitch="322" w:charSpace="0"/>
        </w:sectPr>
      </w:pPr>
    </w:p>
    <w:p>
      <w:pPr>
        <w:spacing w:line="520" w:lineRule="exact"/>
        <w:ind w:firstLine="482" w:firstLineChars="200"/>
        <w:rPr>
          <w:b/>
          <w:color w:val="auto"/>
          <w:sz w:val="24"/>
        </w:rPr>
      </w:pPr>
      <w:r>
        <w:rPr>
          <w:b/>
          <w:color w:val="auto"/>
          <w:sz w:val="24"/>
        </w:rPr>
        <w:t>（2）废水</w:t>
      </w:r>
    </w:p>
    <w:p>
      <w:pPr>
        <w:spacing w:line="520" w:lineRule="exact"/>
        <w:ind w:firstLine="480"/>
        <w:rPr>
          <w:bCs/>
          <w:color w:val="auto"/>
          <w:sz w:val="24"/>
        </w:rPr>
      </w:pPr>
      <w:r>
        <w:rPr>
          <w:color w:val="auto"/>
          <w:sz w:val="24"/>
        </w:rPr>
        <w:t>本项目用水由园区供水管网供给，主要用于职工办公生活用水、</w:t>
      </w:r>
      <w:r>
        <w:rPr>
          <w:rFonts w:hint="eastAsia"/>
          <w:color w:val="auto"/>
          <w:sz w:val="24"/>
          <w:lang w:eastAsia="zh-CN"/>
        </w:rPr>
        <w:t>循环冷却水补水、脱脂线补水、晾干保温循环水补水</w:t>
      </w:r>
      <w:r>
        <w:rPr>
          <w:bCs/>
          <w:color w:val="auto"/>
          <w:sz w:val="24"/>
        </w:rPr>
        <w:t>。</w:t>
      </w:r>
    </w:p>
    <w:p>
      <w:pPr>
        <w:pStyle w:val="146"/>
        <w:spacing w:line="520" w:lineRule="exact"/>
        <w:ind w:firstLine="465" w:firstLineChars="0"/>
        <w:rPr>
          <w:color w:val="auto"/>
        </w:rPr>
      </w:pPr>
      <w:r>
        <w:rPr>
          <w:color w:val="auto"/>
        </w:rPr>
        <w:t>（1）生活用水</w:t>
      </w:r>
    </w:p>
    <w:p>
      <w:pPr>
        <w:adjustRightInd w:val="0"/>
        <w:spacing w:line="480" w:lineRule="exact"/>
        <w:ind w:firstLine="480" w:firstLineChars="200"/>
        <w:rPr>
          <w:color w:val="auto"/>
          <w:sz w:val="24"/>
        </w:rPr>
      </w:pPr>
      <w:r>
        <w:rPr>
          <w:color w:val="auto"/>
          <w:sz w:val="24"/>
        </w:rPr>
        <w:t>本项目劳动定员</w:t>
      </w:r>
      <w:r>
        <w:rPr>
          <w:rFonts w:hint="eastAsia"/>
          <w:color w:val="auto"/>
          <w:sz w:val="24"/>
          <w:lang w:val="en-US" w:eastAsia="zh-CN"/>
        </w:rPr>
        <w:t>50</w:t>
      </w:r>
      <w:r>
        <w:rPr>
          <w:color w:val="auto"/>
          <w:sz w:val="24"/>
        </w:rPr>
        <w:t>人</w:t>
      </w:r>
      <w:r>
        <w:rPr>
          <w:rFonts w:hint="eastAsia"/>
          <w:color w:val="auto"/>
          <w:sz w:val="24"/>
          <w:lang w:eastAsia="zh-CN"/>
        </w:rPr>
        <w:t>，不新增劳动定员</w:t>
      </w:r>
      <w:r>
        <w:rPr>
          <w:color w:val="auto"/>
          <w:sz w:val="24"/>
        </w:rPr>
        <w:t>，根据《安徽省行业用水定额》（DB43/T 679─2014）中的相关内容，办公用水定额为50-70L/(人.d)，本项目取中间值为50L/(人.d)，排放系数按0.8计算。</w:t>
      </w:r>
    </w:p>
    <w:p>
      <w:pPr>
        <w:pStyle w:val="2"/>
        <w:numPr>
          <w:ilvl w:val="0"/>
          <w:numId w:val="0"/>
        </w:numPr>
        <w:ind w:firstLine="480" w:firstLineChars="200"/>
        <w:rPr>
          <w:rFonts w:hint="eastAsia" w:eastAsia="宋体"/>
          <w:color w:val="auto"/>
          <w:sz w:val="24"/>
          <w:lang w:eastAsia="zh-CN"/>
        </w:rPr>
      </w:pPr>
      <w:r>
        <w:rPr>
          <w:rFonts w:hint="eastAsia"/>
          <w:color w:val="auto"/>
          <w:sz w:val="24"/>
          <w:lang w:eastAsia="zh-CN"/>
        </w:rPr>
        <w:t>（</w:t>
      </w:r>
      <w:r>
        <w:rPr>
          <w:rFonts w:hint="eastAsia"/>
          <w:color w:val="auto"/>
          <w:sz w:val="24"/>
          <w:lang w:val="en-US" w:eastAsia="zh-CN"/>
        </w:rPr>
        <w:t>2</w:t>
      </w:r>
      <w:r>
        <w:rPr>
          <w:rFonts w:hint="eastAsia"/>
          <w:color w:val="auto"/>
          <w:sz w:val="24"/>
          <w:lang w:eastAsia="zh-CN"/>
        </w:rPr>
        <w:t>）脱脂线补水</w:t>
      </w:r>
    </w:p>
    <w:p>
      <w:pPr>
        <w:pStyle w:val="2"/>
        <w:spacing w:line="360" w:lineRule="auto"/>
        <w:ind w:firstLine="480" w:firstLineChars="200"/>
        <w:rPr>
          <w:rFonts w:hint="eastAsia"/>
          <w:color w:val="auto"/>
          <w:sz w:val="24"/>
        </w:rPr>
      </w:pPr>
      <w:r>
        <w:rPr>
          <w:color w:val="auto"/>
          <w:sz w:val="24"/>
        </w:rPr>
        <w:t>根据项目单位提供</w:t>
      </w:r>
      <w:r>
        <w:rPr>
          <w:rFonts w:hint="eastAsia"/>
          <w:color w:val="auto"/>
          <w:sz w:val="24"/>
          <w:lang w:eastAsia="zh-CN"/>
        </w:rPr>
        <w:t>的设计</w:t>
      </w:r>
      <w:r>
        <w:rPr>
          <w:color w:val="auto"/>
          <w:sz w:val="24"/>
        </w:rPr>
        <w:t>资料，本项目</w:t>
      </w:r>
      <w:r>
        <w:rPr>
          <w:rFonts w:hint="eastAsia"/>
          <w:color w:val="auto"/>
          <w:sz w:val="24"/>
          <w:lang w:eastAsia="zh-CN"/>
        </w:rPr>
        <w:t>脱脂线补水</w:t>
      </w:r>
      <w:r>
        <w:rPr>
          <w:color w:val="auto"/>
          <w:sz w:val="24"/>
        </w:rPr>
        <w:t>为</w:t>
      </w:r>
      <w:r>
        <w:rPr>
          <w:rFonts w:hint="eastAsia"/>
          <w:color w:val="auto"/>
          <w:sz w:val="24"/>
          <w:lang w:val="en-US" w:eastAsia="zh-CN"/>
        </w:rPr>
        <w:t>7</w:t>
      </w:r>
      <w:r>
        <w:rPr>
          <w:color w:val="auto"/>
          <w:sz w:val="24"/>
        </w:rPr>
        <w:t>t/d，</w:t>
      </w:r>
      <w:r>
        <w:rPr>
          <w:rFonts w:hint="eastAsia"/>
          <w:color w:val="auto"/>
          <w:sz w:val="24"/>
          <w:lang w:eastAsia="zh-CN"/>
        </w:rPr>
        <w:t>脱脂线冲洗废水半年</w:t>
      </w:r>
      <w:r>
        <w:rPr>
          <w:color w:val="auto"/>
          <w:sz w:val="24"/>
        </w:rPr>
        <w:t>排放一次</w:t>
      </w:r>
      <w:r>
        <w:rPr>
          <w:rFonts w:hint="eastAsia"/>
          <w:color w:val="auto"/>
          <w:sz w:val="24"/>
          <w:lang w:eastAsia="zh-CN"/>
        </w:rPr>
        <w:t>，一次排放量为</w:t>
      </w:r>
      <w:r>
        <w:rPr>
          <w:rFonts w:hint="eastAsia"/>
          <w:color w:val="auto"/>
          <w:sz w:val="24"/>
          <w:lang w:val="en-US" w:eastAsia="zh-CN"/>
        </w:rPr>
        <w:t>50kg，则年排放量100kg</w:t>
      </w:r>
      <w:r>
        <w:rPr>
          <w:color w:val="auto"/>
          <w:sz w:val="24"/>
        </w:rPr>
        <w:t>。</w:t>
      </w:r>
      <w:r>
        <w:rPr>
          <w:rFonts w:hint="eastAsia"/>
          <w:color w:val="auto"/>
          <w:sz w:val="24"/>
          <w:lang w:eastAsia="zh-CN"/>
        </w:rPr>
        <w:t>废水作为危废处理</w:t>
      </w:r>
      <w:r>
        <w:rPr>
          <w:rFonts w:hint="eastAsia"/>
          <w:color w:val="auto"/>
          <w:sz w:val="24"/>
        </w:rPr>
        <w:t>，</w:t>
      </w:r>
      <w:r>
        <w:rPr>
          <w:rFonts w:hint="eastAsia"/>
          <w:color w:val="auto"/>
          <w:sz w:val="24"/>
          <w:lang w:eastAsia="zh-CN"/>
        </w:rPr>
        <w:t>交由有资质的单位定期处理。</w:t>
      </w:r>
    </w:p>
    <w:p>
      <w:pPr>
        <w:numPr>
          <w:ilvl w:val="0"/>
          <w:numId w:val="3"/>
        </w:numPr>
        <w:ind w:firstLine="480" w:firstLineChars="200"/>
        <w:rPr>
          <w:rFonts w:hint="eastAsia"/>
          <w:color w:val="auto"/>
          <w:sz w:val="24"/>
          <w:lang w:eastAsia="zh-CN"/>
        </w:rPr>
      </w:pPr>
      <w:r>
        <w:rPr>
          <w:rFonts w:hint="eastAsia"/>
          <w:color w:val="auto"/>
          <w:sz w:val="24"/>
          <w:lang w:eastAsia="zh-CN"/>
        </w:rPr>
        <w:t>循环冷却水补水</w:t>
      </w:r>
    </w:p>
    <w:p>
      <w:pPr>
        <w:adjustRightInd w:val="0"/>
        <w:spacing w:line="480" w:lineRule="exact"/>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项目生产过程中</w:t>
      </w:r>
      <w:r>
        <w:rPr>
          <w:rFonts w:hint="eastAsia" w:ascii="Times New Roman" w:hAnsi="Times New Roman" w:cs="Times New Roman"/>
          <w:color w:val="auto"/>
          <w:sz w:val="24"/>
          <w:lang w:eastAsia="zh-CN"/>
        </w:rPr>
        <w:t>密炼机、开炼机</w:t>
      </w:r>
      <w:r>
        <w:rPr>
          <w:rFonts w:hint="default" w:ascii="Times New Roman" w:hAnsi="Times New Roman" w:cs="Times New Roman"/>
          <w:color w:val="auto"/>
          <w:sz w:val="24"/>
        </w:rPr>
        <w:t>等设备在生产过程中，由于胶料在压制、摩擦撕裂过程中产生大量的热量，需要及时冷却控温，否则影响加工质量，同时冷凝回收装备中需要自来水冷却，故而各设备都设有循环水冷却系统，主要由阀门控制循环水流量，控制阀门开启大小，要求较高设备可设自动控制。所有设备冷却皆为间接冷却，项目设有一个冷却塔，并配有循环水池，冷却废水经冷却塔降温后再由泵送到车间各设备入口。</w:t>
      </w:r>
    </w:p>
    <w:p>
      <w:pPr>
        <w:spacing w:line="500" w:lineRule="exact"/>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根据项目单位提供的资料，项目冷却循环水系统的主要设备为</w:t>
      </w:r>
      <w:r>
        <w:rPr>
          <w:rFonts w:hint="default" w:ascii="Times New Roman" w:hAnsi="Times New Roman" w:cs="Times New Roman"/>
          <w:color w:val="auto"/>
          <w:sz w:val="24"/>
          <w:lang w:eastAsia="zh-CN"/>
        </w:rPr>
        <w:t>冷却水塔循环水池，水池直径</w:t>
      </w:r>
      <w:r>
        <w:rPr>
          <w:rFonts w:hint="default" w:ascii="Times New Roman" w:hAnsi="Times New Roman" w:cs="Times New Roman"/>
          <w:color w:val="auto"/>
          <w:sz w:val="24"/>
          <w:lang w:val="en-US" w:eastAsia="zh-CN"/>
        </w:rPr>
        <w:t>2m*3cm高</w:t>
      </w:r>
      <w:r>
        <w:rPr>
          <w:rFonts w:hint="default" w:ascii="Times New Roman" w:hAnsi="Times New Roman" w:cs="Times New Roman"/>
          <w:color w:val="auto"/>
          <w:sz w:val="24"/>
        </w:rPr>
        <w:t>，</w:t>
      </w:r>
      <w:r>
        <w:rPr>
          <w:rFonts w:hint="default" w:ascii="Times New Roman" w:hAnsi="Times New Roman" w:cs="Times New Roman"/>
          <w:color w:val="auto"/>
          <w:sz w:val="24"/>
          <w:lang w:eastAsia="zh-CN"/>
        </w:rPr>
        <w:t>装水量约为</w:t>
      </w:r>
      <w:r>
        <w:rPr>
          <w:rFonts w:hint="default" w:ascii="Times New Roman" w:hAnsi="Times New Roman" w:cs="Times New Roman"/>
          <w:color w:val="auto"/>
          <w:sz w:val="24"/>
          <w:lang w:val="en-US" w:eastAsia="zh-CN"/>
        </w:rPr>
        <w:t>1.5m</w:t>
      </w:r>
      <w:r>
        <w:rPr>
          <w:rFonts w:hint="default" w:ascii="Times New Roman" w:hAnsi="Times New Roman" w:cs="Times New Roman"/>
          <w:color w:val="auto"/>
          <w:sz w:val="24"/>
          <w:vertAlign w:val="superscript"/>
          <w:lang w:val="en-US" w:eastAsia="zh-CN"/>
        </w:rPr>
        <w:t>3</w:t>
      </w:r>
      <w:r>
        <w:rPr>
          <w:rFonts w:hint="default" w:ascii="Times New Roman" w:hAnsi="Times New Roman" w:cs="Times New Roman"/>
          <w:color w:val="auto"/>
          <w:sz w:val="24"/>
          <w:lang w:val="en-US" w:eastAsia="zh-CN"/>
        </w:rPr>
        <w:t>，</w:t>
      </w:r>
      <w:r>
        <w:rPr>
          <w:rFonts w:hint="default" w:ascii="Times New Roman" w:hAnsi="Times New Roman" w:cs="Times New Roman"/>
          <w:color w:val="auto"/>
          <w:sz w:val="24"/>
        </w:rPr>
        <w:t>以供应开炼机、密炼机等设备的循环冷却水，循环冷却水系统中需要定期补充新鲜水，循环水中污染物为废热与盐份。</w:t>
      </w:r>
    </w:p>
    <w:p>
      <w:pPr>
        <w:spacing w:line="500" w:lineRule="exact"/>
        <w:ind w:firstLine="480" w:firstLineChars="200"/>
        <w:rPr>
          <w:rFonts w:hint="eastAsia" w:ascii="Times New Roman" w:hAnsi="Times New Roman" w:cs="Times New Roman"/>
          <w:color w:val="auto"/>
          <w:sz w:val="24"/>
          <w:lang w:val="en-US" w:eastAsia="zh-CN"/>
        </w:rPr>
      </w:pPr>
      <w:r>
        <w:rPr>
          <w:rFonts w:hint="default" w:ascii="Times New Roman" w:hAnsi="Times New Roman" w:cs="Times New Roman"/>
          <w:color w:val="auto"/>
          <w:sz w:val="24"/>
        </w:rPr>
        <w:t>根据建设单位提供资料，项目循环用水量为</w:t>
      </w:r>
      <w:r>
        <w:rPr>
          <w:rFonts w:hint="default" w:ascii="Times New Roman" w:hAnsi="Times New Roman" w:cs="Times New Roman"/>
          <w:color w:val="auto"/>
          <w:sz w:val="24"/>
          <w:lang w:val="en-US" w:eastAsia="zh-CN"/>
        </w:rPr>
        <w:t>80</w:t>
      </w:r>
      <w:r>
        <w:rPr>
          <w:rFonts w:hint="default" w:ascii="Times New Roman" w:hAnsi="Times New Roman" w:cs="Times New Roman"/>
          <w:color w:val="auto"/>
          <w:sz w:val="24"/>
        </w:rPr>
        <w:t>t/</w:t>
      </w:r>
      <w:r>
        <w:rPr>
          <w:rFonts w:hint="default" w:ascii="Times New Roman" w:hAnsi="Times New Roman" w:cs="Times New Roman"/>
          <w:color w:val="auto"/>
          <w:sz w:val="24"/>
          <w:lang w:val="en-US" w:eastAsia="zh-CN"/>
        </w:rPr>
        <w:t>d</w:t>
      </w:r>
      <w:r>
        <w:rPr>
          <w:rFonts w:hint="default" w:ascii="Times New Roman" w:hAnsi="Times New Roman" w:cs="Times New Roman"/>
          <w:color w:val="auto"/>
          <w:sz w:val="24"/>
        </w:rPr>
        <w:t>，补充水量为</w:t>
      </w:r>
      <w:r>
        <w:rPr>
          <w:rFonts w:hint="eastAsia" w:ascii="Times New Roman" w:hAnsi="Times New Roman" w:cs="Times New Roman"/>
          <w:color w:val="auto"/>
          <w:sz w:val="24"/>
          <w:lang w:val="en-US" w:eastAsia="zh-CN"/>
        </w:rPr>
        <w:t>0.5</w:t>
      </w:r>
      <w:r>
        <w:rPr>
          <w:rFonts w:hint="default" w:ascii="Times New Roman" w:hAnsi="Times New Roman" w:cs="Times New Roman"/>
          <w:color w:val="auto"/>
          <w:sz w:val="24"/>
        </w:rPr>
        <w:t>t/</w:t>
      </w:r>
      <w:r>
        <w:rPr>
          <w:rFonts w:hint="eastAsia" w:ascii="Times New Roman" w:hAnsi="Times New Roman" w:cs="Times New Roman"/>
          <w:color w:val="auto"/>
          <w:sz w:val="24"/>
          <w:lang w:val="en-US" w:eastAsia="zh-CN"/>
        </w:rPr>
        <w:t>d</w:t>
      </w:r>
      <w:r>
        <w:rPr>
          <w:rFonts w:hint="default" w:ascii="Times New Roman" w:hAnsi="Times New Roman" w:cs="Times New Roman"/>
          <w:color w:val="auto"/>
          <w:sz w:val="24"/>
          <w:lang w:eastAsia="zh-CN"/>
        </w:rPr>
        <w:t>，循环水池半年更换一次。</w:t>
      </w:r>
      <w:r>
        <w:rPr>
          <w:rFonts w:hint="eastAsia" w:ascii="Times New Roman" w:hAnsi="Times New Roman" w:cs="Times New Roman"/>
          <w:color w:val="auto"/>
          <w:sz w:val="24"/>
          <w:lang w:val="en-US" w:eastAsia="zh-CN"/>
        </w:rPr>
        <w:t>更换的废水用于道路洒水抑尘以及绿化，不外排。</w:t>
      </w:r>
    </w:p>
    <w:p>
      <w:pPr>
        <w:spacing w:line="500" w:lineRule="exact"/>
        <w:ind w:firstLine="480" w:firstLineChars="200"/>
        <w:rPr>
          <w:rFonts w:hint="default" w:ascii="Times New Roman" w:hAnsi="Times New Roman" w:cs="Times New Roman"/>
          <w:color w:val="auto"/>
          <w:sz w:val="24"/>
          <w:lang w:eastAsia="zh-CN"/>
        </w:rPr>
      </w:pPr>
      <w:r>
        <w:rPr>
          <w:rFonts w:hint="eastAsia" w:ascii="Times New Roman" w:hAnsi="Times New Roman" w:cs="Times New Roman"/>
          <w:color w:val="auto"/>
          <w:sz w:val="24"/>
          <w:lang w:eastAsia="zh-CN"/>
        </w:rPr>
        <w:t>（</w:t>
      </w:r>
      <w:r>
        <w:rPr>
          <w:rFonts w:hint="eastAsia" w:ascii="Times New Roman" w:hAnsi="Times New Roman" w:cs="Times New Roman"/>
          <w:color w:val="auto"/>
          <w:sz w:val="24"/>
          <w:lang w:val="en-US" w:eastAsia="zh-CN"/>
        </w:rPr>
        <w:t>4</w:t>
      </w:r>
      <w:r>
        <w:rPr>
          <w:rFonts w:hint="eastAsia" w:ascii="Times New Roman" w:hAnsi="Times New Roman" w:cs="Times New Roman"/>
          <w:color w:val="auto"/>
          <w:sz w:val="24"/>
          <w:lang w:eastAsia="zh-CN"/>
        </w:rPr>
        <w:t>）晾干保温循环水给水</w:t>
      </w:r>
    </w:p>
    <w:p>
      <w:pPr>
        <w:spacing w:line="500" w:lineRule="exact"/>
        <w:ind w:firstLine="480" w:firstLineChars="200"/>
        <w:rPr>
          <w:rFonts w:hint="default" w:ascii="Times New Roman" w:hAnsi="Times New Roman" w:cs="Times New Roman"/>
          <w:color w:val="auto"/>
          <w:sz w:val="24"/>
          <w:lang w:val="en-US" w:eastAsia="zh-CN"/>
        </w:rPr>
      </w:pPr>
      <w:r>
        <w:rPr>
          <w:rFonts w:hint="eastAsia" w:ascii="Times New Roman" w:hAnsi="Times New Roman" w:cs="Times New Roman"/>
          <w:color w:val="auto"/>
          <w:sz w:val="24"/>
          <w:lang w:val="en-US" w:eastAsia="zh-CN"/>
        </w:rPr>
        <w:t>项目冬季晾干工序需要保温循环水，循环水定期更换补充，补充量为0.01t/d，晾干保温水使用时间约为6个月。</w:t>
      </w:r>
      <w:r>
        <w:rPr>
          <w:rFonts w:hint="eastAsia" w:cs="Times New Roman"/>
          <w:color w:val="auto"/>
          <w:sz w:val="24"/>
          <w:lang w:val="en-US" w:eastAsia="zh-CN"/>
        </w:rPr>
        <w:t>待室温上升时，外排管道内循环水，外排废水用于</w:t>
      </w:r>
      <w:r>
        <w:rPr>
          <w:rFonts w:hint="eastAsia" w:ascii="Times New Roman" w:hAnsi="Times New Roman" w:cs="Times New Roman"/>
          <w:bCs/>
          <w:color w:val="auto"/>
          <w:kern w:val="2"/>
          <w:sz w:val="24"/>
          <w:szCs w:val="24"/>
          <w:lang w:val="en-US" w:eastAsia="zh-CN" w:bidi="ar-SA"/>
        </w:rPr>
        <w:t>洒水抑尘以及绿化，不外排。</w:t>
      </w:r>
    </w:p>
    <w:p>
      <w:pPr>
        <w:spacing w:line="500" w:lineRule="exact"/>
        <w:ind w:firstLine="480" w:firstLineChars="200"/>
        <w:rPr>
          <w:color w:val="auto"/>
          <w:sz w:val="24"/>
        </w:rPr>
      </w:pPr>
      <w:r>
        <w:rPr>
          <w:rFonts w:hint="default" w:ascii="Times New Roman" w:hAnsi="Times New Roman" w:cs="Times New Roman"/>
          <w:color w:val="auto"/>
          <w:sz w:val="24"/>
          <w:lang w:val="en-US" w:eastAsia="zh-CN"/>
        </w:rPr>
        <w:t>综上所述，</w:t>
      </w:r>
      <w:r>
        <w:rPr>
          <w:color w:val="auto"/>
          <w:sz w:val="24"/>
        </w:rPr>
        <w:t>扩建项目用水量为</w:t>
      </w:r>
      <w:r>
        <w:rPr>
          <w:rFonts w:hint="eastAsia"/>
          <w:color w:val="auto"/>
          <w:sz w:val="24"/>
          <w:lang w:val="en-US" w:eastAsia="zh-CN"/>
        </w:rPr>
        <w:t>10.01</w:t>
      </w:r>
      <w:r>
        <w:rPr>
          <w:color w:val="auto"/>
          <w:sz w:val="24"/>
        </w:rPr>
        <w:t>t/d，</w:t>
      </w:r>
      <w:r>
        <w:rPr>
          <w:rFonts w:hint="eastAsia"/>
          <w:color w:val="auto"/>
          <w:sz w:val="24"/>
          <w:lang w:eastAsia="zh-CN"/>
        </w:rPr>
        <w:t>3001.5</w:t>
      </w:r>
      <w:r>
        <w:rPr>
          <w:color w:val="auto"/>
          <w:sz w:val="24"/>
        </w:rPr>
        <w:t>t/a，排水量为</w:t>
      </w:r>
      <w:r>
        <w:rPr>
          <w:rFonts w:hint="eastAsia"/>
          <w:color w:val="auto"/>
          <w:sz w:val="24"/>
          <w:lang w:val="en-US" w:eastAsia="zh-CN"/>
        </w:rPr>
        <w:t>2</w:t>
      </w:r>
      <w:r>
        <w:rPr>
          <w:color w:val="auto"/>
          <w:sz w:val="24"/>
        </w:rPr>
        <w:t>t/d，</w:t>
      </w:r>
      <w:r>
        <w:rPr>
          <w:rFonts w:hint="eastAsia"/>
          <w:color w:val="auto"/>
          <w:sz w:val="24"/>
          <w:lang w:val="en-US" w:eastAsia="zh-CN"/>
        </w:rPr>
        <w:t>60</w:t>
      </w:r>
      <w:r>
        <w:rPr>
          <w:color w:val="auto"/>
          <w:sz w:val="24"/>
        </w:rPr>
        <w:t>0t/a。</w:t>
      </w:r>
    </w:p>
    <w:p>
      <w:pPr>
        <w:pStyle w:val="146"/>
        <w:keepNext w:val="0"/>
        <w:keepLines w:val="0"/>
        <w:pageBreakBefore w:val="0"/>
        <w:widowControl w:val="0"/>
        <w:numPr>
          <w:ilvl w:val="0"/>
          <w:numId w:val="0"/>
        </w:numPr>
        <w:kinsoku/>
        <w:wordWrap/>
        <w:overflowPunct/>
        <w:topLinePunct w:val="0"/>
        <w:autoSpaceDE/>
        <w:autoSpaceDN/>
        <w:bidi w:val="0"/>
        <w:adjustRightInd/>
        <w:spacing w:line="360" w:lineRule="auto"/>
        <w:ind w:firstLine="480" w:firstLineChars="200"/>
        <w:textAlignment w:val="auto"/>
        <w:rPr>
          <w:rFonts w:hint="eastAsia" w:ascii="Times New Roman" w:hAnsi="Times New Roman" w:cs="Times New Roman"/>
          <w:bCs/>
          <w:color w:val="auto"/>
          <w:lang w:eastAsia="zh-CN"/>
        </w:rPr>
      </w:pPr>
      <w:r>
        <w:rPr>
          <w:rFonts w:hint="eastAsia" w:ascii="Times New Roman" w:hAnsi="Times New Roman" w:cs="Times New Roman"/>
          <w:bCs/>
          <w:color w:val="auto"/>
          <w:lang w:eastAsia="zh-CN"/>
        </w:rPr>
        <w:t>（</w:t>
      </w:r>
      <w:r>
        <w:rPr>
          <w:rFonts w:hint="eastAsia" w:ascii="Times New Roman" w:hAnsi="Times New Roman" w:cs="Times New Roman"/>
          <w:bCs/>
          <w:color w:val="auto"/>
          <w:lang w:val="en-US" w:eastAsia="zh-CN"/>
        </w:rPr>
        <w:t>5</w:t>
      </w:r>
      <w:r>
        <w:rPr>
          <w:rFonts w:hint="eastAsia" w:ascii="Times New Roman" w:hAnsi="Times New Roman" w:cs="Times New Roman"/>
          <w:bCs/>
          <w:color w:val="auto"/>
          <w:lang w:eastAsia="zh-CN"/>
        </w:rPr>
        <w:t>）初期雨水</w:t>
      </w:r>
    </w:p>
    <w:p>
      <w:pPr>
        <w:pStyle w:val="146"/>
        <w:keepNext w:val="0"/>
        <w:keepLines w:val="0"/>
        <w:pageBreakBefore w:val="0"/>
        <w:widowControl w:val="0"/>
        <w:kinsoku/>
        <w:wordWrap/>
        <w:overflowPunct/>
        <w:topLinePunct w:val="0"/>
        <w:autoSpaceDE/>
        <w:autoSpaceDN/>
        <w:bidi w:val="0"/>
        <w:adjustRightInd/>
        <w:spacing w:line="360" w:lineRule="auto"/>
        <w:textAlignment w:val="auto"/>
        <w:rPr>
          <w:rFonts w:hint="eastAsia" w:ascii="Times New Roman" w:hAnsi="Times New Roman" w:cs="Times New Roman"/>
          <w:bCs/>
          <w:color w:val="auto"/>
          <w:lang w:val="en-US" w:eastAsia="zh-CN"/>
        </w:rPr>
      </w:pPr>
      <w:r>
        <w:rPr>
          <w:rFonts w:hint="eastAsia" w:ascii="Times New Roman" w:hAnsi="Times New Roman" w:cs="Times New Roman"/>
          <w:bCs/>
          <w:color w:val="auto"/>
          <w:lang w:val="en-US" w:eastAsia="zh-CN"/>
        </w:rPr>
        <w:t>由于本项目生产过程中会使用到炭黑及其他粉状原料，为防止无组织逸散的粉尘落在屋面或地面，在雨天收到雨水的冲刷进入雨水管网，污染地表水。因此设置初期雨水收集池。</w:t>
      </w:r>
    </w:p>
    <w:p>
      <w:pPr>
        <w:pStyle w:val="146"/>
        <w:keepNext w:val="0"/>
        <w:keepLines w:val="0"/>
        <w:pageBreakBefore w:val="0"/>
        <w:widowControl w:val="0"/>
        <w:kinsoku/>
        <w:wordWrap/>
        <w:overflowPunct/>
        <w:topLinePunct w:val="0"/>
        <w:autoSpaceDE/>
        <w:autoSpaceDN/>
        <w:bidi w:val="0"/>
        <w:adjustRightInd/>
        <w:spacing w:line="360" w:lineRule="auto"/>
        <w:textAlignment w:val="auto"/>
        <w:rPr>
          <w:rFonts w:hint="eastAsia" w:ascii="Times New Roman" w:hAnsi="Times New Roman" w:cs="Times New Roman"/>
          <w:bCs/>
          <w:color w:val="auto"/>
          <w:lang w:val="en-US" w:eastAsia="zh-CN"/>
        </w:rPr>
      </w:pPr>
      <w:r>
        <w:rPr>
          <w:rFonts w:hint="eastAsia" w:ascii="Times New Roman" w:hAnsi="Times New Roman" w:cs="Times New Roman"/>
          <w:bCs/>
          <w:color w:val="auto"/>
          <w:lang w:val="en-US" w:eastAsia="zh-CN"/>
        </w:rPr>
        <w:t>本项目初期雨水主要是收集厂内垃圾运输、装卸过程遗落在地面等的初期雨水量，在降雨天气情况下，初期雨水将会夹带少量粉尘和运输、装卸过程中渗漏出的少量垃圾渗滤液等，按照宁国市暴雨强度计算公式：</w:t>
      </w:r>
    </w:p>
    <w:p>
      <w:pPr>
        <w:pStyle w:val="146"/>
        <w:keepNext w:val="0"/>
        <w:keepLines w:val="0"/>
        <w:pageBreakBefore w:val="0"/>
        <w:widowControl w:val="0"/>
        <w:kinsoku/>
        <w:wordWrap/>
        <w:overflowPunct/>
        <w:topLinePunct w:val="0"/>
        <w:autoSpaceDE/>
        <w:autoSpaceDN/>
        <w:bidi w:val="0"/>
        <w:adjustRightInd/>
        <w:spacing w:line="360" w:lineRule="auto"/>
        <w:textAlignment w:val="auto"/>
        <w:rPr>
          <w:rFonts w:hint="eastAsia" w:ascii="Times New Roman" w:hAnsi="Times New Roman" w:cs="Times New Roman"/>
          <w:bCs/>
          <w:color w:val="auto"/>
          <w:lang w:val="en-US" w:eastAsia="zh-CN"/>
        </w:rPr>
      </w:pPr>
      <w:r>
        <w:rPr>
          <w:rFonts w:hint="default" w:ascii="Times New Roman" w:hAnsi="Times New Roman" w:cs="Times New Roman"/>
          <w:bCs/>
          <w:color w:val="auto"/>
          <w:lang w:val="en-US" w:eastAsia="zh-CN"/>
        </w:rPr>
        <w:t>q=3600</w:t>
      </w:r>
      <w:r>
        <w:rPr>
          <w:rFonts w:hint="eastAsia" w:ascii="Times New Roman" w:hAnsi="Times New Roman" w:cs="Times New Roman"/>
          <w:bCs/>
          <w:color w:val="auto"/>
          <w:lang w:val="en-US" w:eastAsia="zh-CN"/>
        </w:rPr>
        <w:t>（</w:t>
      </w:r>
      <w:r>
        <w:rPr>
          <w:rFonts w:hint="default" w:ascii="Times New Roman" w:hAnsi="Times New Roman" w:cs="Times New Roman"/>
          <w:bCs/>
          <w:color w:val="auto"/>
          <w:lang w:val="en-US" w:eastAsia="zh-CN"/>
        </w:rPr>
        <w:t>1+0.76lgP</w:t>
      </w:r>
      <w:r>
        <w:rPr>
          <w:rFonts w:hint="eastAsia" w:ascii="Times New Roman" w:hAnsi="Times New Roman" w:cs="Times New Roman"/>
          <w:bCs/>
          <w:color w:val="auto"/>
          <w:lang w:val="en-US" w:eastAsia="zh-CN"/>
        </w:rPr>
        <w:t>）</w:t>
      </w:r>
      <w:r>
        <w:rPr>
          <w:rFonts w:hint="default" w:ascii="Times New Roman" w:hAnsi="Times New Roman" w:cs="Times New Roman"/>
          <w:bCs/>
          <w:color w:val="auto"/>
          <w:lang w:val="en-US" w:eastAsia="zh-CN"/>
        </w:rPr>
        <w:t>/</w:t>
      </w:r>
      <w:r>
        <w:rPr>
          <w:rFonts w:hint="eastAsia" w:ascii="Times New Roman" w:hAnsi="Times New Roman" w:cs="Times New Roman"/>
          <w:bCs/>
          <w:color w:val="auto"/>
          <w:lang w:val="en-US" w:eastAsia="zh-CN"/>
        </w:rPr>
        <w:t>（</w:t>
      </w:r>
      <w:r>
        <w:rPr>
          <w:rFonts w:hint="default" w:ascii="Times New Roman" w:hAnsi="Times New Roman" w:cs="Times New Roman"/>
          <w:bCs/>
          <w:color w:val="auto"/>
          <w:lang w:val="en-US" w:eastAsia="zh-CN"/>
        </w:rPr>
        <w:t>t+14</w:t>
      </w:r>
      <w:r>
        <w:rPr>
          <w:rFonts w:hint="eastAsia" w:ascii="Times New Roman" w:hAnsi="Times New Roman" w:cs="Times New Roman"/>
          <w:bCs/>
          <w:color w:val="auto"/>
          <w:lang w:val="en-US" w:eastAsia="zh-CN"/>
        </w:rPr>
        <w:t>）</w:t>
      </w:r>
      <w:r>
        <w:rPr>
          <w:rFonts w:hint="default" w:ascii="Times New Roman" w:hAnsi="Times New Roman" w:cs="Times New Roman"/>
          <w:bCs/>
          <w:color w:val="auto"/>
          <w:vertAlign w:val="superscript"/>
          <w:lang w:val="en-US" w:eastAsia="zh-CN"/>
        </w:rPr>
        <w:t>0.86</w:t>
      </w:r>
      <w:r>
        <w:rPr>
          <w:rFonts w:hint="eastAsia" w:ascii="Times New Roman" w:hAnsi="Times New Roman" w:cs="Times New Roman"/>
          <w:bCs/>
          <w:color w:val="auto"/>
          <w:lang w:val="en-US" w:eastAsia="zh-CN"/>
        </w:rPr>
        <w:t>（</w:t>
      </w:r>
      <w:r>
        <w:rPr>
          <w:rFonts w:hint="default" w:ascii="Times New Roman" w:hAnsi="Times New Roman" w:cs="Times New Roman"/>
          <w:bCs/>
          <w:color w:val="auto"/>
          <w:lang w:val="en-US" w:eastAsia="zh-CN"/>
        </w:rPr>
        <w:t>L/s·ha</w:t>
      </w:r>
      <w:r>
        <w:rPr>
          <w:rFonts w:hint="eastAsia" w:ascii="Times New Roman" w:hAnsi="Times New Roman" w:cs="Times New Roman"/>
          <w:bCs/>
          <w:color w:val="auto"/>
          <w:lang w:val="en-US" w:eastAsia="zh-CN"/>
        </w:rPr>
        <w:t>）</w:t>
      </w:r>
    </w:p>
    <w:p>
      <w:pPr>
        <w:pStyle w:val="146"/>
        <w:keepNext w:val="0"/>
        <w:keepLines w:val="0"/>
        <w:pageBreakBefore w:val="0"/>
        <w:widowControl w:val="0"/>
        <w:kinsoku/>
        <w:wordWrap/>
        <w:overflowPunct/>
        <w:topLinePunct w:val="0"/>
        <w:autoSpaceDE/>
        <w:autoSpaceDN/>
        <w:bidi w:val="0"/>
        <w:adjustRightInd/>
        <w:spacing w:line="360" w:lineRule="auto"/>
        <w:textAlignment w:val="auto"/>
        <w:rPr>
          <w:rFonts w:hint="eastAsia" w:ascii="Times New Roman" w:hAnsi="Times New Roman" w:cs="Times New Roman"/>
          <w:bCs/>
          <w:color w:val="auto"/>
          <w:lang w:val="en-US" w:eastAsia="zh-CN"/>
        </w:rPr>
      </w:pPr>
      <w:r>
        <w:rPr>
          <w:rFonts w:hint="eastAsia" w:ascii="Times New Roman" w:hAnsi="Times New Roman" w:cs="Times New Roman"/>
          <w:bCs/>
          <w:color w:val="auto"/>
          <w:lang w:val="en-US" w:eastAsia="zh-CN"/>
        </w:rPr>
        <w:t>式中：</w:t>
      </w:r>
      <w:r>
        <w:rPr>
          <w:rFonts w:hint="default" w:ascii="Times New Roman" w:hAnsi="Times New Roman" w:cs="Times New Roman"/>
          <w:bCs/>
          <w:color w:val="auto"/>
          <w:lang w:val="en-US" w:eastAsia="zh-CN"/>
        </w:rPr>
        <w:t>P</w:t>
      </w:r>
      <w:r>
        <w:rPr>
          <w:rFonts w:hint="eastAsia" w:ascii="Times New Roman" w:hAnsi="Times New Roman" w:cs="Times New Roman"/>
          <w:bCs/>
          <w:color w:val="auto"/>
          <w:lang w:val="en-US" w:eastAsia="zh-CN"/>
        </w:rPr>
        <w:t>为设计重现期，取</w:t>
      </w:r>
      <w:r>
        <w:rPr>
          <w:rFonts w:hint="default" w:ascii="Times New Roman" w:hAnsi="Times New Roman" w:cs="Times New Roman"/>
          <w:bCs/>
          <w:color w:val="auto"/>
          <w:lang w:val="en-US" w:eastAsia="zh-CN"/>
        </w:rPr>
        <w:t>2</w:t>
      </w:r>
      <w:r>
        <w:rPr>
          <w:rFonts w:hint="eastAsia" w:ascii="Times New Roman" w:hAnsi="Times New Roman" w:cs="Times New Roman"/>
          <w:bCs/>
          <w:color w:val="auto"/>
          <w:lang w:val="en-US" w:eastAsia="zh-CN"/>
        </w:rPr>
        <w:t>年；</w:t>
      </w:r>
    </w:p>
    <w:p>
      <w:pPr>
        <w:pStyle w:val="146"/>
        <w:keepNext w:val="0"/>
        <w:keepLines w:val="0"/>
        <w:pageBreakBefore w:val="0"/>
        <w:widowControl w:val="0"/>
        <w:kinsoku/>
        <w:wordWrap/>
        <w:overflowPunct/>
        <w:topLinePunct w:val="0"/>
        <w:autoSpaceDE/>
        <w:autoSpaceDN/>
        <w:bidi w:val="0"/>
        <w:adjustRightInd/>
        <w:spacing w:line="360" w:lineRule="auto"/>
        <w:ind w:firstLine="1200" w:firstLineChars="500"/>
        <w:textAlignment w:val="auto"/>
        <w:rPr>
          <w:rFonts w:hint="eastAsia" w:ascii="Times New Roman" w:hAnsi="Times New Roman" w:cs="Times New Roman"/>
          <w:bCs/>
          <w:color w:val="auto"/>
          <w:lang w:val="en-US" w:eastAsia="zh-CN"/>
        </w:rPr>
      </w:pPr>
      <w:r>
        <w:rPr>
          <w:rFonts w:hint="default" w:ascii="Times New Roman" w:hAnsi="Times New Roman" w:cs="Times New Roman"/>
          <w:bCs/>
          <w:color w:val="auto"/>
          <w:lang w:val="en-US" w:eastAsia="zh-CN"/>
        </w:rPr>
        <w:t>t</w:t>
      </w:r>
      <w:r>
        <w:rPr>
          <w:rFonts w:hint="eastAsia" w:ascii="Times New Roman" w:hAnsi="Times New Roman" w:cs="Times New Roman"/>
          <w:bCs/>
          <w:color w:val="auto"/>
          <w:lang w:val="en-US" w:eastAsia="zh-CN"/>
        </w:rPr>
        <w:t>为设计降雨历时，采用</w:t>
      </w:r>
      <w:r>
        <w:rPr>
          <w:rFonts w:hint="default" w:ascii="Times New Roman" w:hAnsi="Times New Roman" w:cs="Times New Roman"/>
          <w:bCs/>
          <w:color w:val="auto"/>
          <w:lang w:val="en-US" w:eastAsia="zh-CN"/>
        </w:rPr>
        <w:t>15</w:t>
      </w:r>
      <w:r>
        <w:rPr>
          <w:rFonts w:hint="eastAsia" w:ascii="Times New Roman" w:hAnsi="Times New Roman" w:cs="Times New Roman"/>
          <w:bCs/>
          <w:color w:val="auto"/>
          <w:lang w:val="en-US" w:eastAsia="zh-CN"/>
        </w:rPr>
        <w:t>分钟；</w:t>
      </w:r>
    </w:p>
    <w:p>
      <w:pPr>
        <w:pStyle w:val="146"/>
        <w:keepNext w:val="0"/>
        <w:keepLines w:val="0"/>
        <w:pageBreakBefore w:val="0"/>
        <w:widowControl w:val="0"/>
        <w:kinsoku/>
        <w:wordWrap/>
        <w:overflowPunct/>
        <w:topLinePunct w:val="0"/>
        <w:autoSpaceDE/>
        <w:autoSpaceDN/>
        <w:bidi w:val="0"/>
        <w:adjustRightInd/>
        <w:spacing w:line="360" w:lineRule="auto"/>
        <w:textAlignment w:val="auto"/>
        <w:rPr>
          <w:rFonts w:hint="eastAsia" w:ascii="Times New Roman" w:hAnsi="Times New Roman" w:cs="Times New Roman"/>
          <w:bCs/>
          <w:color w:val="auto"/>
          <w:lang w:val="en-US" w:eastAsia="zh-CN"/>
        </w:rPr>
      </w:pPr>
      <w:r>
        <w:rPr>
          <w:rFonts w:hint="eastAsia" w:ascii="Times New Roman" w:hAnsi="Times New Roman" w:cs="Times New Roman"/>
          <w:bCs/>
          <w:color w:val="auto"/>
          <w:lang w:val="en-US" w:eastAsia="zh-CN"/>
        </w:rPr>
        <w:t>经计算，暴雨强度为</w:t>
      </w:r>
      <w:r>
        <w:rPr>
          <w:rFonts w:hint="default" w:ascii="Times New Roman" w:hAnsi="Times New Roman" w:cs="Times New Roman"/>
          <w:bCs/>
          <w:color w:val="auto"/>
          <w:lang w:val="en-US" w:eastAsia="zh-CN"/>
        </w:rPr>
        <w:t>212.76</w:t>
      </w:r>
      <w:r>
        <w:rPr>
          <w:rFonts w:hint="eastAsia" w:ascii="Times New Roman" w:hAnsi="Times New Roman" w:cs="Times New Roman"/>
          <w:bCs/>
          <w:color w:val="auto"/>
          <w:lang w:val="en-US" w:eastAsia="zh-CN"/>
        </w:rPr>
        <w:t>升</w:t>
      </w:r>
      <w:r>
        <w:rPr>
          <w:rFonts w:hint="default" w:ascii="Times New Roman" w:hAnsi="Times New Roman" w:cs="Times New Roman"/>
          <w:bCs/>
          <w:color w:val="auto"/>
          <w:lang w:val="en-US" w:eastAsia="zh-CN"/>
        </w:rPr>
        <w:t>/(</w:t>
      </w:r>
      <w:r>
        <w:rPr>
          <w:rFonts w:hint="eastAsia" w:ascii="Times New Roman" w:hAnsi="Times New Roman" w:cs="Times New Roman"/>
          <w:bCs/>
          <w:color w:val="auto"/>
          <w:lang w:val="en-US" w:eastAsia="zh-CN"/>
        </w:rPr>
        <w:t>秒</w:t>
      </w:r>
      <w:r>
        <w:rPr>
          <w:rFonts w:hint="default" w:ascii="Times New Roman" w:hAnsi="Times New Roman" w:cs="Times New Roman"/>
          <w:bCs/>
          <w:color w:val="auto"/>
          <w:lang w:val="en-US" w:eastAsia="zh-CN"/>
        </w:rPr>
        <w:t>·</w:t>
      </w:r>
      <w:r>
        <w:rPr>
          <w:rFonts w:hint="eastAsia" w:ascii="Times New Roman" w:hAnsi="Times New Roman" w:cs="Times New Roman"/>
          <w:bCs/>
          <w:color w:val="auto"/>
          <w:lang w:val="en-US" w:eastAsia="zh-CN"/>
        </w:rPr>
        <w:t>公顷</w:t>
      </w:r>
      <w:r>
        <w:rPr>
          <w:rFonts w:hint="default" w:ascii="Times New Roman" w:hAnsi="Times New Roman" w:cs="Times New Roman"/>
          <w:bCs/>
          <w:color w:val="auto"/>
          <w:lang w:val="en-US" w:eastAsia="zh-CN"/>
        </w:rPr>
        <w:t>)</w:t>
      </w:r>
      <w:r>
        <w:rPr>
          <w:rFonts w:hint="eastAsia" w:ascii="Times New Roman" w:hAnsi="Times New Roman" w:cs="Times New Roman"/>
          <w:bCs/>
          <w:color w:val="auto"/>
          <w:lang w:val="en-US" w:eastAsia="zh-CN"/>
        </w:rPr>
        <w:t>。</w:t>
      </w:r>
    </w:p>
    <w:p>
      <w:pPr>
        <w:pStyle w:val="146"/>
        <w:keepNext w:val="0"/>
        <w:keepLines w:val="0"/>
        <w:pageBreakBefore w:val="0"/>
        <w:widowControl w:val="0"/>
        <w:kinsoku/>
        <w:wordWrap/>
        <w:overflowPunct/>
        <w:topLinePunct w:val="0"/>
        <w:autoSpaceDE/>
        <w:autoSpaceDN/>
        <w:bidi w:val="0"/>
        <w:adjustRightInd/>
        <w:spacing w:line="360" w:lineRule="auto"/>
        <w:textAlignment w:val="auto"/>
        <w:rPr>
          <w:rFonts w:hint="eastAsia" w:ascii="Times New Roman" w:hAnsi="Times New Roman" w:cs="Times New Roman"/>
          <w:bCs/>
          <w:color w:val="auto"/>
          <w:lang w:val="en-US" w:eastAsia="zh-CN"/>
        </w:rPr>
      </w:pPr>
      <w:r>
        <w:rPr>
          <w:rFonts w:hint="eastAsia" w:ascii="Times New Roman" w:hAnsi="Times New Roman" w:cs="Times New Roman"/>
          <w:bCs/>
          <w:color w:val="auto"/>
          <w:lang w:val="en-US" w:eastAsia="zh-CN"/>
        </w:rPr>
        <w:t>初期雨水排放量公式：</w:t>
      </w:r>
      <w:r>
        <w:rPr>
          <w:rFonts w:hint="default" w:ascii="Times New Roman" w:hAnsi="Times New Roman" w:cs="Times New Roman"/>
          <w:bCs/>
          <w:color w:val="auto"/>
          <w:lang w:val="en-US" w:eastAsia="zh-CN"/>
        </w:rPr>
        <w:t>Q</w:t>
      </w:r>
      <w:r>
        <w:rPr>
          <w:rFonts w:hint="eastAsia" w:ascii="Times New Roman" w:hAnsi="Times New Roman" w:cs="Times New Roman"/>
          <w:bCs/>
          <w:color w:val="auto"/>
          <w:lang w:val="en-US" w:eastAsia="zh-CN"/>
        </w:rPr>
        <w:t>＝</w:t>
      </w:r>
      <w:r>
        <w:rPr>
          <w:rFonts w:hint="default" w:ascii="Times New Roman" w:hAnsi="Times New Roman" w:cs="Times New Roman"/>
          <w:bCs/>
          <w:color w:val="auto"/>
          <w:lang w:val="en-US" w:eastAsia="zh-CN"/>
        </w:rPr>
        <w:t>q×Ψ×F×T</w:t>
      </w:r>
    </w:p>
    <w:p>
      <w:pPr>
        <w:pStyle w:val="146"/>
        <w:keepNext w:val="0"/>
        <w:keepLines w:val="0"/>
        <w:pageBreakBefore w:val="0"/>
        <w:widowControl w:val="0"/>
        <w:kinsoku/>
        <w:wordWrap/>
        <w:overflowPunct/>
        <w:topLinePunct w:val="0"/>
        <w:autoSpaceDE/>
        <w:autoSpaceDN/>
        <w:bidi w:val="0"/>
        <w:adjustRightInd/>
        <w:spacing w:line="360" w:lineRule="auto"/>
        <w:textAlignment w:val="auto"/>
        <w:rPr>
          <w:rFonts w:hint="eastAsia" w:ascii="Times New Roman" w:hAnsi="Times New Roman" w:cs="Times New Roman"/>
          <w:bCs/>
          <w:color w:val="auto"/>
          <w:lang w:val="en-US" w:eastAsia="zh-CN"/>
        </w:rPr>
      </w:pPr>
      <w:r>
        <w:rPr>
          <w:rFonts w:hint="eastAsia" w:ascii="Times New Roman" w:hAnsi="Times New Roman" w:cs="Times New Roman"/>
          <w:bCs/>
          <w:color w:val="auto"/>
          <w:lang w:val="en-US" w:eastAsia="zh-CN"/>
        </w:rPr>
        <w:t>式中：</w:t>
      </w:r>
      <w:r>
        <w:rPr>
          <w:rFonts w:hint="default" w:ascii="Times New Roman" w:hAnsi="Times New Roman" w:cs="Times New Roman"/>
          <w:bCs/>
          <w:color w:val="auto"/>
          <w:lang w:val="en-US" w:eastAsia="zh-CN"/>
        </w:rPr>
        <w:t>q——</w:t>
      </w:r>
      <w:r>
        <w:rPr>
          <w:rFonts w:hint="eastAsia" w:ascii="Times New Roman" w:hAnsi="Times New Roman" w:cs="Times New Roman"/>
          <w:bCs/>
          <w:color w:val="auto"/>
          <w:lang w:val="en-US" w:eastAsia="zh-CN"/>
        </w:rPr>
        <w:t>暴雨强度；</w:t>
      </w:r>
    </w:p>
    <w:p>
      <w:pPr>
        <w:pStyle w:val="146"/>
        <w:keepNext w:val="0"/>
        <w:keepLines w:val="0"/>
        <w:pageBreakBefore w:val="0"/>
        <w:widowControl w:val="0"/>
        <w:kinsoku/>
        <w:wordWrap/>
        <w:overflowPunct/>
        <w:topLinePunct w:val="0"/>
        <w:autoSpaceDE/>
        <w:autoSpaceDN/>
        <w:bidi w:val="0"/>
        <w:adjustRightInd/>
        <w:spacing w:line="360" w:lineRule="auto"/>
        <w:ind w:firstLine="1200" w:firstLineChars="500"/>
        <w:textAlignment w:val="auto"/>
        <w:rPr>
          <w:rFonts w:hint="eastAsia" w:ascii="Times New Roman" w:hAnsi="Times New Roman" w:cs="Times New Roman"/>
          <w:bCs/>
          <w:color w:val="auto"/>
          <w:lang w:val="en-US" w:eastAsia="zh-CN"/>
        </w:rPr>
      </w:pPr>
      <w:r>
        <w:rPr>
          <w:rFonts w:hint="default" w:ascii="Times New Roman" w:hAnsi="Times New Roman" w:cs="Times New Roman"/>
          <w:bCs/>
          <w:color w:val="auto"/>
          <w:lang w:val="en-US" w:eastAsia="zh-CN"/>
        </w:rPr>
        <w:t>Ψ——</w:t>
      </w:r>
      <w:r>
        <w:rPr>
          <w:rFonts w:hint="eastAsia" w:ascii="Times New Roman" w:hAnsi="Times New Roman" w:cs="Times New Roman"/>
          <w:bCs/>
          <w:color w:val="auto"/>
          <w:lang w:val="en-US" w:eastAsia="zh-CN"/>
        </w:rPr>
        <w:t>径流系数（取</w:t>
      </w:r>
      <w:r>
        <w:rPr>
          <w:rFonts w:hint="default" w:ascii="Times New Roman" w:hAnsi="Times New Roman" w:cs="Times New Roman"/>
          <w:bCs/>
          <w:color w:val="auto"/>
          <w:lang w:val="en-US" w:eastAsia="zh-CN"/>
        </w:rPr>
        <w:t>0.</w:t>
      </w:r>
      <w:r>
        <w:rPr>
          <w:rFonts w:hint="eastAsia" w:ascii="Times New Roman" w:hAnsi="Times New Roman" w:cs="Times New Roman"/>
          <w:bCs/>
          <w:color w:val="auto"/>
          <w:lang w:val="en-US" w:eastAsia="zh-CN"/>
        </w:rPr>
        <w:t>45）；</w:t>
      </w:r>
    </w:p>
    <w:p>
      <w:pPr>
        <w:pStyle w:val="146"/>
        <w:keepNext w:val="0"/>
        <w:keepLines w:val="0"/>
        <w:pageBreakBefore w:val="0"/>
        <w:widowControl w:val="0"/>
        <w:kinsoku/>
        <w:wordWrap/>
        <w:overflowPunct/>
        <w:topLinePunct w:val="0"/>
        <w:autoSpaceDE/>
        <w:autoSpaceDN/>
        <w:bidi w:val="0"/>
        <w:adjustRightInd/>
        <w:spacing w:line="360" w:lineRule="auto"/>
        <w:ind w:firstLine="1200" w:firstLineChars="500"/>
        <w:textAlignment w:val="auto"/>
        <w:rPr>
          <w:rFonts w:hint="eastAsia" w:ascii="Times New Roman" w:hAnsi="Times New Roman" w:cs="Times New Roman"/>
          <w:bCs/>
          <w:color w:val="auto"/>
          <w:lang w:val="en-US" w:eastAsia="zh-CN"/>
        </w:rPr>
      </w:pPr>
      <w:r>
        <w:rPr>
          <w:rFonts w:hint="default" w:ascii="Times New Roman" w:hAnsi="Times New Roman" w:cs="Times New Roman"/>
          <w:bCs/>
          <w:color w:val="auto"/>
          <w:lang w:val="en-US" w:eastAsia="zh-CN"/>
        </w:rPr>
        <w:t>F——</w:t>
      </w:r>
      <w:r>
        <w:rPr>
          <w:rFonts w:hint="eastAsia" w:ascii="Times New Roman" w:hAnsi="Times New Roman" w:cs="Times New Roman"/>
          <w:bCs/>
          <w:color w:val="auto"/>
          <w:lang w:val="en-US" w:eastAsia="zh-CN"/>
        </w:rPr>
        <w:t>汇水面积（约0.</w:t>
      </w:r>
      <w:r>
        <w:rPr>
          <w:rFonts w:hint="eastAsia" w:cs="Times New Roman"/>
          <w:bCs/>
          <w:color w:val="auto"/>
          <w:lang w:val="en-US" w:eastAsia="zh-CN"/>
        </w:rPr>
        <w:t>264</w:t>
      </w:r>
      <w:r>
        <w:rPr>
          <w:rFonts w:hint="default" w:ascii="Times New Roman" w:hAnsi="Times New Roman" w:cs="Times New Roman"/>
          <w:bCs/>
          <w:color w:val="auto"/>
          <w:lang w:val="en-US" w:eastAsia="zh-CN"/>
        </w:rPr>
        <w:t>ha</w:t>
      </w:r>
      <w:r>
        <w:rPr>
          <w:rFonts w:hint="eastAsia" w:ascii="Times New Roman" w:hAnsi="Times New Roman" w:cs="Times New Roman"/>
          <w:bCs/>
          <w:color w:val="auto"/>
          <w:lang w:val="en-US" w:eastAsia="zh-CN"/>
        </w:rPr>
        <w:t>）；</w:t>
      </w:r>
    </w:p>
    <w:p>
      <w:pPr>
        <w:pStyle w:val="146"/>
        <w:keepNext w:val="0"/>
        <w:keepLines w:val="0"/>
        <w:pageBreakBefore w:val="0"/>
        <w:widowControl w:val="0"/>
        <w:kinsoku/>
        <w:wordWrap/>
        <w:overflowPunct/>
        <w:topLinePunct w:val="0"/>
        <w:autoSpaceDE/>
        <w:autoSpaceDN/>
        <w:bidi w:val="0"/>
        <w:adjustRightInd/>
        <w:spacing w:line="360" w:lineRule="auto"/>
        <w:ind w:firstLine="1200" w:firstLineChars="500"/>
        <w:textAlignment w:val="auto"/>
        <w:rPr>
          <w:rFonts w:hint="eastAsia" w:ascii="Times New Roman" w:hAnsi="Times New Roman" w:cs="Times New Roman"/>
          <w:bCs/>
          <w:color w:val="auto"/>
          <w:lang w:val="en-US" w:eastAsia="zh-CN"/>
        </w:rPr>
      </w:pPr>
      <w:r>
        <w:rPr>
          <w:rFonts w:hint="default" w:ascii="Times New Roman" w:hAnsi="Times New Roman" w:cs="Times New Roman"/>
          <w:bCs/>
          <w:color w:val="auto"/>
          <w:lang w:val="en-US" w:eastAsia="zh-CN"/>
        </w:rPr>
        <w:t>T——</w:t>
      </w:r>
      <w:r>
        <w:rPr>
          <w:rFonts w:hint="eastAsia" w:ascii="Times New Roman" w:hAnsi="Times New Roman" w:cs="Times New Roman"/>
          <w:bCs/>
          <w:color w:val="auto"/>
          <w:lang w:val="en-US" w:eastAsia="zh-CN"/>
        </w:rPr>
        <w:t>收水时间，按</w:t>
      </w:r>
      <w:r>
        <w:rPr>
          <w:rFonts w:hint="default" w:ascii="Times New Roman" w:hAnsi="Times New Roman" w:cs="Times New Roman"/>
          <w:bCs/>
          <w:color w:val="auto"/>
          <w:lang w:val="en-US" w:eastAsia="zh-CN"/>
        </w:rPr>
        <w:t>15min</w:t>
      </w:r>
      <w:r>
        <w:rPr>
          <w:rFonts w:hint="eastAsia" w:ascii="Times New Roman" w:hAnsi="Times New Roman" w:cs="Times New Roman"/>
          <w:bCs/>
          <w:color w:val="auto"/>
          <w:lang w:val="en-US" w:eastAsia="zh-CN"/>
        </w:rPr>
        <w:t>计算。</w:t>
      </w:r>
    </w:p>
    <w:p>
      <w:pPr>
        <w:pStyle w:val="146"/>
        <w:keepNext w:val="0"/>
        <w:keepLines w:val="0"/>
        <w:pageBreakBefore w:val="0"/>
        <w:widowControl w:val="0"/>
        <w:kinsoku/>
        <w:wordWrap/>
        <w:overflowPunct/>
        <w:topLinePunct w:val="0"/>
        <w:autoSpaceDE/>
        <w:autoSpaceDN/>
        <w:bidi w:val="0"/>
        <w:adjustRightInd/>
        <w:spacing w:line="360" w:lineRule="auto"/>
        <w:textAlignment w:val="auto"/>
        <w:rPr>
          <w:rFonts w:hint="eastAsia" w:ascii="Times New Roman" w:hAnsi="Times New Roman" w:cs="Times New Roman"/>
          <w:bCs/>
          <w:color w:val="auto"/>
          <w:lang w:val="en-US" w:eastAsia="zh-CN"/>
        </w:rPr>
      </w:pPr>
      <w:r>
        <w:rPr>
          <w:rFonts w:hint="eastAsia" w:ascii="Times New Roman" w:hAnsi="Times New Roman" w:cs="Times New Roman"/>
          <w:bCs/>
          <w:color w:val="auto"/>
          <w:lang w:val="en-US" w:eastAsia="zh-CN"/>
        </w:rPr>
        <w:t>计算可得最大初期雨水需收集量</w:t>
      </w:r>
      <w:r>
        <w:rPr>
          <w:rFonts w:hint="default" w:ascii="Times New Roman" w:hAnsi="Times New Roman" w:cs="Times New Roman"/>
          <w:bCs/>
          <w:color w:val="auto"/>
          <w:lang w:val="en-US" w:eastAsia="zh-CN"/>
        </w:rPr>
        <w:t>Q=</w:t>
      </w:r>
      <w:r>
        <w:rPr>
          <w:rFonts w:hint="eastAsia" w:cs="Times New Roman"/>
          <w:bCs/>
          <w:color w:val="auto"/>
          <w:lang w:val="en-US" w:eastAsia="zh-CN"/>
        </w:rPr>
        <w:t>22.75</w:t>
      </w:r>
      <w:r>
        <w:rPr>
          <w:rFonts w:hint="default" w:ascii="Times New Roman" w:hAnsi="Times New Roman" w:cs="Times New Roman"/>
          <w:bCs/>
          <w:color w:val="auto"/>
          <w:lang w:val="en-US" w:eastAsia="zh-CN"/>
        </w:rPr>
        <w:t>m</w:t>
      </w:r>
      <w:r>
        <w:rPr>
          <w:rFonts w:hint="default" w:ascii="Times New Roman" w:hAnsi="Times New Roman" w:cs="Times New Roman"/>
          <w:bCs/>
          <w:color w:val="auto"/>
          <w:vertAlign w:val="superscript"/>
          <w:lang w:val="en-US" w:eastAsia="zh-CN"/>
        </w:rPr>
        <w:t>3</w:t>
      </w:r>
      <w:r>
        <w:rPr>
          <w:rFonts w:hint="eastAsia" w:ascii="Times New Roman" w:hAnsi="Times New Roman" w:cs="Times New Roman"/>
          <w:bCs/>
          <w:color w:val="auto"/>
          <w:lang w:val="en-US" w:eastAsia="zh-CN"/>
        </w:rPr>
        <w:t>。</w:t>
      </w:r>
    </w:p>
    <w:p>
      <w:pPr>
        <w:pStyle w:val="146"/>
        <w:keepNext w:val="0"/>
        <w:keepLines w:val="0"/>
        <w:pageBreakBefore w:val="0"/>
        <w:widowControl w:val="0"/>
        <w:kinsoku/>
        <w:wordWrap/>
        <w:overflowPunct/>
        <w:topLinePunct w:val="0"/>
        <w:autoSpaceDE/>
        <w:autoSpaceDN/>
        <w:bidi w:val="0"/>
        <w:adjustRightInd/>
        <w:spacing w:line="360" w:lineRule="auto"/>
        <w:textAlignment w:val="auto"/>
        <w:rPr>
          <w:rFonts w:hint="default"/>
          <w:b/>
          <w:bCs/>
          <w:color w:val="auto"/>
          <w:sz w:val="24"/>
          <w:lang w:val="en-US"/>
        </w:rPr>
      </w:pPr>
      <w:r>
        <w:rPr>
          <w:rFonts w:hint="eastAsia" w:ascii="Times New Roman" w:hAnsi="Times New Roman" w:cs="Times New Roman"/>
          <w:b w:val="0"/>
          <w:bCs/>
          <w:color w:val="auto"/>
          <w:lang w:val="en-US" w:eastAsia="zh-CN"/>
        </w:rPr>
        <w:t>项目</w:t>
      </w:r>
      <w:r>
        <w:rPr>
          <w:rFonts w:hint="eastAsia" w:cs="Times New Roman"/>
          <w:b w:val="0"/>
          <w:bCs/>
          <w:color w:val="auto"/>
          <w:lang w:val="en-US" w:eastAsia="zh-CN"/>
        </w:rPr>
        <w:t>需</w:t>
      </w:r>
      <w:r>
        <w:rPr>
          <w:rFonts w:hint="eastAsia" w:ascii="Times New Roman" w:hAnsi="Times New Roman" w:cs="Times New Roman"/>
          <w:b w:val="0"/>
          <w:bCs/>
          <w:color w:val="auto"/>
          <w:lang w:val="en-US" w:eastAsia="zh-CN"/>
        </w:rPr>
        <w:t>设置一个初期雨水池，容积为</w:t>
      </w:r>
      <w:r>
        <w:rPr>
          <w:rFonts w:hint="eastAsia" w:cs="Times New Roman"/>
          <w:b w:val="0"/>
          <w:bCs/>
          <w:color w:val="auto"/>
          <w:lang w:val="en-US" w:eastAsia="zh-CN"/>
        </w:rPr>
        <w:t>30</w:t>
      </w:r>
      <w:r>
        <w:rPr>
          <w:rFonts w:hint="eastAsia" w:ascii="Times New Roman" w:hAnsi="Times New Roman" w:cs="Times New Roman"/>
          <w:b w:val="0"/>
          <w:bCs/>
          <w:color w:val="auto"/>
          <w:lang w:val="en-US" w:eastAsia="zh-CN"/>
        </w:rPr>
        <w:t>m</w:t>
      </w:r>
      <w:r>
        <w:rPr>
          <w:rFonts w:hint="eastAsia" w:ascii="Times New Roman" w:hAnsi="Times New Roman" w:cs="Times New Roman"/>
          <w:b w:val="0"/>
          <w:bCs/>
          <w:color w:val="auto"/>
          <w:vertAlign w:val="superscript"/>
          <w:lang w:val="en-US" w:eastAsia="zh-CN"/>
        </w:rPr>
        <w:t>3</w:t>
      </w:r>
      <w:r>
        <w:rPr>
          <w:rFonts w:hint="eastAsia" w:ascii="Times New Roman" w:hAnsi="Times New Roman" w:cs="Times New Roman"/>
          <w:b w:val="0"/>
          <w:bCs/>
          <w:color w:val="auto"/>
          <w:lang w:val="en-US" w:eastAsia="zh-CN"/>
        </w:rPr>
        <w:t>，初期雨</w:t>
      </w:r>
      <w:r>
        <w:rPr>
          <w:rFonts w:hint="eastAsia" w:ascii="Times New Roman" w:hAnsi="Times New Roman" w:cs="Times New Roman"/>
          <w:bCs/>
          <w:color w:val="auto"/>
          <w:lang w:val="en-US" w:eastAsia="zh-CN"/>
        </w:rPr>
        <w:t>水经收集后暂存于初期雨水池，用于道路洒水抑尘。</w:t>
      </w:r>
      <w:r>
        <w:rPr>
          <w:rFonts w:hint="eastAsia" w:cs="Times New Roman"/>
          <w:bCs/>
          <w:color w:val="auto"/>
          <w:lang w:val="en-US" w:eastAsia="zh-CN"/>
        </w:rPr>
        <w:t>根据现场勘查，本项目车间西侧已建设</w:t>
      </w:r>
      <w:r>
        <w:rPr>
          <w:rFonts w:hint="eastAsia" w:cs="Times New Roman"/>
          <w:b w:val="0"/>
          <w:bCs/>
          <w:color w:val="auto"/>
          <w:lang w:val="en-US" w:eastAsia="zh-CN"/>
        </w:rPr>
        <w:t>一座100</w:t>
      </w:r>
      <w:r>
        <w:rPr>
          <w:rFonts w:hint="eastAsia" w:ascii="Times New Roman" w:hAnsi="Times New Roman" w:cs="Times New Roman"/>
          <w:b w:val="0"/>
          <w:bCs/>
          <w:color w:val="auto"/>
          <w:lang w:val="en-US" w:eastAsia="zh-CN"/>
        </w:rPr>
        <w:t>m</w:t>
      </w:r>
      <w:r>
        <w:rPr>
          <w:rFonts w:hint="eastAsia" w:ascii="Times New Roman" w:hAnsi="Times New Roman" w:cs="Times New Roman"/>
          <w:b w:val="0"/>
          <w:bCs/>
          <w:color w:val="auto"/>
          <w:vertAlign w:val="superscript"/>
          <w:lang w:val="en-US" w:eastAsia="zh-CN"/>
        </w:rPr>
        <w:t>3</w:t>
      </w:r>
      <w:r>
        <w:rPr>
          <w:rFonts w:hint="eastAsia" w:cs="Times New Roman"/>
          <w:b w:val="0"/>
          <w:bCs/>
          <w:color w:val="auto"/>
          <w:lang w:val="en-US" w:eastAsia="zh-CN"/>
        </w:rPr>
        <w:t>的初期</w:t>
      </w:r>
      <w:r>
        <w:rPr>
          <w:rFonts w:hint="eastAsia" w:cs="Times New Roman"/>
          <w:bCs/>
          <w:color w:val="auto"/>
          <w:lang w:val="en-US" w:eastAsia="zh-CN"/>
        </w:rPr>
        <w:t>雨水收集池，本项目所在区域的初期雨水在设计的初期雨水收集池范围内，可依托现有初期雨水收集池。</w:t>
      </w:r>
    </w:p>
    <w:p>
      <w:pPr>
        <w:spacing w:line="520" w:lineRule="exact"/>
        <w:ind w:firstLine="89" w:firstLineChars="37"/>
        <w:jc w:val="center"/>
        <w:rPr>
          <w:b/>
          <w:bCs/>
          <w:color w:val="auto"/>
          <w:sz w:val="24"/>
        </w:rPr>
      </w:pPr>
      <w:r>
        <w:rPr>
          <w:b/>
          <w:bCs/>
          <w:color w:val="auto"/>
          <w:sz w:val="24"/>
        </w:rPr>
        <w:t>表</w:t>
      </w:r>
      <w:r>
        <w:rPr>
          <w:rFonts w:hint="eastAsia"/>
          <w:b/>
          <w:bCs/>
          <w:color w:val="auto"/>
          <w:sz w:val="24"/>
        </w:rPr>
        <w:t>4</w:t>
      </w:r>
      <w:r>
        <w:rPr>
          <w:b/>
          <w:bCs/>
          <w:color w:val="auto"/>
          <w:sz w:val="24"/>
        </w:rPr>
        <w:t>-</w:t>
      </w:r>
      <w:r>
        <w:rPr>
          <w:rFonts w:hint="eastAsia"/>
          <w:b/>
          <w:bCs/>
          <w:color w:val="auto"/>
          <w:sz w:val="24"/>
          <w:lang w:val="en-US" w:eastAsia="zh-CN"/>
        </w:rPr>
        <w:t>9</w:t>
      </w:r>
      <w:r>
        <w:rPr>
          <w:b/>
          <w:bCs/>
          <w:color w:val="auto"/>
          <w:sz w:val="24"/>
        </w:rPr>
        <w:t xml:space="preserve">  扩建项目新鲜水用量及排水量分析表</w:t>
      </w:r>
    </w:p>
    <w:tbl>
      <w:tblPr>
        <w:tblStyle w:val="53"/>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98"/>
        <w:gridCol w:w="2304"/>
        <w:gridCol w:w="1507"/>
        <w:gridCol w:w="1516"/>
        <w:gridCol w:w="1507"/>
        <w:gridCol w:w="15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2" w:hRule="atLeast"/>
          <w:jc w:val="center"/>
        </w:trPr>
        <w:tc>
          <w:tcPr>
            <w:tcW w:w="334" w:type="pct"/>
            <w:vMerge w:val="restart"/>
            <w:vAlign w:val="center"/>
          </w:tcPr>
          <w:p>
            <w:pPr>
              <w:jc w:val="center"/>
              <w:rPr>
                <w:color w:val="auto"/>
                <w:szCs w:val="21"/>
              </w:rPr>
            </w:pPr>
            <w:r>
              <w:rPr>
                <w:color w:val="auto"/>
                <w:szCs w:val="21"/>
              </w:rPr>
              <w:t>序号</w:t>
            </w:r>
          </w:p>
        </w:tc>
        <w:tc>
          <w:tcPr>
            <w:tcW w:w="1287" w:type="pct"/>
            <w:vMerge w:val="restart"/>
            <w:vAlign w:val="center"/>
          </w:tcPr>
          <w:p>
            <w:pPr>
              <w:jc w:val="center"/>
              <w:rPr>
                <w:color w:val="auto"/>
                <w:szCs w:val="21"/>
              </w:rPr>
            </w:pPr>
            <w:r>
              <w:rPr>
                <w:color w:val="auto"/>
                <w:szCs w:val="21"/>
              </w:rPr>
              <w:t>名称</w:t>
            </w:r>
          </w:p>
        </w:tc>
        <w:tc>
          <w:tcPr>
            <w:tcW w:w="1689" w:type="pct"/>
            <w:gridSpan w:val="2"/>
            <w:vAlign w:val="center"/>
          </w:tcPr>
          <w:p>
            <w:pPr>
              <w:jc w:val="center"/>
              <w:rPr>
                <w:color w:val="auto"/>
                <w:szCs w:val="21"/>
              </w:rPr>
            </w:pPr>
            <w:r>
              <w:rPr>
                <w:color w:val="auto"/>
                <w:szCs w:val="21"/>
              </w:rPr>
              <w:t>用水量（t）</w:t>
            </w:r>
          </w:p>
        </w:tc>
        <w:tc>
          <w:tcPr>
            <w:tcW w:w="1689" w:type="pct"/>
            <w:gridSpan w:val="2"/>
            <w:vAlign w:val="center"/>
          </w:tcPr>
          <w:p>
            <w:pPr>
              <w:jc w:val="center"/>
              <w:rPr>
                <w:color w:val="auto"/>
                <w:szCs w:val="21"/>
              </w:rPr>
            </w:pPr>
            <w:r>
              <w:rPr>
                <w:color w:val="auto"/>
                <w:szCs w:val="21"/>
              </w:rPr>
              <w:t>排水量（t）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2" w:hRule="atLeast"/>
          <w:jc w:val="center"/>
        </w:trPr>
        <w:tc>
          <w:tcPr>
            <w:tcW w:w="334" w:type="pct"/>
            <w:vMerge w:val="continue"/>
            <w:vAlign w:val="center"/>
          </w:tcPr>
          <w:p>
            <w:pPr>
              <w:jc w:val="center"/>
              <w:rPr>
                <w:color w:val="auto"/>
                <w:szCs w:val="21"/>
              </w:rPr>
            </w:pPr>
          </w:p>
        </w:tc>
        <w:tc>
          <w:tcPr>
            <w:tcW w:w="1287" w:type="pct"/>
            <w:vMerge w:val="continue"/>
            <w:vAlign w:val="center"/>
          </w:tcPr>
          <w:p>
            <w:pPr>
              <w:jc w:val="center"/>
              <w:rPr>
                <w:color w:val="auto"/>
                <w:szCs w:val="21"/>
              </w:rPr>
            </w:pPr>
          </w:p>
        </w:tc>
        <w:tc>
          <w:tcPr>
            <w:tcW w:w="842" w:type="pct"/>
            <w:vAlign w:val="center"/>
          </w:tcPr>
          <w:p>
            <w:pPr>
              <w:jc w:val="center"/>
              <w:rPr>
                <w:color w:val="auto"/>
                <w:szCs w:val="21"/>
              </w:rPr>
            </w:pPr>
            <w:r>
              <w:rPr>
                <w:color w:val="auto"/>
                <w:szCs w:val="21"/>
              </w:rPr>
              <w:t>日用水</w:t>
            </w:r>
          </w:p>
        </w:tc>
        <w:tc>
          <w:tcPr>
            <w:tcW w:w="846" w:type="pct"/>
            <w:vAlign w:val="center"/>
          </w:tcPr>
          <w:p>
            <w:pPr>
              <w:jc w:val="center"/>
              <w:rPr>
                <w:color w:val="auto"/>
                <w:szCs w:val="21"/>
              </w:rPr>
            </w:pPr>
            <w:r>
              <w:rPr>
                <w:color w:val="auto"/>
                <w:szCs w:val="21"/>
              </w:rPr>
              <w:t>年用水</w:t>
            </w:r>
          </w:p>
        </w:tc>
        <w:tc>
          <w:tcPr>
            <w:tcW w:w="842" w:type="pct"/>
            <w:vAlign w:val="center"/>
          </w:tcPr>
          <w:p>
            <w:pPr>
              <w:jc w:val="center"/>
              <w:rPr>
                <w:color w:val="auto"/>
                <w:szCs w:val="21"/>
              </w:rPr>
            </w:pPr>
            <w:r>
              <w:rPr>
                <w:color w:val="auto"/>
                <w:szCs w:val="21"/>
              </w:rPr>
              <w:t>日排水</w:t>
            </w:r>
          </w:p>
        </w:tc>
        <w:tc>
          <w:tcPr>
            <w:tcW w:w="846" w:type="pct"/>
            <w:vAlign w:val="center"/>
          </w:tcPr>
          <w:p>
            <w:pPr>
              <w:jc w:val="center"/>
              <w:rPr>
                <w:color w:val="auto"/>
                <w:szCs w:val="21"/>
              </w:rPr>
            </w:pPr>
            <w:r>
              <w:rPr>
                <w:color w:val="auto"/>
                <w:szCs w:val="21"/>
              </w:rPr>
              <w:t>年排水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4" w:hRule="atLeast"/>
          <w:jc w:val="center"/>
        </w:trPr>
        <w:tc>
          <w:tcPr>
            <w:tcW w:w="334" w:type="pct"/>
            <w:vAlign w:val="center"/>
          </w:tcPr>
          <w:p>
            <w:pPr>
              <w:jc w:val="center"/>
              <w:rPr>
                <w:color w:val="auto"/>
                <w:szCs w:val="21"/>
              </w:rPr>
            </w:pPr>
            <w:r>
              <w:rPr>
                <w:color w:val="auto"/>
                <w:szCs w:val="21"/>
              </w:rPr>
              <w:t>1</w:t>
            </w:r>
          </w:p>
        </w:tc>
        <w:tc>
          <w:tcPr>
            <w:tcW w:w="1287" w:type="pct"/>
            <w:vAlign w:val="center"/>
          </w:tcPr>
          <w:p>
            <w:pPr>
              <w:jc w:val="center"/>
              <w:rPr>
                <w:color w:val="auto"/>
                <w:szCs w:val="21"/>
              </w:rPr>
            </w:pPr>
            <w:r>
              <w:rPr>
                <w:color w:val="auto"/>
                <w:szCs w:val="21"/>
              </w:rPr>
              <w:t>职工办公生活用水</w:t>
            </w:r>
          </w:p>
        </w:tc>
        <w:tc>
          <w:tcPr>
            <w:tcW w:w="842" w:type="pct"/>
            <w:vAlign w:val="center"/>
          </w:tcPr>
          <w:p>
            <w:pPr>
              <w:jc w:val="center"/>
              <w:rPr>
                <w:rFonts w:hint="eastAsia"/>
                <w:color w:val="auto"/>
                <w:szCs w:val="21"/>
                <w:lang w:eastAsia="zh-CN"/>
              </w:rPr>
            </w:pPr>
            <w:r>
              <w:rPr>
                <w:rFonts w:hint="eastAsia"/>
                <w:color w:val="auto"/>
                <w:szCs w:val="21"/>
                <w:lang w:val="en-US" w:eastAsia="zh-CN"/>
              </w:rPr>
              <w:t>2.5</w:t>
            </w:r>
          </w:p>
        </w:tc>
        <w:tc>
          <w:tcPr>
            <w:tcW w:w="846" w:type="pct"/>
            <w:vAlign w:val="center"/>
          </w:tcPr>
          <w:p>
            <w:pPr>
              <w:jc w:val="center"/>
              <w:rPr>
                <w:rFonts w:hint="eastAsia"/>
                <w:color w:val="auto"/>
                <w:szCs w:val="21"/>
                <w:lang w:eastAsia="zh-CN"/>
              </w:rPr>
            </w:pPr>
            <w:r>
              <w:rPr>
                <w:rFonts w:hint="eastAsia"/>
                <w:color w:val="auto"/>
                <w:szCs w:val="21"/>
                <w:lang w:val="en-US" w:eastAsia="zh-CN"/>
              </w:rPr>
              <w:t>750</w:t>
            </w:r>
          </w:p>
        </w:tc>
        <w:tc>
          <w:tcPr>
            <w:tcW w:w="842" w:type="pct"/>
            <w:vAlign w:val="center"/>
          </w:tcPr>
          <w:p>
            <w:pPr>
              <w:jc w:val="center"/>
              <w:rPr>
                <w:rFonts w:hint="eastAsia"/>
                <w:color w:val="auto"/>
                <w:szCs w:val="21"/>
                <w:lang w:eastAsia="zh-CN"/>
              </w:rPr>
            </w:pPr>
            <w:r>
              <w:rPr>
                <w:rFonts w:hint="eastAsia"/>
                <w:color w:val="auto"/>
                <w:szCs w:val="21"/>
                <w:lang w:val="en-US" w:eastAsia="zh-CN"/>
              </w:rPr>
              <w:t>2</w:t>
            </w:r>
          </w:p>
        </w:tc>
        <w:tc>
          <w:tcPr>
            <w:tcW w:w="846" w:type="pct"/>
            <w:vAlign w:val="center"/>
          </w:tcPr>
          <w:p>
            <w:pPr>
              <w:jc w:val="center"/>
              <w:rPr>
                <w:rFonts w:hint="eastAsia"/>
                <w:color w:val="auto"/>
                <w:szCs w:val="21"/>
                <w:lang w:eastAsia="zh-CN"/>
              </w:rPr>
            </w:pPr>
            <w:r>
              <w:rPr>
                <w:rFonts w:hint="eastAsia"/>
                <w:color w:val="auto"/>
                <w:szCs w:val="21"/>
                <w:lang w:val="en-US" w:eastAsia="zh-CN"/>
              </w:rPr>
              <w:t>600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4" w:hRule="atLeast"/>
          <w:jc w:val="center"/>
        </w:trPr>
        <w:tc>
          <w:tcPr>
            <w:tcW w:w="334" w:type="pct"/>
            <w:vAlign w:val="center"/>
          </w:tcPr>
          <w:p>
            <w:pPr>
              <w:jc w:val="center"/>
              <w:rPr>
                <w:color w:val="auto"/>
                <w:szCs w:val="21"/>
              </w:rPr>
            </w:pPr>
            <w:r>
              <w:rPr>
                <w:color w:val="auto"/>
                <w:szCs w:val="21"/>
              </w:rPr>
              <w:t>2</w:t>
            </w:r>
          </w:p>
        </w:tc>
        <w:tc>
          <w:tcPr>
            <w:tcW w:w="1287" w:type="pct"/>
            <w:vAlign w:val="center"/>
          </w:tcPr>
          <w:p>
            <w:pPr>
              <w:jc w:val="center"/>
              <w:rPr>
                <w:color w:val="auto"/>
                <w:szCs w:val="21"/>
              </w:rPr>
            </w:pPr>
            <w:r>
              <w:rPr>
                <w:rFonts w:hint="eastAsia"/>
                <w:color w:val="auto"/>
                <w:szCs w:val="21"/>
                <w:lang w:eastAsia="zh-CN"/>
              </w:rPr>
              <w:t>脱脂线补水</w:t>
            </w:r>
          </w:p>
        </w:tc>
        <w:tc>
          <w:tcPr>
            <w:tcW w:w="842" w:type="pct"/>
            <w:vAlign w:val="center"/>
          </w:tcPr>
          <w:p>
            <w:pPr>
              <w:jc w:val="center"/>
              <w:rPr>
                <w:rFonts w:hint="eastAsia"/>
                <w:color w:val="auto"/>
                <w:szCs w:val="21"/>
                <w:lang w:eastAsia="zh-CN"/>
              </w:rPr>
            </w:pPr>
            <w:r>
              <w:rPr>
                <w:rFonts w:hint="eastAsia"/>
                <w:color w:val="auto"/>
                <w:szCs w:val="21"/>
                <w:lang w:val="en-US" w:eastAsia="zh-CN"/>
              </w:rPr>
              <w:t>7</w:t>
            </w:r>
          </w:p>
        </w:tc>
        <w:tc>
          <w:tcPr>
            <w:tcW w:w="846" w:type="pct"/>
            <w:vAlign w:val="center"/>
          </w:tcPr>
          <w:p>
            <w:pPr>
              <w:jc w:val="center"/>
              <w:rPr>
                <w:rFonts w:hint="eastAsia"/>
                <w:color w:val="auto"/>
                <w:szCs w:val="21"/>
                <w:lang w:eastAsia="zh-CN"/>
              </w:rPr>
            </w:pPr>
            <w:r>
              <w:rPr>
                <w:rFonts w:hint="eastAsia"/>
                <w:color w:val="auto"/>
                <w:szCs w:val="21"/>
                <w:lang w:val="en-US" w:eastAsia="zh-CN"/>
              </w:rPr>
              <w:t>2100</w:t>
            </w:r>
          </w:p>
        </w:tc>
        <w:tc>
          <w:tcPr>
            <w:tcW w:w="842" w:type="pct"/>
            <w:vAlign w:val="center"/>
          </w:tcPr>
          <w:p>
            <w:pPr>
              <w:jc w:val="center"/>
              <w:rPr>
                <w:rFonts w:hint="eastAsia"/>
                <w:color w:val="auto"/>
                <w:szCs w:val="21"/>
                <w:lang w:eastAsia="zh-CN"/>
              </w:rPr>
            </w:pPr>
            <w:r>
              <w:rPr>
                <w:rFonts w:hint="eastAsia"/>
                <w:color w:val="auto"/>
                <w:szCs w:val="21"/>
                <w:lang w:eastAsia="zh-CN"/>
              </w:rPr>
              <w:t>/</w:t>
            </w:r>
          </w:p>
        </w:tc>
        <w:tc>
          <w:tcPr>
            <w:tcW w:w="846" w:type="pct"/>
            <w:vAlign w:val="center"/>
          </w:tcPr>
          <w:p>
            <w:pPr>
              <w:jc w:val="center"/>
              <w:rPr>
                <w:rFonts w:hint="eastAsia"/>
                <w:color w:val="auto"/>
                <w:szCs w:val="21"/>
                <w:lang w:eastAsia="zh-CN"/>
              </w:rPr>
            </w:pPr>
            <w:r>
              <w:rPr>
                <w:rFonts w:hint="eastAsia"/>
                <w:color w:val="auto"/>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4" w:hRule="atLeast"/>
          <w:jc w:val="center"/>
        </w:trPr>
        <w:tc>
          <w:tcPr>
            <w:tcW w:w="334" w:type="pct"/>
            <w:vAlign w:val="center"/>
          </w:tcPr>
          <w:p>
            <w:pPr>
              <w:jc w:val="center"/>
              <w:rPr>
                <w:color w:val="auto"/>
                <w:szCs w:val="21"/>
              </w:rPr>
            </w:pPr>
            <w:r>
              <w:rPr>
                <w:rFonts w:hint="eastAsia"/>
                <w:color w:val="auto"/>
                <w:szCs w:val="21"/>
              </w:rPr>
              <w:t>3</w:t>
            </w:r>
          </w:p>
        </w:tc>
        <w:tc>
          <w:tcPr>
            <w:tcW w:w="1287" w:type="pct"/>
            <w:vAlign w:val="center"/>
          </w:tcPr>
          <w:p>
            <w:pPr>
              <w:jc w:val="center"/>
              <w:rPr>
                <w:rFonts w:hint="eastAsia"/>
                <w:color w:val="auto"/>
                <w:szCs w:val="21"/>
                <w:lang w:eastAsia="zh-CN"/>
              </w:rPr>
            </w:pPr>
            <w:r>
              <w:rPr>
                <w:rFonts w:hint="eastAsia"/>
                <w:color w:val="auto"/>
                <w:szCs w:val="21"/>
                <w:lang w:eastAsia="zh-CN"/>
              </w:rPr>
              <w:t>循环冷却水补水</w:t>
            </w:r>
          </w:p>
        </w:tc>
        <w:tc>
          <w:tcPr>
            <w:tcW w:w="842" w:type="pct"/>
            <w:vAlign w:val="center"/>
          </w:tcPr>
          <w:p>
            <w:pPr>
              <w:jc w:val="center"/>
              <w:rPr>
                <w:rFonts w:hint="eastAsia"/>
                <w:color w:val="auto"/>
                <w:szCs w:val="21"/>
                <w:lang w:eastAsia="zh-CN"/>
              </w:rPr>
            </w:pPr>
            <w:r>
              <w:rPr>
                <w:rFonts w:hint="eastAsia"/>
                <w:color w:val="auto"/>
                <w:szCs w:val="21"/>
                <w:lang w:val="en-US" w:eastAsia="zh-CN"/>
              </w:rPr>
              <w:t>0.5</w:t>
            </w:r>
          </w:p>
        </w:tc>
        <w:tc>
          <w:tcPr>
            <w:tcW w:w="846" w:type="pct"/>
            <w:vAlign w:val="center"/>
          </w:tcPr>
          <w:p>
            <w:pPr>
              <w:jc w:val="center"/>
              <w:rPr>
                <w:rFonts w:hint="eastAsia"/>
                <w:color w:val="auto"/>
                <w:szCs w:val="21"/>
                <w:lang w:eastAsia="zh-CN"/>
              </w:rPr>
            </w:pPr>
            <w:r>
              <w:rPr>
                <w:rFonts w:hint="eastAsia"/>
                <w:color w:val="auto"/>
                <w:szCs w:val="21"/>
                <w:lang w:val="en-US" w:eastAsia="zh-CN"/>
              </w:rPr>
              <w:t>150</w:t>
            </w:r>
          </w:p>
        </w:tc>
        <w:tc>
          <w:tcPr>
            <w:tcW w:w="842" w:type="pct"/>
            <w:vAlign w:val="center"/>
          </w:tcPr>
          <w:p>
            <w:pPr>
              <w:jc w:val="center"/>
              <w:rPr>
                <w:rFonts w:hint="eastAsia"/>
                <w:color w:val="auto"/>
                <w:szCs w:val="21"/>
                <w:lang w:eastAsia="zh-CN"/>
              </w:rPr>
            </w:pPr>
            <w:r>
              <w:rPr>
                <w:rFonts w:hint="eastAsia"/>
                <w:color w:val="auto"/>
                <w:szCs w:val="21"/>
                <w:lang w:eastAsia="zh-CN"/>
              </w:rPr>
              <w:t>/</w:t>
            </w:r>
          </w:p>
        </w:tc>
        <w:tc>
          <w:tcPr>
            <w:tcW w:w="846" w:type="pct"/>
            <w:vAlign w:val="center"/>
          </w:tcPr>
          <w:p>
            <w:pPr>
              <w:jc w:val="center"/>
              <w:rPr>
                <w:rFonts w:hint="eastAsia"/>
                <w:color w:val="auto"/>
                <w:szCs w:val="21"/>
                <w:lang w:eastAsia="zh-CN"/>
              </w:rPr>
            </w:pPr>
            <w:r>
              <w:rPr>
                <w:rFonts w:hint="eastAsia"/>
                <w:color w:val="auto"/>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4" w:hRule="atLeast"/>
          <w:jc w:val="center"/>
        </w:trPr>
        <w:tc>
          <w:tcPr>
            <w:tcW w:w="334" w:type="pct"/>
            <w:vAlign w:val="center"/>
          </w:tcPr>
          <w:p>
            <w:pPr>
              <w:jc w:val="center"/>
              <w:rPr>
                <w:rFonts w:hint="eastAsia" w:eastAsia="宋体"/>
                <w:color w:val="auto"/>
                <w:szCs w:val="21"/>
                <w:lang w:val="en-US" w:eastAsia="zh-CN"/>
              </w:rPr>
            </w:pPr>
            <w:r>
              <w:rPr>
                <w:rFonts w:hint="eastAsia"/>
                <w:color w:val="auto"/>
                <w:szCs w:val="21"/>
                <w:lang w:val="en-US" w:eastAsia="zh-CN"/>
              </w:rPr>
              <w:t>4</w:t>
            </w:r>
          </w:p>
        </w:tc>
        <w:tc>
          <w:tcPr>
            <w:tcW w:w="1287" w:type="pct"/>
            <w:vAlign w:val="center"/>
          </w:tcPr>
          <w:p>
            <w:pPr>
              <w:jc w:val="center"/>
              <w:rPr>
                <w:rFonts w:hint="eastAsia"/>
                <w:color w:val="auto"/>
                <w:szCs w:val="21"/>
                <w:lang w:eastAsia="zh-CN"/>
              </w:rPr>
            </w:pPr>
            <w:r>
              <w:rPr>
                <w:rFonts w:hint="eastAsia"/>
                <w:color w:val="auto"/>
                <w:szCs w:val="21"/>
                <w:lang w:eastAsia="zh-CN"/>
              </w:rPr>
              <w:t>晾干保温循环水给水</w:t>
            </w:r>
          </w:p>
        </w:tc>
        <w:tc>
          <w:tcPr>
            <w:tcW w:w="842" w:type="pct"/>
            <w:vAlign w:val="center"/>
          </w:tcPr>
          <w:p>
            <w:pPr>
              <w:jc w:val="center"/>
              <w:rPr>
                <w:rFonts w:hint="eastAsia"/>
                <w:color w:val="auto"/>
                <w:szCs w:val="21"/>
                <w:lang w:eastAsia="zh-CN"/>
              </w:rPr>
            </w:pPr>
            <w:r>
              <w:rPr>
                <w:rFonts w:hint="eastAsia"/>
                <w:color w:val="auto"/>
                <w:szCs w:val="21"/>
                <w:lang w:val="en-US" w:eastAsia="zh-CN"/>
              </w:rPr>
              <w:t>0.01</w:t>
            </w:r>
          </w:p>
        </w:tc>
        <w:tc>
          <w:tcPr>
            <w:tcW w:w="846" w:type="pct"/>
            <w:vAlign w:val="center"/>
          </w:tcPr>
          <w:p>
            <w:pPr>
              <w:jc w:val="center"/>
              <w:rPr>
                <w:rFonts w:hint="eastAsia"/>
                <w:color w:val="auto"/>
                <w:szCs w:val="21"/>
                <w:lang w:eastAsia="zh-CN"/>
              </w:rPr>
            </w:pPr>
            <w:r>
              <w:rPr>
                <w:rFonts w:hint="eastAsia"/>
                <w:color w:val="auto"/>
                <w:szCs w:val="21"/>
                <w:lang w:val="en-US" w:eastAsia="zh-CN"/>
              </w:rPr>
              <w:t>1.5</w:t>
            </w:r>
          </w:p>
        </w:tc>
        <w:tc>
          <w:tcPr>
            <w:tcW w:w="842" w:type="pct"/>
            <w:vAlign w:val="center"/>
          </w:tcPr>
          <w:p>
            <w:pPr>
              <w:jc w:val="center"/>
              <w:rPr>
                <w:rFonts w:hint="eastAsia"/>
                <w:color w:val="auto"/>
                <w:szCs w:val="21"/>
                <w:lang w:eastAsia="zh-CN"/>
              </w:rPr>
            </w:pPr>
            <w:r>
              <w:rPr>
                <w:rFonts w:hint="eastAsia"/>
                <w:color w:val="auto"/>
                <w:szCs w:val="21"/>
                <w:lang w:eastAsia="zh-CN"/>
              </w:rPr>
              <w:t>/</w:t>
            </w:r>
          </w:p>
        </w:tc>
        <w:tc>
          <w:tcPr>
            <w:tcW w:w="846" w:type="pct"/>
            <w:vAlign w:val="center"/>
          </w:tcPr>
          <w:p>
            <w:pPr>
              <w:jc w:val="center"/>
              <w:rPr>
                <w:rFonts w:hint="eastAsia"/>
                <w:color w:val="auto"/>
                <w:szCs w:val="21"/>
                <w:lang w:eastAsia="zh-CN"/>
              </w:rPr>
            </w:pPr>
            <w:r>
              <w:rPr>
                <w:rFonts w:hint="eastAsia"/>
                <w:color w:val="auto"/>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4" w:hRule="atLeast"/>
          <w:jc w:val="center"/>
        </w:trPr>
        <w:tc>
          <w:tcPr>
            <w:tcW w:w="1621" w:type="pct"/>
            <w:gridSpan w:val="2"/>
            <w:vAlign w:val="center"/>
          </w:tcPr>
          <w:p>
            <w:pPr>
              <w:jc w:val="center"/>
              <w:rPr>
                <w:color w:val="auto"/>
                <w:szCs w:val="21"/>
              </w:rPr>
            </w:pPr>
            <w:r>
              <w:rPr>
                <w:color w:val="auto"/>
                <w:szCs w:val="21"/>
              </w:rPr>
              <w:t>合计</w:t>
            </w:r>
          </w:p>
        </w:tc>
        <w:tc>
          <w:tcPr>
            <w:tcW w:w="842" w:type="pct"/>
            <w:vAlign w:val="center"/>
          </w:tcPr>
          <w:p>
            <w:pPr>
              <w:jc w:val="center"/>
              <w:rPr>
                <w:rFonts w:hint="eastAsia"/>
                <w:color w:val="auto"/>
                <w:szCs w:val="21"/>
                <w:lang w:eastAsia="zh-CN"/>
              </w:rPr>
            </w:pPr>
            <w:r>
              <w:rPr>
                <w:rFonts w:hint="eastAsia"/>
                <w:color w:val="auto"/>
                <w:szCs w:val="21"/>
                <w:lang w:val="en-US" w:eastAsia="zh-CN"/>
              </w:rPr>
              <w:t>10.01</w:t>
            </w:r>
          </w:p>
        </w:tc>
        <w:tc>
          <w:tcPr>
            <w:tcW w:w="846" w:type="pct"/>
            <w:vAlign w:val="center"/>
          </w:tcPr>
          <w:p>
            <w:pPr>
              <w:jc w:val="center"/>
              <w:rPr>
                <w:rFonts w:hint="eastAsia"/>
                <w:color w:val="auto"/>
                <w:szCs w:val="21"/>
                <w:lang w:eastAsia="zh-CN"/>
              </w:rPr>
            </w:pPr>
            <w:r>
              <w:rPr>
                <w:rFonts w:hint="eastAsia"/>
                <w:color w:val="auto"/>
                <w:szCs w:val="21"/>
                <w:lang w:val="en-US" w:eastAsia="zh-CN"/>
              </w:rPr>
              <w:t>3001.5</w:t>
            </w:r>
          </w:p>
        </w:tc>
        <w:tc>
          <w:tcPr>
            <w:tcW w:w="842" w:type="pct"/>
            <w:vAlign w:val="center"/>
          </w:tcPr>
          <w:p>
            <w:pPr>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2</w:t>
            </w:r>
          </w:p>
        </w:tc>
        <w:tc>
          <w:tcPr>
            <w:tcW w:w="846" w:type="pct"/>
            <w:vAlign w:val="center"/>
          </w:tcPr>
          <w:p>
            <w:pPr>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600</w:t>
            </w:r>
          </w:p>
        </w:tc>
      </w:tr>
    </w:tbl>
    <w:p>
      <w:pPr>
        <w:spacing w:line="520" w:lineRule="exact"/>
        <w:ind w:firstLine="480" w:firstLineChars="200"/>
        <w:rPr>
          <w:color w:val="auto"/>
          <w:sz w:val="24"/>
        </w:rPr>
      </w:pPr>
      <w:r>
        <w:rPr>
          <w:color w:val="auto"/>
          <w:sz w:val="24"/>
          <w:lang w:val="en-GB"/>
        </w:rPr>
        <w:t>扩建项目供、排水平衡图如下：</w:t>
      </w:r>
    </w:p>
    <w:p>
      <w:pPr>
        <w:spacing w:line="520" w:lineRule="exact"/>
        <w:rPr>
          <w:color w:val="auto"/>
          <w:sz w:val="24"/>
        </w:rPr>
      </w:pPr>
    </w:p>
    <w:p>
      <w:pPr>
        <w:spacing w:line="520" w:lineRule="exact"/>
        <w:rPr>
          <w:color w:val="auto"/>
          <w:sz w:val="24"/>
        </w:rPr>
      </w:pPr>
      <w:r>
        <w:rPr>
          <w:color w:val="auto"/>
          <w:sz w:val="24"/>
        </w:rPr>
        <w:pict>
          <v:shape id="_x0000_s1033" o:spid="_x0000_s1033" o:spt="75" type="#_x0000_t75" style="position:absolute;left:0pt;margin-left:4.5pt;margin-top:-1.4pt;height:300.95pt;width:436.4pt;z-index:-251634688;mso-width-relative:page;mso-height-relative:page;" o:ole="t" filled="f" o:preferrelative="t" stroked="f" coordsize="21600,21600">
            <v:path/>
            <v:fill on="f" focussize="0,0"/>
            <v:stroke on="f"/>
            <v:imagedata r:id="rId28" o:title=""/>
            <o:lock v:ext="edit" aspectratio="f"/>
          </v:shape>
          <o:OLEObject Type="Embed" ProgID="Visio.Drawing.11" ShapeID="_x0000_s1033" DrawAspect="Content" ObjectID="_1468075733" r:id="rId27">
            <o:LockedField>false</o:LockedField>
          </o:OLEObject>
        </w:pict>
      </w:r>
    </w:p>
    <w:p>
      <w:pPr>
        <w:pStyle w:val="2"/>
        <w:rPr>
          <w:color w:val="auto"/>
          <w:sz w:val="24"/>
        </w:rPr>
      </w:pPr>
    </w:p>
    <w:p>
      <w:pPr>
        <w:rPr>
          <w:color w:val="auto"/>
          <w:sz w:val="24"/>
        </w:rPr>
      </w:pPr>
    </w:p>
    <w:p>
      <w:pPr>
        <w:pStyle w:val="2"/>
        <w:rPr>
          <w:color w:val="auto"/>
          <w:sz w:val="24"/>
        </w:rPr>
      </w:pPr>
    </w:p>
    <w:p/>
    <w:p>
      <w:pPr>
        <w:spacing w:line="520" w:lineRule="exact"/>
        <w:rPr>
          <w:color w:val="auto"/>
          <w:sz w:val="24"/>
        </w:rPr>
      </w:pPr>
    </w:p>
    <w:p>
      <w:pPr>
        <w:pStyle w:val="2"/>
        <w:rPr>
          <w:color w:val="auto"/>
          <w:sz w:val="24"/>
        </w:rPr>
      </w:pPr>
    </w:p>
    <w:p/>
    <w:p>
      <w:pPr>
        <w:rPr>
          <w:color w:val="auto"/>
          <w:sz w:val="24"/>
        </w:rPr>
      </w:pPr>
    </w:p>
    <w:p>
      <w:pPr>
        <w:pStyle w:val="2"/>
      </w:pPr>
    </w:p>
    <w:p>
      <w:pPr>
        <w:pStyle w:val="2"/>
        <w:rPr>
          <w:color w:val="auto"/>
        </w:rPr>
      </w:pPr>
    </w:p>
    <w:p>
      <w:pPr>
        <w:pStyle w:val="85"/>
        <w:rPr>
          <w:color w:val="auto"/>
        </w:rPr>
      </w:pPr>
    </w:p>
    <w:p>
      <w:pPr>
        <w:pStyle w:val="85"/>
        <w:rPr>
          <w:color w:val="auto"/>
        </w:rPr>
      </w:pPr>
    </w:p>
    <w:p>
      <w:pPr>
        <w:pStyle w:val="2"/>
        <w:rPr>
          <w:color w:val="auto"/>
        </w:rPr>
      </w:pPr>
    </w:p>
    <w:p>
      <w:pPr>
        <w:jc w:val="center"/>
        <w:rPr>
          <w:b/>
          <w:color w:val="auto"/>
          <w:sz w:val="24"/>
        </w:rPr>
      </w:pPr>
    </w:p>
    <w:p>
      <w:pPr>
        <w:jc w:val="center"/>
        <w:rPr>
          <w:b/>
          <w:color w:val="auto"/>
          <w:sz w:val="24"/>
        </w:rPr>
      </w:pPr>
    </w:p>
    <w:p>
      <w:pPr>
        <w:jc w:val="center"/>
        <w:rPr>
          <w:color w:val="auto"/>
          <w:sz w:val="24"/>
        </w:rPr>
      </w:pPr>
      <w:r>
        <w:rPr>
          <w:b/>
          <w:color w:val="auto"/>
          <w:sz w:val="24"/>
        </w:rPr>
        <w:t>图</w:t>
      </w:r>
      <w:r>
        <w:rPr>
          <w:rFonts w:hint="eastAsia"/>
          <w:b/>
          <w:color w:val="auto"/>
          <w:sz w:val="24"/>
        </w:rPr>
        <w:t>4</w:t>
      </w:r>
      <w:r>
        <w:rPr>
          <w:b/>
          <w:color w:val="auto"/>
          <w:sz w:val="24"/>
        </w:rPr>
        <w:t>-</w:t>
      </w:r>
      <w:r>
        <w:rPr>
          <w:rFonts w:hint="eastAsia"/>
          <w:b/>
          <w:color w:val="auto"/>
          <w:sz w:val="24"/>
          <w:lang w:val="en-US" w:eastAsia="zh-CN"/>
        </w:rPr>
        <w:t>8</w:t>
      </w:r>
      <w:r>
        <w:rPr>
          <w:b/>
          <w:color w:val="auto"/>
          <w:sz w:val="24"/>
        </w:rPr>
        <w:t xml:space="preserve"> </w:t>
      </w:r>
      <w:r>
        <w:rPr>
          <w:rFonts w:hint="eastAsia"/>
          <w:b/>
          <w:color w:val="auto"/>
          <w:sz w:val="24"/>
          <w:lang w:val="en-US" w:eastAsia="zh-CN"/>
        </w:rPr>
        <w:t xml:space="preserve"> </w:t>
      </w:r>
      <w:r>
        <w:rPr>
          <w:rFonts w:hint="eastAsia"/>
          <w:b/>
          <w:color w:val="auto"/>
          <w:sz w:val="24"/>
          <w:lang w:eastAsia="zh-CN"/>
        </w:rPr>
        <w:t>项目</w:t>
      </w:r>
      <w:r>
        <w:rPr>
          <w:b/>
          <w:color w:val="auto"/>
          <w:sz w:val="24"/>
        </w:rPr>
        <w:t>供、排水平衡图 （单位：</w:t>
      </w:r>
      <w:r>
        <w:rPr>
          <w:rFonts w:hint="eastAsia"/>
          <w:b/>
          <w:color w:val="auto"/>
          <w:sz w:val="24"/>
          <w:lang w:val="en-US" w:eastAsia="zh-CN"/>
        </w:rPr>
        <w:t>t</w:t>
      </w:r>
      <w:r>
        <w:rPr>
          <w:b/>
          <w:color w:val="auto"/>
          <w:sz w:val="24"/>
        </w:rPr>
        <w:t>/d）</w:t>
      </w:r>
    </w:p>
    <w:p>
      <w:pPr>
        <w:spacing w:line="520" w:lineRule="exact"/>
        <w:ind w:firstLine="480" w:firstLineChars="200"/>
        <w:rPr>
          <w:color w:val="auto"/>
          <w:sz w:val="24"/>
        </w:rPr>
      </w:pPr>
      <w:r>
        <w:rPr>
          <w:bCs/>
          <w:color w:val="auto"/>
          <w:sz w:val="24"/>
        </w:rPr>
        <w:t>根据水平衡可知，本项目废水主要为生活污水</w:t>
      </w:r>
      <w:r>
        <w:rPr>
          <w:color w:val="auto"/>
          <w:sz w:val="24"/>
        </w:rPr>
        <w:t>。</w:t>
      </w:r>
      <w:r>
        <w:rPr>
          <w:rFonts w:hint="eastAsia"/>
          <w:color w:val="auto"/>
          <w:sz w:val="24"/>
          <w:lang w:eastAsia="zh-CN"/>
        </w:rPr>
        <w:t>生活污水经化粪池预处理后排入市政污水管网</w:t>
      </w:r>
      <w:r>
        <w:rPr>
          <w:color w:val="auto"/>
          <w:sz w:val="24"/>
        </w:rPr>
        <w:t>，</w:t>
      </w:r>
      <w:r>
        <w:rPr>
          <w:rFonts w:hint="eastAsia"/>
          <w:color w:val="auto"/>
          <w:sz w:val="24"/>
          <w:lang w:eastAsia="zh-CN"/>
        </w:rPr>
        <w:t>进入宁国市污水处理厂，脱脂线仅为补水，定期排污废水作为危废处理，循环冷却水及晾干保温循环水定期排水用于道路洒水及绿化</w:t>
      </w:r>
      <w:r>
        <w:rPr>
          <w:color w:val="auto"/>
          <w:sz w:val="24"/>
        </w:rPr>
        <w:t>。</w:t>
      </w:r>
    </w:p>
    <w:p>
      <w:pPr>
        <w:adjustRightInd w:val="0"/>
        <w:spacing w:line="500" w:lineRule="exact"/>
        <w:ind w:firstLine="480" w:firstLineChars="200"/>
        <w:rPr>
          <w:b/>
          <w:color w:val="auto"/>
          <w:sz w:val="24"/>
        </w:rPr>
      </w:pPr>
      <w:r>
        <w:rPr>
          <w:rFonts w:hint="eastAsia"/>
          <w:color w:val="auto"/>
          <w:sz w:val="24"/>
        </w:rPr>
        <w:t>扩建</w:t>
      </w:r>
      <w:r>
        <w:rPr>
          <w:color w:val="auto"/>
          <w:sz w:val="24"/>
        </w:rPr>
        <w:t>项目废水主要污染物产生情况见下表。</w:t>
      </w:r>
    </w:p>
    <w:p>
      <w:pPr>
        <w:spacing w:line="360" w:lineRule="auto"/>
        <w:ind w:firstLine="482" w:firstLineChars="200"/>
        <w:jc w:val="center"/>
        <w:rPr>
          <w:b/>
          <w:bCs/>
          <w:color w:val="auto"/>
          <w:sz w:val="24"/>
        </w:rPr>
      </w:pPr>
      <w:r>
        <w:rPr>
          <w:b/>
          <w:bCs/>
          <w:color w:val="auto"/>
          <w:sz w:val="24"/>
        </w:rPr>
        <w:t>表4-</w:t>
      </w:r>
      <w:r>
        <w:rPr>
          <w:rFonts w:hint="eastAsia"/>
          <w:b/>
          <w:bCs/>
          <w:color w:val="auto"/>
          <w:sz w:val="24"/>
        </w:rPr>
        <w:t>10</w:t>
      </w:r>
      <w:r>
        <w:rPr>
          <w:b/>
          <w:bCs/>
          <w:color w:val="auto"/>
          <w:sz w:val="24"/>
        </w:rPr>
        <w:t xml:space="preserve">  </w:t>
      </w:r>
      <w:r>
        <w:rPr>
          <w:rFonts w:hint="eastAsia"/>
          <w:b/>
          <w:bCs/>
          <w:color w:val="auto"/>
          <w:sz w:val="24"/>
        </w:rPr>
        <w:t>扩建</w:t>
      </w:r>
      <w:r>
        <w:rPr>
          <w:b/>
          <w:bCs/>
          <w:color w:val="auto"/>
          <w:sz w:val="24"/>
        </w:rPr>
        <w:t>项目废水产生及排放情况表</w:t>
      </w:r>
    </w:p>
    <w:tbl>
      <w:tblPr>
        <w:tblStyle w:val="53"/>
        <w:tblW w:w="4999"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15" w:type="dxa"/>
          <w:left w:w="15" w:type="dxa"/>
          <w:bottom w:w="15" w:type="dxa"/>
          <w:right w:w="15" w:type="dxa"/>
        </w:tblCellMar>
      </w:tblPr>
      <w:tblGrid>
        <w:gridCol w:w="1383"/>
        <w:gridCol w:w="3442"/>
        <w:gridCol w:w="984"/>
        <w:gridCol w:w="984"/>
        <w:gridCol w:w="986"/>
        <w:gridCol w:w="98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45" w:hRule="atLeast"/>
        </w:trPr>
        <w:tc>
          <w:tcPr>
            <w:tcW w:w="2752" w:type="pct"/>
            <w:gridSpan w:val="2"/>
            <w:vAlign w:val="center"/>
          </w:tcPr>
          <w:p>
            <w:pPr>
              <w:widowControl/>
              <w:jc w:val="center"/>
              <w:textAlignment w:val="center"/>
              <w:rPr>
                <w:color w:val="auto"/>
                <w:szCs w:val="21"/>
              </w:rPr>
            </w:pPr>
            <w:r>
              <w:rPr>
                <w:color w:val="auto"/>
                <w:szCs w:val="21"/>
              </w:rPr>
              <w:t>污染物</w:t>
            </w:r>
          </w:p>
        </w:tc>
        <w:tc>
          <w:tcPr>
            <w:tcW w:w="561" w:type="pct"/>
            <w:vAlign w:val="center"/>
          </w:tcPr>
          <w:p>
            <w:pPr>
              <w:widowControl/>
              <w:jc w:val="center"/>
              <w:textAlignment w:val="center"/>
              <w:rPr>
                <w:color w:val="auto"/>
                <w:szCs w:val="21"/>
              </w:rPr>
            </w:pPr>
            <w:r>
              <w:rPr>
                <w:color w:val="auto"/>
                <w:szCs w:val="21"/>
              </w:rPr>
              <w:t>CODcr</w:t>
            </w:r>
          </w:p>
        </w:tc>
        <w:tc>
          <w:tcPr>
            <w:tcW w:w="561" w:type="pct"/>
            <w:vAlign w:val="center"/>
          </w:tcPr>
          <w:p>
            <w:pPr>
              <w:widowControl/>
              <w:jc w:val="center"/>
              <w:textAlignment w:val="center"/>
              <w:rPr>
                <w:color w:val="auto"/>
                <w:szCs w:val="21"/>
              </w:rPr>
            </w:pPr>
            <w:r>
              <w:rPr>
                <w:color w:val="auto"/>
                <w:szCs w:val="21"/>
              </w:rPr>
              <w:t>BOD</w:t>
            </w:r>
            <w:r>
              <w:rPr>
                <w:color w:val="auto"/>
                <w:szCs w:val="21"/>
                <w:vertAlign w:val="subscript"/>
              </w:rPr>
              <w:t>5</w:t>
            </w:r>
          </w:p>
        </w:tc>
        <w:tc>
          <w:tcPr>
            <w:tcW w:w="562" w:type="pct"/>
            <w:vAlign w:val="center"/>
          </w:tcPr>
          <w:p>
            <w:pPr>
              <w:widowControl/>
              <w:jc w:val="center"/>
              <w:textAlignment w:val="center"/>
              <w:rPr>
                <w:color w:val="auto"/>
                <w:szCs w:val="21"/>
              </w:rPr>
            </w:pPr>
            <w:r>
              <w:rPr>
                <w:color w:val="auto"/>
                <w:szCs w:val="21"/>
              </w:rPr>
              <w:t>SS</w:t>
            </w:r>
          </w:p>
        </w:tc>
        <w:tc>
          <w:tcPr>
            <w:tcW w:w="562" w:type="pct"/>
            <w:vAlign w:val="center"/>
          </w:tcPr>
          <w:p>
            <w:pPr>
              <w:widowControl/>
              <w:jc w:val="center"/>
              <w:textAlignment w:val="center"/>
              <w:rPr>
                <w:color w:val="auto"/>
                <w:szCs w:val="21"/>
              </w:rPr>
            </w:pPr>
            <w:r>
              <w:rPr>
                <w:color w:val="auto"/>
                <w:szCs w:val="21"/>
              </w:rPr>
              <w:t>氨氮</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422" w:hRule="atLeast"/>
        </w:trPr>
        <w:tc>
          <w:tcPr>
            <w:tcW w:w="789" w:type="pct"/>
            <w:vMerge w:val="restart"/>
            <w:vAlign w:val="center"/>
          </w:tcPr>
          <w:p>
            <w:pPr>
              <w:widowControl/>
              <w:jc w:val="center"/>
              <w:textAlignment w:val="center"/>
              <w:rPr>
                <w:color w:val="auto"/>
                <w:szCs w:val="21"/>
              </w:rPr>
            </w:pPr>
            <w:r>
              <w:rPr>
                <w:color w:val="auto"/>
                <w:szCs w:val="21"/>
              </w:rPr>
              <w:t>生活污水</w:t>
            </w:r>
          </w:p>
        </w:tc>
        <w:tc>
          <w:tcPr>
            <w:tcW w:w="1963" w:type="pct"/>
            <w:vAlign w:val="center"/>
          </w:tcPr>
          <w:p>
            <w:pPr>
              <w:widowControl/>
              <w:jc w:val="center"/>
              <w:textAlignment w:val="center"/>
              <w:rPr>
                <w:color w:val="auto"/>
                <w:szCs w:val="21"/>
              </w:rPr>
            </w:pPr>
            <w:r>
              <w:rPr>
                <w:color w:val="auto"/>
                <w:szCs w:val="21"/>
              </w:rPr>
              <w:t>产生浓度(mg/l)</w:t>
            </w:r>
          </w:p>
        </w:tc>
        <w:tc>
          <w:tcPr>
            <w:tcW w:w="984" w:type="dxa"/>
            <w:vAlign w:val="center"/>
          </w:tcPr>
          <w:p>
            <w:pPr>
              <w:keepNext w:val="0"/>
              <w:keepLines w:val="0"/>
              <w:widowControl/>
              <w:suppressLineNumbers w:val="0"/>
              <w:jc w:val="center"/>
              <w:textAlignment w:val="center"/>
              <w:rPr>
                <w:color w:val="auto"/>
                <w:szCs w:val="21"/>
              </w:rPr>
            </w:pPr>
            <w:r>
              <w:rPr>
                <w:rFonts w:hint="default" w:ascii="Times New Roman" w:hAnsi="Times New Roman" w:eastAsia="宋体" w:cs="Times New Roman"/>
                <w:i w:val="0"/>
                <w:color w:val="auto"/>
                <w:kern w:val="0"/>
                <w:sz w:val="21"/>
                <w:szCs w:val="21"/>
                <w:u w:val="none"/>
                <w:lang w:val="en-US" w:eastAsia="zh-CN" w:bidi="ar"/>
              </w:rPr>
              <w:t>300</w:t>
            </w:r>
          </w:p>
        </w:tc>
        <w:tc>
          <w:tcPr>
            <w:tcW w:w="984" w:type="dxa"/>
            <w:vAlign w:val="center"/>
          </w:tcPr>
          <w:p>
            <w:pPr>
              <w:keepNext w:val="0"/>
              <w:keepLines w:val="0"/>
              <w:widowControl/>
              <w:suppressLineNumbers w:val="0"/>
              <w:jc w:val="center"/>
              <w:textAlignment w:val="center"/>
              <w:rPr>
                <w:color w:val="auto"/>
                <w:szCs w:val="21"/>
              </w:rPr>
            </w:pPr>
            <w:r>
              <w:rPr>
                <w:rFonts w:hint="default" w:ascii="Times New Roman" w:hAnsi="Times New Roman" w:eastAsia="宋体" w:cs="Times New Roman"/>
                <w:i w:val="0"/>
                <w:color w:val="auto"/>
                <w:kern w:val="0"/>
                <w:sz w:val="21"/>
                <w:szCs w:val="21"/>
                <w:u w:val="none"/>
                <w:lang w:val="en-US" w:eastAsia="zh-CN" w:bidi="ar"/>
              </w:rPr>
              <w:t>250</w:t>
            </w:r>
          </w:p>
        </w:tc>
        <w:tc>
          <w:tcPr>
            <w:tcW w:w="986" w:type="dxa"/>
            <w:vAlign w:val="center"/>
          </w:tcPr>
          <w:p>
            <w:pPr>
              <w:keepNext w:val="0"/>
              <w:keepLines w:val="0"/>
              <w:widowControl/>
              <w:suppressLineNumbers w:val="0"/>
              <w:jc w:val="center"/>
              <w:textAlignment w:val="center"/>
              <w:rPr>
                <w:color w:val="auto"/>
                <w:szCs w:val="21"/>
              </w:rPr>
            </w:pPr>
            <w:r>
              <w:rPr>
                <w:rFonts w:hint="default" w:ascii="Times New Roman" w:hAnsi="Times New Roman" w:eastAsia="宋体" w:cs="Times New Roman"/>
                <w:i w:val="0"/>
                <w:color w:val="auto"/>
                <w:kern w:val="0"/>
                <w:sz w:val="21"/>
                <w:szCs w:val="21"/>
                <w:u w:val="none"/>
                <w:lang w:val="en-US" w:eastAsia="zh-CN" w:bidi="ar"/>
              </w:rPr>
              <w:t>200</w:t>
            </w:r>
          </w:p>
        </w:tc>
        <w:tc>
          <w:tcPr>
            <w:tcW w:w="986" w:type="dxa"/>
            <w:vAlign w:val="center"/>
          </w:tcPr>
          <w:p>
            <w:pPr>
              <w:keepNext w:val="0"/>
              <w:keepLines w:val="0"/>
              <w:widowControl/>
              <w:suppressLineNumbers w:val="0"/>
              <w:jc w:val="center"/>
              <w:textAlignment w:val="center"/>
              <w:rPr>
                <w:color w:val="auto"/>
                <w:szCs w:val="21"/>
              </w:rPr>
            </w:pPr>
            <w:r>
              <w:rPr>
                <w:rFonts w:hint="default" w:ascii="Times New Roman" w:hAnsi="Times New Roman" w:eastAsia="宋体" w:cs="Times New Roman"/>
                <w:i w:val="0"/>
                <w:color w:val="auto"/>
                <w:kern w:val="0"/>
                <w:sz w:val="21"/>
                <w:szCs w:val="21"/>
                <w:u w:val="none"/>
                <w:lang w:val="en-US" w:eastAsia="zh-CN" w:bidi="ar"/>
              </w:rPr>
              <w:t>30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422" w:hRule="atLeast"/>
        </w:trPr>
        <w:tc>
          <w:tcPr>
            <w:tcW w:w="789" w:type="pct"/>
            <w:vMerge w:val="continue"/>
            <w:vAlign w:val="center"/>
          </w:tcPr>
          <w:p>
            <w:pPr>
              <w:widowControl/>
              <w:jc w:val="center"/>
              <w:textAlignment w:val="center"/>
              <w:rPr>
                <w:color w:val="auto"/>
                <w:szCs w:val="21"/>
              </w:rPr>
            </w:pPr>
          </w:p>
        </w:tc>
        <w:tc>
          <w:tcPr>
            <w:tcW w:w="1963" w:type="pct"/>
            <w:vAlign w:val="center"/>
          </w:tcPr>
          <w:p>
            <w:pPr>
              <w:widowControl/>
              <w:jc w:val="center"/>
              <w:textAlignment w:val="center"/>
              <w:rPr>
                <w:color w:val="auto"/>
                <w:szCs w:val="21"/>
              </w:rPr>
            </w:pPr>
            <w:r>
              <w:rPr>
                <w:color w:val="auto"/>
                <w:szCs w:val="21"/>
              </w:rPr>
              <w:t>产生量（t/a）</w:t>
            </w:r>
          </w:p>
        </w:tc>
        <w:tc>
          <w:tcPr>
            <w:tcW w:w="984" w:type="dxa"/>
            <w:vAlign w:val="center"/>
          </w:tcPr>
          <w:p>
            <w:pPr>
              <w:keepNext w:val="0"/>
              <w:keepLines w:val="0"/>
              <w:widowControl/>
              <w:suppressLineNumbers w:val="0"/>
              <w:jc w:val="center"/>
              <w:textAlignment w:val="center"/>
              <w:rPr>
                <w:color w:val="auto"/>
                <w:szCs w:val="21"/>
              </w:rPr>
            </w:pPr>
            <w:r>
              <w:rPr>
                <w:rFonts w:hint="default" w:ascii="Times New Roman" w:hAnsi="Times New Roman" w:eastAsia="宋体" w:cs="Times New Roman"/>
                <w:i w:val="0"/>
                <w:color w:val="auto"/>
                <w:kern w:val="0"/>
                <w:sz w:val="21"/>
                <w:szCs w:val="21"/>
                <w:u w:val="none"/>
                <w:lang w:val="en-US" w:eastAsia="zh-CN" w:bidi="ar"/>
              </w:rPr>
              <w:t>0.18</w:t>
            </w:r>
          </w:p>
        </w:tc>
        <w:tc>
          <w:tcPr>
            <w:tcW w:w="984" w:type="dxa"/>
            <w:vAlign w:val="center"/>
          </w:tcPr>
          <w:p>
            <w:pPr>
              <w:keepNext w:val="0"/>
              <w:keepLines w:val="0"/>
              <w:widowControl/>
              <w:suppressLineNumbers w:val="0"/>
              <w:jc w:val="center"/>
              <w:textAlignment w:val="center"/>
              <w:rPr>
                <w:color w:val="auto"/>
                <w:szCs w:val="21"/>
              </w:rPr>
            </w:pPr>
            <w:r>
              <w:rPr>
                <w:rFonts w:hint="default" w:ascii="Times New Roman" w:hAnsi="Times New Roman" w:eastAsia="宋体" w:cs="Times New Roman"/>
                <w:i w:val="0"/>
                <w:color w:val="auto"/>
                <w:kern w:val="0"/>
                <w:sz w:val="21"/>
                <w:szCs w:val="21"/>
                <w:u w:val="none"/>
                <w:lang w:val="en-US" w:eastAsia="zh-CN" w:bidi="ar"/>
              </w:rPr>
              <w:t>0.15</w:t>
            </w:r>
          </w:p>
        </w:tc>
        <w:tc>
          <w:tcPr>
            <w:tcW w:w="986" w:type="dxa"/>
            <w:vAlign w:val="center"/>
          </w:tcPr>
          <w:p>
            <w:pPr>
              <w:keepNext w:val="0"/>
              <w:keepLines w:val="0"/>
              <w:widowControl/>
              <w:suppressLineNumbers w:val="0"/>
              <w:jc w:val="center"/>
              <w:textAlignment w:val="center"/>
              <w:rPr>
                <w:color w:val="auto"/>
                <w:szCs w:val="21"/>
              </w:rPr>
            </w:pPr>
            <w:r>
              <w:rPr>
                <w:rFonts w:hint="default" w:ascii="Times New Roman" w:hAnsi="Times New Roman" w:eastAsia="宋体" w:cs="Times New Roman"/>
                <w:i w:val="0"/>
                <w:color w:val="auto"/>
                <w:kern w:val="0"/>
                <w:sz w:val="21"/>
                <w:szCs w:val="21"/>
                <w:u w:val="none"/>
                <w:lang w:val="en-US" w:eastAsia="zh-CN" w:bidi="ar"/>
              </w:rPr>
              <w:t>0.12</w:t>
            </w:r>
          </w:p>
        </w:tc>
        <w:tc>
          <w:tcPr>
            <w:tcW w:w="986" w:type="dxa"/>
            <w:vAlign w:val="center"/>
          </w:tcPr>
          <w:p>
            <w:pPr>
              <w:keepNext w:val="0"/>
              <w:keepLines w:val="0"/>
              <w:widowControl/>
              <w:suppressLineNumbers w:val="0"/>
              <w:jc w:val="center"/>
              <w:textAlignment w:val="center"/>
              <w:rPr>
                <w:color w:val="auto"/>
                <w:szCs w:val="21"/>
              </w:rPr>
            </w:pPr>
            <w:r>
              <w:rPr>
                <w:rFonts w:hint="default" w:ascii="Times New Roman" w:hAnsi="Times New Roman" w:eastAsia="宋体" w:cs="Times New Roman"/>
                <w:i w:val="0"/>
                <w:color w:val="auto"/>
                <w:kern w:val="0"/>
                <w:sz w:val="21"/>
                <w:szCs w:val="21"/>
                <w:u w:val="none"/>
                <w:lang w:val="en-US" w:eastAsia="zh-CN" w:bidi="ar"/>
              </w:rPr>
              <w:t>0.018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422" w:hRule="atLeast"/>
        </w:trPr>
        <w:tc>
          <w:tcPr>
            <w:tcW w:w="789" w:type="pct"/>
            <w:vMerge w:val="continue"/>
            <w:vAlign w:val="center"/>
          </w:tcPr>
          <w:p>
            <w:pPr>
              <w:widowControl/>
              <w:jc w:val="center"/>
              <w:textAlignment w:val="center"/>
              <w:rPr>
                <w:color w:val="auto"/>
                <w:szCs w:val="21"/>
              </w:rPr>
            </w:pPr>
          </w:p>
        </w:tc>
        <w:tc>
          <w:tcPr>
            <w:tcW w:w="1963" w:type="pct"/>
            <w:vAlign w:val="center"/>
          </w:tcPr>
          <w:p>
            <w:pPr>
              <w:widowControl/>
              <w:jc w:val="center"/>
              <w:textAlignment w:val="center"/>
              <w:rPr>
                <w:color w:val="auto"/>
                <w:szCs w:val="21"/>
              </w:rPr>
            </w:pPr>
            <w:r>
              <w:rPr>
                <w:color w:val="auto"/>
                <w:szCs w:val="21"/>
              </w:rPr>
              <w:t>经</w:t>
            </w:r>
            <w:r>
              <w:rPr>
                <w:rFonts w:hint="eastAsia"/>
                <w:color w:val="auto"/>
                <w:szCs w:val="21"/>
                <w:lang w:eastAsia="zh-CN"/>
              </w:rPr>
              <w:t>化粪池处理后</w:t>
            </w:r>
            <w:r>
              <w:rPr>
                <w:color w:val="auto"/>
                <w:szCs w:val="21"/>
              </w:rPr>
              <w:t>浓度(mg/l)</w:t>
            </w:r>
          </w:p>
        </w:tc>
        <w:tc>
          <w:tcPr>
            <w:tcW w:w="984" w:type="dxa"/>
            <w:vAlign w:val="center"/>
          </w:tcPr>
          <w:p>
            <w:pPr>
              <w:keepNext w:val="0"/>
              <w:keepLines w:val="0"/>
              <w:widowControl/>
              <w:suppressLineNumbers w:val="0"/>
              <w:jc w:val="center"/>
              <w:textAlignment w:val="center"/>
              <w:rPr>
                <w:color w:val="auto"/>
                <w:szCs w:val="21"/>
              </w:rPr>
            </w:pPr>
            <w:r>
              <w:rPr>
                <w:rFonts w:hint="default" w:ascii="Times New Roman" w:hAnsi="Times New Roman" w:eastAsia="宋体" w:cs="Times New Roman"/>
                <w:i w:val="0"/>
                <w:color w:val="auto"/>
                <w:kern w:val="0"/>
                <w:sz w:val="21"/>
                <w:szCs w:val="21"/>
                <w:u w:val="none"/>
                <w:lang w:val="en-US" w:eastAsia="zh-CN" w:bidi="ar"/>
              </w:rPr>
              <w:t>230</w:t>
            </w:r>
          </w:p>
        </w:tc>
        <w:tc>
          <w:tcPr>
            <w:tcW w:w="984" w:type="dxa"/>
            <w:vAlign w:val="center"/>
          </w:tcPr>
          <w:p>
            <w:pPr>
              <w:keepNext w:val="0"/>
              <w:keepLines w:val="0"/>
              <w:widowControl/>
              <w:suppressLineNumbers w:val="0"/>
              <w:jc w:val="center"/>
              <w:textAlignment w:val="center"/>
              <w:rPr>
                <w:color w:val="auto"/>
                <w:szCs w:val="21"/>
              </w:rPr>
            </w:pPr>
            <w:r>
              <w:rPr>
                <w:rFonts w:hint="default" w:ascii="Times New Roman" w:hAnsi="Times New Roman" w:eastAsia="宋体" w:cs="Times New Roman"/>
                <w:i w:val="0"/>
                <w:color w:val="auto"/>
                <w:kern w:val="0"/>
                <w:sz w:val="21"/>
                <w:szCs w:val="21"/>
                <w:u w:val="none"/>
                <w:lang w:val="en-US" w:eastAsia="zh-CN" w:bidi="ar"/>
              </w:rPr>
              <w:t>120</w:t>
            </w:r>
          </w:p>
        </w:tc>
        <w:tc>
          <w:tcPr>
            <w:tcW w:w="986" w:type="dxa"/>
            <w:vAlign w:val="center"/>
          </w:tcPr>
          <w:p>
            <w:pPr>
              <w:keepNext w:val="0"/>
              <w:keepLines w:val="0"/>
              <w:widowControl/>
              <w:suppressLineNumbers w:val="0"/>
              <w:jc w:val="center"/>
              <w:textAlignment w:val="center"/>
              <w:rPr>
                <w:color w:val="auto"/>
                <w:szCs w:val="21"/>
              </w:rPr>
            </w:pPr>
            <w:r>
              <w:rPr>
                <w:rFonts w:hint="default" w:ascii="Times New Roman" w:hAnsi="Times New Roman" w:eastAsia="宋体" w:cs="Times New Roman"/>
                <w:i w:val="0"/>
                <w:color w:val="auto"/>
                <w:kern w:val="0"/>
                <w:sz w:val="21"/>
                <w:szCs w:val="21"/>
                <w:u w:val="none"/>
                <w:lang w:val="en-US" w:eastAsia="zh-CN" w:bidi="ar"/>
              </w:rPr>
              <w:t>150</w:t>
            </w:r>
          </w:p>
        </w:tc>
        <w:tc>
          <w:tcPr>
            <w:tcW w:w="986" w:type="dxa"/>
            <w:vAlign w:val="center"/>
          </w:tcPr>
          <w:p>
            <w:pPr>
              <w:keepNext w:val="0"/>
              <w:keepLines w:val="0"/>
              <w:widowControl/>
              <w:suppressLineNumbers w:val="0"/>
              <w:jc w:val="center"/>
              <w:textAlignment w:val="center"/>
              <w:rPr>
                <w:color w:val="auto"/>
                <w:szCs w:val="21"/>
              </w:rPr>
            </w:pPr>
            <w:r>
              <w:rPr>
                <w:rFonts w:hint="default" w:ascii="Times New Roman" w:hAnsi="Times New Roman" w:eastAsia="宋体" w:cs="Times New Roman"/>
                <w:i w:val="0"/>
                <w:color w:val="auto"/>
                <w:kern w:val="0"/>
                <w:sz w:val="21"/>
                <w:szCs w:val="21"/>
                <w:u w:val="none"/>
                <w:lang w:val="en-US" w:eastAsia="zh-CN" w:bidi="ar"/>
              </w:rPr>
              <w:t>18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422" w:hRule="atLeast"/>
        </w:trPr>
        <w:tc>
          <w:tcPr>
            <w:tcW w:w="789" w:type="pct"/>
            <w:vMerge w:val="continue"/>
            <w:vAlign w:val="center"/>
          </w:tcPr>
          <w:p>
            <w:pPr>
              <w:widowControl/>
              <w:jc w:val="center"/>
              <w:textAlignment w:val="center"/>
              <w:rPr>
                <w:color w:val="auto"/>
                <w:szCs w:val="21"/>
              </w:rPr>
            </w:pPr>
          </w:p>
        </w:tc>
        <w:tc>
          <w:tcPr>
            <w:tcW w:w="1963" w:type="pct"/>
            <w:vAlign w:val="center"/>
          </w:tcPr>
          <w:p>
            <w:pPr>
              <w:widowControl/>
              <w:jc w:val="center"/>
              <w:textAlignment w:val="center"/>
              <w:rPr>
                <w:color w:val="auto"/>
                <w:szCs w:val="21"/>
              </w:rPr>
            </w:pPr>
            <w:r>
              <w:rPr>
                <w:color w:val="auto"/>
                <w:szCs w:val="21"/>
              </w:rPr>
              <w:t>经</w:t>
            </w:r>
            <w:r>
              <w:rPr>
                <w:rFonts w:hint="eastAsia"/>
                <w:color w:val="auto"/>
                <w:szCs w:val="21"/>
                <w:lang w:eastAsia="zh-CN"/>
              </w:rPr>
              <w:t>化粪池处理后</w:t>
            </w:r>
            <w:r>
              <w:rPr>
                <w:color w:val="auto"/>
                <w:szCs w:val="21"/>
              </w:rPr>
              <w:t>量（t/a）</w:t>
            </w:r>
          </w:p>
        </w:tc>
        <w:tc>
          <w:tcPr>
            <w:tcW w:w="984" w:type="dxa"/>
            <w:vAlign w:val="center"/>
          </w:tcPr>
          <w:p>
            <w:pPr>
              <w:keepNext w:val="0"/>
              <w:keepLines w:val="0"/>
              <w:widowControl/>
              <w:suppressLineNumbers w:val="0"/>
              <w:jc w:val="center"/>
              <w:textAlignment w:val="center"/>
              <w:rPr>
                <w:color w:val="auto"/>
                <w:szCs w:val="21"/>
              </w:rPr>
            </w:pPr>
            <w:r>
              <w:rPr>
                <w:rFonts w:hint="default" w:ascii="Times New Roman" w:hAnsi="Times New Roman" w:eastAsia="宋体" w:cs="Times New Roman"/>
                <w:i w:val="0"/>
                <w:color w:val="auto"/>
                <w:kern w:val="0"/>
                <w:sz w:val="21"/>
                <w:szCs w:val="21"/>
                <w:u w:val="none"/>
                <w:lang w:val="en-US" w:eastAsia="zh-CN" w:bidi="ar"/>
              </w:rPr>
              <w:t>0.138</w:t>
            </w:r>
          </w:p>
        </w:tc>
        <w:tc>
          <w:tcPr>
            <w:tcW w:w="984" w:type="dxa"/>
            <w:vAlign w:val="center"/>
          </w:tcPr>
          <w:p>
            <w:pPr>
              <w:keepNext w:val="0"/>
              <w:keepLines w:val="0"/>
              <w:widowControl/>
              <w:suppressLineNumbers w:val="0"/>
              <w:jc w:val="center"/>
              <w:textAlignment w:val="center"/>
              <w:rPr>
                <w:color w:val="auto"/>
                <w:szCs w:val="21"/>
              </w:rPr>
            </w:pPr>
            <w:r>
              <w:rPr>
                <w:rFonts w:hint="default" w:ascii="Times New Roman" w:hAnsi="Times New Roman" w:eastAsia="宋体" w:cs="Times New Roman"/>
                <w:i w:val="0"/>
                <w:color w:val="auto"/>
                <w:kern w:val="0"/>
                <w:sz w:val="21"/>
                <w:szCs w:val="21"/>
                <w:u w:val="none"/>
                <w:lang w:val="en-US" w:eastAsia="zh-CN" w:bidi="ar"/>
              </w:rPr>
              <w:t>0.072</w:t>
            </w:r>
          </w:p>
        </w:tc>
        <w:tc>
          <w:tcPr>
            <w:tcW w:w="986" w:type="dxa"/>
            <w:vAlign w:val="center"/>
          </w:tcPr>
          <w:p>
            <w:pPr>
              <w:keepNext w:val="0"/>
              <w:keepLines w:val="0"/>
              <w:widowControl/>
              <w:suppressLineNumbers w:val="0"/>
              <w:jc w:val="center"/>
              <w:textAlignment w:val="center"/>
              <w:rPr>
                <w:color w:val="auto"/>
                <w:szCs w:val="21"/>
              </w:rPr>
            </w:pPr>
            <w:r>
              <w:rPr>
                <w:rFonts w:hint="default" w:ascii="Times New Roman" w:hAnsi="Times New Roman" w:eastAsia="宋体" w:cs="Times New Roman"/>
                <w:i w:val="0"/>
                <w:color w:val="auto"/>
                <w:kern w:val="0"/>
                <w:sz w:val="21"/>
                <w:szCs w:val="21"/>
                <w:u w:val="none"/>
                <w:lang w:val="en-US" w:eastAsia="zh-CN" w:bidi="ar"/>
              </w:rPr>
              <w:t>0.09</w:t>
            </w:r>
          </w:p>
        </w:tc>
        <w:tc>
          <w:tcPr>
            <w:tcW w:w="986" w:type="dxa"/>
            <w:vAlign w:val="center"/>
          </w:tcPr>
          <w:p>
            <w:pPr>
              <w:keepNext w:val="0"/>
              <w:keepLines w:val="0"/>
              <w:widowControl/>
              <w:suppressLineNumbers w:val="0"/>
              <w:jc w:val="center"/>
              <w:textAlignment w:val="center"/>
              <w:rPr>
                <w:color w:val="auto"/>
                <w:szCs w:val="21"/>
              </w:rPr>
            </w:pPr>
            <w:r>
              <w:rPr>
                <w:rFonts w:hint="default" w:ascii="Times New Roman" w:hAnsi="Times New Roman" w:eastAsia="宋体" w:cs="Times New Roman"/>
                <w:i w:val="0"/>
                <w:color w:val="auto"/>
                <w:kern w:val="0"/>
                <w:sz w:val="21"/>
                <w:szCs w:val="21"/>
                <w:u w:val="none"/>
                <w:lang w:val="en-US" w:eastAsia="zh-CN" w:bidi="ar"/>
              </w:rPr>
              <w:t>0.0108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285" w:hRule="atLeast"/>
        </w:trPr>
        <w:tc>
          <w:tcPr>
            <w:tcW w:w="2752" w:type="pct"/>
            <w:gridSpan w:val="2"/>
            <w:vAlign w:val="center"/>
          </w:tcPr>
          <w:p>
            <w:pPr>
              <w:autoSpaceDE w:val="0"/>
              <w:autoSpaceDN w:val="0"/>
              <w:adjustRightInd w:val="0"/>
              <w:spacing w:line="240" w:lineRule="exact"/>
              <w:jc w:val="center"/>
              <w:rPr>
                <w:color w:val="auto"/>
                <w:szCs w:val="21"/>
              </w:rPr>
            </w:pPr>
            <w:r>
              <w:rPr>
                <w:rFonts w:hint="eastAsia"/>
                <w:color w:val="auto"/>
                <w:szCs w:val="21"/>
                <w:lang w:eastAsia="zh-CN"/>
              </w:rPr>
              <w:t>宁国市污水处理厂</w:t>
            </w:r>
            <w:r>
              <w:rPr>
                <w:color w:val="auto"/>
                <w:szCs w:val="21"/>
              </w:rPr>
              <w:t>接管标准(mg/l)</w:t>
            </w:r>
          </w:p>
        </w:tc>
        <w:tc>
          <w:tcPr>
            <w:tcW w:w="984" w:type="dxa"/>
            <w:vAlign w:val="center"/>
          </w:tcPr>
          <w:p>
            <w:pPr>
              <w:keepNext w:val="0"/>
              <w:keepLines w:val="0"/>
              <w:widowControl/>
              <w:suppressLineNumbers w:val="0"/>
              <w:jc w:val="center"/>
              <w:textAlignment w:val="center"/>
              <w:rPr>
                <w:color w:val="auto"/>
                <w:szCs w:val="21"/>
              </w:rPr>
            </w:pPr>
            <w:r>
              <w:rPr>
                <w:rFonts w:hint="default" w:ascii="Times New Roman" w:hAnsi="Times New Roman" w:eastAsia="宋体" w:cs="Times New Roman"/>
                <w:i w:val="0"/>
                <w:color w:val="auto"/>
                <w:kern w:val="0"/>
                <w:sz w:val="21"/>
                <w:szCs w:val="21"/>
                <w:u w:val="none"/>
                <w:lang w:val="en-US" w:eastAsia="zh-CN" w:bidi="ar"/>
              </w:rPr>
              <w:t>320</w:t>
            </w:r>
          </w:p>
        </w:tc>
        <w:tc>
          <w:tcPr>
            <w:tcW w:w="984" w:type="dxa"/>
            <w:vAlign w:val="center"/>
          </w:tcPr>
          <w:p>
            <w:pPr>
              <w:keepNext w:val="0"/>
              <w:keepLines w:val="0"/>
              <w:widowControl/>
              <w:suppressLineNumbers w:val="0"/>
              <w:jc w:val="center"/>
              <w:textAlignment w:val="center"/>
              <w:rPr>
                <w:color w:val="auto"/>
                <w:szCs w:val="21"/>
              </w:rPr>
            </w:pPr>
            <w:r>
              <w:rPr>
                <w:rFonts w:hint="default" w:ascii="Times New Roman" w:hAnsi="Times New Roman" w:eastAsia="宋体" w:cs="Times New Roman"/>
                <w:i w:val="0"/>
                <w:color w:val="auto"/>
                <w:kern w:val="0"/>
                <w:sz w:val="21"/>
                <w:szCs w:val="21"/>
                <w:u w:val="none"/>
                <w:lang w:val="en-US" w:eastAsia="zh-CN" w:bidi="ar"/>
              </w:rPr>
              <w:t>160</w:t>
            </w:r>
          </w:p>
        </w:tc>
        <w:tc>
          <w:tcPr>
            <w:tcW w:w="986" w:type="dxa"/>
            <w:vAlign w:val="center"/>
          </w:tcPr>
          <w:p>
            <w:pPr>
              <w:keepNext w:val="0"/>
              <w:keepLines w:val="0"/>
              <w:widowControl/>
              <w:suppressLineNumbers w:val="0"/>
              <w:jc w:val="center"/>
              <w:textAlignment w:val="center"/>
              <w:rPr>
                <w:color w:val="auto"/>
                <w:szCs w:val="21"/>
              </w:rPr>
            </w:pPr>
            <w:r>
              <w:rPr>
                <w:rFonts w:hint="default" w:ascii="Times New Roman" w:hAnsi="Times New Roman" w:eastAsia="宋体" w:cs="Times New Roman"/>
                <w:i w:val="0"/>
                <w:color w:val="auto"/>
                <w:kern w:val="0"/>
                <w:sz w:val="21"/>
                <w:szCs w:val="21"/>
                <w:u w:val="none"/>
                <w:lang w:val="en-US" w:eastAsia="zh-CN" w:bidi="ar"/>
              </w:rPr>
              <w:t>200</w:t>
            </w:r>
          </w:p>
        </w:tc>
        <w:tc>
          <w:tcPr>
            <w:tcW w:w="986" w:type="dxa"/>
            <w:vAlign w:val="center"/>
          </w:tcPr>
          <w:p>
            <w:pPr>
              <w:keepNext w:val="0"/>
              <w:keepLines w:val="0"/>
              <w:widowControl/>
              <w:suppressLineNumbers w:val="0"/>
              <w:jc w:val="center"/>
              <w:textAlignment w:val="center"/>
              <w:rPr>
                <w:color w:val="auto"/>
                <w:szCs w:val="21"/>
              </w:rPr>
            </w:pPr>
            <w:r>
              <w:rPr>
                <w:rFonts w:hint="default" w:ascii="Times New Roman" w:hAnsi="Times New Roman" w:eastAsia="宋体" w:cs="Times New Roman"/>
                <w:i w:val="0"/>
                <w:color w:val="auto"/>
                <w:kern w:val="0"/>
                <w:sz w:val="21"/>
                <w:szCs w:val="21"/>
                <w:u w:val="none"/>
                <w:lang w:val="en-US" w:eastAsia="zh-CN" w:bidi="ar"/>
              </w:rPr>
              <w:t>25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285" w:hRule="atLeast"/>
        </w:trPr>
        <w:tc>
          <w:tcPr>
            <w:tcW w:w="2752" w:type="pct"/>
            <w:gridSpan w:val="2"/>
            <w:vAlign w:val="center"/>
          </w:tcPr>
          <w:p>
            <w:pPr>
              <w:autoSpaceDE w:val="0"/>
              <w:autoSpaceDN w:val="0"/>
              <w:adjustRightInd w:val="0"/>
              <w:spacing w:line="240" w:lineRule="exact"/>
              <w:jc w:val="center"/>
              <w:rPr>
                <w:color w:val="auto"/>
                <w:szCs w:val="21"/>
              </w:rPr>
            </w:pPr>
            <w:r>
              <w:rPr>
                <w:color w:val="auto"/>
                <w:szCs w:val="21"/>
              </w:rPr>
              <w:t>《城镇污水处理厂污染物排放标准》（GB18918-2002）一级</w:t>
            </w:r>
            <w:r>
              <w:rPr>
                <w:rFonts w:hint="eastAsia"/>
                <w:color w:val="auto"/>
                <w:szCs w:val="21"/>
                <w:lang w:val="en-US" w:eastAsia="zh-CN"/>
              </w:rPr>
              <w:t>A</w:t>
            </w:r>
            <w:r>
              <w:rPr>
                <w:color w:val="auto"/>
                <w:szCs w:val="21"/>
              </w:rPr>
              <w:t>标准(mg/l)</w:t>
            </w:r>
          </w:p>
        </w:tc>
        <w:tc>
          <w:tcPr>
            <w:tcW w:w="984" w:type="dxa"/>
            <w:vAlign w:val="center"/>
          </w:tcPr>
          <w:p>
            <w:pPr>
              <w:keepNext w:val="0"/>
              <w:keepLines w:val="0"/>
              <w:widowControl/>
              <w:suppressLineNumbers w:val="0"/>
              <w:jc w:val="center"/>
              <w:textAlignment w:val="center"/>
              <w:rPr>
                <w:color w:val="auto"/>
                <w:szCs w:val="21"/>
              </w:rPr>
            </w:pPr>
            <w:r>
              <w:rPr>
                <w:rFonts w:hint="default" w:ascii="Times New Roman" w:hAnsi="Times New Roman" w:eastAsia="宋体" w:cs="Times New Roman"/>
                <w:i w:val="0"/>
                <w:color w:val="auto"/>
                <w:kern w:val="0"/>
                <w:sz w:val="21"/>
                <w:szCs w:val="21"/>
                <w:u w:val="none"/>
                <w:lang w:val="en-US" w:eastAsia="zh-CN" w:bidi="ar"/>
              </w:rPr>
              <w:t>50</w:t>
            </w:r>
          </w:p>
        </w:tc>
        <w:tc>
          <w:tcPr>
            <w:tcW w:w="984" w:type="dxa"/>
            <w:vAlign w:val="center"/>
          </w:tcPr>
          <w:p>
            <w:pPr>
              <w:keepNext w:val="0"/>
              <w:keepLines w:val="0"/>
              <w:widowControl/>
              <w:suppressLineNumbers w:val="0"/>
              <w:jc w:val="center"/>
              <w:textAlignment w:val="center"/>
              <w:rPr>
                <w:color w:val="auto"/>
                <w:szCs w:val="21"/>
              </w:rPr>
            </w:pPr>
            <w:r>
              <w:rPr>
                <w:rFonts w:hint="default" w:ascii="Times New Roman" w:hAnsi="Times New Roman" w:eastAsia="宋体" w:cs="Times New Roman"/>
                <w:i w:val="0"/>
                <w:color w:val="auto"/>
                <w:kern w:val="0"/>
                <w:sz w:val="21"/>
                <w:szCs w:val="21"/>
                <w:u w:val="none"/>
                <w:lang w:val="en-US" w:eastAsia="zh-CN" w:bidi="ar"/>
              </w:rPr>
              <w:t>10</w:t>
            </w:r>
          </w:p>
        </w:tc>
        <w:tc>
          <w:tcPr>
            <w:tcW w:w="986" w:type="dxa"/>
            <w:vAlign w:val="center"/>
          </w:tcPr>
          <w:p>
            <w:pPr>
              <w:keepNext w:val="0"/>
              <w:keepLines w:val="0"/>
              <w:widowControl/>
              <w:suppressLineNumbers w:val="0"/>
              <w:jc w:val="center"/>
              <w:textAlignment w:val="center"/>
              <w:rPr>
                <w:color w:val="auto"/>
                <w:szCs w:val="21"/>
              </w:rPr>
            </w:pPr>
            <w:r>
              <w:rPr>
                <w:rFonts w:hint="default" w:ascii="Times New Roman" w:hAnsi="Times New Roman" w:eastAsia="宋体" w:cs="Times New Roman"/>
                <w:i w:val="0"/>
                <w:color w:val="auto"/>
                <w:kern w:val="0"/>
                <w:sz w:val="21"/>
                <w:szCs w:val="21"/>
                <w:u w:val="none"/>
                <w:lang w:val="en-US" w:eastAsia="zh-CN" w:bidi="ar"/>
              </w:rPr>
              <w:t>10</w:t>
            </w:r>
          </w:p>
        </w:tc>
        <w:tc>
          <w:tcPr>
            <w:tcW w:w="986" w:type="dxa"/>
            <w:vAlign w:val="center"/>
          </w:tcPr>
          <w:p>
            <w:pPr>
              <w:keepNext w:val="0"/>
              <w:keepLines w:val="0"/>
              <w:widowControl/>
              <w:suppressLineNumbers w:val="0"/>
              <w:jc w:val="center"/>
              <w:textAlignment w:val="center"/>
              <w:rPr>
                <w:color w:val="auto"/>
                <w:szCs w:val="21"/>
              </w:rPr>
            </w:pPr>
            <w:r>
              <w:rPr>
                <w:rFonts w:hint="default" w:ascii="Times New Roman" w:hAnsi="Times New Roman" w:eastAsia="宋体" w:cs="Times New Roman"/>
                <w:i w:val="0"/>
                <w:color w:val="auto"/>
                <w:kern w:val="0"/>
                <w:sz w:val="21"/>
                <w:szCs w:val="21"/>
                <w:u w:val="none"/>
                <w:lang w:val="en-US" w:eastAsia="zh-CN" w:bidi="ar"/>
              </w:rPr>
              <w:t>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285" w:hRule="atLeast"/>
        </w:trPr>
        <w:tc>
          <w:tcPr>
            <w:tcW w:w="2752" w:type="pct"/>
            <w:gridSpan w:val="2"/>
            <w:vAlign w:val="center"/>
          </w:tcPr>
          <w:p>
            <w:pPr>
              <w:autoSpaceDE w:val="0"/>
              <w:autoSpaceDN w:val="0"/>
              <w:adjustRightInd w:val="0"/>
              <w:spacing w:line="240" w:lineRule="exact"/>
              <w:jc w:val="center"/>
              <w:rPr>
                <w:color w:val="auto"/>
                <w:szCs w:val="21"/>
              </w:rPr>
            </w:pPr>
            <w:r>
              <w:rPr>
                <w:color w:val="auto"/>
                <w:szCs w:val="21"/>
              </w:rPr>
              <w:t>经污水处理厂处理后污染物入环境总量(t/a)</w:t>
            </w:r>
          </w:p>
        </w:tc>
        <w:tc>
          <w:tcPr>
            <w:tcW w:w="984" w:type="dxa"/>
            <w:vAlign w:val="center"/>
          </w:tcPr>
          <w:p>
            <w:pPr>
              <w:keepNext w:val="0"/>
              <w:keepLines w:val="0"/>
              <w:widowControl/>
              <w:suppressLineNumbers w:val="0"/>
              <w:jc w:val="center"/>
              <w:textAlignment w:val="center"/>
              <w:rPr>
                <w:color w:val="auto"/>
                <w:szCs w:val="21"/>
              </w:rPr>
            </w:pPr>
            <w:r>
              <w:rPr>
                <w:rFonts w:hint="default" w:ascii="Times New Roman" w:hAnsi="Times New Roman" w:eastAsia="宋体" w:cs="Times New Roman"/>
                <w:i w:val="0"/>
                <w:color w:val="auto"/>
                <w:kern w:val="0"/>
                <w:sz w:val="21"/>
                <w:szCs w:val="21"/>
                <w:u w:val="none"/>
                <w:lang w:val="en-US" w:eastAsia="zh-CN" w:bidi="ar"/>
              </w:rPr>
              <w:t>0.03</w:t>
            </w:r>
          </w:p>
        </w:tc>
        <w:tc>
          <w:tcPr>
            <w:tcW w:w="984" w:type="dxa"/>
            <w:vAlign w:val="center"/>
          </w:tcPr>
          <w:p>
            <w:pPr>
              <w:keepNext w:val="0"/>
              <w:keepLines w:val="0"/>
              <w:widowControl/>
              <w:suppressLineNumbers w:val="0"/>
              <w:jc w:val="center"/>
              <w:textAlignment w:val="center"/>
              <w:rPr>
                <w:color w:val="auto"/>
                <w:szCs w:val="21"/>
              </w:rPr>
            </w:pPr>
            <w:r>
              <w:rPr>
                <w:rFonts w:hint="default" w:ascii="Times New Roman" w:hAnsi="Times New Roman" w:eastAsia="宋体" w:cs="Times New Roman"/>
                <w:i w:val="0"/>
                <w:color w:val="auto"/>
                <w:kern w:val="0"/>
                <w:sz w:val="21"/>
                <w:szCs w:val="21"/>
                <w:u w:val="none"/>
                <w:lang w:val="en-US" w:eastAsia="zh-CN" w:bidi="ar"/>
              </w:rPr>
              <w:t>0.006</w:t>
            </w:r>
          </w:p>
        </w:tc>
        <w:tc>
          <w:tcPr>
            <w:tcW w:w="986" w:type="dxa"/>
            <w:vAlign w:val="center"/>
          </w:tcPr>
          <w:p>
            <w:pPr>
              <w:keepNext w:val="0"/>
              <w:keepLines w:val="0"/>
              <w:widowControl/>
              <w:suppressLineNumbers w:val="0"/>
              <w:jc w:val="center"/>
              <w:textAlignment w:val="center"/>
              <w:rPr>
                <w:color w:val="auto"/>
                <w:szCs w:val="21"/>
              </w:rPr>
            </w:pPr>
            <w:r>
              <w:rPr>
                <w:rFonts w:hint="default" w:ascii="Times New Roman" w:hAnsi="Times New Roman" w:eastAsia="宋体" w:cs="Times New Roman"/>
                <w:i w:val="0"/>
                <w:color w:val="auto"/>
                <w:kern w:val="0"/>
                <w:sz w:val="21"/>
                <w:szCs w:val="21"/>
                <w:u w:val="none"/>
                <w:lang w:val="en-US" w:eastAsia="zh-CN" w:bidi="ar"/>
              </w:rPr>
              <w:t>0.006</w:t>
            </w:r>
          </w:p>
        </w:tc>
        <w:tc>
          <w:tcPr>
            <w:tcW w:w="986" w:type="dxa"/>
            <w:vAlign w:val="center"/>
          </w:tcPr>
          <w:p>
            <w:pPr>
              <w:keepNext w:val="0"/>
              <w:keepLines w:val="0"/>
              <w:widowControl/>
              <w:suppressLineNumbers w:val="0"/>
              <w:jc w:val="center"/>
              <w:textAlignment w:val="center"/>
              <w:rPr>
                <w:color w:val="auto"/>
                <w:szCs w:val="21"/>
              </w:rPr>
            </w:pPr>
            <w:r>
              <w:rPr>
                <w:rFonts w:hint="default" w:ascii="Times New Roman" w:hAnsi="Times New Roman" w:eastAsia="宋体" w:cs="Times New Roman"/>
                <w:i w:val="0"/>
                <w:color w:val="auto"/>
                <w:kern w:val="0"/>
                <w:sz w:val="21"/>
                <w:szCs w:val="21"/>
                <w:u w:val="none"/>
                <w:lang w:val="en-US" w:eastAsia="zh-CN" w:bidi="ar"/>
              </w:rPr>
              <w:t>0.003</w:t>
            </w:r>
          </w:p>
        </w:tc>
      </w:tr>
    </w:tbl>
    <w:p>
      <w:pPr>
        <w:adjustRightInd w:val="0"/>
        <w:spacing w:line="500" w:lineRule="exact"/>
        <w:rPr>
          <w:color w:val="FF0000"/>
          <w:sz w:val="24"/>
        </w:rPr>
      </w:pPr>
    </w:p>
    <w:p>
      <w:pPr>
        <w:spacing w:line="520" w:lineRule="exact"/>
        <w:ind w:firstLine="482" w:firstLineChars="200"/>
        <w:rPr>
          <w:b/>
          <w:color w:val="auto"/>
          <w:sz w:val="24"/>
        </w:rPr>
      </w:pPr>
      <w:r>
        <w:rPr>
          <w:b/>
          <w:color w:val="auto"/>
          <w:sz w:val="24"/>
        </w:rPr>
        <w:t>（3）噪声</w:t>
      </w:r>
    </w:p>
    <w:p>
      <w:pPr>
        <w:adjustRightInd w:val="0"/>
        <w:snapToGrid w:val="0"/>
        <w:spacing w:line="520" w:lineRule="exact"/>
        <w:ind w:firstLine="480" w:firstLineChars="200"/>
        <w:rPr>
          <w:b/>
          <w:color w:val="auto"/>
          <w:sz w:val="24"/>
        </w:rPr>
      </w:pPr>
      <w:r>
        <w:rPr>
          <w:color w:val="auto"/>
          <w:sz w:val="24"/>
        </w:rPr>
        <w:t>本项目噪声主要来源于生产过程设备等运转过程产生的噪声等，根据同类型企业类比调查，项目设备噪声源强见下表：</w:t>
      </w:r>
    </w:p>
    <w:p>
      <w:pPr>
        <w:adjustRightInd w:val="0"/>
        <w:snapToGrid w:val="0"/>
        <w:spacing w:line="520" w:lineRule="exact"/>
        <w:jc w:val="center"/>
        <w:rPr>
          <w:color w:val="auto"/>
        </w:rPr>
      </w:pPr>
      <w:r>
        <w:rPr>
          <w:b/>
          <w:color w:val="auto"/>
          <w:sz w:val="24"/>
        </w:rPr>
        <w:t>表</w:t>
      </w:r>
      <w:r>
        <w:rPr>
          <w:rFonts w:hint="eastAsia"/>
          <w:b/>
          <w:color w:val="auto"/>
          <w:sz w:val="24"/>
        </w:rPr>
        <w:t>4-11</w:t>
      </w:r>
      <w:r>
        <w:rPr>
          <w:b/>
          <w:color w:val="auto"/>
          <w:sz w:val="24"/>
        </w:rPr>
        <w:t xml:space="preserve">  噪声源强一览表</w:t>
      </w:r>
    </w:p>
    <w:tbl>
      <w:tblPr>
        <w:tblStyle w:val="53"/>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36"/>
        <w:gridCol w:w="1946"/>
        <w:gridCol w:w="1604"/>
        <w:gridCol w:w="1287"/>
        <w:gridCol w:w="1762"/>
        <w:gridCol w:w="161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 w:hRule="atLeast"/>
          <w:jc w:val="center"/>
        </w:trPr>
        <w:tc>
          <w:tcPr>
            <w:tcW w:w="411" w:type="pct"/>
            <w:vAlign w:val="center"/>
          </w:tcPr>
          <w:p>
            <w:pPr>
              <w:spacing w:line="320" w:lineRule="exact"/>
              <w:jc w:val="center"/>
              <w:rPr>
                <w:rFonts w:ascii="Times New Roman" w:hAnsi="Times New Roman" w:eastAsia="宋体" w:cs="Times New Roman"/>
                <w:b/>
                <w:bCs/>
                <w:color w:val="auto"/>
                <w:kern w:val="2"/>
                <w:sz w:val="21"/>
                <w:szCs w:val="21"/>
                <w:lang w:val="en-US" w:eastAsia="zh-CN" w:bidi="ar-SA"/>
              </w:rPr>
            </w:pPr>
            <w:r>
              <w:rPr>
                <w:rFonts w:ascii="Times New Roman" w:hAnsi="Times New Roman" w:eastAsia="宋体" w:cs="Times New Roman"/>
                <w:b/>
                <w:bCs/>
                <w:color w:val="auto"/>
                <w:kern w:val="2"/>
                <w:sz w:val="21"/>
                <w:szCs w:val="21"/>
                <w:lang w:val="en-US" w:eastAsia="zh-CN" w:bidi="ar-SA"/>
              </w:rPr>
              <w:t>序号</w:t>
            </w:r>
          </w:p>
        </w:tc>
        <w:tc>
          <w:tcPr>
            <w:tcW w:w="1087" w:type="pct"/>
            <w:vAlign w:val="center"/>
          </w:tcPr>
          <w:p>
            <w:pPr>
              <w:spacing w:line="320" w:lineRule="exact"/>
              <w:jc w:val="center"/>
              <w:rPr>
                <w:rFonts w:ascii="Times New Roman" w:hAnsi="Times New Roman" w:eastAsia="宋体" w:cs="Times New Roman"/>
                <w:b/>
                <w:bCs/>
                <w:color w:val="auto"/>
                <w:kern w:val="2"/>
                <w:sz w:val="21"/>
                <w:szCs w:val="21"/>
                <w:lang w:val="en-US" w:eastAsia="zh-CN" w:bidi="ar-SA"/>
              </w:rPr>
            </w:pPr>
            <w:r>
              <w:rPr>
                <w:rFonts w:ascii="Times New Roman" w:hAnsi="Times New Roman" w:eastAsia="宋体" w:cs="Times New Roman"/>
                <w:b/>
                <w:bCs/>
                <w:color w:val="auto"/>
                <w:kern w:val="2"/>
                <w:sz w:val="21"/>
                <w:szCs w:val="21"/>
                <w:lang w:val="en-US" w:eastAsia="zh-CN" w:bidi="ar-SA"/>
              </w:rPr>
              <w:t>设  备 名 称</w:t>
            </w:r>
          </w:p>
        </w:tc>
        <w:tc>
          <w:tcPr>
            <w:tcW w:w="896" w:type="pct"/>
            <w:vAlign w:val="center"/>
          </w:tcPr>
          <w:p>
            <w:pPr>
              <w:spacing w:line="320" w:lineRule="exact"/>
              <w:jc w:val="center"/>
              <w:rPr>
                <w:rFonts w:ascii="Times New Roman" w:hAnsi="Times New Roman" w:eastAsia="宋体" w:cs="Times New Roman"/>
                <w:b/>
                <w:bCs/>
                <w:color w:val="auto"/>
                <w:kern w:val="2"/>
                <w:sz w:val="21"/>
                <w:szCs w:val="21"/>
                <w:lang w:val="en-US" w:eastAsia="zh-CN" w:bidi="ar-SA"/>
              </w:rPr>
            </w:pPr>
            <w:r>
              <w:rPr>
                <w:rFonts w:ascii="Times New Roman" w:hAnsi="Times New Roman" w:eastAsia="宋体" w:cs="Times New Roman"/>
                <w:b/>
                <w:bCs/>
                <w:color w:val="auto"/>
                <w:kern w:val="2"/>
                <w:sz w:val="21"/>
                <w:szCs w:val="21"/>
                <w:lang w:val="en-US" w:eastAsia="zh-CN" w:bidi="ar-SA"/>
              </w:rPr>
              <w:t>规 格/型 号</w:t>
            </w:r>
          </w:p>
        </w:tc>
        <w:tc>
          <w:tcPr>
            <w:tcW w:w="719" w:type="pct"/>
            <w:vAlign w:val="center"/>
          </w:tcPr>
          <w:p>
            <w:pPr>
              <w:spacing w:line="320" w:lineRule="exact"/>
              <w:jc w:val="center"/>
              <w:rPr>
                <w:rFonts w:ascii="Times New Roman" w:hAnsi="Times New Roman" w:eastAsia="宋体" w:cs="Times New Roman"/>
                <w:b/>
                <w:bCs/>
                <w:color w:val="auto"/>
                <w:kern w:val="2"/>
                <w:sz w:val="21"/>
                <w:szCs w:val="21"/>
                <w:lang w:val="en-US" w:eastAsia="zh-CN" w:bidi="ar-SA"/>
              </w:rPr>
            </w:pPr>
            <w:r>
              <w:rPr>
                <w:rFonts w:ascii="Times New Roman" w:hAnsi="Times New Roman" w:eastAsia="宋体" w:cs="Times New Roman"/>
                <w:b/>
                <w:bCs/>
                <w:color w:val="auto"/>
                <w:kern w:val="2"/>
                <w:sz w:val="21"/>
                <w:szCs w:val="21"/>
                <w:lang w:val="en-US" w:eastAsia="zh-CN" w:bidi="ar-SA"/>
              </w:rPr>
              <w:t>数量</w:t>
            </w:r>
          </w:p>
        </w:tc>
        <w:tc>
          <w:tcPr>
            <w:tcW w:w="984" w:type="pct"/>
            <w:vAlign w:val="center"/>
          </w:tcPr>
          <w:p>
            <w:pPr>
              <w:spacing w:line="320" w:lineRule="exact"/>
              <w:jc w:val="center"/>
              <w:rPr>
                <w:rFonts w:ascii="Times New Roman" w:hAnsi="Times New Roman" w:eastAsia="宋体" w:cs="Times New Roman"/>
                <w:b/>
                <w:bCs/>
                <w:color w:val="auto"/>
                <w:kern w:val="2"/>
                <w:sz w:val="21"/>
                <w:szCs w:val="21"/>
                <w:lang w:val="en-US" w:eastAsia="zh-CN" w:bidi="ar-SA"/>
              </w:rPr>
            </w:pPr>
            <w:r>
              <w:rPr>
                <w:rFonts w:ascii="Times New Roman" w:hAnsi="Times New Roman" w:eastAsia="宋体" w:cs="Times New Roman"/>
                <w:b/>
                <w:bCs/>
                <w:color w:val="auto"/>
                <w:kern w:val="2"/>
                <w:sz w:val="21"/>
                <w:szCs w:val="21"/>
                <w:lang w:val="en-US" w:eastAsia="zh-CN" w:bidi="ar-SA"/>
              </w:rPr>
              <w:t>单位</w:t>
            </w:r>
          </w:p>
        </w:tc>
        <w:tc>
          <w:tcPr>
            <w:tcW w:w="901" w:type="pct"/>
            <w:vAlign w:val="center"/>
          </w:tcPr>
          <w:p>
            <w:pPr>
              <w:spacing w:line="320" w:lineRule="exact"/>
              <w:jc w:val="center"/>
              <w:rPr>
                <w:rFonts w:ascii="Times New Roman" w:hAnsi="Times New Roman" w:eastAsia="宋体" w:cs="Times New Roman"/>
                <w:b/>
                <w:bCs/>
                <w:color w:val="auto"/>
                <w:kern w:val="2"/>
                <w:sz w:val="21"/>
                <w:szCs w:val="21"/>
                <w:lang w:val="en-US" w:eastAsia="zh-CN" w:bidi="ar-SA"/>
              </w:rPr>
            </w:pPr>
            <w:r>
              <w:rPr>
                <w:rFonts w:ascii="Times New Roman" w:hAnsi="Times New Roman" w:eastAsia="宋体" w:cs="Times New Roman"/>
                <w:b/>
                <w:bCs/>
                <w:color w:val="auto"/>
                <w:kern w:val="2"/>
                <w:sz w:val="21"/>
                <w:szCs w:val="21"/>
                <w:lang w:val="en-US" w:eastAsia="zh-CN" w:bidi="ar-SA"/>
              </w:rPr>
              <w:t>噪声声压级（dB(A)）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 w:hRule="atLeast"/>
          <w:jc w:val="center"/>
        </w:trPr>
        <w:tc>
          <w:tcPr>
            <w:tcW w:w="411" w:type="pct"/>
            <w:vAlign w:val="center"/>
          </w:tcPr>
          <w:p>
            <w:pPr>
              <w:spacing w:line="320" w:lineRule="exact"/>
              <w:jc w:val="center"/>
              <w:rPr>
                <w:rFonts w:ascii="Times New Roman" w:hAnsi="Times New Roman" w:eastAsia="宋体" w:cs="Times New Roman"/>
                <w:color w:val="auto"/>
                <w:kern w:val="2"/>
                <w:sz w:val="21"/>
                <w:szCs w:val="21"/>
                <w:lang w:val="en-US" w:eastAsia="zh-CN" w:bidi="ar-SA"/>
              </w:rPr>
            </w:pPr>
            <w:r>
              <w:rPr>
                <w:rFonts w:ascii="Times New Roman" w:hAnsi="Times New Roman" w:eastAsia="宋体" w:cs="Times New Roman"/>
                <w:color w:val="auto"/>
                <w:kern w:val="2"/>
                <w:sz w:val="21"/>
                <w:szCs w:val="21"/>
                <w:lang w:val="en-US" w:eastAsia="zh-CN" w:bidi="ar-SA"/>
              </w:rPr>
              <w:t>1</w:t>
            </w:r>
          </w:p>
        </w:tc>
        <w:tc>
          <w:tcPr>
            <w:tcW w:w="1087" w:type="pct"/>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自动脱脂机</w:t>
            </w:r>
          </w:p>
        </w:tc>
        <w:tc>
          <w:tcPr>
            <w:tcW w:w="896" w:type="pct"/>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65#</w:t>
            </w:r>
          </w:p>
        </w:tc>
        <w:tc>
          <w:tcPr>
            <w:tcW w:w="719" w:type="pct"/>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w:t>
            </w:r>
          </w:p>
        </w:tc>
        <w:tc>
          <w:tcPr>
            <w:tcW w:w="984" w:type="pct"/>
            <w:vAlign w:val="center"/>
          </w:tcPr>
          <w:p>
            <w:pPr>
              <w:spacing w:line="320" w:lineRule="exact"/>
              <w:jc w:val="center"/>
              <w:rPr>
                <w:rFonts w:ascii="Times New Roman" w:hAnsi="Times New Roman" w:eastAsia="宋体" w:cs="Times New Roman"/>
                <w:color w:val="auto"/>
                <w:kern w:val="2"/>
                <w:sz w:val="21"/>
                <w:szCs w:val="21"/>
                <w:lang w:val="en-US" w:eastAsia="zh-CN" w:bidi="ar-SA"/>
              </w:rPr>
            </w:pPr>
            <w:r>
              <w:rPr>
                <w:rFonts w:ascii="Times New Roman" w:hAnsi="Times New Roman" w:eastAsia="宋体" w:cs="Times New Roman"/>
                <w:color w:val="auto"/>
                <w:kern w:val="2"/>
                <w:sz w:val="21"/>
                <w:szCs w:val="21"/>
                <w:lang w:val="en-US" w:eastAsia="zh-CN" w:bidi="ar-SA"/>
              </w:rPr>
              <w:t>台</w:t>
            </w:r>
          </w:p>
        </w:tc>
        <w:tc>
          <w:tcPr>
            <w:tcW w:w="901" w:type="pct"/>
            <w:vAlign w:val="center"/>
          </w:tcPr>
          <w:p>
            <w:pPr>
              <w:spacing w:line="320" w:lineRule="exact"/>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 w:hRule="atLeast"/>
          <w:jc w:val="center"/>
        </w:trPr>
        <w:tc>
          <w:tcPr>
            <w:tcW w:w="411" w:type="pct"/>
            <w:vAlign w:val="center"/>
          </w:tcPr>
          <w:p>
            <w:pPr>
              <w:spacing w:line="320" w:lineRule="exact"/>
              <w:jc w:val="center"/>
              <w:rPr>
                <w:rFonts w:ascii="Times New Roman" w:hAnsi="Times New Roman" w:eastAsia="宋体" w:cs="Times New Roman"/>
                <w:color w:val="auto"/>
                <w:kern w:val="2"/>
                <w:sz w:val="21"/>
                <w:szCs w:val="21"/>
                <w:lang w:val="en-US" w:eastAsia="zh-CN" w:bidi="ar-SA"/>
              </w:rPr>
            </w:pPr>
            <w:r>
              <w:rPr>
                <w:rFonts w:ascii="Times New Roman" w:hAnsi="Times New Roman" w:eastAsia="宋体" w:cs="Times New Roman"/>
                <w:color w:val="auto"/>
                <w:kern w:val="2"/>
                <w:sz w:val="21"/>
                <w:szCs w:val="21"/>
                <w:lang w:val="en-US" w:eastAsia="zh-CN" w:bidi="ar-SA"/>
              </w:rPr>
              <w:t>2</w:t>
            </w:r>
          </w:p>
        </w:tc>
        <w:tc>
          <w:tcPr>
            <w:tcW w:w="1087" w:type="pct"/>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搅拌机</w:t>
            </w:r>
          </w:p>
        </w:tc>
        <w:tc>
          <w:tcPr>
            <w:tcW w:w="896" w:type="pct"/>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100L</w:t>
            </w:r>
          </w:p>
        </w:tc>
        <w:tc>
          <w:tcPr>
            <w:tcW w:w="719" w:type="pct"/>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20</w:t>
            </w:r>
          </w:p>
        </w:tc>
        <w:tc>
          <w:tcPr>
            <w:tcW w:w="984" w:type="pct"/>
            <w:vAlign w:val="center"/>
          </w:tcPr>
          <w:p>
            <w:pPr>
              <w:spacing w:line="320" w:lineRule="exact"/>
              <w:jc w:val="center"/>
              <w:rPr>
                <w:rFonts w:ascii="Times New Roman" w:hAnsi="Times New Roman" w:eastAsia="宋体" w:cs="Times New Roman"/>
                <w:color w:val="auto"/>
                <w:kern w:val="2"/>
                <w:sz w:val="21"/>
                <w:szCs w:val="21"/>
                <w:lang w:val="en-US" w:eastAsia="zh-CN" w:bidi="ar-SA"/>
              </w:rPr>
            </w:pPr>
            <w:r>
              <w:rPr>
                <w:rFonts w:ascii="Times New Roman" w:hAnsi="Times New Roman" w:eastAsia="宋体" w:cs="Times New Roman"/>
                <w:color w:val="auto"/>
                <w:kern w:val="2"/>
                <w:sz w:val="21"/>
                <w:szCs w:val="21"/>
                <w:lang w:val="en-US" w:eastAsia="zh-CN" w:bidi="ar-SA"/>
              </w:rPr>
              <w:t>台</w:t>
            </w:r>
          </w:p>
        </w:tc>
        <w:tc>
          <w:tcPr>
            <w:tcW w:w="901" w:type="pct"/>
            <w:vAlign w:val="center"/>
          </w:tcPr>
          <w:p>
            <w:pPr>
              <w:spacing w:line="320" w:lineRule="exact"/>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 w:hRule="atLeast"/>
          <w:jc w:val="center"/>
        </w:trPr>
        <w:tc>
          <w:tcPr>
            <w:tcW w:w="411" w:type="pct"/>
            <w:vAlign w:val="center"/>
          </w:tcPr>
          <w:p>
            <w:pPr>
              <w:spacing w:line="320" w:lineRule="exact"/>
              <w:jc w:val="center"/>
              <w:rPr>
                <w:rFonts w:ascii="Times New Roman" w:hAnsi="Times New Roman" w:eastAsia="宋体" w:cs="Times New Roman"/>
                <w:color w:val="auto"/>
                <w:kern w:val="2"/>
                <w:sz w:val="21"/>
                <w:szCs w:val="21"/>
                <w:lang w:val="en-US" w:eastAsia="zh-CN" w:bidi="ar-SA"/>
              </w:rPr>
            </w:pPr>
            <w:r>
              <w:rPr>
                <w:rFonts w:ascii="Times New Roman" w:hAnsi="Times New Roman" w:eastAsia="宋体" w:cs="Times New Roman"/>
                <w:color w:val="auto"/>
                <w:kern w:val="2"/>
                <w:sz w:val="21"/>
                <w:szCs w:val="21"/>
                <w:lang w:val="en-US" w:eastAsia="zh-CN" w:bidi="ar-SA"/>
              </w:rPr>
              <w:t>3</w:t>
            </w:r>
          </w:p>
        </w:tc>
        <w:tc>
          <w:tcPr>
            <w:tcW w:w="1087" w:type="pct"/>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开炼机</w:t>
            </w:r>
          </w:p>
        </w:tc>
        <w:tc>
          <w:tcPr>
            <w:tcW w:w="896" w:type="pct"/>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12#</w:t>
            </w:r>
          </w:p>
        </w:tc>
        <w:tc>
          <w:tcPr>
            <w:tcW w:w="719" w:type="pct"/>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w:t>
            </w:r>
          </w:p>
        </w:tc>
        <w:tc>
          <w:tcPr>
            <w:tcW w:w="984" w:type="pct"/>
            <w:vAlign w:val="center"/>
          </w:tcPr>
          <w:p>
            <w:pPr>
              <w:spacing w:line="320" w:lineRule="exact"/>
              <w:jc w:val="center"/>
              <w:rPr>
                <w:rFonts w:ascii="Times New Roman" w:hAnsi="Times New Roman" w:eastAsia="宋体" w:cs="Times New Roman"/>
                <w:color w:val="auto"/>
                <w:kern w:val="2"/>
                <w:sz w:val="21"/>
                <w:szCs w:val="21"/>
                <w:lang w:val="en-US" w:eastAsia="zh-CN" w:bidi="ar-SA"/>
              </w:rPr>
            </w:pPr>
            <w:r>
              <w:rPr>
                <w:rFonts w:ascii="Times New Roman" w:hAnsi="Times New Roman" w:eastAsia="宋体" w:cs="Times New Roman"/>
                <w:color w:val="auto"/>
                <w:kern w:val="2"/>
                <w:sz w:val="21"/>
                <w:szCs w:val="21"/>
                <w:lang w:val="en-US" w:eastAsia="zh-CN" w:bidi="ar-SA"/>
              </w:rPr>
              <w:t>台</w:t>
            </w:r>
          </w:p>
        </w:tc>
        <w:tc>
          <w:tcPr>
            <w:tcW w:w="901" w:type="pct"/>
            <w:vAlign w:val="center"/>
          </w:tcPr>
          <w:p>
            <w:pPr>
              <w:spacing w:line="320" w:lineRule="exact"/>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 w:hRule="atLeast"/>
          <w:jc w:val="center"/>
        </w:trPr>
        <w:tc>
          <w:tcPr>
            <w:tcW w:w="411" w:type="pct"/>
            <w:vAlign w:val="center"/>
          </w:tcPr>
          <w:p>
            <w:pPr>
              <w:spacing w:line="320" w:lineRule="exact"/>
              <w:jc w:val="center"/>
              <w:rPr>
                <w:rFonts w:ascii="Times New Roman" w:hAnsi="Times New Roman" w:eastAsia="宋体" w:cs="Times New Roman"/>
                <w:color w:val="auto"/>
                <w:kern w:val="2"/>
                <w:sz w:val="21"/>
                <w:szCs w:val="21"/>
                <w:lang w:val="en-US" w:eastAsia="zh-CN" w:bidi="ar-SA"/>
              </w:rPr>
            </w:pPr>
            <w:r>
              <w:rPr>
                <w:rFonts w:ascii="Times New Roman" w:hAnsi="Times New Roman" w:eastAsia="宋体" w:cs="Times New Roman"/>
                <w:color w:val="auto"/>
                <w:kern w:val="2"/>
                <w:sz w:val="21"/>
                <w:szCs w:val="21"/>
                <w:lang w:val="en-US" w:eastAsia="zh-CN" w:bidi="ar-SA"/>
              </w:rPr>
              <w:t>4</w:t>
            </w:r>
          </w:p>
        </w:tc>
        <w:tc>
          <w:tcPr>
            <w:tcW w:w="1087" w:type="pct"/>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辊涂机</w:t>
            </w:r>
          </w:p>
        </w:tc>
        <w:tc>
          <w:tcPr>
            <w:tcW w:w="896" w:type="pct"/>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600#</w:t>
            </w:r>
          </w:p>
        </w:tc>
        <w:tc>
          <w:tcPr>
            <w:tcW w:w="719" w:type="pct"/>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5</w:t>
            </w:r>
          </w:p>
        </w:tc>
        <w:tc>
          <w:tcPr>
            <w:tcW w:w="984" w:type="pct"/>
            <w:vAlign w:val="center"/>
          </w:tcPr>
          <w:p>
            <w:pPr>
              <w:spacing w:line="320" w:lineRule="exact"/>
              <w:jc w:val="center"/>
              <w:rPr>
                <w:rFonts w:ascii="Times New Roman" w:hAnsi="Times New Roman" w:eastAsia="宋体" w:cs="Times New Roman"/>
                <w:color w:val="auto"/>
                <w:kern w:val="2"/>
                <w:sz w:val="21"/>
                <w:szCs w:val="21"/>
                <w:lang w:val="en-US" w:eastAsia="zh-CN" w:bidi="ar-SA"/>
              </w:rPr>
            </w:pPr>
            <w:r>
              <w:rPr>
                <w:rFonts w:ascii="Times New Roman" w:hAnsi="Times New Roman" w:eastAsia="宋体" w:cs="Times New Roman"/>
                <w:color w:val="auto"/>
                <w:kern w:val="2"/>
                <w:sz w:val="21"/>
                <w:szCs w:val="21"/>
                <w:lang w:val="en-US" w:eastAsia="zh-CN" w:bidi="ar-SA"/>
              </w:rPr>
              <w:t>台</w:t>
            </w:r>
          </w:p>
        </w:tc>
        <w:tc>
          <w:tcPr>
            <w:tcW w:w="901" w:type="pct"/>
            <w:vAlign w:val="center"/>
          </w:tcPr>
          <w:p>
            <w:pPr>
              <w:spacing w:line="320" w:lineRule="exact"/>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 w:hRule="atLeast"/>
          <w:jc w:val="center"/>
        </w:trPr>
        <w:tc>
          <w:tcPr>
            <w:tcW w:w="411" w:type="pct"/>
            <w:vAlign w:val="center"/>
          </w:tcPr>
          <w:p>
            <w:pPr>
              <w:spacing w:line="320" w:lineRule="exact"/>
              <w:jc w:val="center"/>
              <w:rPr>
                <w:rFonts w:ascii="Times New Roman" w:hAnsi="Times New Roman" w:eastAsia="宋体" w:cs="Times New Roman"/>
                <w:color w:val="auto"/>
                <w:kern w:val="2"/>
                <w:sz w:val="21"/>
                <w:szCs w:val="21"/>
                <w:lang w:val="en-US" w:eastAsia="zh-CN" w:bidi="ar-SA"/>
              </w:rPr>
            </w:pPr>
            <w:r>
              <w:rPr>
                <w:rFonts w:ascii="Times New Roman" w:hAnsi="Times New Roman" w:eastAsia="宋体" w:cs="Times New Roman"/>
                <w:color w:val="auto"/>
                <w:kern w:val="2"/>
                <w:sz w:val="21"/>
                <w:szCs w:val="21"/>
                <w:lang w:val="en-US" w:eastAsia="zh-CN" w:bidi="ar-SA"/>
              </w:rPr>
              <w:t>5</w:t>
            </w:r>
          </w:p>
        </w:tc>
        <w:tc>
          <w:tcPr>
            <w:tcW w:w="1087" w:type="pct"/>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辊涂机</w:t>
            </w:r>
          </w:p>
        </w:tc>
        <w:tc>
          <w:tcPr>
            <w:tcW w:w="896" w:type="pct"/>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700#</w:t>
            </w:r>
          </w:p>
        </w:tc>
        <w:tc>
          <w:tcPr>
            <w:tcW w:w="719" w:type="pct"/>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3</w:t>
            </w:r>
          </w:p>
        </w:tc>
        <w:tc>
          <w:tcPr>
            <w:tcW w:w="984" w:type="pct"/>
            <w:vAlign w:val="center"/>
          </w:tcPr>
          <w:p>
            <w:pPr>
              <w:spacing w:line="320" w:lineRule="exact"/>
              <w:jc w:val="center"/>
              <w:rPr>
                <w:rFonts w:ascii="Times New Roman" w:hAnsi="Times New Roman" w:eastAsia="宋体" w:cs="Times New Roman"/>
                <w:color w:val="auto"/>
                <w:kern w:val="2"/>
                <w:sz w:val="21"/>
                <w:szCs w:val="21"/>
                <w:lang w:val="en-US" w:eastAsia="zh-CN" w:bidi="ar-SA"/>
              </w:rPr>
            </w:pPr>
            <w:r>
              <w:rPr>
                <w:rFonts w:ascii="Times New Roman" w:hAnsi="Times New Roman" w:eastAsia="宋体" w:cs="Times New Roman"/>
                <w:color w:val="auto"/>
                <w:kern w:val="2"/>
                <w:sz w:val="21"/>
                <w:szCs w:val="21"/>
                <w:lang w:val="en-US" w:eastAsia="zh-CN" w:bidi="ar-SA"/>
              </w:rPr>
              <w:t>台</w:t>
            </w:r>
          </w:p>
        </w:tc>
        <w:tc>
          <w:tcPr>
            <w:tcW w:w="901" w:type="pct"/>
            <w:vAlign w:val="center"/>
          </w:tcPr>
          <w:p>
            <w:pPr>
              <w:spacing w:line="320" w:lineRule="exact"/>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 w:hRule="atLeast"/>
          <w:jc w:val="center"/>
        </w:trPr>
        <w:tc>
          <w:tcPr>
            <w:tcW w:w="411" w:type="pct"/>
            <w:vAlign w:val="center"/>
          </w:tcPr>
          <w:p>
            <w:pPr>
              <w:spacing w:line="320" w:lineRule="exact"/>
              <w:jc w:val="center"/>
              <w:rPr>
                <w:rFonts w:ascii="Times New Roman" w:hAnsi="Times New Roman" w:eastAsia="宋体" w:cs="Times New Roman"/>
                <w:color w:val="auto"/>
                <w:kern w:val="2"/>
                <w:sz w:val="21"/>
                <w:szCs w:val="21"/>
                <w:lang w:val="en-US" w:eastAsia="zh-CN" w:bidi="ar-SA"/>
              </w:rPr>
            </w:pPr>
            <w:r>
              <w:rPr>
                <w:rFonts w:ascii="Times New Roman" w:hAnsi="Times New Roman" w:eastAsia="宋体" w:cs="Times New Roman"/>
                <w:color w:val="auto"/>
                <w:kern w:val="2"/>
                <w:sz w:val="21"/>
                <w:szCs w:val="21"/>
                <w:lang w:val="en-US" w:eastAsia="zh-CN" w:bidi="ar-SA"/>
              </w:rPr>
              <w:t>6</w:t>
            </w:r>
          </w:p>
        </w:tc>
        <w:tc>
          <w:tcPr>
            <w:tcW w:w="1087" w:type="pct"/>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切条机</w:t>
            </w:r>
          </w:p>
        </w:tc>
        <w:tc>
          <w:tcPr>
            <w:tcW w:w="896" w:type="pct"/>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550/350</w:t>
            </w:r>
          </w:p>
        </w:tc>
        <w:tc>
          <w:tcPr>
            <w:tcW w:w="719" w:type="pct"/>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2</w:t>
            </w:r>
          </w:p>
        </w:tc>
        <w:tc>
          <w:tcPr>
            <w:tcW w:w="984" w:type="pct"/>
            <w:vAlign w:val="center"/>
          </w:tcPr>
          <w:p>
            <w:pPr>
              <w:spacing w:line="320" w:lineRule="exact"/>
              <w:jc w:val="center"/>
              <w:rPr>
                <w:rFonts w:ascii="Times New Roman" w:hAnsi="Times New Roman" w:eastAsia="宋体" w:cs="Times New Roman"/>
                <w:color w:val="auto"/>
                <w:kern w:val="2"/>
                <w:sz w:val="21"/>
                <w:szCs w:val="21"/>
                <w:lang w:val="en-US" w:eastAsia="zh-CN" w:bidi="ar-SA"/>
              </w:rPr>
            </w:pPr>
            <w:r>
              <w:rPr>
                <w:rFonts w:ascii="Times New Roman" w:hAnsi="Times New Roman" w:eastAsia="宋体" w:cs="Times New Roman"/>
                <w:color w:val="auto"/>
                <w:kern w:val="2"/>
                <w:sz w:val="21"/>
                <w:szCs w:val="21"/>
                <w:lang w:val="en-US" w:eastAsia="zh-CN" w:bidi="ar-SA"/>
              </w:rPr>
              <w:t>台</w:t>
            </w:r>
          </w:p>
        </w:tc>
        <w:tc>
          <w:tcPr>
            <w:tcW w:w="901" w:type="pct"/>
            <w:vAlign w:val="center"/>
          </w:tcPr>
          <w:p>
            <w:pPr>
              <w:spacing w:line="320" w:lineRule="exact"/>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 w:hRule="atLeast"/>
          <w:jc w:val="center"/>
        </w:trPr>
        <w:tc>
          <w:tcPr>
            <w:tcW w:w="411" w:type="pct"/>
            <w:vAlign w:val="center"/>
          </w:tcPr>
          <w:p>
            <w:pPr>
              <w:spacing w:line="320" w:lineRule="exact"/>
              <w:jc w:val="center"/>
              <w:rPr>
                <w:rFonts w:ascii="Times New Roman" w:hAnsi="Times New Roman" w:eastAsia="宋体" w:cs="Times New Roman"/>
                <w:color w:val="auto"/>
                <w:kern w:val="2"/>
                <w:sz w:val="21"/>
                <w:szCs w:val="21"/>
                <w:lang w:val="en-US" w:eastAsia="zh-CN" w:bidi="ar-SA"/>
              </w:rPr>
            </w:pPr>
            <w:r>
              <w:rPr>
                <w:rFonts w:ascii="Times New Roman" w:hAnsi="Times New Roman" w:eastAsia="宋体" w:cs="Times New Roman"/>
                <w:color w:val="auto"/>
                <w:kern w:val="2"/>
                <w:sz w:val="21"/>
                <w:szCs w:val="21"/>
                <w:lang w:val="en-US" w:eastAsia="zh-CN" w:bidi="ar-SA"/>
              </w:rPr>
              <w:t>7</w:t>
            </w:r>
          </w:p>
        </w:tc>
        <w:tc>
          <w:tcPr>
            <w:tcW w:w="1087" w:type="pct"/>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叉车</w:t>
            </w:r>
          </w:p>
        </w:tc>
        <w:tc>
          <w:tcPr>
            <w:tcW w:w="896" w:type="pct"/>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TCM3T</w:t>
            </w:r>
          </w:p>
        </w:tc>
        <w:tc>
          <w:tcPr>
            <w:tcW w:w="719" w:type="pct"/>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w:t>
            </w:r>
          </w:p>
        </w:tc>
        <w:tc>
          <w:tcPr>
            <w:tcW w:w="984" w:type="pct"/>
            <w:vAlign w:val="center"/>
          </w:tcPr>
          <w:p>
            <w:pPr>
              <w:spacing w:line="320" w:lineRule="exact"/>
              <w:jc w:val="center"/>
              <w:rPr>
                <w:rFonts w:ascii="Times New Roman" w:hAnsi="Times New Roman" w:eastAsia="宋体" w:cs="Times New Roman"/>
                <w:color w:val="auto"/>
                <w:kern w:val="2"/>
                <w:sz w:val="21"/>
                <w:szCs w:val="21"/>
                <w:lang w:val="en-US" w:eastAsia="zh-CN" w:bidi="ar-SA"/>
              </w:rPr>
            </w:pPr>
            <w:r>
              <w:rPr>
                <w:rFonts w:ascii="Times New Roman" w:hAnsi="Times New Roman" w:eastAsia="宋体" w:cs="Times New Roman"/>
                <w:color w:val="auto"/>
                <w:kern w:val="2"/>
                <w:sz w:val="21"/>
                <w:szCs w:val="21"/>
                <w:lang w:val="en-US" w:eastAsia="zh-CN" w:bidi="ar-SA"/>
              </w:rPr>
              <w:t>台</w:t>
            </w:r>
          </w:p>
        </w:tc>
        <w:tc>
          <w:tcPr>
            <w:tcW w:w="901" w:type="pct"/>
            <w:vAlign w:val="center"/>
          </w:tcPr>
          <w:p>
            <w:pPr>
              <w:spacing w:line="320" w:lineRule="exact"/>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 w:hRule="atLeast"/>
          <w:jc w:val="center"/>
        </w:trPr>
        <w:tc>
          <w:tcPr>
            <w:tcW w:w="411" w:type="pct"/>
            <w:vAlign w:val="center"/>
          </w:tcPr>
          <w:p>
            <w:pPr>
              <w:spacing w:line="320" w:lineRule="exact"/>
              <w:jc w:val="center"/>
              <w:rPr>
                <w:rFonts w:ascii="Times New Roman" w:hAnsi="Times New Roman" w:eastAsia="宋体" w:cs="Times New Roman"/>
                <w:color w:val="auto"/>
                <w:kern w:val="2"/>
                <w:sz w:val="21"/>
                <w:szCs w:val="21"/>
                <w:lang w:val="en-US" w:eastAsia="zh-CN" w:bidi="ar-SA"/>
              </w:rPr>
            </w:pPr>
            <w:r>
              <w:rPr>
                <w:rFonts w:ascii="Times New Roman" w:hAnsi="Times New Roman" w:eastAsia="宋体" w:cs="Times New Roman"/>
                <w:color w:val="auto"/>
                <w:kern w:val="2"/>
                <w:sz w:val="21"/>
                <w:szCs w:val="21"/>
                <w:lang w:val="en-US" w:eastAsia="zh-CN" w:bidi="ar-SA"/>
              </w:rPr>
              <w:t>8</w:t>
            </w:r>
          </w:p>
        </w:tc>
        <w:tc>
          <w:tcPr>
            <w:tcW w:w="1087" w:type="pct"/>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电动剪板机</w:t>
            </w:r>
          </w:p>
        </w:tc>
        <w:tc>
          <w:tcPr>
            <w:tcW w:w="896" w:type="pct"/>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1200</w:t>
            </w:r>
          </w:p>
        </w:tc>
        <w:tc>
          <w:tcPr>
            <w:tcW w:w="719" w:type="pct"/>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w:t>
            </w:r>
          </w:p>
        </w:tc>
        <w:tc>
          <w:tcPr>
            <w:tcW w:w="984" w:type="pct"/>
            <w:vAlign w:val="center"/>
          </w:tcPr>
          <w:p>
            <w:pPr>
              <w:spacing w:line="320" w:lineRule="exact"/>
              <w:jc w:val="center"/>
              <w:rPr>
                <w:rFonts w:ascii="Times New Roman" w:hAnsi="Times New Roman" w:eastAsia="宋体" w:cs="Times New Roman"/>
                <w:color w:val="auto"/>
                <w:kern w:val="2"/>
                <w:sz w:val="21"/>
                <w:szCs w:val="21"/>
                <w:lang w:val="en-US" w:eastAsia="zh-CN" w:bidi="ar-SA"/>
              </w:rPr>
            </w:pPr>
            <w:r>
              <w:rPr>
                <w:rFonts w:ascii="Times New Roman" w:hAnsi="Times New Roman" w:eastAsia="宋体" w:cs="Times New Roman"/>
                <w:color w:val="auto"/>
                <w:kern w:val="2"/>
                <w:sz w:val="21"/>
                <w:szCs w:val="21"/>
                <w:lang w:val="en-US" w:eastAsia="zh-CN" w:bidi="ar-SA"/>
              </w:rPr>
              <w:t>台</w:t>
            </w:r>
          </w:p>
        </w:tc>
        <w:tc>
          <w:tcPr>
            <w:tcW w:w="901" w:type="pct"/>
            <w:vAlign w:val="center"/>
          </w:tcPr>
          <w:p>
            <w:pPr>
              <w:spacing w:line="320" w:lineRule="exact"/>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 w:hRule="atLeast"/>
          <w:jc w:val="center"/>
        </w:trPr>
        <w:tc>
          <w:tcPr>
            <w:tcW w:w="411" w:type="pct"/>
            <w:vAlign w:val="center"/>
          </w:tcPr>
          <w:p>
            <w:pPr>
              <w:spacing w:line="320" w:lineRule="exact"/>
              <w:jc w:val="center"/>
              <w:rPr>
                <w:rFonts w:ascii="Times New Roman" w:hAnsi="Times New Roman" w:eastAsia="宋体" w:cs="Times New Roman"/>
                <w:color w:val="auto"/>
                <w:kern w:val="2"/>
                <w:sz w:val="21"/>
                <w:szCs w:val="21"/>
                <w:lang w:val="en-US" w:eastAsia="zh-CN" w:bidi="ar-SA"/>
              </w:rPr>
            </w:pPr>
            <w:r>
              <w:rPr>
                <w:rFonts w:ascii="Times New Roman" w:hAnsi="Times New Roman" w:eastAsia="宋体" w:cs="Times New Roman"/>
                <w:color w:val="auto"/>
                <w:kern w:val="2"/>
                <w:sz w:val="21"/>
                <w:szCs w:val="21"/>
                <w:lang w:val="en-US" w:eastAsia="zh-CN" w:bidi="ar-SA"/>
              </w:rPr>
              <w:t>9</w:t>
            </w:r>
          </w:p>
        </w:tc>
        <w:tc>
          <w:tcPr>
            <w:tcW w:w="1087" w:type="pct"/>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发泡自动涂覆线</w:t>
            </w:r>
          </w:p>
        </w:tc>
        <w:tc>
          <w:tcPr>
            <w:tcW w:w="896" w:type="pct"/>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800#</w:t>
            </w:r>
          </w:p>
        </w:tc>
        <w:tc>
          <w:tcPr>
            <w:tcW w:w="719" w:type="pct"/>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w:t>
            </w:r>
          </w:p>
        </w:tc>
        <w:tc>
          <w:tcPr>
            <w:tcW w:w="984" w:type="pct"/>
            <w:vAlign w:val="top"/>
          </w:tcPr>
          <w:p>
            <w:pPr>
              <w:spacing w:line="320" w:lineRule="exact"/>
              <w:jc w:val="center"/>
              <w:rPr>
                <w:rFonts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组</w:t>
            </w:r>
          </w:p>
        </w:tc>
        <w:tc>
          <w:tcPr>
            <w:tcW w:w="901" w:type="pct"/>
            <w:vAlign w:val="top"/>
          </w:tcPr>
          <w:p>
            <w:pPr>
              <w:spacing w:line="320" w:lineRule="exact"/>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 w:hRule="atLeast"/>
          <w:jc w:val="center"/>
        </w:trPr>
        <w:tc>
          <w:tcPr>
            <w:tcW w:w="411" w:type="pct"/>
            <w:vAlign w:val="center"/>
          </w:tcPr>
          <w:p>
            <w:pPr>
              <w:spacing w:line="320" w:lineRule="exact"/>
              <w:jc w:val="center"/>
              <w:rPr>
                <w:rFonts w:ascii="Times New Roman" w:hAnsi="Times New Roman" w:eastAsia="宋体" w:cs="Times New Roman"/>
                <w:color w:val="auto"/>
                <w:kern w:val="2"/>
                <w:sz w:val="21"/>
                <w:szCs w:val="21"/>
                <w:lang w:val="en-US" w:eastAsia="zh-CN" w:bidi="ar-SA"/>
              </w:rPr>
            </w:pPr>
            <w:r>
              <w:rPr>
                <w:rFonts w:ascii="Times New Roman" w:hAnsi="Times New Roman" w:eastAsia="宋体" w:cs="Times New Roman"/>
                <w:color w:val="auto"/>
                <w:kern w:val="2"/>
                <w:sz w:val="21"/>
                <w:szCs w:val="21"/>
                <w:lang w:val="en-US" w:eastAsia="zh-CN" w:bidi="ar-SA"/>
              </w:rPr>
              <w:t>10</w:t>
            </w:r>
          </w:p>
        </w:tc>
        <w:tc>
          <w:tcPr>
            <w:tcW w:w="1087" w:type="pct"/>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涂层自动涂覆线</w:t>
            </w:r>
          </w:p>
        </w:tc>
        <w:tc>
          <w:tcPr>
            <w:tcW w:w="896" w:type="pct"/>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600#</w:t>
            </w:r>
          </w:p>
        </w:tc>
        <w:tc>
          <w:tcPr>
            <w:tcW w:w="719" w:type="pct"/>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2</w:t>
            </w:r>
          </w:p>
        </w:tc>
        <w:tc>
          <w:tcPr>
            <w:tcW w:w="984" w:type="pct"/>
            <w:vAlign w:val="top"/>
          </w:tcPr>
          <w:p>
            <w:pPr>
              <w:spacing w:line="320" w:lineRule="exact"/>
              <w:jc w:val="center"/>
              <w:rPr>
                <w:rFonts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组</w:t>
            </w:r>
          </w:p>
        </w:tc>
        <w:tc>
          <w:tcPr>
            <w:tcW w:w="901" w:type="pct"/>
            <w:vAlign w:val="top"/>
          </w:tcPr>
          <w:p>
            <w:pPr>
              <w:spacing w:line="320" w:lineRule="exact"/>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 w:hRule="atLeast"/>
          <w:jc w:val="center"/>
        </w:trPr>
        <w:tc>
          <w:tcPr>
            <w:tcW w:w="411" w:type="pct"/>
          </w:tcPr>
          <w:p>
            <w:pPr>
              <w:spacing w:line="320" w:lineRule="exact"/>
              <w:jc w:val="center"/>
              <w:rPr>
                <w:rFonts w:ascii="Times New Roman" w:hAnsi="Times New Roman" w:eastAsia="宋体" w:cs="Times New Roman"/>
                <w:color w:val="auto"/>
                <w:kern w:val="2"/>
                <w:sz w:val="21"/>
                <w:szCs w:val="21"/>
                <w:lang w:val="en-US" w:eastAsia="zh-CN" w:bidi="ar-SA"/>
              </w:rPr>
            </w:pPr>
            <w:r>
              <w:rPr>
                <w:rFonts w:ascii="Times New Roman" w:hAnsi="Times New Roman" w:eastAsia="宋体" w:cs="Times New Roman"/>
                <w:color w:val="auto"/>
                <w:kern w:val="2"/>
                <w:sz w:val="21"/>
                <w:szCs w:val="21"/>
                <w:lang w:val="en-US" w:eastAsia="zh-CN" w:bidi="ar-SA"/>
              </w:rPr>
              <w:t>11</w:t>
            </w:r>
          </w:p>
        </w:tc>
        <w:tc>
          <w:tcPr>
            <w:tcW w:w="1087" w:type="pct"/>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橡胶密炼机</w:t>
            </w:r>
          </w:p>
        </w:tc>
        <w:tc>
          <w:tcPr>
            <w:tcW w:w="896" w:type="pct"/>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55#</w:t>
            </w:r>
          </w:p>
        </w:tc>
        <w:tc>
          <w:tcPr>
            <w:tcW w:w="719" w:type="pct"/>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2</w:t>
            </w:r>
          </w:p>
        </w:tc>
        <w:tc>
          <w:tcPr>
            <w:tcW w:w="984" w:type="pct"/>
            <w:vAlign w:val="top"/>
          </w:tcPr>
          <w:p>
            <w:pPr>
              <w:spacing w:line="320" w:lineRule="exact"/>
              <w:jc w:val="center"/>
              <w:rPr>
                <w:rFonts w:ascii="Times New Roman" w:hAnsi="Times New Roman" w:eastAsia="宋体" w:cs="Times New Roman"/>
                <w:color w:val="auto"/>
                <w:kern w:val="2"/>
                <w:sz w:val="21"/>
                <w:szCs w:val="21"/>
                <w:lang w:val="en-US" w:eastAsia="zh-CN" w:bidi="ar-SA"/>
              </w:rPr>
            </w:pPr>
            <w:r>
              <w:rPr>
                <w:rFonts w:ascii="Times New Roman" w:hAnsi="Times New Roman" w:eastAsia="宋体" w:cs="Times New Roman"/>
                <w:color w:val="auto"/>
                <w:kern w:val="2"/>
                <w:sz w:val="21"/>
                <w:szCs w:val="21"/>
                <w:lang w:val="en-US" w:eastAsia="zh-CN" w:bidi="ar-SA"/>
              </w:rPr>
              <w:t>台</w:t>
            </w:r>
          </w:p>
        </w:tc>
        <w:tc>
          <w:tcPr>
            <w:tcW w:w="901" w:type="pct"/>
            <w:vAlign w:val="top"/>
          </w:tcPr>
          <w:p>
            <w:pPr>
              <w:spacing w:line="320" w:lineRule="exact"/>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 w:hRule="atLeast"/>
          <w:jc w:val="center"/>
        </w:trPr>
        <w:tc>
          <w:tcPr>
            <w:tcW w:w="411" w:type="pct"/>
          </w:tcPr>
          <w:p>
            <w:pPr>
              <w:spacing w:line="320" w:lineRule="exact"/>
              <w:jc w:val="center"/>
              <w:rPr>
                <w:rFonts w:ascii="Times New Roman" w:hAnsi="Times New Roman" w:eastAsia="宋体" w:cs="Times New Roman"/>
                <w:color w:val="auto"/>
                <w:kern w:val="2"/>
                <w:sz w:val="21"/>
                <w:szCs w:val="21"/>
                <w:lang w:val="en-US" w:eastAsia="zh-CN" w:bidi="ar-SA"/>
              </w:rPr>
            </w:pPr>
            <w:r>
              <w:rPr>
                <w:rFonts w:ascii="Times New Roman" w:hAnsi="Times New Roman" w:eastAsia="宋体" w:cs="Times New Roman"/>
                <w:color w:val="auto"/>
                <w:kern w:val="2"/>
                <w:sz w:val="21"/>
                <w:szCs w:val="21"/>
                <w:lang w:val="en-US" w:eastAsia="zh-CN" w:bidi="ar-SA"/>
              </w:rPr>
              <w:t>12</w:t>
            </w:r>
          </w:p>
        </w:tc>
        <w:tc>
          <w:tcPr>
            <w:tcW w:w="1087" w:type="pct"/>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风机</w:t>
            </w:r>
          </w:p>
        </w:tc>
        <w:tc>
          <w:tcPr>
            <w:tcW w:w="896" w:type="pct"/>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w:t>
            </w:r>
          </w:p>
        </w:tc>
        <w:tc>
          <w:tcPr>
            <w:tcW w:w="719" w:type="pct"/>
            <w:vAlign w:val="top"/>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3</w:t>
            </w:r>
          </w:p>
        </w:tc>
        <w:tc>
          <w:tcPr>
            <w:tcW w:w="984" w:type="pct"/>
            <w:vAlign w:val="top"/>
          </w:tcPr>
          <w:p>
            <w:pPr>
              <w:spacing w:line="320" w:lineRule="exact"/>
              <w:jc w:val="center"/>
              <w:rPr>
                <w:rFonts w:ascii="Times New Roman" w:hAnsi="Times New Roman" w:eastAsia="宋体" w:cs="Times New Roman"/>
                <w:color w:val="auto"/>
                <w:kern w:val="2"/>
                <w:sz w:val="21"/>
                <w:szCs w:val="21"/>
                <w:lang w:val="en-US" w:eastAsia="zh-CN" w:bidi="ar-SA"/>
              </w:rPr>
            </w:pPr>
            <w:r>
              <w:rPr>
                <w:rFonts w:ascii="Times New Roman" w:hAnsi="Times New Roman" w:eastAsia="宋体" w:cs="Times New Roman"/>
                <w:color w:val="auto"/>
                <w:kern w:val="2"/>
                <w:sz w:val="21"/>
                <w:szCs w:val="21"/>
                <w:lang w:val="en-US" w:eastAsia="zh-CN" w:bidi="ar-SA"/>
              </w:rPr>
              <w:t>台</w:t>
            </w:r>
          </w:p>
        </w:tc>
        <w:tc>
          <w:tcPr>
            <w:tcW w:w="901" w:type="pct"/>
            <w:vAlign w:val="top"/>
          </w:tcPr>
          <w:p>
            <w:pPr>
              <w:spacing w:line="320" w:lineRule="exact"/>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85</w:t>
            </w:r>
          </w:p>
        </w:tc>
      </w:tr>
    </w:tbl>
    <w:p>
      <w:pPr>
        <w:spacing w:line="520" w:lineRule="exact"/>
        <w:ind w:firstLine="482" w:firstLineChars="200"/>
        <w:rPr>
          <w:b/>
          <w:color w:val="auto"/>
          <w:sz w:val="24"/>
        </w:rPr>
      </w:pPr>
      <w:r>
        <w:rPr>
          <w:b/>
          <w:color w:val="auto"/>
          <w:sz w:val="24"/>
        </w:rPr>
        <w:t>（4）固体废物</w:t>
      </w:r>
    </w:p>
    <w:p>
      <w:pPr>
        <w:spacing w:line="520" w:lineRule="exact"/>
        <w:ind w:firstLine="480" w:firstLineChars="200"/>
        <w:rPr>
          <w:bCs/>
          <w:color w:val="auto"/>
          <w:sz w:val="24"/>
        </w:rPr>
      </w:pPr>
      <w:r>
        <w:rPr>
          <w:bCs/>
          <w:color w:val="auto"/>
          <w:sz w:val="24"/>
        </w:rPr>
        <w:t>本项目固废主要</w:t>
      </w:r>
      <w:r>
        <w:rPr>
          <w:rFonts w:hint="eastAsia"/>
          <w:bCs/>
          <w:color w:val="auto"/>
          <w:sz w:val="24"/>
          <w:lang w:eastAsia="zh-CN"/>
        </w:rPr>
        <w:t>有收集的粉尘、废包装袋、废活性炭</w:t>
      </w:r>
      <w:r>
        <w:rPr>
          <w:color w:val="auto"/>
          <w:sz w:val="24"/>
        </w:rPr>
        <w:t>、</w:t>
      </w:r>
      <w:r>
        <w:rPr>
          <w:rFonts w:hint="default" w:ascii="Times New Roman" w:hAnsi="Times New Roman" w:cs="Times New Roman"/>
          <w:color w:val="auto"/>
          <w:sz w:val="24"/>
          <w:lang w:val="en-US" w:eastAsia="zh-CN"/>
        </w:rPr>
        <w:t>废硫化剂及废氧化锌等包装材料</w:t>
      </w:r>
      <w:r>
        <w:rPr>
          <w:rFonts w:hint="eastAsia" w:cs="Times New Roman"/>
          <w:color w:val="auto"/>
          <w:sz w:val="24"/>
          <w:lang w:val="en-US" w:eastAsia="zh-CN"/>
        </w:rPr>
        <w:t>、</w:t>
      </w:r>
      <w:r>
        <w:rPr>
          <w:rFonts w:hint="eastAsia"/>
          <w:color w:val="auto"/>
          <w:sz w:val="24"/>
          <w:lang w:eastAsia="zh-CN"/>
        </w:rPr>
        <w:t>废脱脂槽液、</w:t>
      </w:r>
      <w:r>
        <w:rPr>
          <w:color w:val="auto"/>
          <w:sz w:val="24"/>
        </w:rPr>
        <w:t>生活垃圾</w:t>
      </w:r>
      <w:r>
        <w:rPr>
          <w:bCs/>
          <w:color w:val="auto"/>
          <w:sz w:val="24"/>
        </w:rPr>
        <w:t>，具体产生情况如下：</w:t>
      </w:r>
    </w:p>
    <w:p>
      <w:pPr>
        <w:spacing w:line="360" w:lineRule="auto"/>
        <w:ind w:firstLine="480" w:firstLineChars="200"/>
        <w:rPr>
          <w:bCs/>
          <w:color w:val="auto"/>
          <w:sz w:val="24"/>
        </w:rPr>
      </w:pPr>
      <w:r>
        <w:rPr>
          <w:rFonts w:hint="eastAsia"/>
          <w:bCs/>
          <w:color w:val="auto"/>
          <w:sz w:val="24"/>
          <w:lang w:eastAsia="zh-CN"/>
        </w:rPr>
        <w:t>收集的粉尘</w:t>
      </w:r>
      <w:r>
        <w:rPr>
          <w:bCs/>
          <w:color w:val="auto"/>
          <w:sz w:val="24"/>
        </w:rPr>
        <w:t>：根据工程分析，</w:t>
      </w:r>
      <w:r>
        <w:rPr>
          <w:rFonts w:hint="eastAsia"/>
          <w:bCs/>
          <w:color w:val="auto"/>
          <w:sz w:val="24"/>
          <w:lang w:eastAsia="zh-CN"/>
        </w:rPr>
        <w:t>经布袋除尘器收集的粉尘</w:t>
      </w:r>
      <w:r>
        <w:rPr>
          <w:bCs/>
          <w:color w:val="auto"/>
          <w:sz w:val="24"/>
        </w:rPr>
        <w:t>量</w:t>
      </w:r>
      <w:r>
        <w:rPr>
          <w:rFonts w:hint="eastAsia"/>
          <w:bCs/>
          <w:color w:val="auto"/>
          <w:sz w:val="24"/>
          <w:lang w:val="en-US" w:eastAsia="zh-CN"/>
        </w:rPr>
        <w:t>0.62</w:t>
      </w:r>
      <w:r>
        <w:rPr>
          <w:bCs/>
          <w:color w:val="auto"/>
          <w:sz w:val="24"/>
        </w:rPr>
        <w:t>t/a，集中收集后</w:t>
      </w:r>
      <w:r>
        <w:rPr>
          <w:rFonts w:hint="eastAsia"/>
          <w:bCs/>
          <w:color w:val="auto"/>
          <w:sz w:val="24"/>
          <w:lang w:eastAsia="zh-CN"/>
        </w:rPr>
        <w:t>可作为原料继续使用</w:t>
      </w:r>
      <w:r>
        <w:rPr>
          <w:bCs/>
          <w:color w:val="auto"/>
          <w:sz w:val="24"/>
        </w:rPr>
        <w:t>。</w:t>
      </w:r>
    </w:p>
    <w:p>
      <w:pPr>
        <w:spacing w:line="360" w:lineRule="auto"/>
        <w:ind w:firstLine="480" w:firstLineChars="200"/>
        <w:rPr>
          <w:color w:val="auto"/>
          <w:sz w:val="24"/>
        </w:rPr>
      </w:pPr>
      <w:r>
        <w:rPr>
          <w:bCs/>
          <w:color w:val="auto"/>
          <w:sz w:val="24"/>
        </w:rPr>
        <w:t>废包装</w:t>
      </w:r>
      <w:r>
        <w:rPr>
          <w:rFonts w:hint="eastAsia"/>
          <w:bCs/>
          <w:color w:val="auto"/>
          <w:sz w:val="24"/>
        </w:rPr>
        <w:t>材料</w:t>
      </w:r>
      <w:r>
        <w:rPr>
          <w:bCs/>
          <w:color w:val="auto"/>
          <w:sz w:val="24"/>
        </w:rPr>
        <w:t>（一般固体废物）：存装原辅材料的废包装</w:t>
      </w:r>
      <w:r>
        <w:rPr>
          <w:rFonts w:hint="eastAsia"/>
          <w:bCs/>
          <w:color w:val="auto"/>
          <w:sz w:val="24"/>
        </w:rPr>
        <w:t>材料</w:t>
      </w:r>
      <w:r>
        <w:rPr>
          <w:bCs/>
          <w:color w:val="auto"/>
          <w:sz w:val="24"/>
        </w:rPr>
        <w:t>产生量0.1t/a，集中收集后外售物资回收公司</w:t>
      </w:r>
      <w:r>
        <w:rPr>
          <w:color w:val="auto"/>
          <w:sz w:val="24"/>
        </w:rPr>
        <w:t>。</w:t>
      </w:r>
    </w:p>
    <w:p>
      <w:pPr>
        <w:spacing w:line="360" w:lineRule="auto"/>
        <w:ind w:firstLine="480" w:firstLineChars="200"/>
        <w:rPr>
          <w:rFonts w:hint="default" w:ascii="Times New Roman" w:hAnsi="Times New Roman" w:cs="Times New Roman"/>
          <w:color w:val="auto"/>
          <w:sz w:val="24"/>
          <w:szCs w:val="24"/>
          <w:lang w:val="en-US" w:eastAsia="zh-CN"/>
        </w:rPr>
      </w:pPr>
      <w:r>
        <w:rPr>
          <w:color w:val="auto"/>
          <w:sz w:val="24"/>
        </w:rPr>
        <w:t>废活性炭</w:t>
      </w:r>
      <w:r>
        <w:rPr>
          <w:rFonts w:hint="eastAsia"/>
          <w:color w:val="auto"/>
          <w:sz w:val="24"/>
          <w:lang w:eastAsia="zh-CN"/>
        </w:rPr>
        <w:t>：</w:t>
      </w:r>
      <w:r>
        <w:rPr>
          <w:rFonts w:hint="default"/>
          <w:color w:val="auto"/>
          <w:sz w:val="24"/>
          <w:lang w:val="en-US" w:eastAsia="zh-CN"/>
        </w:rPr>
        <w:t>活性炭吸附装置因吸附有机废</w:t>
      </w:r>
      <w:r>
        <w:rPr>
          <w:rFonts w:hint="default" w:ascii="Times New Roman" w:hAnsi="Times New Roman" w:eastAsia="宋体" w:cs="Times New Roman"/>
          <w:color w:val="auto"/>
          <w:sz w:val="24"/>
          <w:highlight w:val="none"/>
          <w:shd w:val="clear" w:color="auto" w:fill="auto"/>
          <w:lang w:val="en-US" w:eastAsia="zh-CN"/>
        </w:rPr>
        <w:t>气产生的废活性炭，</w:t>
      </w:r>
      <w:r>
        <w:rPr>
          <w:rFonts w:hint="eastAsia" w:ascii="Times New Roman" w:hAnsi="Times New Roman" w:eastAsia="宋体" w:cs="Times New Roman"/>
          <w:color w:val="auto"/>
          <w:sz w:val="24"/>
          <w:highlight w:val="none"/>
          <w:shd w:val="clear" w:color="auto" w:fill="auto"/>
          <w:lang w:val="en-US" w:eastAsia="zh-CN"/>
        </w:rPr>
        <w:t>废产生量为：</w:t>
      </w:r>
      <w:r>
        <w:rPr>
          <w:rFonts w:hint="default" w:ascii="Times New Roman" w:hAnsi="Times New Roman" w:eastAsia="宋体" w:cs="Times New Roman"/>
          <w:color w:val="auto"/>
          <w:sz w:val="24"/>
          <w:highlight w:val="none"/>
          <w:shd w:val="clear" w:color="auto" w:fill="auto"/>
          <w:lang w:val="en-US" w:eastAsia="zh-CN"/>
        </w:rPr>
        <w:t>活性炭</w:t>
      </w:r>
      <w:r>
        <w:rPr>
          <w:rFonts w:hint="eastAsia" w:ascii="Times New Roman" w:hAnsi="Times New Roman" w:eastAsia="宋体" w:cs="Times New Roman"/>
          <w:color w:val="auto"/>
          <w:sz w:val="24"/>
          <w:highlight w:val="none"/>
          <w:shd w:val="clear" w:color="auto" w:fill="auto"/>
          <w:lang w:val="en-US" w:eastAsia="zh-CN"/>
        </w:rPr>
        <w:t>/</w:t>
      </w:r>
      <w:r>
        <w:rPr>
          <w:rFonts w:hint="default" w:ascii="Times New Roman" w:hAnsi="Times New Roman" w:eastAsia="宋体" w:cs="Times New Roman"/>
          <w:color w:val="auto"/>
          <w:sz w:val="24"/>
          <w:highlight w:val="none"/>
          <w:shd w:val="clear" w:color="auto" w:fill="auto"/>
          <w:lang w:val="en-US" w:eastAsia="zh-CN"/>
        </w:rPr>
        <w:t>有机废气=1</w:t>
      </w:r>
      <w:r>
        <w:rPr>
          <w:rFonts w:hint="eastAsia" w:ascii="Times New Roman" w:hAnsi="Times New Roman" w:eastAsia="宋体" w:cs="Times New Roman"/>
          <w:color w:val="auto"/>
          <w:sz w:val="24"/>
          <w:highlight w:val="none"/>
          <w:shd w:val="clear" w:color="auto" w:fill="auto"/>
          <w:lang w:val="en-US" w:eastAsia="zh-CN"/>
        </w:rPr>
        <w:t>/</w:t>
      </w:r>
      <w:r>
        <w:rPr>
          <w:rFonts w:hint="default" w:ascii="Times New Roman" w:hAnsi="Times New Roman" w:eastAsia="宋体" w:cs="Times New Roman"/>
          <w:color w:val="auto"/>
          <w:sz w:val="24"/>
          <w:highlight w:val="none"/>
          <w:shd w:val="clear" w:color="auto" w:fill="auto"/>
          <w:lang w:val="en-US" w:eastAsia="zh-CN"/>
        </w:rPr>
        <w:t>0.35，即1kg的活性炭可以吸附0.35kg的有机废气。</w:t>
      </w:r>
      <w:r>
        <w:rPr>
          <w:rFonts w:hint="eastAsia" w:ascii="Times New Roman" w:hAnsi="Times New Roman" w:eastAsia="宋体" w:cs="Times New Roman"/>
          <w:color w:val="auto"/>
          <w:sz w:val="24"/>
          <w:highlight w:val="none"/>
          <w:shd w:val="clear" w:color="auto" w:fill="auto"/>
          <w:lang w:val="en-US" w:eastAsia="zh-CN"/>
        </w:rPr>
        <w:t>则废活性炭产生量为1.2</w:t>
      </w:r>
      <w:r>
        <w:rPr>
          <w:rFonts w:hint="eastAsia" w:cs="Times New Roman"/>
          <w:color w:val="auto"/>
          <w:sz w:val="24"/>
          <w:highlight w:val="none"/>
          <w:shd w:val="clear" w:color="auto" w:fill="auto"/>
          <w:lang w:val="en-US" w:eastAsia="zh-CN"/>
        </w:rPr>
        <w:t>5</w:t>
      </w:r>
      <w:r>
        <w:rPr>
          <w:rFonts w:hint="eastAsia" w:ascii="Times New Roman" w:hAnsi="Times New Roman" w:eastAsia="宋体" w:cs="Times New Roman"/>
          <w:color w:val="auto"/>
          <w:sz w:val="24"/>
          <w:highlight w:val="none"/>
          <w:shd w:val="clear" w:color="auto" w:fill="auto"/>
          <w:lang w:val="en-US" w:eastAsia="zh-CN"/>
        </w:rPr>
        <w:t>t/a</w:t>
      </w:r>
      <w:r>
        <w:rPr>
          <w:rFonts w:hint="default" w:ascii="Times New Roman" w:hAnsi="Times New Roman" w:cs="Times New Roman"/>
          <w:color w:val="auto"/>
          <w:sz w:val="24"/>
          <w:szCs w:val="24"/>
          <w:lang w:val="en-US"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cs="Times New Roman"/>
          <w:color w:val="auto"/>
          <w:sz w:val="24"/>
          <w:lang w:val="en-US" w:eastAsia="zh-CN"/>
        </w:rPr>
      </w:pPr>
      <w:r>
        <w:rPr>
          <w:rFonts w:hint="eastAsia" w:ascii="Times New Roman" w:hAnsi="Times New Roman" w:cs="Times New Roman"/>
          <w:color w:val="auto"/>
          <w:sz w:val="24"/>
          <w:lang w:val="en-US" w:eastAsia="zh-CN"/>
        </w:rPr>
        <w:t>废脱脂槽液：本项目废脱脂槽液半年排放一次，一次排放量为100kg，年排放量为0.2t。</w:t>
      </w:r>
      <w:r>
        <w:rPr>
          <w:rFonts w:hint="default" w:ascii="Times New Roman" w:hAnsi="Times New Roman" w:cs="Times New Roman"/>
          <w:color w:val="auto"/>
          <w:sz w:val="24"/>
          <w:lang w:val="en-US" w:eastAsia="zh-CN"/>
        </w:rPr>
        <w:t>危废编号 HW</w:t>
      </w:r>
      <w:r>
        <w:rPr>
          <w:rFonts w:hint="eastAsia" w:ascii="Times New Roman" w:hAnsi="Times New Roman" w:cs="Times New Roman"/>
          <w:color w:val="auto"/>
          <w:sz w:val="24"/>
          <w:lang w:val="en-US" w:eastAsia="zh-CN"/>
        </w:rPr>
        <w:t>17</w:t>
      </w:r>
      <w:r>
        <w:rPr>
          <w:rFonts w:hint="default" w:ascii="Times New Roman" w:hAnsi="Times New Roman" w:cs="Times New Roman"/>
          <w:color w:val="auto"/>
          <w:sz w:val="24"/>
          <w:lang w:val="en-US" w:eastAsia="zh-CN"/>
        </w:rPr>
        <w:t>，废物代码336-064-17</w:t>
      </w:r>
      <w:r>
        <w:rPr>
          <w:rFonts w:hint="eastAsia" w:ascii="Times New Roman" w:hAnsi="Times New Roman" w:cs="Times New Roman"/>
          <w:color w:val="auto"/>
          <w:sz w:val="24"/>
          <w:lang w:val="en-US" w:eastAsia="zh-CN"/>
        </w:rPr>
        <w:t>，交由有资质的危废处置单位处置。</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cs="Times New Roman"/>
          <w:color w:val="auto"/>
        </w:rPr>
      </w:pPr>
      <w:r>
        <w:rPr>
          <w:rFonts w:hint="default" w:ascii="Times New Roman" w:hAnsi="Times New Roman" w:cs="Times New Roman"/>
          <w:color w:val="auto"/>
          <w:sz w:val="24"/>
          <w:lang w:val="en-US" w:eastAsia="zh-CN"/>
        </w:rPr>
        <w:t>废硫化剂及废氧化锌等包装材料：根据项目提供资料，废硫化剂及废氧化锌等包装材</w:t>
      </w:r>
      <w:r>
        <w:rPr>
          <w:rFonts w:hint="default" w:ascii="Times New Roman" w:hAnsi="Times New Roman" w:cs="Times New Roman"/>
          <w:color w:val="auto"/>
          <w:sz w:val="24"/>
          <w:lang w:eastAsia="zh-CN"/>
        </w:rPr>
        <w:t>料产生量为</w:t>
      </w:r>
      <w:r>
        <w:rPr>
          <w:rFonts w:hint="default" w:ascii="Times New Roman" w:hAnsi="Times New Roman" w:cs="Times New Roman"/>
          <w:color w:val="auto"/>
          <w:sz w:val="24"/>
          <w:lang w:val="en-US" w:eastAsia="zh-CN"/>
        </w:rPr>
        <w:t>0.01t/a。</w:t>
      </w:r>
      <w:r>
        <w:rPr>
          <w:rFonts w:hint="default" w:ascii="Times New Roman" w:hAnsi="Times New Roman" w:cs="Times New Roman"/>
          <w:color w:val="auto"/>
          <w:sz w:val="24"/>
          <w:lang w:eastAsia="zh-CN"/>
        </w:rPr>
        <w:t>危废编号 HW</w:t>
      </w:r>
      <w:r>
        <w:rPr>
          <w:rFonts w:hint="default" w:ascii="Times New Roman" w:hAnsi="Times New Roman" w:cs="Times New Roman"/>
          <w:color w:val="auto"/>
          <w:sz w:val="24"/>
          <w:lang w:val="en-US" w:eastAsia="zh-CN"/>
        </w:rPr>
        <w:t>49</w:t>
      </w:r>
      <w:r>
        <w:rPr>
          <w:rFonts w:hint="default" w:ascii="Times New Roman" w:hAnsi="Times New Roman" w:cs="Times New Roman"/>
          <w:color w:val="auto"/>
          <w:sz w:val="24"/>
          <w:lang w:eastAsia="zh-CN"/>
        </w:rPr>
        <w:t xml:space="preserve">，废物代码 </w:t>
      </w:r>
      <w:r>
        <w:rPr>
          <w:rFonts w:hint="default" w:ascii="Times New Roman" w:hAnsi="Times New Roman" w:cs="Times New Roman"/>
          <w:color w:val="auto"/>
          <w:sz w:val="24"/>
          <w:lang w:val="en-US" w:eastAsia="zh-CN"/>
        </w:rPr>
        <w:t>900-041-49</w:t>
      </w:r>
      <w:r>
        <w:rPr>
          <w:rFonts w:hint="default" w:ascii="Times New Roman" w:hAnsi="Times New Roman" w:cs="Times New Roman"/>
          <w:color w:val="auto"/>
          <w:sz w:val="24"/>
          <w:lang w:eastAsia="zh-CN"/>
        </w:rPr>
        <w:t xml:space="preserve">。 </w:t>
      </w:r>
    </w:p>
    <w:p>
      <w:pPr>
        <w:spacing w:line="360" w:lineRule="auto"/>
        <w:ind w:firstLine="480" w:firstLineChars="200"/>
        <w:rPr>
          <w:color w:val="auto"/>
        </w:rPr>
      </w:pPr>
      <w:r>
        <w:rPr>
          <w:bCs/>
          <w:color w:val="auto"/>
          <w:sz w:val="24"/>
        </w:rPr>
        <w:t>生活垃圾：项目定员</w:t>
      </w:r>
      <w:r>
        <w:rPr>
          <w:rFonts w:hint="eastAsia"/>
          <w:bCs/>
          <w:color w:val="auto"/>
          <w:sz w:val="24"/>
          <w:lang w:val="en-US" w:eastAsia="zh-CN"/>
        </w:rPr>
        <w:t>5</w:t>
      </w:r>
      <w:r>
        <w:rPr>
          <w:bCs/>
          <w:color w:val="auto"/>
          <w:sz w:val="24"/>
        </w:rPr>
        <w:t>0人，生活垃圾产生量按每人0.5kg/d计算，项目垃圾产生量</w:t>
      </w:r>
      <w:r>
        <w:rPr>
          <w:rFonts w:hint="eastAsia"/>
          <w:bCs/>
          <w:color w:val="auto"/>
          <w:sz w:val="24"/>
          <w:lang w:val="en-US" w:eastAsia="zh-CN"/>
        </w:rPr>
        <w:t>7.</w:t>
      </w:r>
      <w:r>
        <w:rPr>
          <w:bCs/>
          <w:color w:val="auto"/>
          <w:sz w:val="24"/>
        </w:rPr>
        <w:t>5t/a，交由环卫部门统一清运处理。</w:t>
      </w:r>
    </w:p>
    <w:p>
      <w:pPr>
        <w:adjustRightInd w:val="0"/>
        <w:snapToGrid w:val="0"/>
        <w:spacing w:line="520" w:lineRule="exact"/>
        <w:jc w:val="center"/>
        <w:rPr>
          <w:b/>
          <w:color w:val="auto"/>
          <w:sz w:val="24"/>
        </w:rPr>
      </w:pPr>
    </w:p>
    <w:p>
      <w:pPr>
        <w:adjustRightInd w:val="0"/>
        <w:snapToGrid w:val="0"/>
        <w:spacing w:line="520" w:lineRule="exact"/>
        <w:jc w:val="center"/>
        <w:rPr>
          <w:b/>
          <w:color w:val="auto"/>
          <w:sz w:val="24"/>
        </w:rPr>
      </w:pPr>
      <w:r>
        <w:rPr>
          <w:b/>
          <w:color w:val="auto"/>
          <w:sz w:val="24"/>
        </w:rPr>
        <w:t>表</w:t>
      </w:r>
      <w:r>
        <w:rPr>
          <w:rFonts w:hint="eastAsia"/>
          <w:b/>
          <w:color w:val="auto"/>
          <w:sz w:val="24"/>
        </w:rPr>
        <w:t>4</w:t>
      </w:r>
      <w:r>
        <w:rPr>
          <w:b/>
          <w:color w:val="auto"/>
          <w:sz w:val="24"/>
        </w:rPr>
        <w:t>-1</w:t>
      </w:r>
      <w:r>
        <w:rPr>
          <w:rFonts w:hint="eastAsia"/>
          <w:b/>
          <w:color w:val="auto"/>
          <w:sz w:val="24"/>
        </w:rPr>
        <w:t>2</w:t>
      </w:r>
      <w:r>
        <w:rPr>
          <w:b/>
          <w:color w:val="auto"/>
          <w:sz w:val="24"/>
        </w:rPr>
        <w:t xml:space="preserve">  各类固废处置方法汇总一览表</w:t>
      </w:r>
    </w:p>
    <w:tbl>
      <w:tblPr>
        <w:tblStyle w:val="53"/>
        <w:tblW w:w="874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47"/>
        <w:gridCol w:w="1644"/>
        <w:gridCol w:w="2654"/>
        <w:gridCol w:w="1101"/>
        <w:gridCol w:w="826"/>
        <w:gridCol w:w="954"/>
        <w:gridCol w:w="10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47" w:type="dxa"/>
            <w:tcBorders>
              <w:tl2br w:val="nil"/>
              <w:tr2bl w:val="nil"/>
            </w:tcBorders>
            <w:vAlign w:val="center"/>
          </w:tcPr>
          <w:p>
            <w:pPr>
              <w:pStyle w:val="166"/>
              <w:snapToGrid w:val="0"/>
              <w:rPr>
                <w:rFonts w:ascii="Times New Roman" w:hAnsi="Times New Roman"/>
                <w:b/>
                <w:bCs/>
                <w:color w:val="auto"/>
                <w:sz w:val="21"/>
                <w:szCs w:val="21"/>
              </w:rPr>
            </w:pPr>
            <w:r>
              <w:rPr>
                <w:rFonts w:ascii="Times New Roman" w:hAnsi="Times New Roman"/>
                <w:b/>
                <w:bCs/>
                <w:color w:val="auto"/>
                <w:sz w:val="21"/>
                <w:szCs w:val="21"/>
              </w:rPr>
              <w:t>序号</w:t>
            </w:r>
          </w:p>
        </w:tc>
        <w:tc>
          <w:tcPr>
            <w:tcW w:w="1644" w:type="dxa"/>
            <w:tcBorders>
              <w:tl2br w:val="nil"/>
              <w:tr2bl w:val="nil"/>
            </w:tcBorders>
            <w:vAlign w:val="center"/>
          </w:tcPr>
          <w:p>
            <w:pPr>
              <w:pStyle w:val="166"/>
              <w:snapToGrid w:val="0"/>
              <w:rPr>
                <w:rFonts w:ascii="Times New Roman" w:hAnsi="Times New Roman"/>
                <w:b/>
                <w:bCs/>
                <w:color w:val="auto"/>
                <w:sz w:val="21"/>
                <w:szCs w:val="21"/>
              </w:rPr>
            </w:pPr>
            <w:r>
              <w:rPr>
                <w:rFonts w:ascii="Times New Roman" w:hAnsi="Times New Roman"/>
                <w:b/>
                <w:bCs/>
                <w:color w:val="auto"/>
                <w:sz w:val="21"/>
                <w:szCs w:val="21"/>
              </w:rPr>
              <w:t>固废名称</w:t>
            </w:r>
          </w:p>
        </w:tc>
        <w:tc>
          <w:tcPr>
            <w:tcW w:w="2654" w:type="dxa"/>
            <w:tcBorders>
              <w:tl2br w:val="nil"/>
              <w:tr2bl w:val="nil"/>
            </w:tcBorders>
            <w:vAlign w:val="center"/>
          </w:tcPr>
          <w:p>
            <w:pPr>
              <w:pStyle w:val="166"/>
              <w:snapToGrid w:val="0"/>
              <w:rPr>
                <w:rFonts w:ascii="Times New Roman" w:hAnsi="Times New Roman"/>
                <w:b/>
                <w:bCs/>
                <w:color w:val="auto"/>
                <w:sz w:val="21"/>
                <w:szCs w:val="21"/>
              </w:rPr>
            </w:pPr>
            <w:r>
              <w:rPr>
                <w:rFonts w:ascii="Times New Roman" w:hAnsi="Times New Roman"/>
                <w:b/>
                <w:bCs/>
                <w:color w:val="auto"/>
                <w:sz w:val="21"/>
                <w:szCs w:val="21"/>
              </w:rPr>
              <w:t>属性（危险废物、一般工业固体废物或待鉴别）</w:t>
            </w:r>
          </w:p>
        </w:tc>
        <w:tc>
          <w:tcPr>
            <w:tcW w:w="1101" w:type="dxa"/>
            <w:tcBorders>
              <w:tl2br w:val="nil"/>
              <w:tr2bl w:val="nil"/>
            </w:tcBorders>
            <w:vAlign w:val="center"/>
          </w:tcPr>
          <w:p>
            <w:pPr>
              <w:pStyle w:val="166"/>
              <w:snapToGrid w:val="0"/>
              <w:rPr>
                <w:rFonts w:ascii="Times New Roman" w:hAnsi="Times New Roman"/>
                <w:b/>
                <w:bCs/>
                <w:color w:val="auto"/>
                <w:sz w:val="21"/>
                <w:szCs w:val="21"/>
              </w:rPr>
            </w:pPr>
            <w:r>
              <w:rPr>
                <w:rFonts w:ascii="Times New Roman" w:hAnsi="Times New Roman"/>
                <w:b/>
                <w:bCs/>
                <w:color w:val="auto"/>
                <w:sz w:val="21"/>
                <w:szCs w:val="21"/>
              </w:rPr>
              <w:t>产生工序</w:t>
            </w:r>
          </w:p>
        </w:tc>
        <w:tc>
          <w:tcPr>
            <w:tcW w:w="826" w:type="dxa"/>
            <w:tcBorders>
              <w:tl2br w:val="nil"/>
              <w:tr2bl w:val="nil"/>
            </w:tcBorders>
            <w:vAlign w:val="center"/>
          </w:tcPr>
          <w:p>
            <w:pPr>
              <w:pStyle w:val="166"/>
              <w:snapToGrid w:val="0"/>
              <w:rPr>
                <w:rFonts w:ascii="Times New Roman" w:hAnsi="Times New Roman"/>
                <w:b/>
                <w:bCs/>
                <w:color w:val="auto"/>
                <w:sz w:val="21"/>
                <w:szCs w:val="21"/>
              </w:rPr>
            </w:pPr>
            <w:r>
              <w:rPr>
                <w:rFonts w:ascii="Times New Roman" w:hAnsi="Times New Roman"/>
                <w:b/>
                <w:bCs/>
                <w:color w:val="auto"/>
                <w:sz w:val="21"/>
                <w:szCs w:val="21"/>
              </w:rPr>
              <w:t>形态</w:t>
            </w:r>
          </w:p>
        </w:tc>
        <w:tc>
          <w:tcPr>
            <w:tcW w:w="954" w:type="dxa"/>
            <w:tcBorders>
              <w:tl2br w:val="nil"/>
              <w:tr2bl w:val="nil"/>
            </w:tcBorders>
            <w:vAlign w:val="center"/>
          </w:tcPr>
          <w:p>
            <w:pPr>
              <w:pStyle w:val="166"/>
              <w:snapToGrid w:val="0"/>
              <w:rPr>
                <w:rFonts w:ascii="Times New Roman" w:hAnsi="Times New Roman"/>
                <w:b/>
                <w:bCs/>
                <w:color w:val="auto"/>
                <w:sz w:val="21"/>
                <w:szCs w:val="21"/>
              </w:rPr>
            </w:pPr>
            <w:r>
              <w:rPr>
                <w:rFonts w:ascii="Times New Roman" w:hAnsi="Times New Roman"/>
                <w:b/>
                <w:bCs/>
                <w:color w:val="auto"/>
                <w:sz w:val="21"/>
                <w:szCs w:val="21"/>
              </w:rPr>
              <w:t>主要成分</w:t>
            </w:r>
          </w:p>
        </w:tc>
        <w:tc>
          <w:tcPr>
            <w:tcW w:w="1021" w:type="dxa"/>
            <w:tcBorders>
              <w:tl2br w:val="nil"/>
              <w:tr2bl w:val="nil"/>
            </w:tcBorders>
            <w:vAlign w:val="center"/>
          </w:tcPr>
          <w:p>
            <w:pPr>
              <w:pStyle w:val="166"/>
              <w:snapToGrid w:val="0"/>
              <w:rPr>
                <w:rFonts w:ascii="Times New Roman" w:hAnsi="Times New Roman"/>
                <w:b/>
                <w:bCs/>
                <w:color w:val="auto"/>
                <w:sz w:val="21"/>
                <w:szCs w:val="21"/>
              </w:rPr>
            </w:pPr>
            <w:r>
              <w:rPr>
                <w:rFonts w:ascii="Times New Roman" w:hAnsi="Times New Roman"/>
                <w:b/>
                <w:bCs/>
                <w:color w:val="auto"/>
                <w:sz w:val="21"/>
                <w:szCs w:val="21"/>
              </w:rPr>
              <w:t>估算产生量（t/a）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47" w:type="dxa"/>
            <w:tcBorders>
              <w:tl2br w:val="nil"/>
              <w:tr2bl w:val="nil"/>
            </w:tcBorders>
            <w:vAlign w:val="center"/>
          </w:tcPr>
          <w:p>
            <w:pPr>
              <w:pStyle w:val="166"/>
              <w:snapToGrid w:val="0"/>
              <w:rPr>
                <w:rFonts w:hint="eastAsia" w:ascii="Times New Roman" w:hAnsi="Times New Roman" w:eastAsia="宋体"/>
                <w:color w:val="auto"/>
                <w:sz w:val="21"/>
                <w:szCs w:val="21"/>
                <w:lang w:eastAsia="zh-CN"/>
              </w:rPr>
            </w:pPr>
            <w:r>
              <w:rPr>
                <w:rFonts w:hint="eastAsia" w:ascii="Times New Roman" w:hAnsi="Times New Roman"/>
                <w:color w:val="auto"/>
                <w:sz w:val="21"/>
                <w:szCs w:val="21"/>
                <w:lang w:val="en-US" w:eastAsia="zh-CN"/>
              </w:rPr>
              <w:t>1</w:t>
            </w:r>
          </w:p>
        </w:tc>
        <w:tc>
          <w:tcPr>
            <w:tcW w:w="1644" w:type="dxa"/>
            <w:tcBorders>
              <w:tl2br w:val="nil"/>
              <w:tr2bl w:val="nil"/>
            </w:tcBorders>
            <w:vAlign w:val="center"/>
          </w:tcPr>
          <w:p>
            <w:pPr>
              <w:pStyle w:val="166"/>
              <w:snapToGrid w:val="0"/>
              <w:rPr>
                <w:rFonts w:hint="eastAsia" w:ascii="Times New Roman" w:hAnsi="Times New Roman" w:eastAsia="宋体"/>
                <w:color w:val="auto"/>
                <w:sz w:val="21"/>
                <w:szCs w:val="21"/>
                <w:lang w:eastAsia="zh-CN"/>
              </w:rPr>
            </w:pPr>
            <w:r>
              <w:rPr>
                <w:rFonts w:hint="eastAsia" w:ascii="Times New Roman" w:hAnsi="Times New Roman"/>
                <w:color w:val="auto"/>
                <w:sz w:val="21"/>
                <w:szCs w:val="21"/>
                <w:lang w:eastAsia="zh-CN"/>
              </w:rPr>
              <w:t>收集的粉尘</w:t>
            </w:r>
          </w:p>
        </w:tc>
        <w:tc>
          <w:tcPr>
            <w:tcW w:w="2654" w:type="dxa"/>
            <w:tcBorders>
              <w:tl2br w:val="nil"/>
              <w:tr2bl w:val="nil"/>
            </w:tcBorders>
            <w:vAlign w:val="center"/>
          </w:tcPr>
          <w:p>
            <w:pPr>
              <w:pStyle w:val="166"/>
              <w:snapToGrid w:val="0"/>
              <w:rPr>
                <w:rFonts w:ascii="Times New Roman" w:hAnsi="Times New Roman"/>
                <w:color w:val="auto"/>
                <w:sz w:val="21"/>
                <w:szCs w:val="21"/>
              </w:rPr>
            </w:pPr>
            <w:r>
              <w:rPr>
                <w:rFonts w:ascii="Times New Roman" w:hAnsi="Times New Roman"/>
                <w:color w:val="auto"/>
                <w:sz w:val="21"/>
                <w:szCs w:val="21"/>
              </w:rPr>
              <w:t>一般废物</w:t>
            </w:r>
          </w:p>
        </w:tc>
        <w:tc>
          <w:tcPr>
            <w:tcW w:w="1101" w:type="dxa"/>
            <w:tcBorders>
              <w:tl2br w:val="nil"/>
              <w:tr2bl w:val="nil"/>
            </w:tcBorders>
            <w:vAlign w:val="center"/>
          </w:tcPr>
          <w:p>
            <w:pPr>
              <w:pStyle w:val="166"/>
              <w:snapToGrid w:val="0"/>
              <w:rPr>
                <w:rFonts w:ascii="Times New Roman" w:hAnsi="Times New Roman"/>
                <w:color w:val="auto"/>
                <w:sz w:val="21"/>
                <w:szCs w:val="21"/>
              </w:rPr>
            </w:pPr>
            <w:r>
              <w:rPr>
                <w:rFonts w:ascii="Times New Roman" w:hAnsi="Times New Roman"/>
                <w:color w:val="auto"/>
                <w:sz w:val="21"/>
                <w:szCs w:val="21"/>
              </w:rPr>
              <w:t>生产</w:t>
            </w:r>
          </w:p>
        </w:tc>
        <w:tc>
          <w:tcPr>
            <w:tcW w:w="826" w:type="dxa"/>
            <w:tcBorders>
              <w:tl2br w:val="nil"/>
              <w:tr2bl w:val="nil"/>
            </w:tcBorders>
            <w:vAlign w:val="center"/>
          </w:tcPr>
          <w:p>
            <w:pPr>
              <w:pStyle w:val="166"/>
              <w:snapToGrid w:val="0"/>
              <w:rPr>
                <w:rFonts w:ascii="Times New Roman" w:hAnsi="Times New Roman"/>
                <w:color w:val="auto"/>
                <w:sz w:val="21"/>
                <w:szCs w:val="21"/>
              </w:rPr>
            </w:pPr>
            <w:r>
              <w:rPr>
                <w:rFonts w:ascii="Times New Roman" w:hAnsi="Times New Roman"/>
                <w:color w:val="auto"/>
                <w:sz w:val="21"/>
                <w:szCs w:val="21"/>
              </w:rPr>
              <w:t>固态</w:t>
            </w:r>
          </w:p>
        </w:tc>
        <w:tc>
          <w:tcPr>
            <w:tcW w:w="954" w:type="dxa"/>
            <w:tcBorders>
              <w:tl2br w:val="nil"/>
              <w:tr2bl w:val="nil"/>
            </w:tcBorders>
            <w:vAlign w:val="center"/>
          </w:tcPr>
          <w:p>
            <w:pPr>
              <w:pStyle w:val="166"/>
              <w:snapToGrid w:val="0"/>
              <w:rPr>
                <w:rFonts w:ascii="Times New Roman" w:hAnsi="Times New Roman"/>
                <w:color w:val="auto"/>
                <w:sz w:val="21"/>
                <w:szCs w:val="21"/>
              </w:rPr>
            </w:pPr>
            <w:r>
              <w:rPr>
                <w:rFonts w:ascii="Times New Roman" w:hAnsi="Times New Roman"/>
                <w:color w:val="auto"/>
                <w:sz w:val="21"/>
                <w:szCs w:val="21"/>
              </w:rPr>
              <w:t>粉尘</w:t>
            </w:r>
          </w:p>
        </w:tc>
        <w:tc>
          <w:tcPr>
            <w:tcW w:w="1021" w:type="dxa"/>
            <w:tcBorders>
              <w:tl2br w:val="nil"/>
              <w:tr2bl w:val="nil"/>
            </w:tcBorders>
            <w:vAlign w:val="center"/>
          </w:tcPr>
          <w:p>
            <w:pPr>
              <w:pStyle w:val="166"/>
              <w:snapToGrid w:val="0"/>
              <w:rPr>
                <w:rFonts w:hint="default" w:ascii="Times New Roman" w:hAnsi="Times New Roman" w:eastAsia="宋体"/>
                <w:color w:val="auto"/>
                <w:sz w:val="21"/>
                <w:szCs w:val="21"/>
                <w:lang w:val="en-US" w:eastAsia="zh-CN"/>
              </w:rPr>
            </w:pPr>
            <w:r>
              <w:rPr>
                <w:rFonts w:hint="eastAsia" w:ascii="Times New Roman" w:hAnsi="Times New Roman"/>
                <w:color w:val="auto"/>
                <w:sz w:val="21"/>
                <w:szCs w:val="21"/>
              </w:rPr>
              <w:t>0.</w:t>
            </w:r>
            <w:r>
              <w:rPr>
                <w:rFonts w:hint="eastAsia" w:ascii="Times New Roman" w:hAnsi="Times New Roman"/>
                <w:color w:val="auto"/>
                <w:sz w:val="21"/>
                <w:szCs w:val="21"/>
                <w:lang w:val="en-US" w:eastAsia="zh-CN"/>
              </w:rPr>
              <w:t>62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47" w:type="dxa"/>
            <w:tcBorders>
              <w:tl2br w:val="nil"/>
              <w:tr2bl w:val="nil"/>
            </w:tcBorders>
            <w:vAlign w:val="center"/>
          </w:tcPr>
          <w:p>
            <w:pPr>
              <w:pStyle w:val="166"/>
              <w:snapToGrid w:val="0"/>
              <w:rPr>
                <w:rFonts w:hint="eastAsia" w:ascii="Times New Roman" w:hAnsi="Times New Roman" w:eastAsia="宋体"/>
                <w:color w:val="auto"/>
                <w:sz w:val="21"/>
                <w:szCs w:val="21"/>
                <w:lang w:eastAsia="zh-CN"/>
              </w:rPr>
            </w:pPr>
            <w:r>
              <w:rPr>
                <w:rFonts w:hint="eastAsia" w:ascii="Times New Roman" w:hAnsi="Times New Roman"/>
                <w:color w:val="auto"/>
                <w:sz w:val="21"/>
                <w:szCs w:val="21"/>
                <w:lang w:val="en-US" w:eastAsia="zh-CN"/>
              </w:rPr>
              <w:t>2</w:t>
            </w:r>
          </w:p>
        </w:tc>
        <w:tc>
          <w:tcPr>
            <w:tcW w:w="1644" w:type="dxa"/>
            <w:tcBorders>
              <w:tl2br w:val="nil"/>
              <w:tr2bl w:val="nil"/>
            </w:tcBorders>
            <w:vAlign w:val="center"/>
          </w:tcPr>
          <w:p>
            <w:pPr>
              <w:pStyle w:val="166"/>
              <w:snapToGrid w:val="0"/>
              <w:rPr>
                <w:rFonts w:ascii="Times New Roman" w:hAnsi="Times New Roman"/>
                <w:color w:val="auto"/>
                <w:sz w:val="21"/>
                <w:szCs w:val="21"/>
              </w:rPr>
            </w:pPr>
            <w:r>
              <w:rPr>
                <w:rFonts w:ascii="Times New Roman" w:hAnsi="Times New Roman"/>
                <w:color w:val="auto"/>
                <w:sz w:val="21"/>
                <w:szCs w:val="21"/>
              </w:rPr>
              <w:t>废包装</w:t>
            </w:r>
            <w:r>
              <w:rPr>
                <w:rFonts w:hint="eastAsia" w:ascii="Times New Roman" w:hAnsi="Times New Roman"/>
                <w:color w:val="auto"/>
                <w:sz w:val="21"/>
                <w:szCs w:val="21"/>
              </w:rPr>
              <w:t>材料</w:t>
            </w:r>
          </w:p>
        </w:tc>
        <w:tc>
          <w:tcPr>
            <w:tcW w:w="2654" w:type="dxa"/>
            <w:tcBorders>
              <w:tl2br w:val="nil"/>
              <w:tr2bl w:val="nil"/>
            </w:tcBorders>
            <w:vAlign w:val="center"/>
          </w:tcPr>
          <w:p>
            <w:pPr>
              <w:pStyle w:val="166"/>
              <w:snapToGrid w:val="0"/>
              <w:rPr>
                <w:rFonts w:ascii="Times New Roman" w:hAnsi="Times New Roman"/>
                <w:color w:val="auto"/>
                <w:sz w:val="21"/>
                <w:szCs w:val="21"/>
              </w:rPr>
            </w:pPr>
            <w:r>
              <w:rPr>
                <w:rFonts w:ascii="Times New Roman" w:hAnsi="Times New Roman"/>
                <w:color w:val="auto"/>
                <w:sz w:val="21"/>
                <w:szCs w:val="21"/>
              </w:rPr>
              <w:t>一般废物</w:t>
            </w:r>
          </w:p>
        </w:tc>
        <w:tc>
          <w:tcPr>
            <w:tcW w:w="1101" w:type="dxa"/>
            <w:tcBorders>
              <w:tl2br w:val="nil"/>
              <w:tr2bl w:val="nil"/>
            </w:tcBorders>
            <w:vAlign w:val="center"/>
          </w:tcPr>
          <w:p>
            <w:pPr>
              <w:pStyle w:val="166"/>
              <w:snapToGrid w:val="0"/>
              <w:rPr>
                <w:rFonts w:ascii="Times New Roman" w:hAnsi="Times New Roman"/>
                <w:color w:val="auto"/>
                <w:sz w:val="21"/>
                <w:szCs w:val="21"/>
              </w:rPr>
            </w:pPr>
            <w:r>
              <w:rPr>
                <w:rFonts w:ascii="Times New Roman" w:hAnsi="Times New Roman"/>
                <w:color w:val="auto"/>
                <w:sz w:val="21"/>
                <w:szCs w:val="21"/>
              </w:rPr>
              <w:t>生产</w:t>
            </w:r>
          </w:p>
        </w:tc>
        <w:tc>
          <w:tcPr>
            <w:tcW w:w="826" w:type="dxa"/>
            <w:tcBorders>
              <w:tl2br w:val="nil"/>
              <w:tr2bl w:val="nil"/>
            </w:tcBorders>
            <w:vAlign w:val="center"/>
          </w:tcPr>
          <w:p>
            <w:pPr>
              <w:pStyle w:val="166"/>
              <w:snapToGrid w:val="0"/>
              <w:rPr>
                <w:rFonts w:ascii="Times New Roman" w:hAnsi="Times New Roman"/>
                <w:color w:val="auto"/>
                <w:sz w:val="21"/>
                <w:szCs w:val="21"/>
              </w:rPr>
            </w:pPr>
            <w:r>
              <w:rPr>
                <w:rFonts w:ascii="Times New Roman" w:hAnsi="Times New Roman"/>
                <w:color w:val="auto"/>
                <w:sz w:val="21"/>
                <w:szCs w:val="21"/>
              </w:rPr>
              <w:t>固态</w:t>
            </w:r>
          </w:p>
        </w:tc>
        <w:tc>
          <w:tcPr>
            <w:tcW w:w="954" w:type="dxa"/>
            <w:tcBorders>
              <w:tl2br w:val="nil"/>
              <w:tr2bl w:val="nil"/>
            </w:tcBorders>
            <w:vAlign w:val="center"/>
          </w:tcPr>
          <w:p>
            <w:pPr>
              <w:pStyle w:val="166"/>
              <w:snapToGrid w:val="0"/>
              <w:rPr>
                <w:rFonts w:ascii="Times New Roman" w:hAnsi="Times New Roman"/>
                <w:color w:val="auto"/>
                <w:sz w:val="21"/>
                <w:szCs w:val="21"/>
              </w:rPr>
            </w:pPr>
            <w:r>
              <w:rPr>
                <w:rFonts w:ascii="Times New Roman" w:hAnsi="Times New Roman"/>
                <w:color w:val="auto"/>
                <w:sz w:val="21"/>
                <w:szCs w:val="21"/>
              </w:rPr>
              <w:t>纸盒、塑料</w:t>
            </w:r>
          </w:p>
        </w:tc>
        <w:tc>
          <w:tcPr>
            <w:tcW w:w="1021" w:type="dxa"/>
            <w:tcBorders>
              <w:tl2br w:val="nil"/>
              <w:tr2bl w:val="nil"/>
            </w:tcBorders>
            <w:vAlign w:val="center"/>
          </w:tcPr>
          <w:p>
            <w:pPr>
              <w:pStyle w:val="166"/>
              <w:snapToGrid w:val="0"/>
              <w:rPr>
                <w:rFonts w:ascii="Times New Roman" w:hAnsi="Times New Roman"/>
                <w:color w:val="auto"/>
                <w:sz w:val="21"/>
                <w:szCs w:val="21"/>
              </w:rPr>
            </w:pPr>
            <w:r>
              <w:rPr>
                <w:rFonts w:ascii="Times New Roman" w:hAnsi="Times New Roman"/>
                <w:color w:val="auto"/>
                <w:sz w:val="21"/>
                <w:szCs w:val="21"/>
              </w:rPr>
              <w:t>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47" w:type="dxa"/>
            <w:tcBorders>
              <w:tl2br w:val="nil"/>
              <w:tr2bl w:val="nil"/>
            </w:tcBorders>
            <w:vAlign w:val="center"/>
          </w:tcPr>
          <w:p>
            <w:pPr>
              <w:pStyle w:val="166"/>
              <w:snapToGrid w:val="0"/>
              <w:rPr>
                <w:rFonts w:hint="eastAsia" w:ascii="Times New Roman" w:hAnsi="Times New Roman" w:eastAsia="宋体"/>
                <w:color w:val="auto"/>
                <w:sz w:val="21"/>
                <w:szCs w:val="21"/>
                <w:lang w:eastAsia="zh-CN"/>
              </w:rPr>
            </w:pPr>
            <w:r>
              <w:rPr>
                <w:rFonts w:hint="eastAsia" w:ascii="Times New Roman" w:hAnsi="Times New Roman"/>
                <w:color w:val="auto"/>
                <w:sz w:val="21"/>
                <w:szCs w:val="21"/>
                <w:lang w:val="en-US" w:eastAsia="zh-CN"/>
              </w:rPr>
              <w:t>3</w:t>
            </w:r>
          </w:p>
        </w:tc>
        <w:tc>
          <w:tcPr>
            <w:tcW w:w="1644" w:type="dxa"/>
            <w:tcBorders>
              <w:tl2br w:val="nil"/>
              <w:tr2bl w:val="nil"/>
            </w:tcBorders>
            <w:vAlign w:val="center"/>
          </w:tcPr>
          <w:p>
            <w:pPr>
              <w:pStyle w:val="166"/>
              <w:snapToGrid w:val="0"/>
              <w:rPr>
                <w:rFonts w:ascii="Times New Roman" w:hAnsi="Times New Roman"/>
                <w:color w:val="auto"/>
                <w:sz w:val="21"/>
                <w:szCs w:val="21"/>
              </w:rPr>
            </w:pPr>
            <w:r>
              <w:rPr>
                <w:rFonts w:ascii="Times New Roman" w:hAnsi="Times New Roman"/>
                <w:color w:val="auto"/>
                <w:sz w:val="21"/>
                <w:szCs w:val="21"/>
              </w:rPr>
              <w:t>职工生活垃圾</w:t>
            </w:r>
          </w:p>
        </w:tc>
        <w:tc>
          <w:tcPr>
            <w:tcW w:w="2654" w:type="dxa"/>
            <w:tcBorders>
              <w:tl2br w:val="nil"/>
              <w:tr2bl w:val="nil"/>
            </w:tcBorders>
            <w:vAlign w:val="center"/>
          </w:tcPr>
          <w:p>
            <w:pPr>
              <w:pStyle w:val="166"/>
              <w:snapToGrid w:val="0"/>
              <w:rPr>
                <w:rFonts w:ascii="Times New Roman" w:hAnsi="Times New Roman"/>
                <w:color w:val="auto"/>
                <w:sz w:val="21"/>
                <w:szCs w:val="21"/>
              </w:rPr>
            </w:pPr>
            <w:r>
              <w:rPr>
                <w:rFonts w:ascii="Times New Roman" w:hAnsi="Times New Roman"/>
                <w:color w:val="auto"/>
                <w:sz w:val="21"/>
                <w:szCs w:val="21"/>
              </w:rPr>
              <w:t>一般废物</w:t>
            </w:r>
          </w:p>
        </w:tc>
        <w:tc>
          <w:tcPr>
            <w:tcW w:w="1101" w:type="dxa"/>
            <w:tcBorders>
              <w:tl2br w:val="nil"/>
              <w:tr2bl w:val="nil"/>
            </w:tcBorders>
            <w:vAlign w:val="center"/>
          </w:tcPr>
          <w:p>
            <w:pPr>
              <w:pStyle w:val="166"/>
              <w:snapToGrid w:val="0"/>
              <w:rPr>
                <w:rFonts w:ascii="Times New Roman" w:hAnsi="Times New Roman"/>
                <w:color w:val="auto"/>
                <w:sz w:val="21"/>
                <w:szCs w:val="21"/>
              </w:rPr>
            </w:pPr>
            <w:r>
              <w:rPr>
                <w:rFonts w:ascii="Times New Roman" w:hAnsi="Times New Roman"/>
                <w:color w:val="auto"/>
                <w:sz w:val="21"/>
                <w:szCs w:val="21"/>
              </w:rPr>
              <w:t>生活</w:t>
            </w:r>
          </w:p>
        </w:tc>
        <w:tc>
          <w:tcPr>
            <w:tcW w:w="826" w:type="dxa"/>
            <w:tcBorders>
              <w:tl2br w:val="nil"/>
              <w:tr2bl w:val="nil"/>
            </w:tcBorders>
            <w:vAlign w:val="center"/>
          </w:tcPr>
          <w:p>
            <w:pPr>
              <w:pStyle w:val="166"/>
              <w:snapToGrid w:val="0"/>
              <w:rPr>
                <w:rFonts w:ascii="Times New Roman" w:hAnsi="Times New Roman"/>
                <w:color w:val="auto"/>
                <w:sz w:val="21"/>
                <w:szCs w:val="21"/>
              </w:rPr>
            </w:pPr>
            <w:r>
              <w:rPr>
                <w:rFonts w:ascii="Times New Roman" w:hAnsi="Times New Roman"/>
                <w:color w:val="auto"/>
                <w:sz w:val="21"/>
                <w:szCs w:val="21"/>
              </w:rPr>
              <w:t>固态</w:t>
            </w:r>
          </w:p>
        </w:tc>
        <w:tc>
          <w:tcPr>
            <w:tcW w:w="954" w:type="dxa"/>
            <w:tcBorders>
              <w:tl2br w:val="nil"/>
              <w:tr2bl w:val="nil"/>
            </w:tcBorders>
            <w:vAlign w:val="center"/>
          </w:tcPr>
          <w:p>
            <w:pPr>
              <w:pStyle w:val="166"/>
              <w:snapToGrid w:val="0"/>
              <w:rPr>
                <w:rFonts w:ascii="Times New Roman" w:hAnsi="Times New Roman"/>
                <w:color w:val="auto"/>
                <w:sz w:val="21"/>
                <w:szCs w:val="21"/>
              </w:rPr>
            </w:pPr>
            <w:r>
              <w:rPr>
                <w:rFonts w:ascii="Times New Roman" w:hAnsi="Times New Roman"/>
                <w:color w:val="auto"/>
                <w:sz w:val="21"/>
                <w:szCs w:val="21"/>
              </w:rPr>
              <w:t>纸屑、果皮等</w:t>
            </w:r>
          </w:p>
        </w:tc>
        <w:tc>
          <w:tcPr>
            <w:tcW w:w="1021" w:type="dxa"/>
            <w:tcBorders>
              <w:tl2br w:val="nil"/>
              <w:tr2bl w:val="nil"/>
            </w:tcBorders>
            <w:vAlign w:val="center"/>
          </w:tcPr>
          <w:p>
            <w:pPr>
              <w:pStyle w:val="166"/>
              <w:snapToGrid w:val="0"/>
              <w:rPr>
                <w:rFonts w:ascii="Times New Roman" w:hAnsi="Times New Roman"/>
                <w:color w:val="auto"/>
                <w:sz w:val="21"/>
                <w:szCs w:val="21"/>
              </w:rPr>
            </w:pPr>
            <w:r>
              <w:rPr>
                <w:rFonts w:hint="eastAsia" w:ascii="Times New Roman" w:hAnsi="Times New Roman"/>
                <w:color w:val="auto"/>
                <w:sz w:val="21"/>
                <w:szCs w:val="21"/>
                <w:lang w:val="en-US" w:eastAsia="zh-CN"/>
              </w:rPr>
              <w:t>7.</w:t>
            </w:r>
            <w:r>
              <w:rPr>
                <w:rFonts w:ascii="Times New Roman" w:hAnsi="Times New Roman"/>
                <w:color w:val="auto"/>
                <w:sz w:val="21"/>
                <w:szCs w:val="21"/>
              </w:rPr>
              <w:t>5</w:t>
            </w:r>
          </w:p>
        </w:tc>
      </w:tr>
    </w:tbl>
    <w:p>
      <w:pPr>
        <w:pStyle w:val="2"/>
        <w:rPr>
          <w:b/>
          <w:bCs/>
          <w:color w:val="auto"/>
          <w:sz w:val="24"/>
        </w:rPr>
      </w:pPr>
    </w:p>
    <w:p>
      <w:pPr>
        <w:pStyle w:val="2"/>
        <w:jc w:val="center"/>
        <w:rPr>
          <w:color w:val="auto"/>
          <w:sz w:val="24"/>
        </w:rPr>
      </w:pPr>
      <w:r>
        <w:rPr>
          <w:b/>
          <w:bCs/>
          <w:color w:val="auto"/>
          <w:sz w:val="24"/>
        </w:rPr>
        <w:t>表</w:t>
      </w:r>
      <w:r>
        <w:rPr>
          <w:rFonts w:hint="eastAsia"/>
          <w:b/>
          <w:bCs/>
          <w:color w:val="auto"/>
          <w:sz w:val="24"/>
        </w:rPr>
        <w:t>4</w:t>
      </w:r>
      <w:r>
        <w:rPr>
          <w:b/>
          <w:bCs/>
          <w:color w:val="auto"/>
          <w:sz w:val="24"/>
        </w:rPr>
        <w:t>-1</w:t>
      </w:r>
      <w:r>
        <w:rPr>
          <w:rFonts w:hint="eastAsia"/>
          <w:b/>
          <w:bCs/>
          <w:color w:val="auto"/>
          <w:sz w:val="24"/>
        </w:rPr>
        <w:t>3</w:t>
      </w:r>
      <w:r>
        <w:rPr>
          <w:b/>
          <w:bCs/>
          <w:color w:val="auto"/>
          <w:sz w:val="24"/>
        </w:rPr>
        <w:t xml:space="preserve">  建设项目危险固体废物分析结果汇总表</w:t>
      </w:r>
    </w:p>
    <w:tbl>
      <w:tblPr>
        <w:tblStyle w:val="53"/>
        <w:tblW w:w="874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349"/>
        <w:gridCol w:w="1050"/>
        <w:gridCol w:w="972"/>
        <w:gridCol w:w="1215"/>
        <w:gridCol w:w="738"/>
        <w:gridCol w:w="609"/>
        <w:gridCol w:w="621"/>
        <w:gridCol w:w="475"/>
        <w:gridCol w:w="549"/>
        <w:gridCol w:w="879"/>
        <w:gridCol w:w="653"/>
        <w:gridCol w:w="63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49" w:type="dxa"/>
            <w:vAlign w:val="center"/>
          </w:tcPr>
          <w:p>
            <w:pPr>
              <w:pStyle w:val="166"/>
              <w:snapToGrid w:val="0"/>
              <w:rPr>
                <w:rFonts w:ascii="Times New Roman" w:hAnsi="Times New Roman"/>
                <w:b/>
                <w:bCs/>
                <w:color w:val="auto"/>
                <w:sz w:val="21"/>
                <w:szCs w:val="21"/>
              </w:rPr>
            </w:pPr>
            <w:r>
              <w:rPr>
                <w:rFonts w:ascii="Times New Roman" w:hAnsi="Times New Roman"/>
                <w:b/>
                <w:bCs/>
                <w:color w:val="auto"/>
                <w:sz w:val="21"/>
                <w:szCs w:val="21"/>
              </w:rPr>
              <w:t>序号</w:t>
            </w:r>
          </w:p>
        </w:tc>
        <w:tc>
          <w:tcPr>
            <w:tcW w:w="1050" w:type="dxa"/>
            <w:vAlign w:val="center"/>
          </w:tcPr>
          <w:p>
            <w:pPr>
              <w:pStyle w:val="166"/>
              <w:snapToGrid w:val="0"/>
              <w:rPr>
                <w:rFonts w:ascii="Times New Roman" w:hAnsi="Times New Roman"/>
                <w:b/>
                <w:bCs/>
                <w:color w:val="auto"/>
                <w:sz w:val="21"/>
                <w:szCs w:val="21"/>
              </w:rPr>
            </w:pPr>
            <w:r>
              <w:rPr>
                <w:rFonts w:ascii="Times New Roman" w:hAnsi="Times New Roman"/>
                <w:b/>
                <w:bCs/>
                <w:color w:val="auto"/>
                <w:sz w:val="21"/>
                <w:szCs w:val="21"/>
              </w:rPr>
              <w:t>危险废物名称</w:t>
            </w:r>
          </w:p>
        </w:tc>
        <w:tc>
          <w:tcPr>
            <w:tcW w:w="972" w:type="dxa"/>
            <w:vAlign w:val="center"/>
          </w:tcPr>
          <w:p>
            <w:pPr>
              <w:pStyle w:val="166"/>
              <w:snapToGrid w:val="0"/>
              <w:rPr>
                <w:rFonts w:ascii="Times New Roman" w:hAnsi="Times New Roman"/>
                <w:b/>
                <w:bCs/>
                <w:color w:val="auto"/>
                <w:sz w:val="21"/>
                <w:szCs w:val="21"/>
              </w:rPr>
            </w:pPr>
            <w:r>
              <w:rPr>
                <w:rFonts w:ascii="Times New Roman" w:hAnsi="Times New Roman"/>
                <w:b/>
                <w:bCs/>
                <w:color w:val="auto"/>
                <w:sz w:val="21"/>
                <w:szCs w:val="21"/>
              </w:rPr>
              <w:t>危险废物类别</w:t>
            </w:r>
          </w:p>
        </w:tc>
        <w:tc>
          <w:tcPr>
            <w:tcW w:w="1215" w:type="dxa"/>
            <w:vAlign w:val="center"/>
          </w:tcPr>
          <w:p>
            <w:pPr>
              <w:pStyle w:val="166"/>
              <w:snapToGrid w:val="0"/>
              <w:rPr>
                <w:rFonts w:ascii="Times New Roman" w:hAnsi="Times New Roman"/>
                <w:b/>
                <w:bCs/>
                <w:color w:val="auto"/>
                <w:sz w:val="21"/>
                <w:szCs w:val="21"/>
              </w:rPr>
            </w:pPr>
            <w:r>
              <w:rPr>
                <w:rFonts w:ascii="Times New Roman" w:hAnsi="Times New Roman"/>
                <w:b/>
                <w:bCs/>
                <w:color w:val="auto"/>
                <w:sz w:val="21"/>
                <w:szCs w:val="21"/>
              </w:rPr>
              <w:t>危险废物代码</w:t>
            </w:r>
          </w:p>
        </w:tc>
        <w:tc>
          <w:tcPr>
            <w:tcW w:w="738" w:type="dxa"/>
            <w:vAlign w:val="center"/>
          </w:tcPr>
          <w:p>
            <w:pPr>
              <w:pStyle w:val="166"/>
              <w:snapToGrid w:val="0"/>
              <w:rPr>
                <w:rFonts w:ascii="Times New Roman" w:hAnsi="Times New Roman"/>
                <w:b/>
                <w:bCs/>
                <w:color w:val="auto"/>
                <w:sz w:val="21"/>
                <w:szCs w:val="21"/>
              </w:rPr>
            </w:pPr>
            <w:r>
              <w:rPr>
                <w:rFonts w:ascii="Times New Roman" w:hAnsi="Times New Roman"/>
                <w:b/>
                <w:bCs/>
                <w:color w:val="auto"/>
                <w:sz w:val="21"/>
                <w:szCs w:val="21"/>
              </w:rPr>
              <w:t>产生量（t/a）</w:t>
            </w:r>
          </w:p>
        </w:tc>
        <w:tc>
          <w:tcPr>
            <w:tcW w:w="609" w:type="dxa"/>
            <w:vAlign w:val="center"/>
          </w:tcPr>
          <w:p>
            <w:pPr>
              <w:pStyle w:val="166"/>
              <w:snapToGrid w:val="0"/>
              <w:rPr>
                <w:rFonts w:ascii="Times New Roman" w:hAnsi="Times New Roman"/>
                <w:b/>
                <w:bCs/>
                <w:color w:val="auto"/>
                <w:sz w:val="21"/>
                <w:szCs w:val="21"/>
              </w:rPr>
            </w:pPr>
            <w:r>
              <w:rPr>
                <w:rFonts w:ascii="Times New Roman" w:hAnsi="Times New Roman"/>
                <w:b/>
                <w:bCs/>
                <w:color w:val="auto"/>
                <w:sz w:val="21"/>
                <w:szCs w:val="21"/>
              </w:rPr>
              <w:t>产生工序及装置</w:t>
            </w:r>
          </w:p>
        </w:tc>
        <w:tc>
          <w:tcPr>
            <w:tcW w:w="621" w:type="dxa"/>
            <w:vAlign w:val="center"/>
          </w:tcPr>
          <w:p>
            <w:pPr>
              <w:pStyle w:val="166"/>
              <w:snapToGrid w:val="0"/>
              <w:rPr>
                <w:rFonts w:ascii="Times New Roman" w:hAnsi="Times New Roman"/>
                <w:b/>
                <w:bCs/>
                <w:color w:val="auto"/>
                <w:sz w:val="21"/>
                <w:szCs w:val="21"/>
              </w:rPr>
            </w:pPr>
            <w:r>
              <w:rPr>
                <w:rFonts w:ascii="Times New Roman" w:hAnsi="Times New Roman"/>
                <w:b/>
                <w:bCs/>
                <w:color w:val="auto"/>
                <w:sz w:val="21"/>
                <w:szCs w:val="21"/>
              </w:rPr>
              <w:t>形态</w:t>
            </w:r>
          </w:p>
        </w:tc>
        <w:tc>
          <w:tcPr>
            <w:tcW w:w="475" w:type="dxa"/>
            <w:vAlign w:val="center"/>
          </w:tcPr>
          <w:p>
            <w:pPr>
              <w:pStyle w:val="166"/>
              <w:snapToGrid w:val="0"/>
              <w:rPr>
                <w:rFonts w:ascii="Times New Roman" w:hAnsi="Times New Roman"/>
                <w:b/>
                <w:bCs/>
                <w:color w:val="auto"/>
                <w:sz w:val="21"/>
                <w:szCs w:val="21"/>
              </w:rPr>
            </w:pPr>
            <w:r>
              <w:rPr>
                <w:rFonts w:ascii="Times New Roman" w:hAnsi="Times New Roman"/>
                <w:b/>
                <w:bCs/>
                <w:color w:val="auto"/>
                <w:sz w:val="21"/>
                <w:szCs w:val="21"/>
              </w:rPr>
              <w:t>主要成分</w:t>
            </w:r>
          </w:p>
        </w:tc>
        <w:tc>
          <w:tcPr>
            <w:tcW w:w="549" w:type="dxa"/>
            <w:vAlign w:val="center"/>
          </w:tcPr>
          <w:p>
            <w:pPr>
              <w:pStyle w:val="166"/>
              <w:snapToGrid w:val="0"/>
              <w:rPr>
                <w:rFonts w:ascii="Times New Roman" w:hAnsi="Times New Roman"/>
                <w:b/>
                <w:bCs/>
                <w:color w:val="auto"/>
                <w:sz w:val="21"/>
                <w:szCs w:val="21"/>
              </w:rPr>
            </w:pPr>
            <w:r>
              <w:rPr>
                <w:rFonts w:ascii="Times New Roman" w:hAnsi="Times New Roman"/>
                <w:b/>
                <w:bCs/>
                <w:color w:val="auto"/>
                <w:sz w:val="21"/>
                <w:szCs w:val="21"/>
              </w:rPr>
              <w:t>有害成分</w:t>
            </w:r>
          </w:p>
        </w:tc>
        <w:tc>
          <w:tcPr>
            <w:tcW w:w="879" w:type="dxa"/>
            <w:vAlign w:val="center"/>
          </w:tcPr>
          <w:p>
            <w:pPr>
              <w:pStyle w:val="166"/>
              <w:snapToGrid w:val="0"/>
              <w:rPr>
                <w:rFonts w:ascii="Times New Roman" w:hAnsi="Times New Roman"/>
                <w:b/>
                <w:bCs/>
                <w:color w:val="auto"/>
                <w:sz w:val="21"/>
                <w:szCs w:val="21"/>
              </w:rPr>
            </w:pPr>
            <w:r>
              <w:rPr>
                <w:rFonts w:ascii="Times New Roman" w:hAnsi="Times New Roman"/>
                <w:b/>
                <w:bCs/>
                <w:color w:val="auto"/>
                <w:sz w:val="21"/>
                <w:szCs w:val="21"/>
              </w:rPr>
              <w:t>产废周期</w:t>
            </w:r>
          </w:p>
        </w:tc>
        <w:tc>
          <w:tcPr>
            <w:tcW w:w="653" w:type="dxa"/>
            <w:vAlign w:val="center"/>
          </w:tcPr>
          <w:p>
            <w:pPr>
              <w:pStyle w:val="166"/>
              <w:snapToGrid w:val="0"/>
              <w:rPr>
                <w:rFonts w:ascii="Times New Roman" w:hAnsi="Times New Roman"/>
                <w:b/>
                <w:bCs/>
                <w:color w:val="auto"/>
                <w:sz w:val="21"/>
                <w:szCs w:val="21"/>
              </w:rPr>
            </w:pPr>
            <w:r>
              <w:rPr>
                <w:rFonts w:ascii="Times New Roman" w:hAnsi="Times New Roman"/>
                <w:b/>
                <w:bCs/>
                <w:color w:val="auto"/>
                <w:sz w:val="21"/>
                <w:szCs w:val="21"/>
              </w:rPr>
              <w:t>危险特性</w:t>
            </w:r>
          </w:p>
        </w:tc>
        <w:tc>
          <w:tcPr>
            <w:tcW w:w="637" w:type="dxa"/>
            <w:vAlign w:val="center"/>
          </w:tcPr>
          <w:p>
            <w:pPr>
              <w:pStyle w:val="166"/>
              <w:snapToGrid w:val="0"/>
              <w:rPr>
                <w:rFonts w:ascii="Times New Roman" w:hAnsi="Times New Roman"/>
                <w:b/>
                <w:bCs/>
                <w:color w:val="auto"/>
                <w:sz w:val="21"/>
                <w:szCs w:val="21"/>
              </w:rPr>
            </w:pPr>
            <w:r>
              <w:rPr>
                <w:rFonts w:ascii="Times New Roman" w:hAnsi="Times New Roman"/>
                <w:b/>
                <w:bCs/>
                <w:color w:val="auto"/>
                <w:sz w:val="21"/>
                <w:szCs w:val="21"/>
              </w:rPr>
              <w:t>污染防治措施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49" w:type="dxa"/>
            <w:vAlign w:val="center"/>
          </w:tcPr>
          <w:p>
            <w:pPr>
              <w:pStyle w:val="166"/>
              <w:snapToGrid w:val="0"/>
              <w:rPr>
                <w:rFonts w:ascii="Times New Roman" w:hAnsi="Times New Roman"/>
                <w:color w:val="auto"/>
                <w:sz w:val="21"/>
                <w:szCs w:val="21"/>
              </w:rPr>
            </w:pPr>
            <w:r>
              <w:rPr>
                <w:rFonts w:ascii="Times New Roman" w:hAnsi="Times New Roman"/>
                <w:color w:val="auto"/>
                <w:sz w:val="21"/>
                <w:szCs w:val="21"/>
              </w:rPr>
              <w:t>1</w:t>
            </w:r>
          </w:p>
        </w:tc>
        <w:tc>
          <w:tcPr>
            <w:tcW w:w="1050" w:type="dxa"/>
            <w:vAlign w:val="center"/>
          </w:tcPr>
          <w:p>
            <w:pPr>
              <w:pStyle w:val="166"/>
              <w:snapToGrid w:val="0"/>
              <w:rPr>
                <w:rFonts w:ascii="Times New Roman" w:hAnsi="Times New Roman" w:eastAsia="宋体" w:cs="Times New Roman"/>
                <w:color w:val="auto"/>
                <w:kern w:val="24"/>
                <w:sz w:val="21"/>
                <w:szCs w:val="21"/>
                <w:lang w:val="en-US" w:eastAsia="zh-CN" w:bidi="ar-SA"/>
              </w:rPr>
            </w:pPr>
            <w:r>
              <w:rPr>
                <w:rFonts w:ascii="Times New Roman" w:hAnsi="Times New Roman"/>
                <w:color w:val="auto"/>
                <w:sz w:val="21"/>
                <w:szCs w:val="21"/>
              </w:rPr>
              <w:t>废活性炭</w:t>
            </w:r>
          </w:p>
        </w:tc>
        <w:tc>
          <w:tcPr>
            <w:tcW w:w="972" w:type="dxa"/>
            <w:vAlign w:val="center"/>
          </w:tcPr>
          <w:p>
            <w:pPr>
              <w:pStyle w:val="166"/>
              <w:snapToGrid w:val="0"/>
              <w:rPr>
                <w:rFonts w:ascii="Times New Roman" w:hAnsi="Times New Roman" w:eastAsia="宋体" w:cs="Times New Roman"/>
                <w:color w:val="auto"/>
                <w:kern w:val="24"/>
                <w:sz w:val="21"/>
                <w:szCs w:val="21"/>
                <w:lang w:val="en-US" w:eastAsia="zh-CN" w:bidi="ar-SA"/>
              </w:rPr>
            </w:pPr>
            <w:r>
              <w:rPr>
                <w:rFonts w:ascii="Times New Roman" w:hAnsi="Times New Roman"/>
                <w:color w:val="auto"/>
                <w:sz w:val="21"/>
                <w:szCs w:val="21"/>
              </w:rPr>
              <w:t>HW49</w:t>
            </w:r>
          </w:p>
        </w:tc>
        <w:tc>
          <w:tcPr>
            <w:tcW w:w="1215" w:type="dxa"/>
            <w:vAlign w:val="center"/>
          </w:tcPr>
          <w:p>
            <w:pPr>
              <w:pStyle w:val="166"/>
              <w:snapToGrid w:val="0"/>
              <w:rPr>
                <w:rFonts w:ascii="Times New Roman" w:hAnsi="Times New Roman" w:eastAsia="宋体" w:cs="Times New Roman"/>
                <w:color w:val="auto"/>
                <w:kern w:val="24"/>
                <w:sz w:val="21"/>
                <w:szCs w:val="21"/>
                <w:lang w:val="en-US" w:eastAsia="zh-CN" w:bidi="ar-SA"/>
              </w:rPr>
            </w:pPr>
            <w:r>
              <w:rPr>
                <w:rFonts w:ascii="Times New Roman" w:hAnsi="Times New Roman"/>
                <w:color w:val="auto"/>
                <w:sz w:val="21"/>
                <w:szCs w:val="21"/>
              </w:rPr>
              <w:t>900-041-49</w:t>
            </w:r>
          </w:p>
        </w:tc>
        <w:tc>
          <w:tcPr>
            <w:tcW w:w="738" w:type="dxa"/>
            <w:vAlign w:val="center"/>
          </w:tcPr>
          <w:p>
            <w:pPr>
              <w:pStyle w:val="166"/>
              <w:snapToGrid w:val="0"/>
              <w:rPr>
                <w:rFonts w:hint="default" w:ascii="Times New Roman" w:hAnsi="Times New Roman" w:eastAsia="宋体" w:cs="Times New Roman"/>
                <w:color w:val="auto"/>
                <w:kern w:val="24"/>
                <w:sz w:val="21"/>
                <w:szCs w:val="21"/>
                <w:lang w:val="en-US" w:eastAsia="zh-CN" w:bidi="ar-SA"/>
              </w:rPr>
            </w:pPr>
            <w:r>
              <w:rPr>
                <w:rFonts w:ascii="Times New Roman" w:hAnsi="Times New Roman"/>
                <w:color w:val="auto"/>
                <w:sz w:val="21"/>
                <w:szCs w:val="21"/>
              </w:rPr>
              <w:t>1</w:t>
            </w:r>
            <w:r>
              <w:rPr>
                <w:rFonts w:hint="eastAsia" w:ascii="Times New Roman" w:hAnsi="Times New Roman"/>
                <w:color w:val="auto"/>
                <w:sz w:val="21"/>
                <w:szCs w:val="21"/>
                <w:lang w:val="en-US" w:eastAsia="zh-CN"/>
              </w:rPr>
              <w:t>.25</w:t>
            </w:r>
          </w:p>
        </w:tc>
        <w:tc>
          <w:tcPr>
            <w:tcW w:w="609" w:type="dxa"/>
            <w:vAlign w:val="center"/>
          </w:tcPr>
          <w:p>
            <w:pPr>
              <w:pStyle w:val="166"/>
              <w:snapToGrid w:val="0"/>
              <w:rPr>
                <w:rFonts w:ascii="Times New Roman" w:hAnsi="Times New Roman" w:eastAsia="宋体" w:cs="Times New Roman"/>
                <w:color w:val="auto"/>
                <w:kern w:val="24"/>
                <w:sz w:val="21"/>
                <w:szCs w:val="21"/>
                <w:lang w:val="en-US" w:eastAsia="zh-CN" w:bidi="ar-SA"/>
              </w:rPr>
            </w:pPr>
            <w:r>
              <w:rPr>
                <w:rFonts w:ascii="Times New Roman" w:hAnsi="Times New Roman"/>
                <w:color w:val="auto"/>
                <w:sz w:val="21"/>
                <w:szCs w:val="21"/>
              </w:rPr>
              <w:t>废气净化装置</w:t>
            </w:r>
          </w:p>
        </w:tc>
        <w:tc>
          <w:tcPr>
            <w:tcW w:w="621" w:type="dxa"/>
            <w:vAlign w:val="center"/>
          </w:tcPr>
          <w:p>
            <w:pPr>
              <w:pStyle w:val="166"/>
              <w:snapToGrid w:val="0"/>
              <w:rPr>
                <w:rFonts w:ascii="Times New Roman" w:hAnsi="Times New Roman" w:eastAsia="宋体" w:cs="Times New Roman"/>
                <w:color w:val="auto"/>
                <w:kern w:val="24"/>
                <w:sz w:val="21"/>
                <w:szCs w:val="21"/>
                <w:lang w:val="en-US" w:eastAsia="zh-CN" w:bidi="ar-SA"/>
              </w:rPr>
            </w:pPr>
            <w:r>
              <w:rPr>
                <w:rFonts w:ascii="Times New Roman" w:hAnsi="Times New Roman"/>
                <w:color w:val="auto"/>
                <w:sz w:val="21"/>
                <w:szCs w:val="21"/>
              </w:rPr>
              <w:t>固态</w:t>
            </w:r>
          </w:p>
        </w:tc>
        <w:tc>
          <w:tcPr>
            <w:tcW w:w="475" w:type="dxa"/>
            <w:vAlign w:val="center"/>
          </w:tcPr>
          <w:p>
            <w:pPr>
              <w:pStyle w:val="166"/>
              <w:snapToGrid w:val="0"/>
              <w:rPr>
                <w:rFonts w:ascii="Times New Roman" w:hAnsi="Times New Roman" w:eastAsia="宋体" w:cs="Times New Roman"/>
                <w:color w:val="auto"/>
                <w:kern w:val="24"/>
                <w:sz w:val="21"/>
                <w:szCs w:val="21"/>
                <w:lang w:val="en-US" w:eastAsia="zh-CN" w:bidi="ar-SA"/>
              </w:rPr>
            </w:pPr>
            <w:r>
              <w:rPr>
                <w:rFonts w:ascii="Times New Roman" w:hAnsi="Times New Roman"/>
                <w:color w:val="auto"/>
                <w:sz w:val="21"/>
                <w:szCs w:val="21"/>
              </w:rPr>
              <w:t>活性炭</w:t>
            </w:r>
          </w:p>
        </w:tc>
        <w:tc>
          <w:tcPr>
            <w:tcW w:w="549" w:type="dxa"/>
            <w:vAlign w:val="center"/>
          </w:tcPr>
          <w:p>
            <w:pPr>
              <w:pStyle w:val="166"/>
              <w:snapToGrid w:val="0"/>
              <w:rPr>
                <w:rFonts w:ascii="Times New Roman" w:hAnsi="Times New Roman" w:eastAsia="宋体" w:cs="Times New Roman"/>
                <w:color w:val="auto"/>
                <w:kern w:val="24"/>
                <w:sz w:val="21"/>
                <w:szCs w:val="21"/>
                <w:lang w:val="en-US" w:eastAsia="zh-CN" w:bidi="ar-SA"/>
              </w:rPr>
            </w:pPr>
            <w:r>
              <w:rPr>
                <w:rFonts w:ascii="Times New Roman" w:hAnsi="Times New Roman"/>
                <w:color w:val="auto"/>
                <w:sz w:val="21"/>
                <w:szCs w:val="21"/>
              </w:rPr>
              <w:t>有机物</w:t>
            </w:r>
          </w:p>
        </w:tc>
        <w:tc>
          <w:tcPr>
            <w:tcW w:w="879" w:type="dxa"/>
            <w:vAlign w:val="center"/>
          </w:tcPr>
          <w:p>
            <w:pPr>
              <w:pStyle w:val="166"/>
              <w:snapToGrid w:val="0"/>
              <w:rPr>
                <w:rFonts w:ascii="Times New Roman" w:hAnsi="Times New Roman" w:eastAsia="宋体" w:cs="Times New Roman"/>
                <w:color w:val="auto"/>
                <w:kern w:val="24"/>
                <w:sz w:val="21"/>
                <w:szCs w:val="21"/>
                <w:lang w:val="en-US" w:eastAsia="zh-CN" w:bidi="ar-SA"/>
              </w:rPr>
            </w:pPr>
            <w:r>
              <w:rPr>
                <w:rFonts w:ascii="Times New Roman" w:hAnsi="Times New Roman"/>
                <w:color w:val="auto"/>
                <w:sz w:val="21"/>
                <w:szCs w:val="21"/>
              </w:rPr>
              <w:t>4个月</w:t>
            </w:r>
          </w:p>
        </w:tc>
        <w:tc>
          <w:tcPr>
            <w:tcW w:w="653" w:type="dxa"/>
            <w:vAlign w:val="center"/>
          </w:tcPr>
          <w:p>
            <w:pPr>
              <w:pStyle w:val="166"/>
              <w:snapToGrid w:val="0"/>
              <w:rPr>
                <w:rFonts w:ascii="Times New Roman" w:hAnsi="Times New Roman" w:eastAsia="宋体" w:cs="Times New Roman"/>
                <w:color w:val="auto"/>
                <w:kern w:val="24"/>
                <w:sz w:val="21"/>
                <w:szCs w:val="21"/>
                <w:lang w:val="en-US" w:eastAsia="zh-CN" w:bidi="ar-SA"/>
              </w:rPr>
            </w:pPr>
            <w:r>
              <w:rPr>
                <w:rFonts w:ascii="Times New Roman" w:hAnsi="Times New Roman"/>
                <w:color w:val="auto"/>
                <w:sz w:val="21"/>
                <w:szCs w:val="21"/>
              </w:rPr>
              <w:t>T</w:t>
            </w:r>
          </w:p>
        </w:tc>
        <w:tc>
          <w:tcPr>
            <w:tcW w:w="637" w:type="dxa"/>
            <w:vMerge w:val="restart"/>
            <w:vAlign w:val="center"/>
          </w:tcPr>
          <w:p>
            <w:pPr>
              <w:pStyle w:val="166"/>
              <w:snapToGrid w:val="0"/>
              <w:rPr>
                <w:rFonts w:ascii="Times New Roman" w:hAnsi="Times New Roman"/>
                <w:color w:val="auto"/>
                <w:sz w:val="21"/>
                <w:szCs w:val="21"/>
              </w:rPr>
            </w:pPr>
            <w:r>
              <w:rPr>
                <w:rFonts w:ascii="Times New Roman" w:hAnsi="Times New Roman"/>
                <w:color w:val="auto"/>
                <w:sz w:val="21"/>
                <w:szCs w:val="21"/>
              </w:rPr>
              <w:t>危废暂存间存放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49" w:type="dxa"/>
            <w:vAlign w:val="center"/>
          </w:tcPr>
          <w:p>
            <w:pPr>
              <w:pStyle w:val="166"/>
              <w:snapToGrid w:val="0"/>
              <w:rPr>
                <w:rFonts w:ascii="Times New Roman" w:hAnsi="Times New Roman"/>
                <w:color w:val="auto"/>
                <w:sz w:val="21"/>
                <w:szCs w:val="21"/>
              </w:rPr>
            </w:pPr>
            <w:r>
              <w:rPr>
                <w:rFonts w:ascii="Times New Roman" w:hAnsi="Times New Roman"/>
                <w:color w:val="auto"/>
                <w:sz w:val="21"/>
                <w:szCs w:val="21"/>
              </w:rPr>
              <w:t>2</w:t>
            </w:r>
          </w:p>
        </w:tc>
        <w:tc>
          <w:tcPr>
            <w:tcW w:w="1050" w:type="dxa"/>
            <w:vAlign w:val="center"/>
          </w:tcPr>
          <w:p>
            <w:pPr>
              <w:pStyle w:val="166"/>
              <w:snapToGrid w:val="0"/>
              <w:jc w:val="center"/>
              <w:rPr>
                <w:rFonts w:hint="default" w:ascii="Times New Roman" w:hAnsi="Times New Roman" w:eastAsia="宋体" w:cs="Times New Roman"/>
                <w:color w:val="auto"/>
                <w:kern w:val="24"/>
                <w:sz w:val="21"/>
                <w:szCs w:val="21"/>
                <w:lang w:val="en-US" w:eastAsia="zh-CN" w:bidi="ar-SA"/>
              </w:rPr>
            </w:pPr>
            <w:r>
              <w:rPr>
                <w:rFonts w:hint="default" w:ascii="Times New Roman" w:hAnsi="Times New Roman" w:cs="Times New Roman"/>
                <w:color w:val="auto"/>
                <w:sz w:val="21"/>
                <w:szCs w:val="21"/>
                <w:lang w:val="en-US" w:eastAsia="zh-CN"/>
              </w:rPr>
              <w:t>废硫化剂及废氧化锌等包装材料</w:t>
            </w:r>
          </w:p>
        </w:tc>
        <w:tc>
          <w:tcPr>
            <w:tcW w:w="972" w:type="dxa"/>
            <w:vAlign w:val="center"/>
          </w:tcPr>
          <w:p>
            <w:pPr>
              <w:pStyle w:val="166"/>
              <w:snapToGrid w:val="0"/>
              <w:jc w:val="center"/>
              <w:rPr>
                <w:rFonts w:hint="default" w:ascii="Times New Roman" w:hAnsi="Times New Roman" w:eastAsia="宋体" w:cs="Times New Roman"/>
                <w:color w:val="auto"/>
                <w:kern w:val="24"/>
                <w:sz w:val="21"/>
                <w:szCs w:val="21"/>
                <w:lang w:val="en-US" w:eastAsia="zh-CN" w:bidi="ar-SA"/>
              </w:rPr>
            </w:pPr>
            <w:r>
              <w:rPr>
                <w:rFonts w:hint="default" w:ascii="Times New Roman" w:hAnsi="Times New Roman" w:cs="Times New Roman"/>
                <w:color w:val="auto"/>
                <w:sz w:val="21"/>
                <w:szCs w:val="21"/>
                <w:lang w:val="en-US" w:eastAsia="zh-CN"/>
              </w:rPr>
              <w:t>HW49</w:t>
            </w:r>
          </w:p>
        </w:tc>
        <w:tc>
          <w:tcPr>
            <w:tcW w:w="1215" w:type="dxa"/>
            <w:vAlign w:val="center"/>
          </w:tcPr>
          <w:p>
            <w:pPr>
              <w:pStyle w:val="166"/>
              <w:snapToGrid w:val="0"/>
              <w:jc w:val="center"/>
              <w:rPr>
                <w:rFonts w:hint="default" w:ascii="Times New Roman" w:hAnsi="Times New Roman" w:eastAsia="宋体" w:cs="Times New Roman"/>
                <w:color w:val="auto"/>
                <w:kern w:val="24"/>
                <w:sz w:val="21"/>
                <w:szCs w:val="21"/>
                <w:lang w:val="en-US" w:eastAsia="zh-CN" w:bidi="ar-SA"/>
              </w:rPr>
            </w:pPr>
            <w:r>
              <w:rPr>
                <w:rFonts w:hint="default" w:ascii="Times New Roman" w:hAnsi="Times New Roman" w:cs="Times New Roman"/>
                <w:color w:val="auto"/>
                <w:sz w:val="21"/>
                <w:szCs w:val="21"/>
                <w:lang w:val="en-US" w:eastAsia="zh-CN"/>
              </w:rPr>
              <w:t>900-041-49</w:t>
            </w:r>
          </w:p>
        </w:tc>
        <w:tc>
          <w:tcPr>
            <w:tcW w:w="738" w:type="dxa"/>
            <w:vAlign w:val="center"/>
          </w:tcPr>
          <w:p>
            <w:pPr>
              <w:pStyle w:val="166"/>
              <w:snapToGrid w:val="0"/>
              <w:jc w:val="center"/>
              <w:rPr>
                <w:rFonts w:hint="default" w:ascii="Times New Roman" w:hAnsi="Times New Roman" w:eastAsia="宋体" w:cs="Times New Roman"/>
                <w:color w:val="auto"/>
                <w:kern w:val="24"/>
                <w:sz w:val="21"/>
                <w:szCs w:val="21"/>
                <w:lang w:val="en-US" w:eastAsia="zh-CN" w:bidi="ar-SA"/>
              </w:rPr>
            </w:pPr>
            <w:r>
              <w:rPr>
                <w:rFonts w:hint="default" w:ascii="Times New Roman" w:hAnsi="Times New Roman" w:cs="Times New Roman"/>
                <w:color w:val="auto"/>
                <w:sz w:val="21"/>
                <w:szCs w:val="21"/>
                <w:lang w:val="en-US" w:eastAsia="zh-CN"/>
              </w:rPr>
              <w:t>0.01</w:t>
            </w:r>
          </w:p>
        </w:tc>
        <w:tc>
          <w:tcPr>
            <w:tcW w:w="609" w:type="dxa"/>
            <w:vAlign w:val="center"/>
          </w:tcPr>
          <w:p>
            <w:pPr>
              <w:pStyle w:val="166"/>
              <w:snapToGrid w:val="0"/>
              <w:jc w:val="center"/>
              <w:rPr>
                <w:rFonts w:hint="default" w:ascii="Times New Roman" w:hAnsi="Times New Roman" w:eastAsia="宋体" w:cs="Times New Roman"/>
                <w:color w:val="auto"/>
                <w:kern w:val="24"/>
                <w:sz w:val="21"/>
                <w:szCs w:val="21"/>
                <w:lang w:val="en-US" w:eastAsia="zh-CN" w:bidi="ar-SA"/>
              </w:rPr>
            </w:pPr>
            <w:r>
              <w:rPr>
                <w:rFonts w:hint="default" w:ascii="Times New Roman" w:hAnsi="Times New Roman" w:cs="Times New Roman"/>
                <w:color w:val="auto"/>
                <w:sz w:val="21"/>
                <w:szCs w:val="21"/>
                <w:lang w:val="en-US" w:eastAsia="zh-CN"/>
              </w:rPr>
              <w:t>生产</w:t>
            </w:r>
          </w:p>
        </w:tc>
        <w:tc>
          <w:tcPr>
            <w:tcW w:w="621" w:type="dxa"/>
            <w:vAlign w:val="center"/>
          </w:tcPr>
          <w:p>
            <w:pPr>
              <w:pStyle w:val="166"/>
              <w:snapToGrid w:val="0"/>
              <w:jc w:val="center"/>
              <w:rPr>
                <w:rFonts w:hint="default" w:ascii="Times New Roman" w:hAnsi="Times New Roman" w:eastAsia="宋体" w:cs="Times New Roman"/>
                <w:color w:val="auto"/>
                <w:kern w:val="24"/>
                <w:sz w:val="21"/>
                <w:szCs w:val="21"/>
                <w:lang w:val="en-US" w:eastAsia="zh-CN" w:bidi="ar-SA"/>
              </w:rPr>
            </w:pPr>
            <w:r>
              <w:rPr>
                <w:rFonts w:hint="default" w:ascii="Times New Roman" w:hAnsi="Times New Roman" w:cs="Times New Roman"/>
                <w:color w:val="auto"/>
                <w:sz w:val="21"/>
                <w:szCs w:val="21"/>
                <w:lang w:val="en-US" w:eastAsia="zh-CN"/>
              </w:rPr>
              <w:t>固态</w:t>
            </w:r>
          </w:p>
        </w:tc>
        <w:tc>
          <w:tcPr>
            <w:tcW w:w="475" w:type="dxa"/>
            <w:vAlign w:val="center"/>
          </w:tcPr>
          <w:p>
            <w:pPr>
              <w:pStyle w:val="166"/>
              <w:snapToGrid w:val="0"/>
              <w:jc w:val="center"/>
              <w:rPr>
                <w:rFonts w:hint="default" w:ascii="Times New Roman" w:hAnsi="Times New Roman" w:eastAsia="宋体" w:cs="Times New Roman"/>
                <w:color w:val="auto"/>
                <w:kern w:val="24"/>
                <w:sz w:val="21"/>
                <w:szCs w:val="21"/>
                <w:lang w:val="en-US" w:eastAsia="zh-CN" w:bidi="ar-SA"/>
              </w:rPr>
            </w:pPr>
            <w:r>
              <w:rPr>
                <w:rFonts w:hint="default" w:ascii="Times New Roman" w:hAnsi="Times New Roman" w:cs="Times New Roman"/>
                <w:color w:val="auto"/>
                <w:sz w:val="21"/>
                <w:szCs w:val="21"/>
                <w:lang w:val="en-US" w:eastAsia="zh-CN"/>
              </w:rPr>
              <w:t>硫化剂、氧化锌、塑料</w:t>
            </w:r>
          </w:p>
        </w:tc>
        <w:tc>
          <w:tcPr>
            <w:tcW w:w="549" w:type="dxa"/>
            <w:vAlign w:val="center"/>
          </w:tcPr>
          <w:p>
            <w:pPr>
              <w:pStyle w:val="166"/>
              <w:snapToGrid w:val="0"/>
              <w:jc w:val="center"/>
              <w:rPr>
                <w:rFonts w:hint="default" w:ascii="Times New Roman" w:hAnsi="Times New Roman" w:eastAsia="宋体" w:cs="Times New Roman"/>
                <w:color w:val="auto"/>
                <w:kern w:val="24"/>
                <w:sz w:val="21"/>
                <w:szCs w:val="21"/>
                <w:lang w:val="en-US" w:eastAsia="zh-CN" w:bidi="ar-SA"/>
              </w:rPr>
            </w:pPr>
            <w:r>
              <w:rPr>
                <w:rFonts w:hint="default" w:ascii="Times New Roman" w:hAnsi="Times New Roman" w:cs="Times New Roman"/>
                <w:color w:val="auto"/>
                <w:sz w:val="21"/>
                <w:szCs w:val="21"/>
                <w:lang w:val="en-US" w:eastAsia="zh-CN"/>
              </w:rPr>
              <w:t>硫化剂、氧化锌</w:t>
            </w:r>
          </w:p>
        </w:tc>
        <w:tc>
          <w:tcPr>
            <w:tcW w:w="879" w:type="dxa"/>
            <w:vAlign w:val="center"/>
          </w:tcPr>
          <w:p>
            <w:pPr>
              <w:pStyle w:val="166"/>
              <w:snapToGrid w:val="0"/>
              <w:rPr>
                <w:rFonts w:hint="default" w:ascii="Times New Roman" w:hAnsi="Times New Roman" w:eastAsia="宋体" w:cs="Times New Roman"/>
                <w:color w:val="auto"/>
                <w:kern w:val="24"/>
                <w:sz w:val="21"/>
                <w:szCs w:val="21"/>
                <w:lang w:val="en-US" w:eastAsia="zh-CN" w:bidi="ar-SA"/>
              </w:rPr>
            </w:pPr>
            <w:r>
              <w:rPr>
                <w:rFonts w:hint="default" w:ascii="Times New Roman" w:hAnsi="Times New Roman" w:cs="Times New Roman"/>
                <w:color w:val="auto"/>
                <w:sz w:val="21"/>
                <w:szCs w:val="21"/>
                <w:lang w:val="en-US" w:eastAsia="zh-CN"/>
              </w:rPr>
              <w:t>6个月</w:t>
            </w:r>
          </w:p>
        </w:tc>
        <w:tc>
          <w:tcPr>
            <w:tcW w:w="653" w:type="dxa"/>
            <w:vAlign w:val="center"/>
          </w:tcPr>
          <w:p>
            <w:pPr>
              <w:pStyle w:val="166"/>
              <w:snapToGrid w:val="0"/>
              <w:jc w:val="center"/>
              <w:rPr>
                <w:rFonts w:hint="default" w:ascii="Times New Roman" w:hAnsi="Times New Roman" w:eastAsia="宋体" w:cs="Times New Roman"/>
                <w:color w:val="auto"/>
                <w:kern w:val="24"/>
                <w:sz w:val="21"/>
                <w:szCs w:val="21"/>
                <w:lang w:val="en-US" w:eastAsia="zh-CN" w:bidi="ar-SA"/>
              </w:rPr>
            </w:pPr>
            <w:r>
              <w:rPr>
                <w:rFonts w:hint="default" w:ascii="Times New Roman" w:hAnsi="Times New Roman" w:cs="Times New Roman"/>
                <w:color w:val="auto"/>
                <w:sz w:val="21"/>
                <w:szCs w:val="21"/>
                <w:lang w:val="en-US" w:eastAsia="zh-CN"/>
              </w:rPr>
              <w:t>T</w:t>
            </w:r>
          </w:p>
        </w:tc>
        <w:tc>
          <w:tcPr>
            <w:tcW w:w="637" w:type="dxa"/>
            <w:vMerge w:val="continue"/>
            <w:vAlign w:val="center"/>
          </w:tcPr>
          <w:p>
            <w:pPr>
              <w:pStyle w:val="166"/>
              <w:snapToGrid w:val="0"/>
              <w:rPr>
                <w:rFonts w:ascii="Times New Roman" w:hAnsi="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49" w:type="dxa"/>
            <w:vAlign w:val="center"/>
          </w:tcPr>
          <w:p>
            <w:pPr>
              <w:pStyle w:val="166"/>
              <w:snapToGrid w:val="0"/>
              <w:rPr>
                <w:rFonts w:hint="eastAsia" w:ascii="Times New Roman" w:hAnsi="Times New Roman" w:eastAsia="宋体"/>
                <w:color w:val="auto"/>
                <w:sz w:val="21"/>
                <w:szCs w:val="21"/>
                <w:lang w:val="en-US" w:eastAsia="zh-CN"/>
              </w:rPr>
            </w:pPr>
            <w:r>
              <w:rPr>
                <w:rFonts w:hint="eastAsia" w:ascii="Times New Roman" w:hAnsi="Times New Roman"/>
                <w:color w:val="auto"/>
                <w:sz w:val="21"/>
                <w:szCs w:val="21"/>
                <w:lang w:val="en-US" w:eastAsia="zh-CN"/>
              </w:rPr>
              <w:t>3</w:t>
            </w:r>
          </w:p>
        </w:tc>
        <w:tc>
          <w:tcPr>
            <w:tcW w:w="1050" w:type="dxa"/>
            <w:vAlign w:val="center"/>
          </w:tcPr>
          <w:p>
            <w:pPr>
              <w:pStyle w:val="166"/>
              <w:snapToGrid w:val="0"/>
              <w:rPr>
                <w:rFonts w:hint="default" w:ascii="Times New Roman" w:hAnsi="Times New Roman" w:eastAsia="宋体" w:cs="Times New Roman"/>
                <w:color w:val="auto"/>
                <w:kern w:val="24"/>
                <w:sz w:val="21"/>
                <w:szCs w:val="21"/>
                <w:lang w:val="en-US" w:eastAsia="zh-CN" w:bidi="ar-SA"/>
              </w:rPr>
            </w:pPr>
            <w:r>
              <w:rPr>
                <w:rFonts w:hint="eastAsia" w:ascii="Times New Roman" w:hAnsi="Times New Roman"/>
                <w:color w:val="auto"/>
                <w:sz w:val="21"/>
                <w:szCs w:val="21"/>
                <w:lang w:val="en-US" w:eastAsia="zh-CN"/>
              </w:rPr>
              <w:t>废脱脂槽液</w:t>
            </w:r>
          </w:p>
        </w:tc>
        <w:tc>
          <w:tcPr>
            <w:tcW w:w="972" w:type="dxa"/>
            <w:vAlign w:val="center"/>
          </w:tcPr>
          <w:p>
            <w:pPr>
              <w:pStyle w:val="166"/>
              <w:snapToGrid w:val="0"/>
              <w:rPr>
                <w:rFonts w:hint="default" w:ascii="Times New Roman" w:hAnsi="Times New Roman" w:eastAsia="宋体" w:cs="Times New Roman"/>
                <w:color w:val="auto"/>
                <w:kern w:val="24"/>
                <w:sz w:val="21"/>
                <w:szCs w:val="21"/>
                <w:lang w:val="en-US" w:eastAsia="zh-CN" w:bidi="ar-SA"/>
              </w:rPr>
            </w:pPr>
            <w:r>
              <w:rPr>
                <w:rFonts w:hint="eastAsia" w:ascii="Times New Roman" w:hAnsi="Times New Roman"/>
                <w:color w:val="auto"/>
                <w:sz w:val="21"/>
                <w:szCs w:val="21"/>
                <w:lang w:val="en-US" w:eastAsia="zh-CN"/>
              </w:rPr>
              <w:t>HW17</w:t>
            </w:r>
          </w:p>
        </w:tc>
        <w:tc>
          <w:tcPr>
            <w:tcW w:w="1215" w:type="dxa"/>
            <w:vAlign w:val="center"/>
          </w:tcPr>
          <w:p>
            <w:pPr>
              <w:pStyle w:val="166"/>
              <w:snapToGrid w:val="0"/>
              <w:rPr>
                <w:rFonts w:hint="default" w:ascii="Times New Roman" w:hAnsi="Times New Roman" w:eastAsia="宋体" w:cs="Times New Roman"/>
                <w:color w:val="auto"/>
                <w:kern w:val="24"/>
                <w:sz w:val="21"/>
                <w:szCs w:val="21"/>
                <w:lang w:val="en-US" w:eastAsia="zh-CN" w:bidi="ar-SA"/>
              </w:rPr>
            </w:pPr>
            <w:r>
              <w:rPr>
                <w:rFonts w:hint="default" w:ascii="Times New Roman" w:hAnsi="Times New Roman"/>
                <w:color w:val="auto"/>
                <w:sz w:val="21"/>
                <w:szCs w:val="21"/>
                <w:lang w:val="en-US" w:eastAsia="zh-CN"/>
              </w:rPr>
              <w:t xml:space="preserve">336-064-17 </w:t>
            </w:r>
          </w:p>
        </w:tc>
        <w:tc>
          <w:tcPr>
            <w:tcW w:w="738" w:type="dxa"/>
            <w:vAlign w:val="center"/>
          </w:tcPr>
          <w:p>
            <w:pPr>
              <w:pStyle w:val="166"/>
              <w:snapToGrid w:val="0"/>
              <w:jc w:val="center"/>
              <w:rPr>
                <w:rFonts w:hint="default" w:ascii="Times New Roman" w:hAnsi="Times New Roman" w:eastAsia="宋体" w:cs="Times New Roman"/>
                <w:color w:val="auto"/>
                <w:kern w:val="24"/>
                <w:sz w:val="21"/>
                <w:szCs w:val="21"/>
                <w:lang w:val="en-US" w:eastAsia="zh-CN" w:bidi="ar-SA"/>
              </w:rPr>
            </w:pPr>
            <w:r>
              <w:rPr>
                <w:rFonts w:hint="default" w:ascii="Times New Roman" w:hAnsi="Times New Roman" w:cs="Times New Roman"/>
                <w:color w:val="auto"/>
                <w:sz w:val="21"/>
                <w:szCs w:val="21"/>
                <w:lang w:val="en-US" w:eastAsia="zh-CN"/>
              </w:rPr>
              <w:t>0.</w:t>
            </w:r>
            <w:r>
              <w:rPr>
                <w:rFonts w:hint="eastAsia" w:ascii="Times New Roman" w:hAnsi="Times New Roman" w:cs="Times New Roman"/>
                <w:color w:val="auto"/>
                <w:sz w:val="21"/>
                <w:szCs w:val="21"/>
                <w:lang w:val="en-US" w:eastAsia="zh-CN"/>
              </w:rPr>
              <w:t>1</w:t>
            </w:r>
          </w:p>
        </w:tc>
        <w:tc>
          <w:tcPr>
            <w:tcW w:w="609" w:type="dxa"/>
            <w:vAlign w:val="center"/>
          </w:tcPr>
          <w:p>
            <w:pPr>
              <w:pStyle w:val="166"/>
              <w:snapToGrid w:val="0"/>
              <w:jc w:val="center"/>
              <w:rPr>
                <w:rFonts w:hint="default" w:ascii="Times New Roman" w:hAnsi="Times New Roman" w:eastAsia="宋体" w:cs="Times New Roman"/>
                <w:color w:val="auto"/>
                <w:kern w:val="24"/>
                <w:sz w:val="21"/>
                <w:szCs w:val="21"/>
                <w:lang w:val="en-US" w:eastAsia="zh-CN" w:bidi="ar-SA"/>
              </w:rPr>
            </w:pPr>
            <w:r>
              <w:rPr>
                <w:rFonts w:hint="eastAsia" w:ascii="Times New Roman" w:hAnsi="Times New Roman" w:cs="Times New Roman"/>
                <w:color w:val="auto"/>
                <w:sz w:val="21"/>
                <w:szCs w:val="21"/>
                <w:lang w:val="en-US" w:eastAsia="zh-CN"/>
              </w:rPr>
              <w:t>脱脂</w:t>
            </w:r>
          </w:p>
        </w:tc>
        <w:tc>
          <w:tcPr>
            <w:tcW w:w="621" w:type="dxa"/>
            <w:vAlign w:val="center"/>
          </w:tcPr>
          <w:p>
            <w:pPr>
              <w:pStyle w:val="166"/>
              <w:snapToGrid w:val="0"/>
              <w:jc w:val="center"/>
              <w:rPr>
                <w:rFonts w:hint="default" w:ascii="Times New Roman" w:hAnsi="Times New Roman" w:eastAsia="宋体" w:cs="Times New Roman"/>
                <w:color w:val="auto"/>
                <w:kern w:val="24"/>
                <w:sz w:val="21"/>
                <w:szCs w:val="21"/>
                <w:lang w:val="en-US" w:eastAsia="zh-CN" w:bidi="ar-SA"/>
              </w:rPr>
            </w:pPr>
            <w:r>
              <w:rPr>
                <w:rFonts w:hint="eastAsia" w:ascii="Times New Roman" w:hAnsi="Times New Roman" w:cs="Times New Roman"/>
                <w:color w:val="auto"/>
                <w:sz w:val="21"/>
                <w:szCs w:val="21"/>
                <w:lang w:val="en-US" w:eastAsia="zh-CN"/>
              </w:rPr>
              <w:t>液体</w:t>
            </w:r>
          </w:p>
        </w:tc>
        <w:tc>
          <w:tcPr>
            <w:tcW w:w="475" w:type="dxa"/>
            <w:vAlign w:val="center"/>
          </w:tcPr>
          <w:p>
            <w:pPr>
              <w:pStyle w:val="166"/>
              <w:snapToGrid w:val="0"/>
              <w:jc w:val="center"/>
              <w:rPr>
                <w:rFonts w:hint="default" w:ascii="Times New Roman" w:hAnsi="Times New Roman" w:eastAsia="宋体" w:cs="Times New Roman"/>
                <w:color w:val="auto"/>
                <w:kern w:val="24"/>
                <w:sz w:val="21"/>
                <w:szCs w:val="21"/>
                <w:lang w:val="en-US" w:eastAsia="zh-CN" w:bidi="ar-SA"/>
              </w:rPr>
            </w:pPr>
            <w:r>
              <w:rPr>
                <w:rFonts w:hint="eastAsia" w:ascii="Times New Roman" w:hAnsi="Times New Roman" w:cs="Times New Roman"/>
                <w:color w:val="auto"/>
                <w:sz w:val="21"/>
                <w:szCs w:val="21"/>
                <w:lang w:val="en-US" w:eastAsia="zh-CN"/>
              </w:rPr>
              <w:t>脱脂剂、油脂</w:t>
            </w:r>
          </w:p>
        </w:tc>
        <w:tc>
          <w:tcPr>
            <w:tcW w:w="549" w:type="dxa"/>
            <w:vAlign w:val="center"/>
          </w:tcPr>
          <w:p>
            <w:pPr>
              <w:pStyle w:val="166"/>
              <w:snapToGrid w:val="0"/>
              <w:jc w:val="center"/>
              <w:rPr>
                <w:rFonts w:hint="default" w:ascii="Times New Roman" w:hAnsi="Times New Roman" w:eastAsia="宋体" w:cs="Times New Roman"/>
                <w:color w:val="auto"/>
                <w:kern w:val="24"/>
                <w:sz w:val="21"/>
                <w:szCs w:val="21"/>
                <w:lang w:val="en-US" w:eastAsia="zh-CN" w:bidi="ar-SA"/>
              </w:rPr>
            </w:pPr>
            <w:r>
              <w:rPr>
                <w:rFonts w:hint="eastAsia" w:ascii="Times New Roman" w:hAnsi="Times New Roman" w:cs="Times New Roman"/>
                <w:color w:val="auto"/>
                <w:sz w:val="21"/>
                <w:szCs w:val="21"/>
                <w:lang w:val="en-US" w:eastAsia="zh-CN"/>
              </w:rPr>
              <w:t>脱脂剂、油脂</w:t>
            </w:r>
          </w:p>
        </w:tc>
        <w:tc>
          <w:tcPr>
            <w:tcW w:w="879" w:type="dxa"/>
            <w:vAlign w:val="center"/>
          </w:tcPr>
          <w:p>
            <w:pPr>
              <w:pStyle w:val="166"/>
              <w:snapToGrid w:val="0"/>
              <w:rPr>
                <w:rFonts w:hint="default" w:ascii="Times New Roman" w:hAnsi="Times New Roman" w:eastAsia="宋体" w:cs="Times New Roman"/>
                <w:color w:val="auto"/>
                <w:kern w:val="24"/>
                <w:sz w:val="21"/>
                <w:szCs w:val="21"/>
                <w:lang w:val="en-US" w:eastAsia="zh-CN" w:bidi="ar-SA"/>
              </w:rPr>
            </w:pPr>
            <w:r>
              <w:rPr>
                <w:rFonts w:hint="default" w:ascii="Times New Roman" w:hAnsi="Times New Roman" w:cs="Times New Roman"/>
                <w:color w:val="auto"/>
                <w:sz w:val="21"/>
                <w:szCs w:val="21"/>
                <w:lang w:val="en-US" w:eastAsia="zh-CN"/>
              </w:rPr>
              <w:t>6个月</w:t>
            </w:r>
          </w:p>
        </w:tc>
        <w:tc>
          <w:tcPr>
            <w:tcW w:w="653" w:type="dxa"/>
            <w:vAlign w:val="center"/>
          </w:tcPr>
          <w:p>
            <w:pPr>
              <w:pStyle w:val="166"/>
              <w:snapToGrid w:val="0"/>
              <w:jc w:val="center"/>
              <w:rPr>
                <w:rFonts w:hint="default" w:ascii="Times New Roman" w:hAnsi="Times New Roman" w:eastAsia="宋体" w:cs="Times New Roman"/>
                <w:color w:val="auto"/>
                <w:kern w:val="24"/>
                <w:sz w:val="21"/>
                <w:szCs w:val="21"/>
                <w:lang w:val="en-US" w:eastAsia="zh-CN" w:bidi="ar-SA"/>
              </w:rPr>
            </w:pPr>
            <w:r>
              <w:rPr>
                <w:rFonts w:hint="default" w:ascii="Times New Roman" w:hAnsi="Times New Roman" w:cs="Times New Roman"/>
                <w:color w:val="auto"/>
                <w:sz w:val="21"/>
                <w:szCs w:val="21"/>
                <w:lang w:val="en-US" w:eastAsia="zh-CN"/>
              </w:rPr>
              <w:t>T</w:t>
            </w:r>
            <w:r>
              <w:rPr>
                <w:rFonts w:hint="eastAsia" w:ascii="Times New Roman" w:hAnsi="Times New Roman" w:cs="Times New Roman"/>
                <w:color w:val="auto"/>
                <w:sz w:val="21"/>
                <w:szCs w:val="21"/>
                <w:lang w:val="en-US" w:eastAsia="zh-CN"/>
              </w:rPr>
              <w:t>/C</w:t>
            </w:r>
          </w:p>
        </w:tc>
        <w:tc>
          <w:tcPr>
            <w:tcW w:w="637" w:type="dxa"/>
            <w:vMerge w:val="continue"/>
            <w:vAlign w:val="center"/>
          </w:tcPr>
          <w:p>
            <w:pPr>
              <w:pStyle w:val="166"/>
              <w:snapToGrid w:val="0"/>
              <w:rPr>
                <w:rFonts w:ascii="Times New Roman" w:hAnsi="Times New Roman"/>
                <w:color w:val="auto"/>
                <w:sz w:val="21"/>
                <w:szCs w:val="21"/>
              </w:rPr>
            </w:pPr>
          </w:p>
        </w:tc>
      </w:tr>
    </w:tbl>
    <w:p>
      <w:pPr>
        <w:pStyle w:val="5"/>
        <w:spacing w:before="0" w:after="0" w:line="520" w:lineRule="exact"/>
        <w:rPr>
          <w:color w:val="auto"/>
        </w:rPr>
      </w:pPr>
      <w:r>
        <w:rPr>
          <w:rFonts w:hint="eastAsia"/>
          <w:color w:val="auto"/>
          <w:sz w:val="24"/>
          <w:szCs w:val="24"/>
        </w:rPr>
        <w:t>4</w:t>
      </w:r>
      <w:r>
        <w:rPr>
          <w:color w:val="auto"/>
          <w:sz w:val="24"/>
          <w:szCs w:val="24"/>
        </w:rPr>
        <w:t>.2.8</w:t>
      </w:r>
      <w:r>
        <w:rPr>
          <w:rFonts w:hint="eastAsia"/>
          <w:color w:val="auto"/>
          <w:sz w:val="24"/>
          <w:szCs w:val="24"/>
        </w:rPr>
        <w:t xml:space="preserve"> 污染物排放</w:t>
      </w:r>
      <w:r>
        <w:rPr>
          <w:color w:val="auto"/>
          <w:sz w:val="24"/>
          <w:szCs w:val="24"/>
        </w:rPr>
        <w:t>“</w:t>
      </w:r>
      <w:r>
        <w:rPr>
          <w:rFonts w:hint="eastAsia"/>
          <w:color w:val="auto"/>
          <w:sz w:val="24"/>
          <w:szCs w:val="24"/>
        </w:rPr>
        <w:t>三本帐</w:t>
      </w:r>
      <w:r>
        <w:rPr>
          <w:color w:val="auto"/>
          <w:sz w:val="24"/>
          <w:szCs w:val="24"/>
        </w:rPr>
        <w:t>”</w:t>
      </w:r>
    </w:p>
    <w:p>
      <w:pPr>
        <w:spacing w:line="360" w:lineRule="auto"/>
        <w:ind w:firstLine="480" w:firstLineChars="200"/>
        <w:rPr>
          <w:rFonts w:hint="eastAsia"/>
          <w:bCs/>
          <w:color w:val="auto"/>
          <w:sz w:val="24"/>
          <w:lang w:eastAsia="zh-CN"/>
        </w:rPr>
      </w:pPr>
      <w:r>
        <w:rPr>
          <w:rFonts w:hint="eastAsia"/>
          <w:bCs/>
          <w:color w:val="auto"/>
          <w:sz w:val="24"/>
          <w:lang w:eastAsia="zh-CN"/>
        </w:rPr>
        <w:t>扩建项目建成后，污染物</w:t>
      </w:r>
      <w:r>
        <w:rPr>
          <w:rFonts w:hint="eastAsia"/>
          <w:bCs/>
          <w:color w:val="auto"/>
          <w:sz w:val="24"/>
        </w:rPr>
        <w:t>污染物排放</w:t>
      </w:r>
      <w:r>
        <w:rPr>
          <w:bCs/>
          <w:color w:val="auto"/>
          <w:sz w:val="24"/>
        </w:rPr>
        <w:t>“</w:t>
      </w:r>
      <w:r>
        <w:rPr>
          <w:rFonts w:hint="eastAsia"/>
          <w:bCs/>
          <w:color w:val="auto"/>
          <w:sz w:val="24"/>
        </w:rPr>
        <w:t>三本帐</w:t>
      </w:r>
      <w:r>
        <w:rPr>
          <w:bCs/>
          <w:color w:val="auto"/>
          <w:sz w:val="24"/>
        </w:rPr>
        <w:t>”</w:t>
      </w:r>
      <w:r>
        <w:rPr>
          <w:rFonts w:hint="eastAsia"/>
          <w:bCs/>
          <w:color w:val="auto"/>
          <w:sz w:val="24"/>
          <w:lang w:eastAsia="zh-CN"/>
        </w:rPr>
        <w:t>如下表：</w:t>
      </w:r>
    </w:p>
    <w:p>
      <w:pPr>
        <w:adjustRightInd w:val="0"/>
        <w:snapToGrid w:val="0"/>
        <w:spacing w:line="520" w:lineRule="exact"/>
        <w:jc w:val="center"/>
        <w:rPr>
          <w:b/>
          <w:color w:val="auto"/>
          <w:sz w:val="24"/>
        </w:rPr>
      </w:pPr>
    </w:p>
    <w:p>
      <w:pPr>
        <w:adjustRightInd w:val="0"/>
        <w:snapToGrid w:val="0"/>
        <w:spacing w:line="520" w:lineRule="exact"/>
        <w:jc w:val="center"/>
        <w:rPr>
          <w:b/>
          <w:color w:val="auto"/>
          <w:sz w:val="24"/>
        </w:rPr>
      </w:pPr>
    </w:p>
    <w:p>
      <w:pPr>
        <w:adjustRightInd w:val="0"/>
        <w:snapToGrid w:val="0"/>
        <w:spacing w:line="520" w:lineRule="exact"/>
        <w:jc w:val="center"/>
        <w:rPr>
          <w:b/>
          <w:color w:val="auto"/>
          <w:sz w:val="24"/>
        </w:rPr>
      </w:pPr>
    </w:p>
    <w:p>
      <w:pPr>
        <w:adjustRightInd w:val="0"/>
        <w:snapToGrid w:val="0"/>
        <w:spacing w:line="520" w:lineRule="exact"/>
        <w:jc w:val="center"/>
        <w:rPr>
          <w:b/>
          <w:color w:val="auto"/>
          <w:sz w:val="24"/>
        </w:rPr>
      </w:pPr>
    </w:p>
    <w:p>
      <w:pPr>
        <w:adjustRightInd w:val="0"/>
        <w:snapToGrid w:val="0"/>
        <w:spacing w:line="520" w:lineRule="exact"/>
        <w:jc w:val="center"/>
        <w:rPr>
          <w:b/>
          <w:color w:val="auto"/>
          <w:sz w:val="24"/>
        </w:rPr>
      </w:pPr>
    </w:p>
    <w:p>
      <w:pPr>
        <w:adjustRightInd w:val="0"/>
        <w:snapToGrid w:val="0"/>
        <w:spacing w:line="520" w:lineRule="exact"/>
        <w:jc w:val="center"/>
        <w:rPr>
          <w:b/>
          <w:color w:val="auto"/>
          <w:sz w:val="24"/>
        </w:rPr>
      </w:pPr>
    </w:p>
    <w:p>
      <w:pPr>
        <w:adjustRightInd w:val="0"/>
        <w:snapToGrid w:val="0"/>
        <w:spacing w:line="520" w:lineRule="exact"/>
        <w:jc w:val="center"/>
        <w:rPr>
          <w:b/>
          <w:color w:val="auto"/>
          <w:sz w:val="24"/>
        </w:rPr>
      </w:pPr>
    </w:p>
    <w:p>
      <w:pPr>
        <w:adjustRightInd w:val="0"/>
        <w:snapToGrid w:val="0"/>
        <w:spacing w:line="520" w:lineRule="exact"/>
        <w:jc w:val="center"/>
        <w:rPr>
          <w:b/>
          <w:color w:val="auto"/>
          <w:sz w:val="24"/>
        </w:rPr>
      </w:pPr>
    </w:p>
    <w:p>
      <w:pPr>
        <w:adjustRightInd w:val="0"/>
        <w:snapToGrid w:val="0"/>
        <w:spacing w:line="520" w:lineRule="exact"/>
        <w:jc w:val="center"/>
        <w:rPr>
          <w:b/>
          <w:color w:val="auto"/>
          <w:sz w:val="24"/>
        </w:rPr>
      </w:pPr>
    </w:p>
    <w:p>
      <w:pPr>
        <w:adjustRightInd w:val="0"/>
        <w:snapToGrid w:val="0"/>
        <w:spacing w:line="520" w:lineRule="exact"/>
        <w:jc w:val="center"/>
        <w:rPr>
          <w:b/>
          <w:color w:val="auto"/>
          <w:sz w:val="24"/>
        </w:rPr>
      </w:pPr>
    </w:p>
    <w:p>
      <w:pPr>
        <w:adjustRightInd w:val="0"/>
        <w:snapToGrid w:val="0"/>
        <w:spacing w:line="520" w:lineRule="exact"/>
        <w:jc w:val="center"/>
        <w:rPr>
          <w:b/>
          <w:color w:val="auto"/>
          <w:sz w:val="24"/>
        </w:rPr>
      </w:pPr>
      <w:r>
        <w:rPr>
          <w:b/>
          <w:color w:val="auto"/>
          <w:sz w:val="24"/>
        </w:rPr>
        <w:t>表</w:t>
      </w:r>
      <w:r>
        <w:rPr>
          <w:rFonts w:hint="eastAsia"/>
          <w:b/>
          <w:color w:val="auto"/>
          <w:sz w:val="24"/>
        </w:rPr>
        <w:t>4</w:t>
      </w:r>
      <w:r>
        <w:rPr>
          <w:b/>
          <w:color w:val="auto"/>
          <w:sz w:val="24"/>
        </w:rPr>
        <w:t>-1</w:t>
      </w:r>
      <w:r>
        <w:rPr>
          <w:rFonts w:hint="eastAsia"/>
          <w:b/>
          <w:color w:val="auto"/>
          <w:sz w:val="24"/>
        </w:rPr>
        <w:t>4</w:t>
      </w:r>
      <w:r>
        <w:rPr>
          <w:b/>
          <w:color w:val="auto"/>
          <w:sz w:val="24"/>
        </w:rPr>
        <w:t xml:space="preserve">   项目污染物排放 “三本账”   单位：t/a</w:t>
      </w:r>
    </w:p>
    <w:tbl>
      <w:tblPr>
        <w:tblStyle w:val="53"/>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79"/>
        <w:gridCol w:w="847"/>
        <w:gridCol w:w="851"/>
        <w:gridCol w:w="1560"/>
        <w:gridCol w:w="1560"/>
        <w:gridCol w:w="1013"/>
        <w:gridCol w:w="1110"/>
        <w:gridCol w:w="12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435" w:type="pct"/>
            <w:vAlign w:val="center"/>
          </w:tcPr>
          <w:p>
            <w:pPr>
              <w:pStyle w:val="166"/>
              <w:snapToGrid w:val="0"/>
              <w:rPr>
                <w:rFonts w:ascii="Times New Roman" w:hAnsi="Times New Roman"/>
                <w:b/>
                <w:bCs/>
                <w:color w:val="auto"/>
                <w:sz w:val="21"/>
                <w:szCs w:val="21"/>
              </w:rPr>
            </w:pPr>
            <w:r>
              <w:rPr>
                <w:rFonts w:ascii="Times New Roman" w:hAnsi="Times New Roman"/>
                <w:b/>
                <w:bCs/>
                <w:color w:val="auto"/>
                <w:sz w:val="21"/>
                <w:szCs w:val="21"/>
              </w:rPr>
              <w:t>种类</w:t>
            </w:r>
          </w:p>
        </w:tc>
        <w:tc>
          <w:tcPr>
            <w:tcW w:w="948" w:type="pct"/>
            <w:gridSpan w:val="2"/>
            <w:vAlign w:val="center"/>
          </w:tcPr>
          <w:p>
            <w:pPr>
              <w:pStyle w:val="166"/>
              <w:snapToGrid w:val="0"/>
              <w:rPr>
                <w:rFonts w:ascii="Times New Roman" w:hAnsi="Times New Roman"/>
                <w:b/>
                <w:bCs/>
                <w:color w:val="auto"/>
                <w:sz w:val="21"/>
                <w:szCs w:val="21"/>
              </w:rPr>
            </w:pPr>
            <w:r>
              <w:rPr>
                <w:rFonts w:ascii="Times New Roman" w:hAnsi="Times New Roman"/>
                <w:b/>
                <w:bCs/>
                <w:color w:val="auto"/>
                <w:sz w:val="21"/>
                <w:szCs w:val="21"/>
              </w:rPr>
              <w:t>污染物名称</w:t>
            </w:r>
          </w:p>
        </w:tc>
        <w:tc>
          <w:tcPr>
            <w:tcW w:w="871" w:type="pct"/>
            <w:vAlign w:val="center"/>
          </w:tcPr>
          <w:p>
            <w:pPr>
              <w:pStyle w:val="166"/>
              <w:snapToGrid w:val="0"/>
              <w:rPr>
                <w:rFonts w:ascii="Times New Roman" w:hAnsi="Times New Roman"/>
                <w:b/>
                <w:bCs/>
                <w:color w:val="auto"/>
                <w:sz w:val="21"/>
                <w:szCs w:val="21"/>
              </w:rPr>
            </w:pPr>
            <w:r>
              <w:rPr>
                <w:rFonts w:hint="eastAsia" w:ascii="Times New Roman" w:hAnsi="Times New Roman"/>
                <w:b/>
                <w:bCs/>
                <w:color w:val="auto"/>
                <w:sz w:val="21"/>
                <w:szCs w:val="21"/>
              </w:rPr>
              <w:t>现有工程排放量</w:t>
            </w:r>
          </w:p>
        </w:tc>
        <w:tc>
          <w:tcPr>
            <w:tcW w:w="871" w:type="pct"/>
            <w:vAlign w:val="center"/>
          </w:tcPr>
          <w:p>
            <w:pPr>
              <w:pStyle w:val="166"/>
              <w:snapToGrid w:val="0"/>
              <w:rPr>
                <w:rFonts w:ascii="Times New Roman" w:hAnsi="Times New Roman"/>
                <w:b/>
                <w:bCs/>
                <w:color w:val="auto"/>
                <w:sz w:val="21"/>
                <w:szCs w:val="21"/>
              </w:rPr>
            </w:pPr>
            <w:r>
              <w:rPr>
                <w:rFonts w:hint="eastAsia" w:ascii="Times New Roman" w:hAnsi="Times New Roman"/>
                <w:b/>
                <w:bCs/>
                <w:color w:val="auto"/>
                <w:sz w:val="21"/>
                <w:szCs w:val="21"/>
              </w:rPr>
              <w:t>扩建项目排放量</w:t>
            </w:r>
          </w:p>
        </w:tc>
        <w:tc>
          <w:tcPr>
            <w:tcW w:w="566" w:type="pct"/>
            <w:vAlign w:val="center"/>
          </w:tcPr>
          <w:p>
            <w:pPr>
              <w:pStyle w:val="166"/>
              <w:snapToGrid w:val="0"/>
              <w:rPr>
                <w:rFonts w:ascii="Times New Roman" w:hAnsi="Times New Roman"/>
                <w:b/>
                <w:bCs/>
                <w:color w:val="auto"/>
                <w:sz w:val="21"/>
                <w:szCs w:val="21"/>
              </w:rPr>
            </w:pPr>
            <w:r>
              <w:rPr>
                <w:rFonts w:hint="eastAsia" w:ascii="Times New Roman" w:hAnsi="Times New Roman"/>
                <w:b/>
                <w:bCs/>
                <w:color w:val="auto"/>
                <w:sz w:val="21"/>
                <w:szCs w:val="21"/>
              </w:rPr>
              <w:t>以新带老消减量</w:t>
            </w:r>
          </w:p>
        </w:tc>
        <w:tc>
          <w:tcPr>
            <w:tcW w:w="620" w:type="pct"/>
            <w:vAlign w:val="center"/>
          </w:tcPr>
          <w:p>
            <w:pPr>
              <w:pStyle w:val="166"/>
              <w:snapToGrid w:val="0"/>
              <w:rPr>
                <w:rFonts w:ascii="Times New Roman" w:hAnsi="Times New Roman"/>
                <w:b/>
                <w:bCs/>
                <w:color w:val="auto"/>
                <w:sz w:val="21"/>
                <w:szCs w:val="21"/>
              </w:rPr>
            </w:pPr>
            <w:r>
              <w:rPr>
                <w:rFonts w:ascii="Times New Roman" w:hAnsi="Times New Roman"/>
                <w:b/>
                <w:bCs/>
                <w:color w:val="auto"/>
                <w:sz w:val="21"/>
                <w:szCs w:val="21"/>
              </w:rPr>
              <w:t>本项目完成后总排放量</w:t>
            </w:r>
          </w:p>
        </w:tc>
        <w:tc>
          <w:tcPr>
            <w:tcW w:w="686" w:type="pct"/>
            <w:vAlign w:val="center"/>
          </w:tcPr>
          <w:p>
            <w:pPr>
              <w:pStyle w:val="166"/>
              <w:snapToGrid w:val="0"/>
              <w:rPr>
                <w:rFonts w:ascii="Times New Roman" w:hAnsi="Times New Roman"/>
                <w:b/>
                <w:bCs/>
                <w:color w:val="auto"/>
                <w:sz w:val="21"/>
                <w:szCs w:val="21"/>
              </w:rPr>
            </w:pPr>
          </w:p>
          <w:p>
            <w:pPr>
              <w:pStyle w:val="166"/>
              <w:snapToGrid w:val="0"/>
              <w:rPr>
                <w:rFonts w:ascii="Times New Roman" w:hAnsi="Times New Roman"/>
                <w:b/>
                <w:bCs/>
                <w:color w:val="auto"/>
                <w:sz w:val="21"/>
                <w:szCs w:val="21"/>
              </w:rPr>
            </w:pPr>
            <w:r>
              <w:rPr>
                <w:rFonts w:hint="eastAsia" w:ascii="Times New Roman" w:hAnsi="Times New Roman"/>
                <w:b/>
                <w:bCs/>
                <w:color w:val="auto"/>
                <w:sz w:val="21"/>
                <w:szCs w:val="21"/>
              </w:rPr>
              <w:t>增减量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435" w:type="pct"/>
            <w:vMerge w:val="restart"/>
            <w:vAlign w:val="center"/>
          </w:tcPr>
          <w:p>
            <w:pPr>
              <w:pStyle w:val="166"/>
              <w:snapToGrid w:val="0"/>
              <w:rPr>
                <w:rFonts w:ascii="Times New Roman" w:hAnsi="Times New Roman"/>
                <w:color w:val="auto"/>
                <w:sz w:val="21"/>
                <w:szCs w:val="21"/>
              </w:rPr>
            </w:pPr>
            <w:r>
              <w:rPr>
                <w:rFonts w:ascii="Times New Roman" w:hAnsi="Times New Roman"/>
                <w:color w:val="auto"/>
                <w:sz w:val="21"/>
                <w:szCs w:val="21"/>
              </w:rPr>
              <w:t>废水</w:t>
            </w:r>
          </w:p>
        </w:tc>
        <w:tc>
          <w:tcPr>
            <w:tcW w:w="948" w:type="pct"/>
            <w:gridSpan w:val="2"/>
            <w:vAlign w:val="center"/>
          </w:tcPr>
          <w:p>
            <w:pPr>
              <w:pStyle w:val="166"/>
              <w:snapToGrid w:val="0"/>
              <w:rPr>
                <w:rFonts w:ascii="Times New Roman" w:hAnsi="Times New Roman"/>
                <w:color w:val="auto"/>
                <w:sz w:val="21"/>
                <w:szCs w:val="21"/>
              </w:rPr>
            </w:pPr>
            <w:r>
              <w:rPr>
                <w:rFonts w:ascii="Times New Roman" w:hAnsi="Times New Roman"/>
                <w:color w:val="auto"/>
                <w:sz w:val="21"/>
                <w:szCs w:val="21"/>
              </w:rPr>
              <w:t>废水量</w:t>
            </w:r>
          </w:p>
        </w:tc>
        <w:tc>
          <w:tcPr>
            <w:tcW w:w="871" w:type="pct"/>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0</w:t>
            </w:r>
          </w:p>
        </w:tc>
        <w:tc>
          <w:tcPr>
            <w:tcW w:w="871" w:type="pct"/>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600</w:t>
            </w:r>
          </w:p>
        </w:tc>
        <w:tc>
          <w:tcPr>
            <w:tcW w:w="566" w:type="pct"/>
            <w:vAlign w:val="center"/>
          </w:tcPr>
          <w:p>
            <w:pPr>
              <w:pStyle w:val="166"/>
              <w:snapToGrid w:val="0"/>
              <w:rPr>
                <w:rFonts w:ascii="Times New Roman" w:hAnsi="Times New Roman"/>
                <w:color w:val="auto"/>
                <w:sz w:val="21"/>
                <w:szCs w:val="21"/>
              </w:rPr>
            </w:pPr>
            <w:r>
              <w:rPr>
                <w:rFonts w:ascii="Times New Roman" w:hAnsi="Times New Roman"/>
                <w:color w:val="auto"/>
                <w:sz w:val="21"/>
                <w:szCs w:val="21"/>
              </w:rPr>
              <w:t>0</w:t>
            </w:r>
          </w:p>
        </w:tc>
        <w:tc>
          <w:tcPr>
            <w:tcW w:w="620" w:type="pct"/>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600</w:t>
            </w:r>
          </w:p>
        </w:tc>
        <w:tc>
          <w:tcPr>
            <w:tcW w:w="686" w:type="pct"/>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eastAsia" w:cs="Times New Roman"/>
                <w:i w:val="0"/>
                <w:color w:val="000000"/>
                <w:kern w:val="0"/>
                <w:sz w:val="21"/>
                <w:szCs w:val="21"/>
                <w:u w:val="none"/>
                <w:lang w:val="en-US" w:eastAsia="zh-CN" w:bidi="ar"/>
              </w:rPr>
              <w:t>+</w:t>
            </w:r>
            <w:r>
              <w:rPr>
                <w:rFonts w:hint="default" w:ascii="Times New Roman" w:hAnsi="Times New Roman" w:eastAsia="宋体" w:cs="Times New Roman"/>
                <w:i w:val="0"/>
                <w:color w:val="000000"/>
                <w:kern w:val="0"/>
                <w:sz w:val="21"/>
                <w:szCs w:val="21"/>
                <w:u w:val="none"/>
                <w:lang w:val="en-US" w:eastAsia="zh-CN" w:bidi="ar"/>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435" w:type="pct"/>
            <w:vMerge w:val="continue"/>
            <w:vAlign w:val="center"/>
          </w:tcPr>
          <w:p>
            <w:pPr>
              <w:pStyle w:val="166"/>
              <w:snapToGrid w:val="0"/>
              <w:rPr>
                <w:rFonts w:ascii="Times New Roman" w:hAnsi="Times New Roman"/>
                <w:color w:val="auto"/>
                <w:sz w:val="21"/>
                <w:szCs w:val="21"/>
              </w:rPr>
            </w:pPr>
          </w:p>
        </w:tc>
        <w:tc>
          <w:tcPr>
            <w:tcW w:w="948" w:type="pct"/>
            <w:gridSpan w:val="2"/>
            <w:vAlign w:val="center"/>
          </w:tcPr>
          <w:p>
            <w:pPr>
              <w:pStyle w:val="166"/>
              <w:snapToGrid w:val="0"/>
              <w:rPr>
                <w:rFonts w:ascii="Times New Roman" w:hAnsi="Times New Roman"/>
                <w:color w:val="auto"/>
                <w:sz w:val="21"/>
                <w:szCs w:val="21"/>
              </w:rPr>
            </w:pPr>
            <w:r>
              <w:rPr>
                <w:rFonts w:ascii="Times New Roman" w:hAnsi="Times New Roman"/>
                <w:color w:val="auto"/>
                <w:sz w:val="21"/>
                <w:szCs w:val="21"/>
              </w:rPr>
              <w:t>COD</w:t>
            </w:r>
          </w:p>
        </w:tc>
        <w:tc>
          <w:tcPr>
            <w:tcW w:w="871" w:type="pct"/>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0</w:t>
            </w:r>
          </w:p>
        </w:tc>
        <w:tc>
          <w:tcPr>
            <w:tcW w:w="871" w:type="pct"/>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0.06</w:t>
            </w:r>
          </w:p>
        </w:tc>
        <w:tc>
          <w:tcPr>
            <w:tcW w:w="566" w:type="pct"/>
            <w:vAlign w:val="center"/>
          </w:tcPr>
          <w:p>
            <w:pPr>
              <w:pStyle w:val="166"/>
              <w:snapToGrid w:val="0"/>
              <w:rPr>
                <w:rFonts w:ascii="Times New Roman" w:hAnsi="Times New Roman"/>
                <w:color w:val="auto"/>
                <w:sz w:val="21"/>
                <w:szCs w:val="21"/>
              </w:rPr>
            </w:pPr>
            <w:r>
              <w:rPr>
                <w:rFonts w:ascii="Times New Roman" w:hAnsi="Times New Roman"/>
                <w:color w:val="auto"/>
                <w:sz w:val="21"/>
                <w:szCs w:val="21"/>
              </w:rPr>
              <w:t>0</w:t>
            </w:r>
          </w:p>
        </w:tc>
        <w:tc>
          <w:tcPr>
            <w:tcW w:w="620" w:type="pct"/>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0.06</w:t>
            </w:r>
          </w:p>
        </w:tc>
        <w:tc>
          <w:tcPr>
            <w:tcW w:w="686" w:type="pct"/>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eastAsia" w:cs="Times New Roman"/>
                <w:i w:val="0"/>
                <w:color w:val="000000"/>
                <w:kern w:val="0"/>
                <w:sz w:val="21"/>
                <w:szCs w:val="21"/>
                <w:u w:val="none"/>
                <w:lang w:val="en-US" w:eastAsia="zh-CN" w:bidi="ar"/>
              </w:rPr>
              <w:t>+</w:t>
            </w:r>
            <w:r>
              <w:rPr>
                <w:rFonts w:hint="default" w:ascii="Times New Roman" w:hAnsi="Times New Roman" w:eastAsia="宋体" w:cs="Times New Roman"/>
                <w:i w:val="0"/>
                <w:color w:val="000000"/>
                <w:kern w:val="0"/>
                <w:sz w:val="21"/>
                <w:szCs w:val="21"/>
                <w:u w:val="none"/>
                <w:lang w:val="en-US" w:eastAsia="zh-CN" w:bidi="ar"/>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435" w:type="pct"/>
            <w:vMerge w:val="continue"/>
            <w:vAlign w:val="center"/>
          </w:tcPr>
          <w:p>
            <w:pPr>
              <w:pStyle w:val="166"/>
              <w:snapToGrid w:val="0"/>
              <w:rPr>
                <w:rFonts w:ascii="Times New Roman" w:hAnsi="Times New Roman"/>
                <w:color w:val="auto"/>
                <w:sz w:val="21"/>
                <w:szCs w:val="21"/>
              </w:rPr>
            </w:pPr>
          </w:p>
        </w:tc>
        <w:tc>
          <w:tcPr>
            <w:tcW w:w="948" w:type="pct"/>
            <w:gridSpan w:val="2"/>
            <w:vAlign w:val="center"/>
          </w:tcPr>
          <w:p>
            <w:pPr>
              <w:pStyle w:val="166"/>
              <w:snapToGrid w:val="0"/>
              <w:rPr>
                <w:rFonts w:ascii="Times New Roman" w:hAnsi="Times New Roman"/>
                <w:color w:val="auto"/>
                <w:sz w:val="21"/>
                <w:szCs w:val="21"/>
              </w:rPr>
            </w:pPr>
            <w:r>
              <w:rPr>
                <w:rFonts w:ascii="Times New Roman" w:hAnsi="Times New Roman"/>
                <w:color w:val="auto"/>
                <w:sz w:val="21"/>
                <w:szCs w:val="21"/>
              </w:rPr>
              <w:t>BOD5</w:t>
            </w:r>
          </w:p>
        </w:tc>
        <w:tc>
          <w:tcPr>
            <w:tcW w:w="871" w:type="pct"/>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0</w:t>
            </w:r>
          </w:p>
        </w:tc>
        <w:tc>
          <w:tcPr>
            <w:tcW w:w="871" w:type="pct"/>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0.042</w:t>
            </w:r>
          </w:p>
        </w:tc>
        <w:tc>
          <w:tcPr>
            <w:tcW w:w="566" w:type="pct"/>
            <w:vAlign w:val="center"/>
          </w:tcPr>
          <w:p>
            <w:pPr>
              <w:pStyle w:val="166"/>
              <w:snapToGrid w:val="0"/>
              <w:rPr>
                <w:rFonts w:ascii="Times New Roman" w:hAnsi="Times New Roman"/>
                <w:color w:val="auto"/>
                <w:sz w:val="21"/>
                <w:szCs w:val="21"/>
              </w:rPr>
            </w:pPr>
            <w:r>
              <w:rPr>
                <w:rFonts w:ascii="Times New Roman" w:hAnsi="Times New Roman"/>
                <w:color w:val="auto"/>
                <w:sz w:val="21"/>
                <w:szCs w:val="21"/>
              </w:rPr>
              <w:t>0</w:t>
            </w:r>
          </w:p>
        </w:tc>
        <w:tc>
          <w:tcPr>
            <w:tcW w:w="620" w:type="pct"/>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0.042</w:t>
            </w:r>
          </w:p>
        </w:tc>
        <w:tc>
          <w:tcPr>
            <w:tcW w:w="686" w:type="pct"/>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eastAsia" w:cs="Times New Roman"/>
                <w:i w:val="0"/>
                <w:color w:val="000000"/>
                <w:kern w:val="0"/>
                <w:sz w:val="21"/>
                <w:szCs w:val="21"/>
                <w:u w:val="none"/>
                <w:lang w:val="en-US" w:eastAsia="zh-CN" w:bidi="ar"/>
              </w:rPr>
              <w:t>+</w:t>
            </w:r>
            <w:r>
              <w:rPr>
                <w:rFonts w:hint="default" w:ascii="Times New Roman" w:hAnsi="Times New Roman" w:eastAsia="宋体" w:cs="Times New Roman"/>
                <w:i w:val="0"/>
                <w:color w:val="000000"/>
                <w:kern w:val="0"/>
                <w:sz w:val="21"/>
                <w:szCs w:val="21"/>
                <w:u w:val="none"/>
                <w:lang w:val="en-US" w:eastAsia="zh-CN" w:bidi="ar"/>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435" w:type="pct"/>
            <w:vMerge w:val="continue"/>
            <w:vAlign w:val="center"/>
          </w:tcPr>
          <w:p>
            <w:pPr>
              <w:pStyle w:val="166"/>
              <w:snapToGrid w:val="0"/>
              <w:rPr>
                <w:rFonts w:ascii="Times New Roman" w:hAnsi="Times New Roman"/>
                <w:color w:val="auto"/>
                <w:sz w:val="21"/>
                <w:szCs w:val="21"/>
              </w:rPr>
            </w:pPr>
          </w:p>
        </w:tc>
        <w:tc>
          <w:tcPr>
            <w:tcW w:w="948" w:type="pct"/>
            <w:gridSpan w:val="2"/>
            <w:vAlign w:val="center"/>
          </w:tcPr>
          <w:p>
            <w:pPr>
              <w:pStyle w:val="166"/>
              <w:snapToGrid w:val="0"/>
              <w:rPr>
                <w:rFonts w:ascii="Times New Roman" w:hAnsi="Times New Roman"/>
                <w:color w:val="auto"/>
                <w:sz w:val="21"/>
                <w:szCs w:val="21"/>
              </w:rPr>
            </w:pPr>
            <w:r>
              <w:rPr>
                <w:rFonts w:ascii="Times New Roman" w:hAnsi="Times New Roman"/>
                <w:color w:val="auto"/>
                <w:sz w:val="21"/>
                <w:szCs w:val="21"/>
              </w:rPr>
              <w:t>SS</w:t>
            </w:r>
          </w:p>
        </w:tc>
        <w:tc>
          <w:tcPr>
            <w:tcW w:w="871" w:type="pct"/>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0</w:t>
            </w:r>
          </w:p>
        </w:tc>
        <w:tc>
          <w:tcPr>
            <w:tcW w:w="871" w:type="pct"/>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0.009</w:t>
            </w:r>
          </w:p>
        </w:tc>
        <w:tc>
          <w:tcPr>
            <w:tcW w:w="566" w:type="pct"/>
            <w:vAlign w:val="center"/>
          </w:tcPr>
          <w:p>
            <w:pPr>
              <w:pStyle w:val="166"/>
              <w:snapToGrid w:val="0"/>
              <w:rPr>
                <w:rFonts w:ascii="Times New Roman" w:hAnsi="Times New Roman"/>
                <w:color w:val="auto"/>
                <w:sz w:val="21"/>
                <w:szCs w:val="21"/>
              </w:rPr>
            </w:pPr>
            <w:r>
              <w:rPr>
                <w:rFonts w:ascii="Times New Roman" w:hAnsi="Times New Roman"/>
                <w:color w:val="auto"/>
                <w:sz w:val="21"/>
                <w:szCs w:val="21"/>
              </w:rPr>
              <w:t>0</w:t>
            </w:r>
          </w:p>
        </w:tc>
        <w:tc>
          <w:tcPr>
            <w:tcW w:w="620" w:type="pct"/>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0.009</w:t>
            </w:r>
          </w:p>
        </w:tc>
        <w:tc>
          <w:tcPr>
            <w:tcW w:w="686" w:type="pct"/>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eastAsia" w:cs="Times New Roman"/>
                <w:i w:val="0"/>
                <w:color w:val="000000"/>
                <w:kern w:val="0"/>
                <w:sz w:val="21"/>
                <w:szCs w:val="21"/>
                <w:u w:val="none"/>
                <w:lang w:val="en-US" w:eastAsia="zh-CN" w:bidi="ar"/>
              </w:rPr>
              <w:t>+</w:t>
            </w:r>
            <w:r>
              <w:rPr>
                <w:rFonts w:hint="default" w:ascii="Times New Roman" w:hAnsi="Times New Roman" w:eastAsia="宋体" w:cs="Times New Roman"/>
                <w:i w:val="0"/>
                <w:color w:val="000000"/>
                <w:kern w:val="0"/>
                <w:sz w:val="21"/>
                <w:szCs w:val="21"/>
                <w:u w:val="none"/>
                <w:lang w:val="en-US" w:eastAsia="zh-CN" w:bidi="ar"/>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435" w:type="pct"/>
            <w:vMerge w:val="continue"/>
            <w:vAlign w:val="center"/>
          </w:tcPr>
          <w:p>
            <w:pPr>
              <w:pStyle w:val="166"/>
              <w:snapToGrid w:val="0"/>
              <w:rPr>
                <w:rFonts w:ascii="Times New Roman" w:hAnsi="Times New Roman"/>
                <w:color w:val="auto"/>
                <w:sz w:val="21"/>
                <w:szCs w:val="21"/>
              </w:rPr>
            </w:pPr>
          </w:p>
        </w:tc>
        <w:tc>
          <w:tcPr>
            <w:tcW w:w="948" w:type="pct"/>
            <w:gridSpan w:val="2"/>
            <w:vAlign w:val="center"/>
          </w:tcPr>
          <w:p>
            <w:pPr>
              <w:pStyle w:val="166"/>
              <w:snapToGrid w:val="0"/>
              <w:rPr>
                <w:rFonts w:ascii="Times New Roman" w:hAnsi="Times New Roman"/>
                <w:color w:val="auto"/>
                <w:sz w:val="21"/>
                <w:szCs w:val="21"/>
              </w:rPr>
            </w:pPr>
            <w:r>
              <w:rPr>
                <w:rFonts w:ascii="Times New Roman" w:hAnsi="Times New Roman"/>
                <w:color w:val="auto"/>
                <w:sz w:val="21"/>
                <w:szCs w:val="21"/>
              </w:rPr>
              <w:t>氨氮</w:t>
            </w:r>
          </w:p>
        </w:tc>
        <w:tc>
          <w:tcPr>
            <w:tcW w:w="871" w:type="pct"/>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0</w:t>
            </w:r>
          </w:p>
        </w:tc>
        <w:tc>
          <w:tcPr>
            <w:tcW w:w="871" w:type="pct"/>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0.012</w:t>
            </w:r>
          </w:p>
        </w:tc>
        <w:tc>
          <w:tcPr>
            <w:tcW w:w="566" w:type="pct"/>
            <w:vAlign w:val="center"/>
          </w:tcPr>
          <w:p>
            <w:pPr>
              <w:pStyle w:val="166"/>
              <w:snapToGrid w:val="0"/>
              <w:rPr>
                <w:rFonts w:ascii="Times New Roman" w:hAnsi="Times New Roman"/>
                <w:color w:val="auto"/>
                <w:sz w:val="21"/>
                <w:szCs w:val="21"/>
              </w:rPr>
            </w:pPr>
            <w:r>
              <w:rPr>
                <w:rFonts w:ascii="Times New Roman" w:hAnsi="Times New Roman"/>
                <w:color w:val="auto"/>
                <w:sz w:val="21"/>
                <w:szCs w:val="21"/>
              </w:rPr>
              <w:t>0</w:t>
            </w:r>
          </w:p>
        </w:tc>
        <w:tc>
          <w:tcPr>
            <w:tcW w:w="620" w:type="pct"/>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0.012</w:t>
            </w:r>
          </w:p>
        </w:tc>
        <w:tc>
          <w:tcPr>
            <w:tcW w:w="686" w:type="pct"/>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eastAsia" w:cs="Times New Roman"/>
                <w:i w:val="0"/>
                <w:color w:val="000000"/>
                <w:kern w:val="0"/>
                <w:sz w:val="21"/>
                <w:szCs w:val="21"/>
                <w:u w:val="none"/>
                <w:lang w:val="en-US" w:eastAsia="zh-CN" w:bidi="ar"/>
              </w:rPr>
              <w:t>+</w:t>
            </w:r>
            <w:r>
              <w:rPr>
                <w:rFonts w:hint="default" w:ascii="Times New Roman" w:hAnsi="Times New Roman" w:eastAsia="宋体" w:cs="Times New Roman"/>
                <w:i w:val="0"/>
                <w:color w:val="000000"/>
                <w:kern w:val="0"/>
                <w:sz w:val="21"/>
                <w:szCs w:val="21"/>
                <w:u w:val="none"/>
                <w:lang w:val="en-US" w:eastAsia="zh-CN" w:bidi="ar"/>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435" w:type="pct"/>
            <w:vMerge w:val="restart"/>
            <w:vAlign w:val="center"/>
          </w:tcPr>
          <w:p>
            <w:pPr>
              <w:pStyle w:val="166"/>
              <w:snapToGrid w:val="0"/>
              <w:rPr>
                <w:rFonts w:ascii="Times New Roman" w:hAnsi="Times New Roman"/>
                <w:color w:val="auto"/>
                <w:sz w:val="21"/>
                <w:szCs w:val="21"/>
              </w:rPr>
            </w:pPr>
            <w:r>
              <w:rPr>
                <w:rFonts w:ascii="Times New Roman" w:hAnsi="Times New Roman"/>
                <w:color w:val="auto"/>
                <w:sz w:val="21"/>
                <w:szCs w:val="21"/>
              </w:rPr>
              <w:t>废气</w:t>
            </w:r>
          </w:p>
        </w:tc>
        <w:tc>
          <w:tcPr>
            <w:tcW w:w="473" w:type="pct"/>
            <w:vMerge w:val="restart"/>
            <w:vAlign w:val="center"/>
          </w:tcPr>
          <w:p>
            <w:pPr>
              <w:pStyle w:val="166"/>
              <w:snapToGrid w:val="0"/>
              <w:rPr>
                <w:rFonts w:ascii="Times New Roman" w:hAnsi="Times New Roman"/>
                <w:color w:val="auto"/>
                <w:sz w:val="21"/>
                <w:szCs w:val="21"/>
              </w:rPr>
            </w:pPr>
            <w:r>
              <w:rPr>
                <w:rFonts w:ascii="Times New Roman" w:hAnsi="Times New Roman"/>
                <w:color w:val="auto"/>
                <w:sz w:val="21"/>
                <w:szCs w:val="21"/>
              </w:rPr>
              <w:t>颗粒物</w:t>
            </w:r>
          </w:p>
        </w:tc>
        <w:tc>
          <w:tcPr>
            <w:tcW w:w="475" w:type="pct"/>
            <w:vAlign w:val="center"/>
          </w:tcPr>
          <w:p>
            <w:pPr>
              <w:pStyle w:val="166"/>
              <w:snapToGrid w:val="0"/>
              <w:rPr>
                <w:rFonts w:hint="eastAsia" w:ascii="Times New Roman" w:hAnsi="Times New Roman" w:eastAsia="宋体"/>
                <w:color w:val="auto"/>
                <w:sz w:val="21"/>
                <w:szCs w:val="21"/>
                <w:lang w:eastAsia="zh-CN"/>
              </w:rPr>
            </w:pPr>
            <w:r>
              <w:rPr>
                <w:rFonts w:hint="eastAsia" w:ascii="Times New Roman" w:hAnsi="Times New Roman"/>
                <w:color w:val="auto"/>
                <w:sz w:val="21"/>
                <w:szCs w:val="21"/>
                <w:lang w:eastAsia="zh-CN"/>
              </w:rPr>
              <w:t>有组织</w:t>
            </w:r>
          </w:p>
        </w:tc>
        <w:tc>
          <w:tcPr>
            <w:tcW w:w="871" w:type="pct"/>
            <w:vAlign w:val="center"/>
          </w:tcPr>
          <w:p>
            <w:pPr>
              <w:snapToGrid w:val="0"/>
              <w:jc w:val="center"/>
              <w:rPr>
                <w:rFonts w:ascii="Times New Roman" w:hAnsi="Times New Roman"/>
                <w:color w:val="auto"/>
                <w:sz w:val="21"/>
                <w:szCs w:val="21"/>
              </w:rPr>
            </w:pPr>
            <w:r>
              <w:rPr>
                <w:rFonts w:ascii="Times New Roman" w:hAnsi="Times New Roman"/>
                <w:color w:val="auto"/>
                <w:sz w:val="21"/>
                <w:szCs w:val="21"/>
              </w:rPr>
              <w:t>0</w:t>
            </w:r>
          </w:p>
        </w:tc>
        <w:tc>
          <w:tcPr>
            <w:tcW w:w="871" w:type="pct"/>
            <w:vAlign w:val="center"/>
          </w:tcPr>
          <w:p>
            <w:pPr>
              <w:pStyle w:val="166"/>
              <w:snapToGrid w:val="0"/>
              <w:rPr>
                <w:rFonts w:hint="eastAsia" w:ascii="Times New Roman" w:hAnsi="Times New Roman"/>
                <w:color w:val="auto"/>
                <w:sz w:val="21"/>
                <w:szCs w:val="21"/>
                <w:lang w:val="en-US" w:eastAsia="zh-CN"/>
              </w:rPr>
            </w:pPr>
            <w:r>
              <w:rPr>
                <w:rFonts w:hint="eastAsia" w:ascii="Times New Roman" w:hAnsi="Times New Roman"/>
                <w:color w:val="auto"/>
                <w:sz w:val="21"/>
                <w:szCs w:val="21"/>
                <w:lang w:val="en-US" w:eastAsia="zh-CN"/>
              </w:rPr>
              <w:t>0.0063</w:t>
            </w:r>
          </w:p>
        </w:tc>
        <w:tc>
          <w:tcPr>
            <w:tcW w:w="566" w:type="pct"/>
            <w:vAlign w:val="center"/>
          </w:tcPr>
          <w:p>
            <w:pPr>
              <w:pStyle w:val="166"/>
              <w:snapToGrid w:val="0"/>
              <w:rPr>
                <w:rFonts w:ascii="Times New Roman" w:hAnsi="Times New Roman"/>
                <w:color w:val="auto"/>
                <w:sz w:val="21"/>
                <w:szCs w:val="21"/>
              </w:rPr>
            </w:pPr>
            <w:r>
              <w:rPr>
                <w:rFonts w:ascii="Times New Roman" w:hAnsi="Times New Roman"/>
                <w:color w:val="auto"/>
                <w:sz w:val="21"/>
                <w:szCs w:val="21"/>
              </w:rPr>
              <w:t>0</w:t>
            </w:r>
          </w:p>
        </w:tc>
        <w:tc>
          <w:tcPr>
            <w:tcW w:w="620" w:type="pct"/>
            <w:vAlign w:val="center"/>
          </w:tcPr>
          <w:p>
            <w:pPr>
              <w:pStyle w:val="166"/>
              <w:snapToGrid w:val="0"/>
              <w:rPr>
                <w:rFonts w:hint="eastAsia" w:ascii="Times New Roman" w:hAnsi="Times New Roman" w:eastAsia="宋体" w:cs="Times New Roman"/>
                <w:color w:val="auto"/>
                <w:kern w:val="24"/>
                <w:sz w:val="21"/>
                <w:szCs w:val="21"/>
                <w:lang w:val="en-US" w:eastAsia="zh-CN" w:bidi="ar-SA"/>
              </w:rPr>
            </w:pPr>
            <w:r>
              <w:rPr>
                <w:rFonts w:hint="eastAsia" w:ascii="Times New Roman" w:hAnsi="Times New Roman"/>
                <w:color w:val="auto"/>
                <w:sz w:val="21"/>
                <w:szCs w:val="21"/>
                <w:lang w:val="en-US" w:eastAsia="zh-CN"/>
              </w:rPr>
              <w:t>0.0063</w:t>
            </w:r>
          </w:p>
        </w:tc>
        <w:tc>
          <w:tcPr>
            <w:tcW w:w="686" w:type="pct"/>
            <w:vAlign w:val="center"/>
          </w:tcPr>
          <w:p>
            <w:pPr>
              <w:pStyle w:val="166"/>
              <w:snapToGrid w:val="0"/>
              <w:rPr>
                <w:rFonts w:hint="eastAsia" w:ascii="Times New Roman" w:hAnsi="Times New Roman"/>
                <w:color w:val="auto"/>
                <w:sz w:val="21"/>
                <w:szCs w:val="21"/>
                <w:lang w:val="en-US" w:eastAsia="zh-CN"/>
              </w:rPr>
            </w:pPr>
            <w:r>
              <w:rPr>
                <w:rFonts w:hint="eastAsia" w:ascii="Times New Roman" w:hAnsi="Times New Roman"/>
                <w:color w:val="auto"/>
                <w:sz w:val="21"/>
                <w:szCs w:val="21"/>
                <w:lang w:val="en-US" w:eastAsia="zh-CN"/>
              </w:rPr>
              <w:t>+0.0063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435" w:type="pct"/>
            <w:vMerge w:val="continue"/>
            <w:vAlign w:val="center"/>
          </w:tcPr>
          <w:p>
            <w:pPr>
              <w:pStyle w:val="166"/>
              <w:snapToGrid w:val="0"/>
              <w:rPr>
                <w:rFonts w:ascii="Times New Roman" w:hAnsi="Times New Roman"/>
                <w:color w:val="auto"/>
                <w:sz w:val="21"/>
                <w:szCs w:val="21"/>
              </w:rPr>
            </w:pPr>
          </w:p>
        </w:tc>
        <w:tc>
          <w:tcPr>
            <w:tcW w:w="473" w:type="pct"/>
            <w:vMerge w:val="continue"/>
            <w:vAlign w:val="center"/>
          </w:tcPr>
          <w:p>
            <w:pPr>
              <w:pStyle w:val="166"/>
              <w:snapToGrid w:val="0"/>
              <w:rPr>
                <w:rFonts w:ascii="Times New Roman" w:hAnsi="Times New Roman"/>
                <w:color w:val="auto"/>
                <w:sz w:val="21"/>
                <w:szCs w:val="21"/>
              </w:rPr>
            </w:pPr>
          </w:p>
        </w:tc>
        <w:tc>
          <w:tcPr>
            <w:tcW w:w="475" w:type="pct"/>
            <w:vAlign w:val="center"/>
          </w:tcPr>
          <w:p>
            <w:pPr>
              <w:pStyle w:val="166"/>
              <w:snapToGrid w:val="0"/>
              <w:rPr>
                <w:rFonts w:hint="eastAsia" w:ascii="Times New Roman" w:hAnsi="Times New Roman" w:eastAsia="宋体"/>
                <w:color w:val="auto"/>
                <w:sz w:val="21"/>
                <w:szCs w:val="21"/>
                <w:lang w:eastAsia="zh-CN"/>
              </w:rPr>
            </w:pPr>
            <w:r>
              <w:rPr>
                <w:rFonts w:hint="eastAsia" w:ascii="Times New Roman" w:hAnsi="Times New Roman"/>
                <w:color w:val="auto"/>
                <w:sz w:val="21"/>
                <w:szCs w:val="21"/>
                <w:lang w:eastAsia="zh-CN"/>
              </w:rPr>
              <w:t>无组织</w:t>
            </w:r>
          </w:p>
        </w:tc>
        <w:tc>
          <w:tcPr>
            <w:tcW w:w="871" w:type="pct"/>
            <w:vAlign w:val="center"/>
          </w:tcPr>
          <w:p>
            <w:pPr>
              <w:snapToGrid w:val="0"/>
              <w:jc w:val="center"/>
              <w:rPr>
                <w:rFonts w:ascii="Times New Roman" w:hAnsi="Times New Roman"/>
                <w:color w:val="auto"/>
                <w:sz w:val="21"/>
                <w:szCs w:val="21"/>
              </w:rPr>
            </w:pPr>
            <w:r>
              <w:rPr>
                <w:rFonts w:ascii="Times New Roman" w:hAnsi="Times New Roman"/>
                <w:color w:val="auto"/>
                <w:sz w:val="21"/>
                <w:szCs w:val="21"/>
              </w:rPr>
              <w:t>0</w:t>
            </w:r>
          </w:p>
        </w:tc>
        <w:tc>
          <w:tcPr>
            <w:tcW w:w="871" w:type="pct"/>
            <w:vAlign w:val="center"/>
          </w:tcPr>
          <w:p>
            <w:pPr>
              <w:pStyle w:val="166"/>
              <w:snapToGrid w:val="0"/>
              <w:rPr>
                <w:rFonts w:hint="eastAsia" w:ascii="Times New Roman" w:hAnsi="Times New Roman"/>
                <w:color w:val="auto"/>
                <w:sz w:val="21"/>
                <w:szCs w:val="21"/>
              </w:rPr>
            </w:pPr>
            <w:r>
              <w:rPr>
                <w:rFonts w:hint="eastAsia" w:ascii="Times New Roman" w:hAnsi="Times New Roman"/>
                <w:color w:val="auto"/>
                <w:sz w:val="21"/>
                <w:szCs w:val="21"/>
                <w:lang w:val="en-US" w:eastAsia="zh-CN"/>
              </w:rPr>
              <w:t>0.033</w:t>
            </w:r>
          </w:p>
        </w:tc>
        <w:tc>
          <w:tcPr>
            <w:tcW w:w="566" w:type="pct"/>
            <w:vAlign w:val="center"/>
          </w:tcPr>
          <w:p>
            <w:pPr>
              <w:pStyle w:val="166"/>
              <w:snapToGrid w:val="0"/>
              <w:rPr>
                <w:rFonts w:ascii="Times New Roman" w:hAnsi="Times New Roman"/>
                <w:color w:val="auto"/>
                <w:sz w:val="21"/>
                <w:szCs w:val="21"/>
              </w:rPr>
            </w:pPr>
            <w:r>
              <w:rPr>
                <w:rFonts w:ascii="Times New Roman" w:hAnsi="Times New Roman"/>
                <w:color w:val="auto"/>
                <w:sz w:val="21"/>
                <w:szCs w:val="21"/>
              </w:rPr>
              <w:t>0</w:t>
            </w:r>
          </w:p>
        </w:tc>
        <w:tc>
          <w:tcPr>
            <w:tcW w:w="620" w:type="pct"/>
            <w:vAlign w:val="center"/>
          </w:tcPr>
          <w:p>
            <w:pPr>
              <w:pStyle w:val="166"/>
              <w:snapToGrid w:val="0"/>
              <w:rPr>
                <w:rFonts w:hint="eastAsia" w:ascii="Times New Roman" w:hAnsi="Times New Roman" w:eastAsia="宋体" w:cs="Times New Roman"/>
                <w:color w:val="auto"/>
                <w:kern w:val="24"/>
                <w:sz w:val="21"/>
                <w:szCs w:val="21"/>
                <w:lang w:val="en-US" w:eastAsia="zh-CN" w:bidi="ar-SA"/>
              </w:rPr>
            </w:pPr>
            <w:r>
              <w:rPr>
                <w:rFonts w:hint="eastAsia" w:ascii="Times New Roman" w:hAnsi="Times New Roman"/>
                <w:color w:val="auto"/>
                <w:sz w:val="21"/>
                <w:szCs w:val="21"/>
                <w:lang w:val="en-US" w:eastAsia="zh-CN"/>
              </w:rPr>
              <w:t>0.033</w:t>
            </w:r>
          </w:p>
        </w:tc>
        <w:tc>
          <w:tcPr>
            <w:tcW w:w="686" w:type="pct"/>
            <w:vAlign w:val="center"/>
          </w:tcPr>
          <w:p>
            <w:pPr>
              <w:pStyle w:val="166"/>
              <w:snapToGrid w:val="0"/>
              <w:rPr>
                <w:rFonts w:hint="eastAsia" w:ascii="Times New Roman" w:hAnsi="Times New Roman"/>
                <w:color w:val="auto"/>
                <w:sz w:val="21"/>
                <w:szCs w:val="21"/>
                <w:lang w:val="en-US" w:eastAsia="zh-CN"/>
              </w:rPr>
            </w:pPr>
            <w:r>
              <w:rPr>
                <w:rFonts w:hint="eastAsia" w:ascii="Times New Roman" w:hAnsi="Times New Roman"/>
                <w:color w:val="auto"/>
                <w:sz w:val="21"/>
                <w:szCs w:val="21"/>
                <w:lang w:val="en-US" w:eastAsia="zh-CN"/>
              </w:rPr>
              <w:t>+0.033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435" w:type="pct"/>
            <w:vMerge w:val="continue"/>
            <w:vAlign w:val="center"/>
          </w:tcPr>
          <w:p>
            <w:pPr>
              <w:pStyle w:val="166"/>
              <w:snapToGrid w:val="0"/>
              <w:rPr>
                <w:rFonts w:ascii="Times New Roman" w:hAnsi="Times New Roman"/>
                <w:color w:val="auto"/>
                <w:sz w:val="21"/>
                <w:szCs w:val="21"/>
              </w:rPr>
            </w:pPr>
          </w:p>
        </w:tc>
        <w:tc>
          <w:tcPr>
            <w:tcW w:w="473" w:type="pct"/>
            <w:vMerge w:val="restart"/>
            <w:vAlign w:val="center"/>
          </w:tcPr>
          <w:p>
            <w:pPr>
              <w:pStyle w:val="166"/>
              <w:snapToGrid w:val="0"/>
              <w:rPr>
                <w:rFonts w:ascii="Times New Roman" w:hAnsi="Times New Roman"/>
                <w:color w:val="auto"/>
                <w:sz w:val="21"/>
                <w:szCs w:val="21"/>
              </w:rPr>
            </w:pPr>
            <w:r>
              <w:rPr>
                <w:rFonts w:ascii="Times New Roman" w:hAnsi="Times New Roman"/>
                <w:color w:val="auto"/>
                <w:sz w:val="21"/>
                <w:szCs w:val="21"/>
              </w:rPr>
              <w:t>非甲烷总烃</w:t>
            </w:r>
          </w:p>
        </w:tc>
        <w:tc>
          <w:tcPr>
            <w:tcW w:w="475" w:type="pct"/>
            <w:vAlign w:val="center"/>
          </w:tcPr>
          <w:p>
            <w:pPr>
              <w:pStyle w:val="166"/>
              <w:snapToGrid w:val="0"/>
              <w:rPr>
                <w:rFonts w:ascii="Times New Roman" w:hAnsi="Times New Roman"/>
                <w:color w:val="auto"/>
                <w:sz w:val="21"/>
                <w:szCs w:val="21"/>
              </w:rPr>
            </w:pPr>
            <w:r>
              <w:rPr>
                <w:rFonts w:hint="eastAsia" w:ascii="Times New Roman" w:hAnsi="Times New Roman"/>
                <w:color w:val="auto"/>
                <w:sz w:val="21"/>
                <w:szCs w:val="21"/>
                <w:lang w:eastAsia="zh-CN"/>
              </w:rPr>
              <w:t>有组织</w:t>
            </w:r>
          </w:p>
        </w:tc>
        <w:tc>
          <w:tcPr>
            <w:tcW w:w="871" w:type="pct"/>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ascii="Times New Roman" w:hAnsi="Times New Roman"/>
                <w:color w:val="auto"/>
                <w:sz w:val="21"/>
                <w:szCs w:val="21"/>
              </w:rPr>
              <w:t>0</w:t>
            </w:r>
          </w:p>
        </w:tc>
        <w:tc>
          <w:tcPr>
            <w:tcW w:w="871" w:type="pct"/>
            <w:vAlign w:val="center"/>
          </w:tcPr>
          <w:p>
            <w:pPr>
              <w:pStyle w:val="166"/>
              <w:snapToGrid w:val="0"/>
              <w:rPr>
                <w:rFonts w:hint="eastAsia" w:ascii="Times New Roman" w:hAnsi="Times New Roman"/>
                <w:color w:val="auto"/>
                <w:sz w:val="21"/>
                <w:szCs w:val="21"/>
                <w:lang w:val="en-US" w:eastAsia="zh-CN"/>
              </w:rPr>
            </w:pPr>
            <w:r>
              <w:rPr>
                <w:rFonts w:hint="eastAsia" w:ascii="Times New Roman" w:hAnsi="Times New Roman"/>
                <w:color w:val="auto"/>
                <w:sz w:val="21"/>
                <w:szCs w:val="21"/>
                <w:lang w:val="en-US" w:eastAsia="zh-CN"/>
              </w:rPr>
              <w:t>0.197</w:t>
            </w:r>
          </w:p>
        </w:tc>
        <w:tc>
          <w:tcPr>
            <w:tcW w:w="566" w:type="pct"/>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ascii="Times New Roman" w:hAnsi="Times New Roman"/>
                <w:color w:val="auto"/>
                <w:sz w:val="21"/>
                <w:szCs w:val="21"/>
              </w:rPr>
              <w:t>0</w:t>
            </w:r>
          </w:p>
        </w:tc>
        <w:tc>
          <w:tcPr>
            <w:tcW w:w="620" w:type="pct"/>
            <w:vAlign w:val="center"/>
          </w:tcPr>
          <w:p>
            <w:pPr>
              <w:pStyle w:val="166"/>
              <w:snapToGrid w:val="0"/>
              <w:rPr>
                <w:rFonts w:hint="eastAsia" w:ascii="Times New Roman" w:hAnsi="Times New Roman"/>
                <w:color w:val="auto"/>
                <w:sz w:val="21"/>
                <w:szCs w:val="21"/>
                <w:lang w:val="en-US" w:eastAsia="zh-CN"/>
              </w:rPr>
            </w:pPr>
            <w:r>
              <w:rPr>
                <w:rFonts w:hint="eastAsia" w:ascii="Times New Roman" w:hAnsi="Times New Roman"/>
                <w:color w:val="auto"/>
                <w:sz w:val="21"/>
                <w:szCs w:val="21"/>
                <w:lang w:val="en-US" w:eastAsia="zh-CN"/>
              </w:rPr>
              <w:t>0.197</w:t>
            </w:r>
          </w:p>
        </w:tc>
        <w:tc>
          <w:tcPr>
            <w:tcW w:w="686" w:type="pct"/>
            <w:vAlign w:val="center"/>
          </w:tcPr>
          <w:p>
            <w:pPr>
              <w:pStyle w:val="166"/>
              <w:snapToGrid w:val="0"/>
              <w:rPr>
                <w:rFonts w:hint="eastAsia" w:ascii="Times New Roman" w:hAnsi="Times New Roman"/>
                <w:color w:val="auto"/>
                <w:sz w:val="21"/>
                <w:szCs w:val="21"/>
                <w:lang w:val="en-US" w:eastAsia="zh-CN"/>
              </w:rPr>
            </w:pPr>
            <w:r>
              <w:rPr>
                <w:rFonts w:hint="eastAsia" w:ascii="Times New Roman" w:hAnsi="Times New Roman"/>
                <w:color w:val="auto"/>
                <w:sz w:val="21"/>
                <w:szCs w:val="21"/>
                <w:lang w:val="en-US" w:eastAsia="zh-CN"/>
              </w:rPr>
              <w:t>-0.523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435" w:type="pct"/>
            <w:vMerge w:val="continue"/>
            <w:vAlign w:val="center"/>
          </w:tcPr>
          <w:p>
            <w:pPr>
              <w:pStyle w:val="166"/>
              <w:snapToGrid w:val="0"/>
              <w:rPr>
                <w:rFonts w:ascii="Times New Roman" w:hAnsi="Times New Roman"/>
                <w:color w:val="auto"/>
                <w:sz w:val="21"/>
                <w:szCs w:val="21"/>
              </w:rPr>
            </w:pPr>
          </w:p>
        </w:tc>
        <w:tc>
          <w:tcPr>
            <w:tcW w:w="473" w:type="pct"/>
            <w:vMerge w:val="continue"/>
            <w:vAlign w:val="center"/>
          </w:tcPr>
          <w:p>
            <w:pPr>
              <w:pStyle w:val="166"/>
              <w:snapToGrid w:val="0"/>
              <w:rPr>
                <w:rFonts w:ascii="Times New Roman" w:hAnsi="Times New Roman"/>
                <w:color w:val="auto"/>
                <w:sz w:val="21"/>
                <w:szCs w:val="21"/>
              </w:rPr>
            </w:pPr>
          </w:p>
        </w:tc>
        <w:tc>
          <w:tcPr>
            <w:tcW w:w="475" w:type="pct"/>
            <w:vAlign w:val="center"/>
          </w:tcPr>
          <w:p>
            <w:pPr>
              <w:pStyle w:val="166"/>
              <w:snapToGrid w:val="0"/>
              <w:rPr>
                <w:rFonts w:ascii="Times New Roman" w:hAnsi="Times New Roman"/>
                <w:color w:val="auto"/>
                <w:sz w:val="21"/>
                <w:szCs w:val="21"/>
              </w:rPr>
            </w:pPr>
            <w:r>
              <w:rPr>
                <w:rFonts w:hint="eastAsia" w:ascii="Times New Roman" w:hAnsi="Times New Roman"/>
                <w:color w:val="auto"/>
                <w:sz w:val="21"/>
                <w:szCs w:val="21"/>
                <w:lang w:eastAsia="zh-CN"/>
              </w:rPr>
              <w:t>无组织</w:t>
            </w:r>
          </w:p>
        </w:tc>
        <w:tc>
          <w:tcPr>
            <w:tcW w:w="871" w:type="pct"/>
            <w:vAlign w:val="center"/>
          </w:tcPr>
          <w:p>
            <w:pPr>
              <w:keepNext w:val="0"/>
              <w:keepLines w:val="0"/>
              <w:widowControl/>
              <w:suppressLineNumbers w:val="0"/>
              <w:jc w:val="center"/>
              <w:textAlignment w:val="center"/>
              <w:rPr>
                <w:rFonts w:hint="eastAsia" w:ascii="Times New Roman" w:hAnsi="Times New Roman" w:eastAsia="宋体" w:cs="Times New Roman"/>
                <w:i w:val="0"/>
                <w:color w:val="000000"/>
                <w:kern w:val="0"/>
                <w:sz w:val="21"/>
                <w:szCs w:val="21"/>
                <w:u w:val="none"/>
                <w:lang w:val="en-US" w:eastAsia="zh-CN" w:bidi="ar"/>
              </w:rPr>
            </w:pPr>
            <w:r>
              <w:rPr>
                <w:rFonts w:ascii="Times New Roman" w:hAnsi="Times New Roman"/>
                <w:color w:val="auto"/>
                <w:sz w:val="21"/>
                <w:szCs w:val="21"/>
              </w:rPr>
              <w:t>0</w:t>
            </w:r>
          </w:p>
        </w:tc>
        <w:tc>
          <w:tcPr>
            <w:tcW w:w="871" w:type="pct"/>
            <w:vAlign w:val="center"/>
          </w:tcPr>
          <w:p>
            <w:pPr>
              <w:pStyle w:val="166"/>
              <w:snapToGrid w:val="0"/>
              <w:rPr>
                <w:rFonts w:hint="eastAsia" w:ascii="Times New Roman" w:hAnsi="Times New Roman"/>
                <w:color w:val="auto"/>
                <w:sz w:val="21"/>
                <w:szCs w:val="21"/>
              </w:rPr>
            </w:pPr>
            <w:r>
              <w:rPr>
                <w:rFonts w:hint="eastAsia" w:ascii="Times New Roman" w:hAnsi="Times New Roman"/>
                <w:color w:val="auto"/>
                <w:sz w:val="21"/>
                <w:szCs w:val="21"/>
                <w:lang w:val="en-US" w:eastAsia="zh-CN"/>
              </w:rPr>
              <w:t>0.473</w:t>
            </w:r>
          </w:p>
        </w:tc>
        <w:tc>
          <w:tcPr>
            <w:tcW w:w="566" w:type="pct"/>
            <w:vAlign w:val="center"/>
          </w:tcPr>
          <w:p>
            <w:pPr>
              <w:keepNext w:val="0"/>
              <w:keepLines w:val="0"/>
              <w:widowControl/>
              <w:suppressLineNumbers w:val="0"/>
              <w:jc w:val="center"/>
              <w:textAlignment w:val="center"/>
              <w:rPr>
                <w:rFonts w:hint="eastAsia" w:ascii="Times New Roman" w:hAnsi="Times New Roman" w:eastAsia="宋体" w:cs="Times New Roman"/>
                <w:i w:val="0"/>
                <w:color w:val="000000"/>
                <w:kern w:val="0"/>
                <w:sz w:val="21"/>
                <w:szCs w:val="21"/>
                <w:u w:val="none"/>
                <w:lang w:val="en-US" w:eastAsia="zh-CN" w:bidi="ar"/>
              </w:rPr>
            </w:pPr>
            <w:r>
              <w:rPr>
                <w:rFonts w:ascii="Times New Roman" w:hAnsi="Times New Roman"/>
                <w:color w:val="auto"/>
                <w:sz w:val="21"/>
                <w:szCs w:val="21"/>
              </w:rPr>
              <w:t>0</w:t>
            </w:r>
          </w:p>
        </w:tc>
        <w:tc>
          <w:tcPr>
            <w:tcW w:w="620" w:type="pct"/>
            <w:vAlign w:val="center"/>
          </w:tcPr>
          <w:p>
            <w:pPr>
              <w:pStyle w:val="166"/>
              <w:snapToGrid w:val="0"/>
              <w:rPr>
                <w:rFonts w:hint="eastAsia" w:ascii="Times New Roman" w:hAnsi="Times New Roman"/>
                <w:color w:val="auto"/>
                <w:sz w:val="21"/>
                <w:szCs w:val="21"/>
                <w:lang w:val="en-US" w:eastAsia="zh-CN"/>
              </w:rPr>
            </w:pPr>
            <w:r>
              <w:rPr>
                <w:rFonts w:hint="eastAsia" w:ascii="Times New Roman" w:hAnsi="Times New Roman"/>
                <w:color w:val="auto"/>
                <w:sz w:val="21"/>
                <w:szCs w:val="21"/>
                <w:lang w:val="en-US" w:eastAsia="zh-CN"/>
              </w:rPr>
              <w:t>0.473</w:t>
            </w:r>
          </w:p>
        </w:tc>
        <w:tc>
          <w:tcPr>
            <w:tcW w:w="686" w:type="pct"/>
            <w:vAlign w:val="center"/>
          </w:tcPr>
          <w:p>
            <w:pPr>
              <w:pStyle w:val="166"/>
              <w:snapToGrid w:val="0"/>
              <w:rPr>
                <w:rFonts w:hint="eastAsia" w:ascii="Times New Roman" w:hAnsi="Times New Roman"/>
                <w:color w:val="auto"/>
                <w:sz w:val="21"/>
                <w:szCs w:val="21"/>
                <w:lang w:val="en-US" w:eastAsia="zh-CN"/>
              </w:rPr>
            </w:pPr>
            <w:r>
              <w:rPr>
                <w:rFonts w:hint="eastAsia" w:ascii="Times New Roman" w:hAnsi="Times New Roman"/>
                <w:color w:val="auto"/>
                <w:sz w:val="21"/>
                <w:szCs w:val="21"/>
                <w:lang w:val="en-US" w:eastAsia="zh-CN"/>
              </w:rPr>
              <w:t>-0.327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435" w:type="pct"/>
            <w:vMerge w:val="continue"/>
            <w:vAlign w:val="center"/>
          </w:tcPr>
          <w:p>
            <w:pPr>
              <w:pStyle w:val="166"/>
              <w:snapToGrid w:val="0"/>
              <w:rPr>
                <w:rFonts w:ascii="Times New Roman" w:hAnsi="Times New Roman"/>
                <w:color w:val="auto"/>
                <w:sz w:val="21"/>
                <w:szCs w:val="21"/>
              </w:rPr>
            </w:pPr>
          </w:p>
        </w:tc>
        <w:tc>
          <w:tcPr>
            <w:tcW w:w="473" w:type="pct"/>
            <w:vMerge w:val="restart"/>
            <w:vAlign w:val="center"/>
          </w:tcPr>
          <w:p>
            <w:pPr>
              <w:pStyle w:val="166"/>
              <w:snapToGrid w:val="0"/>
              <w:rPr>
                <w:rFonts w:ascii="Times New Roman" w:hAnsi="Times New Roman"/>
                <w:color w:val="auto"/>
                <w:sz w:val="21"/>
                <w:szCs w:val="21"/>
              </w:rPr>
            </w:pPr>
            <w:r>
              <w:rPr>
                <w:rFonts w:ascii="Times New Roman" w:hAnsi="Times New Roman"/>
                <w:color w:val="auto"/>
                <w:sz w:val="21"/>
                <w:szCs w:val="21"/>
              </w:rPr>
              <w:t>H</w:t>
            </w:r>
            <w:r>
              <w:rPr>
                <w:rFonts w:ascii="Times New Roman" w:hAnsi="Times New Roman"/>
                <w:color w:val="auto"/>
                <w:sz w:val="21"/>
                <w:szCs w:val="21"/>
                <w:vertAlign w:val="subscript"/>
              </w:rPr>
              <w:t>2</w:t>
            </w:r>
            <w:r>
              <w:rPr>
                <w:rFonts w:ascii="Times New Roman" w:hAnsi="Times New Roman"/>
                <w:color w:val="auto"/>
                <w:sz w:val="21"/>
                <w:szCs w:val="21"/>
              </w:rPr>
              <w:t>S</w:t>
            </w:r>
          </w:p>
        </w:tc>
        <w:tc>
          <w:tcPr>
            <w:tcW w:w="475" w:type="pct"/>
            <w:vAlign w:val="center"/>
          </w:tcPr>
          <w:p>
            <w:pPr>
              <w:pStyle w:val="166"/>
              <w:snapToGrid w:val="0"/>
              <w:rPr>
                <w:rFonts w:ascii="Times New Roman" w:hAnsi="Times New Roman"/>
                <w:color w:val="auto"/>
                <w:sz w:val="21"/>
                <w:szCs w:val="21"/>
              </w:rPr>
            </w:pPr>
            <w:r>
              <w:rPr>
                <w:rFonts w:hint="eastAsia" w:ascii="Times New Roman" w:hAnsi="Times New Roman"/>
                <w:color w:val="auto"/>
                <w:sz w:val="21"/>
                <w:szCs w:val="21"/>
                <w:lang w:eastAsia="zh-CN"/>
              </w:rPr>
              <w:t>有组织</w:t>
            </w:r>
          </w:p>
        </w:tc>
        <w:tc>
          <w:tcPr>
            <w:tcW w:w="871" w:type="pct"/>
            <w:vAlign w:val="center"/>
          </w:tcPr>
          <w:p>
            <w:pPr>
              <w:snapToGrid w:val="0"/>
              <w:jc w:val="center"/>
              <w:rPr>
                <w:rFonts w:ascii="Times New Roman" w:hAnsi="Times New Roman"/>
                <w:color w:val="auto"/>
                <w:sz w:val="21"/>
                <w:szCs w:val="21"/>
              </w:rPr>
            </w:pPr>
            <w:r>
              <w:rPr>
                <w:rFonts w:ascii="Times New Roman" w:hAnsi="Times New Roman"/>
                <w:color w:val="auto"/>
                <w:sz w:val="21"/>
                <w:szCs w:val="21"/>
              </w:rPr>
              <w:t>0</w:t>
            </w:r>
          </w:p>
        </w:tc>
        <w:tc>
          <w:tcPr>
            <w:tcW w:w="871" w:type="pct"/>
            <w:vAlign w:val="center"/>
          </w:tcPr>
          <w:p>
            <w:pPr>
              <w:pStyle w:val="166"/>
              <w:snapToGrid w:val="0"/>
              <w:rPr>
                <w:rFonts w:hint="eastAsia" w:ascii="Times New Roman" w:hAnsi="Times New Roman"/>
                <w:color w:val="auto"/>
                <w:sz w:val="21"/>
                <w:szCs w:val="21"/>
                <w:lang w:val="en-US" w:eastAsia="zh-CN"/>
              </w:rPr>
            </w:pPr>
            <w:r>
              <w:rPr>
                <w:rFonts w:hint="eastAsia" w:ascii="Times New Roman" w:hAnsi="Times New Roman"/>
                <w:color w:val="auto"/>
                <w:sz w:val="21"/>
                <w:szCs w:val="21"/>
                <w:lang w:val="en-US" w:eastAsia="zh-CN"/>
              </w:rPr>
              <w:t>0.0038</w:t>
            </w:r>
          </w:p>
        </w:tc>
        <w:tc>
          <w:tcPr>
            <w:tcW w:w="566" w:type="pct"/>
            <w:vAlign w:val="center"/>
          </w:tcPr>
          <w:p>
            <w:pPr>
              <w:snapToGrid w:val="0"/>
              <w:jc w:val="center"/>
              <w:rPr>
                <w:rFonts w:ascii="Times New Roman" w:hAnsi="Times New Roman"/>
                <w:color w:val="auto"/>
                <w:sz w:val="21"/>
                <w:szCs w:val="21"/>
              </w:rPr>
            </w:pPr>
            <w:r>
              <w:rPr>
                <w:rFonts w:ascii="Times New Roman" w:hAnsi="Times New Roman"/>
                <w:color w:val="auto"/>
                <w:sz w:val="21"/>
                <w:szCs w:val="21"/>
              </w:rPr>
              <w:t>0</w:t>
            </w:r>
          </w:p>
        </w:tc>
        <w:tc>
          <w:tcPr>
            <w:tcW w:w="620" w:type="pct"/>
            <w:vAlign w:val="center"/>
          </w:tcPr>
          <w:p>
            <w:pPr>
              <w:pStyle w:val="166"/>
              <w:snapToGrid w:val="0"/>
              <w:rPr>
                <w:rFonts w:hint="eastAsia" w:ascii="Times New Roman" w:hAnsi="Times New Roman" w:eastAsia="宋体" w:cs="Times New Roman"/>
                <w:color w:val="auto"/>
                <w:kern w:val="24"/>
                <w:sz w:val="21"/>
                <w:szCs w:val="21"/>
                <w:lang w:val="en-US" w:eastAsia="zh-CN" w:bidi="ar-SA"/>
              </w:rPr>
            </w:pPr>
            <w:r>
              <w:rPr>
                <w:rFonts w:hint="eastAsia" w:ascii="Times New Roman" w:hAnsi="Times New Roman"/>
                <w:color w:val="auto"/>
                <w:sz w:val="21"/>
                <w:szCs w:val="21"/>
                <w:lang w:val="en-US" w:eastAsia="zh-CN"/>
              </w:rPr>
              <w:t>0.0038</w:t>
            </w:r>
          </w:p>
        </w:tc>
        <w:tc>
          <w:tcPr>
            <w:tcW w:w="686" w:type="pct"/>
            <w:vAlign w:val="center"/>
          </w:tcPr>
          <w:p>
            <w:pPr>
              <w:pStyle w:val="166"/>
              <w:snapToGrid w:val="0"/>
              <w:rPr>
                <w:rFonts w:hint="eastAsia" w:ascii="Times New Roman" w:hAnsi="Times New Roman"/>
                <w:color w:val="auto"/>
                <w:sz w:val="21"/>
                <w:szCs w:val="21"/>
                <w:lang w:val="en-US" w:eastAsia="zh-CN"/>
              </w:rPr>
            </w:pPr>
            <w:r>
              <w:rPr>
                <w:rFonts w:hint="eastAsia" w:ascii="Times New Roman" w:hAnsi="Times New Roman"/>
                <w:color w:val="auto"/>
                <w:sz w:val="21"/>
                <w:szCs w:val="21"/>
                <w:lang w:val="en-US" w:eastAsia="zh-CN"/>
              </w:rPr>
              <w:t>+0.0038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435" w:type="pct"/>
            <w:vMerge w:val="continue"/>
            <w:vAlign w:val="center"/>
          </w:tcPr>
          <w:p>
            <w:pPr>
              <w:pStyle w:val="166"/>
              <w:snapToGrid w:val="0"/>
              <w:rPr>
                <w:rFonts w:ascii="Times New Roman" w:hAnsi="Times New Roman"/>
                <w:color w:val="auto"/>
                <w:sz w:val="21"/>
                <w:szCs w:val="21"/>
              </w:rPr>
            </w:pPr>
          </w:p>
        </w:tc>
        <w:tc>
          <w:tcPr>
            <w:tcW w:w="473" w:type="pct"/>
            <w:vMerge w:val="continue"/>
            <w:vAlign w:val="center"/>
          </w:tcPr>
          <w:p>
            <w:pPr>
              <w:pStyle w:val="166"/>
              <w:snapToGrid w:val="0"/>
              <w:rPr>
                <w:rFonts w:ascii="Times New Roman" w:hAnsi="Times New Roman"/>
                <w:color w:val="auto"/>
                <w:sz w:val="21"/>
                <w:szCs w:val="21"/>
              </w:rPr>
            </w:pPr>
          </w:p>
        </w:tc>
        <w:tc>
          <w:tcPr>
            <w:tcW w:w="475" w:type="pct"/>
            <w:vAlign w:val="center"/>
          </w:tcPr>
          <w:p>
            <w:pPr>
              <w:pStyle w:val="166"/>
              <w:snapToGrid w:val="0"/>
              <w:rPr>
                <w:rFonts w:ascii="Times New Roman" w:hAnsi="Times New Roman"/>
                <w:color w:val="auto"/>
                <w:sz w:val="21"/>
                <w:szCs w:val="21"/>
              </w:rPr>
            </w:pPr>
            <w:r>
              <w:rPr>
                <w:rFonts w:hint="eastAsia" w:ascii="Times New Roman" w:hAnsi="Times New Roman"/>
                <w:color w:val="auto"/>
                <w:sz w:val="21"/>
                <w:szCs w:val="21"/>
                <w:lang w:eastAsia="zh-CN"/>
              </w:rPr>
              <w:t>无组织</w:t>
            </w:r>
          </w:p>
        </w:tc>
        <w:tc>
          <w:tcPr>
            <w:tcW w:w="871" w:type="pct"/>
            <w:vAlign w:val="center"/>
          </w:tcPr>
          <w:p>
            <w:pPr>
              <w:snapToGrid w:val="0"/>
              <w:jc w:val="center"/>
              <w:rPr>
                <w:rFonts w:ascii="Times New Roman" w:hAnsi="Times New Roman"/>
                <w:color w:val="auto"/>
                <w:sz w:val="21"/>
                <w:szCs w:val="21"/>
              </w:rPr>
            </w:pPr>
            <w:r>
              <w:rPr>
                <w:rFonts w:ascii="Times New Roman" w:hAnsi="Times New Roman"/>
                <w:color w:val="auto"/>
                <w:sz w:val="21"/>
                <w:szCs w:val="21"/>
              </w:rPr>
              <w:t>0</w:t>
            </w:r>
          </w:p>
        </w:tc>
        <w:tc>
          <w:tcPr>
            <w:tcW w:w="871" w:type="pct"/>
            <w:vAlign w:val="center"/>
          </w:tcPr>
          <w:p>
            <w:pPr>
              <w:pStyle w:val="166"/>
              <w:snapToGrid w:val="0"/>
              <w:rPr>
                <w:rFonts w:hint="eastAsia" w:ascii="Times New Roman" w:hAnsi="Times New Roman"/>
                <w:color w:val="auto"/>
                <w:sz w:val="21"/>
                <w:szCs w:val="21"/>
              </w:rPr>
            </w:pPr>
            <w:r>
              <w:rPr>
                <w:rFonts w:hint="eastAsia" w:ascii="Times New Roman" w:hAnsi="Times New Roman"/>
                <w:color w:val="auto"/>
                <w:sz w:val="21"/>
                <w:szCs w:val="21"/>
                <w:lang w:val="en-US" w:eastAsia="zh-CN"/>
              </w:rPr>
              <w:t>0.0085</w:t>
            </w:r>
          </w:p>
        </w:tc>
        <w:tc>
          <w:tcPr>
            <w:tcW w:w="566" w:type="pct"/>
            <w:vAlign w:val="center"/>
          </w:tcPr>
          <w:p>
            <w:pPr>
              <w:snapToGrid w:val="0"/>
              <w:jc w:val="center"/>
              <w:rPr>
                <w:rFonts w:ascii="Times New Roman" w:hAnsi="Times New Roman"/>
                <w:color w:val="auto"/>
                <w:sz w:val="21"/>
                <w:szCs w:val="21"/>
              </w:rPr>
            </w:pPr>
            <w:r>
              <w:rPr>
                <w:rFonts w:ascii="Times New Roman" w:hAnsi="Times New Roman"/>
                <w:color w:val="auto"/>
                <w:sz w:val="21"/>
                <w:szCs w:val="21"/>
              </w:rPr>
              <w:t>0</w:t>
            </w:r>
          </w:p>
        </w:tc>
        <w:tc>
          <w:tcPr>
            <w:tcW w:w="620" w:type="pct"/>
            <w:vAlign w:val="center"/>
          </w:tcPr>
          <w:p>
            <w:pPr>
              <w:pStyle w:val="166"/>
              <w:snapToGrid w:val="0"/>
              <w:rPr>
                <w:rFonts w:hint="eastAsia" w:ascii="Times New Roman" w:hAnsi="Times New Roman" w:eastAsia="宋体" w:cs="Times New Roman"/>
                <w:color w:val="auto"/>
                <w:kern w:val="24"/>
                <w:sz w:val="21"/>
                <w:szCs w:val="21"/>
                <w:lang w:val="en-US" w:eastAsia="zh-CN" w:bidi="ar-SA"/>
              </w:rPr>
            </w:pPr>
            <w:r>
              <w:rPr>
                <w:rFonts w:hint="eastAsia" w:ascii="Times New Roman" w:hAnsi="Times New Roman"/>
                <w:color w:val="auto"/>
                <w:sz w:val="21"/>
                <w:szCs w:val="21"/>
                <w:lang w:val="en-US" w:eastAsia="zh-CN"/>
              </w:rPr>
              <w:t>0.0085</w:t>
            </w:r>
          </w:p>
        </w:tc>
        <w:tc>
          <w:tcPr>
            <w:tcW w:w="686" w:type="pct"/>
            <w:vAlign w:val="center"/>
          </w:tcPr>
          <w:p>
            <w:pPr>
              <w:pStyle w:val="166"/>
              <w:snapToGrid w:val="0"/>
              <w:rPr>
                <w:rFonts w:hint="eastAsia" w:ascii="Times New Roman" w:hAnsi="Times New Roman"/>
                <w:color w:val="auto"/>
                <w:sz w:val="21"/>
                <w:szCs w:val="21"/>
                <w:lang w:val="en-US" w:eastAsia="zh-CN"/>
              </w:rPr>
            </w:pPr>
            <w:r>
              <w:rPr>
                <w:rFonts w:hint="eastAsia" w:ascii="Times New Roman" w:hAnsi="Times New Roman"/>
                <w:color w:val="auto"/>
                <w:sz w:val="21"/>
                <w:szCs w:val="21"/>
                <w:lang w:val="en-US" w:eastAsia="zh-CN"/>
              </w:rPr>
              <w:t>+0.0085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435" w:type="pct"/>
            <w:vMerge w:val="restart"/>
            <w:vAlign w:val="center"/>
          </w:tcPr>
          <w:p>
            <w:pPr>
              <w:pStyle w:val="166"/>
              <w:snapToGrid w:val="0"/>
              <w:rPr>
                <w:rFonts w:ascii="Times New Roman" w:hAnsi="Times New Roman"/>
                <w:color w:val="auto"/>
                <w:sz w:val="21"/>
                <w:szCs w:val="21"/>
              </w:rPr>
            </w:pPr>
            <w:r>
              <w:rPr>
                <w:rFonts w:ascii="Times New Roman" w:hAnsi="Times New Roman"/>
                <w:color w:val="auto"/>
                <w:sz w:val="21"/>
                <w:szCs w:val="21"/>
              </w:rPr>
              <w:t>固</w:t>
            </w:r>
          </w:p>
          <w:p>
            <w:pPr>
              <w:pStyle w:val="166"/>
              <w:snapToGrid w:val="0"/>
              <w:rPr>
                <w:rFonts w:ascii="Times New Roman" w:hAnsi="Times New Roman"/>
                <w:color w:val="auto"/>
                <w:sz w:val="21"/>
                <w:szCs w:val="21"/>
              </w:rPr>
            </w:pPr>
            <w:r>
              <w:rPr>
                <w:rFonts w:ascii="Times New Roman" w:hAnsi="Times New Roman"/>
                <w:color w:val="auto"/>
                <w:sz w:val="21"/>
                <w:szCs w:val="21"/>
              </w:rPr>
              <w:t>体</w:t>
            </w:r>
          </w:p>
          <w:p>
            <w:pPr>
              <w:pStyle w:val="166"/>
              <w:snapToGrid w:val="0"/>
              <w:rPr>
                <w:rFonts w:ascii="Times New Roman" w:hAnsi="Times New Roman"/>
                <w:color w:val="auto"/>
                <w:sz w:val="21"/>
                <w:szCs w:val="21"/>
              </w:rPr>
            </w:pPr>
            <w:r>
              <w:rPr>
                <w:rFonts w:ascii="Times New Roman" w:hAnsi="Times New Roman"/>
                <w:color w:val="auto"/>
                <w:sz w:val="21"/>
                <w:szCs w:val="21"/>
              </w:rPr>
              <w:t>废</w:t>
            </w:r>
          </w:p>
          <w:p>
            <w:pPr>
              <w:pStyle w:val="166"/>
              <w:snapToGrid w:val="0"/>
              <w:rPr>
                <w:rFonts w:ascii="Times New Roman" w:hAnsi="Times New Roman"/>
                <w:color w:val="auto"/>
                <w:sz w:val="21"/>
                <w:szCs w:val="21"/>
              </w:rPr>
            </w:pPr>
            <w:r>
              <w:rPr>
                <w:rFonts w:ascii="Times New Roman" w:hAnsi="Times New Roman"/>
                <w:color w:val="auto"/>
                <w:sz w:val="21"/>
                <w:szCs w:val="21"/>
              </w:rPr>
              <w:t>物</w:t>
            </w:r>
          </w:p>
        </w:tc>
        <w:tc>
          <w:tcPr>
            <w:tcW w:w="948" w:type="pct"/>
            <w:gridSpan w:val="2"/>
            <w:tcBorders>
              <w:top w:val="single" w:color="auto" w:sz="4" w:space="0"/>
              <w:left w:val="single" w:color="auto" w:sz="4" w:space="0"/>
              <w:bottom w:val="single" w:color="auto" w:sz="4" w:space="0"/>
              <w:right w:val="single" w:color="auto" w:sz="4" w:space="0"/>
            </w:tcBorders>
            <w:vAlign w:val="center"/>
          </w:tcPr>
          <w:p>
            <w:pPr>
              <w:pStyle w:val="166"/>
              <w:snapToGrid w:val="0"/>
              <w:rPr>
                <w:rFonts w:hint="eastAsia" w:ascii="Times New Roman" w:hAnsi="Times New Roman" w:eastAsia="宋体"/>
                <w:color w:val="auto"/>
                <w:sz w:val="21"/>
                <w:szCs w:val="21"/>
                <w:lang w:eastAsia="zh-CN"/>
              </w:rPr>
            </w:pPr>
            <w:r>
              <w:rPr>
                <w:rFonts w:hint="eastAsia" w:ascii="Times New Roman" w:hAnsi="Times New Roman"/>
                <w:color w:val="auto"/>
                <w:sz w:val="21"/>
                <w:szCs w:val="21"/>
                <w:lang w:eastAsia="zh-CN"/>
              </w:rPr>
              <w:t>收集的粉尘</w:t>
            </w:r>
          </w:p>
        </w:tc>
        <w:tc>
          <w:tcPr>
            <w:tcW w:w="871" w:type="pct"/>
            <w:tcBorders>
              <w:top w:val="single" w:color="auto" w:sz="4" w:space="0"/>
              <w:left w:val="single" w:color="auto" w:sz="4" w:space="0"/>
              <w:right w:val="single" w:color="auto" w:sz="4" w:space="0"/>
            </w:tcBorders>
            <w:vAlign w:val="center"/>
          </w:tcPr>
          <w:p>
            <w:pPr>
              <w:pStyle w:val="166"/>
              <w:snapToGrid w:val="0"/>
              <w:jc w:val="center"/>
              <w:rPr>
                <w:rFonts w:ascii="Times New Roman" w:hAnsi="Times New Roman"/>
                <w:color w:val="auto"/>
                <w:sz w:val="21"/>
                <w:szCs w:val="21"/>
              </w:rPr>
            </w:pPr>
            <w:r>
              <w:rPr>
                <w:rFonts w:ascii="Times New Roman" w:hAnsi="Times New Roman"/>
                <w:color w:val="auto"/>
                <w:sz w:val="21"/>
                <w:szCs w:val="21"/>
              </w:rPr>
              <w:t>0</w:t>
            </w:r>
          </w:p>
        </w:tc>
        <w:tc>
          <w:tcPr>
            <w:tcW w:w="871" w:type="pct"/>
            <w:tcBorders>
              <w:top w:val="single" w:color="auto" w:sz="4" w:space="0"/>
              <w:left w:val="single" w:color="auto" w:sz="4" w:space="0"/>
              <w:right w:val="single" w:color="auto" w:sz="4" w:space="0"/>
            </w:tcBorders>
            <w:vAlign w:val="center"/>
          </w:tcPr>
          <w:p>
            <w:pPr>
              <w:pStyle w:val="166"/>
              <w:snapToGrid w:val="0"/>
              <w:rPr>
                <w:rFonts w:ascii="Times New Roman" w:hAnsi="Times New Roman"/>
                <w:color w:val="auto"/>
                <w:sz w:val="21"/>
                <w:szCs w:val="21"/>
              </w:rPr>
            </w:pPr>
            <w:r>
              <w:rPr>
                <w:rFonts w:ascii="Times New Roman" w:hAnsi="Times New Roman"/>
                <w:color w:val="auto"/>
                <w:sz w:val="21"/>
                <w:szCs w:val="21"/>
              </w:rPr>
              <w:t>0</w:t>
            </w:r>
          </w:p>
        </w:tc>
        <w:tc>
          <w:tcPr>
            <w:tcW w:w="566" w:type="pct"/>
            <w:tcBorders>
              <w:top w:val="single" w:color="auto" w:sz="4" w:space="0"/>
              <w:left w:val="single" w:color="auto" w:sz="4" w:space="0"/>
              <w:right w:val="single" w:color="auto" w:sz="4" w:space="0"/>
            </w:tcBorders>
            <w:vAlign w:val="center"/>
          </w:tcPr>
          <w:p>
            <w:pPr>
              <w:pStyle w:val="166"/>
              <w:snapToGrid w:val="0"/>
              <w:rPr>
                <w:rFonts w:ascii="Times New Roman" w:hAnsi="Times New Roman"/>
                <w:color w:val="auto"/>
                <w:sz w:val="21"/>
                <w:szCs w:val="21"/>
              </w:rPr>
            </w:pPr>
            <w:r>
              <w:rPr>
                <w:rFonts w:ascii="Times New Roman" w:hAnsi="Times New Roman"/>
                <w:color w:val="auto"/>
                <w:sz w:val="21"/>
                <w:szCs w:val="21"/>
              </w:rPr>
              <w:t>0</w:t>
            </w:r>
          </w:p>
        </w:tc>
        <w:tc>
          <w:tcPr>
            <w:tcW w:w="620" w:type="pct"/>
            <w:tcBorders>
              <w:top w:val="single" w:color="auto" w:sz="4" w:space="0"/>
              <w:left w:val="single" w:color="auto" w:sz="4" w:space="0"/>
              <w:right w:val="single" w:color="auto" w:sz="4" w:space="0"/>
            </w:tcBorders>
            <w:vAlign w:val="center"/>
          </w:tcPr>
          <w:p>
            <w:pPr>
              <w:pStyle w:val="166"/>
              <w:snapToGrid w:val="0"/>
              <w:rPr>
                <w:rFonts w:ascii="Times New Roman" w:hAnsi="Times New Roman"/>
                <w:color w:val="auto"/>
                <w:sz w:val="21"/>
                <w:szCs w:val="21"/>
              </w:rPr>
            </w:pPr>
            <w:r>
              <w:rPr>
                <w:rFonts w:ascii="Times New Roman" w:hAnsi="Times New Roman"/>
                <w:color w:val="auto"/>
                <w:sz w:val="21"/>
                <w:szCs w:val="21"/>
              </w:rPr>
              <w:t>0</w:t>
            </w:r>
          </w:p>
        </w:tc>
        <w:tc>
          <w:tcPr>
            <w:tcW w:w="686" w:type="pct"/>
            <w:tcBorders>
              <w:top w:val="single" w:color="auto" w:sz="4" w:space="0"/>
              <w:left w:val="single" w:color="auto" w:sz="4" w:space="0"/>
              <w:right w:val="single" w:color="auto" w:sz="4" w:space="0"/>
            </w:tcBorders>
            <w:vAlign w:val="center"/>
          </w:tcPr>
          <w:p>
            <w:pPr>
              <w:pStyle w:val="166"/>
              <w:snapToGrid w:val="0"/>
              <w:rPr>
                <w:rFonts w:ascii="Times New Roman" w:hAnsi="Times New Roman"/>
                <w:color w:val="auto"/>
                <w:sz w:val="21"/>
                <w:szCs w:val="21"/>
              </w:rPr>
            </w:pPr>
            <w:r>
              <w:rPr>
                <w:rFonts w:ascii="Times New Roman" w:hAnsi="Times New Roman"/>
                <w:color w:val="auto"/>
                <w:sz w:val="21"/>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435" w:type="pct"/>
            <w:vMerge w:val="continue"/>
            <w:vAlign w:val="center"/>
          </w:tcPr>
          <w:p>
            <w:pPr>
              <w:pStyle w:val="166"/>
              <w:snapToGrid w:val="0"/>
              <w:rPr>
                <w:rFonts w:ascii="Times New Roman" w:hAnsi="Times New Roman"/>
                <w:color w:val="auto"/>
                <w:sz w:val="21"/>
                <w:szCs w:val="21"/>
              </w:rPr>
            </w:pPr>
          </w:p>
        </w:tc>
        <w:tc>
          <w:tcPr>
            <w:tcW w:w="948" w:type="pct"/>
            <w:gridSpan w:val="2"/>
            <w:tcBorders>
              <w:top w:val="single" w:color="auto" w:sz="4" w:space="0"/>
              <w:left w:val="single" w:color="auto" w:sz="4" w:space="0"/>
              <w:bottom w:val="single" w:color="auto" w:sz="4" w:space="0"/>
              <w:right w:val="single" w:color="auto" w:sz="4" w:space="0"/>
            </w:tcBorders>
            <w:vAlign w:val="center"/>
          </w:tcPr>
          <w:p>
            <w:pPr>
              <w:pStyle w:val="166"/>
              <w:snapToGrid w:val="0"/>
              <w:rPr>
                <w:rFonts w:ascii="Times New Roman" w:hAnsi="Times New Roman"/>
                <w:color w:val="auto"/>
                <w:sz w:val="21"/>
                <w:szCs w:val="21"/>
              </w:rPr>
            </w:pPr>
            <w:r>
              <w:rPr>
                <w:rFonts w:ascii="Times New Roman" w:hAnsi="Times New Roman"/>
                <w:color w:val="auto"/>
                <w:sz w:val="21"/>
                <w:szCs w:val="21"/>
              </w:rPr>
              <w:t>废包装</w:t>
            </w:r>
            <w:r>
              <w:rPr>
                <w:rFonts w:hint="eastAsia" w:ascii="Times New Roman" w:hAnsi="Times New Roman"/>
                <w:color w:val="auto"/>
                <w:sz w:val="21"/>
                <w:szCs w:val="21"/>
              </w:rPr>
              <w:t>材料</w:t>
            </w:r>
          </w:p>
        </w:tc>
        <w:tc>
          <w:tcPr>
            <w:tcW w:w="871" w:type="pct"/>
            <w:tcBorders>
              <w:left w:val="single" w:color="auto" w:sz="4" w:space="0"/>
              <w:right w:val="single" w:color="auto" w:sz="4" w:space="0"/>
            </w:tcBorders>
            <w:vAlign w:val="center"/>
          </w:tcPr>
          <w:p>
            <w:pPr>
              <w:pStyle w:val="166"/>
              <w:snapToGrid w:val="0"/>
              <w:rPr>
                <w:rFonts w:ascii="Times New Roman" w:hAnsi="Times New Roman"/>
                <w:color w:val="auto"/>
                <w:sz w:val="21"/>
                <w:szCs w:val="21"/>
              </w:rPr>
            </w:pPr>
            <w:r>
              <w:rPr>
                <w:rFonts w:ascii="Times New Roman" w:hAnsi="Times New Roman"/>
                <w:color w:val="auto"/>
                <w:sz w:val="21"/>
                <w:szCs w:val="21"/>
              </w:rPr>
              <w:t>0</w:t>
            </w:r>
          </w:p>
        </w:tc>
        <w:tc>
          <w:tcPr>
            <w:tcW w:w="871" w:type="pct"/>
            <w:tcBorders>
              <w:left w:val="single" w:color="auto" w:sz="4" w:space="0"/>
              <w:right w:val="single" w:color="auto" w:sz="4" w:space="0"/>
            </w:tcBorders>
            <w:vAlign w:val="center"/>
          </w:tcPr>
          <w:p>
            <w:pPr>
              <w:pStyle w:val="166"/>
              <w:snapToGrid w:val="0"/>
              <w:rPr>
                <w:rFonts w:ascii="Times New Roman" w:hAnsi="Times New Roman"/>
                <w:color w:val="auto"/>
                <w:sz w:val="21"/>
                <w:szCs w:val="21"/>
              </w:rPr>
            </w:pPr>
            <w:r>
              <w:rPr>
                <w:rFonts w:ascii="Times New Roman" w:hAnsi="Times New Roman"/>
                <w:color w:val="auto"/>
                <w:sz w:val="21"/>
                <w:szCs w:val="21"/>
              </w:rPr>
              <w:t>0</w:t>
            </w:r>
          </w:p>
        </w:tc>
        <w:tc>
          <w:tcPr>
            <w:tcW w:w="566" w:type="pct"/>
            <w:tcBorders>
              <w:left w:val="single" w:color="auto" w:sz="4" w:space="0"/>
              <w:right w:val="single" w:color="auto" w:sz="4" w:space="0"/>
            </w:tcBorders>
            <w:vAlign w:val="center"/>
          </w:tcPr>
          <w:p>
            <w:pPr>
              <w:pStyle w:val="166"/>
              <w:snapToGrid w:val="0"/>
              <w:rPr>
                <w:rFonts w:ascii="Times New Roman" w:hAnsi="Times New Roman"/>
                <w:color w:val="auto"/>
                <w:sz w:val="21"/>
                <w:szCs w:val="21"/>
              </w:rPr>
            </w:pPr>
            <w:r>
              <w:rPr>
                <w:rFonts w:ascii="Times New Roman" w:hAnsi="Times New Roman"/>
                <w:color w:val="auto"/>
                <w:sz w:val="21"/>
                <w:szCs w:val="21"/>
              </w:rPr>
              <w:t>0</w:t>
            </w:r>
          </w:p>
        </w:tc>
        <w:tc>
          <w:tcPr>
            <w:tcW w:w="620" w:type="pct"/>
            <w:tcBorders>
              <w:left w:val="single" w:color="auto" w:sz="4" w:space="0"/>
              <w:right w:val="single" w:color="auto" w:sz="4" w:space="0"/>
            </w:tcBorders>
            <w:vAlign w:val="center"/>
          </w:tcPr>
          <w:p>
            <w:pPr>
              <w:snapToGrid w:val="0"/>
              <w:jc w:val="center"/>
              <w:rPr>
                <w:color w:val="auto"/>
                <w:szCs w:val="21"/>
              </w:rPr>
            </w:pPr>
            <w:r>
              <w:rPr>
                <w:color w:val="auto"/>
                <w:szCs w:val="21"/>
              </w:rPr>
              <w:t>0</w:t>
            </w:r>
          </w:p>
        </w:tc>
        <w:tc>
          <w:tcPr>
            <w:tcW w:w="686" w:type="pct"/>
            <w:tcBorders>
              <w:left w:val="single" w:color="auto" w:sz="4" w:space="0"/>
              <w:right w:val="single" w:color="auto" w:sz="4" w:space="0"/>
            </w:tcBorders>
            <w:vAlign w:val="center"/>
          </w:tcPr>
          <w:p>
            <w:pPr>
              <w:pStyle w:val="166"/>
              <w:snapToGrid w:val="0"/>
              <w:rPr>
                <w:rFonts w:ascii="Times New Roman" w:hAnsi="Times New Roman"/>
                <w:color w:val="auto"/>
                <w:sz w:val="21"/>
                <w:szCs w:val="21"/>
              </w:rPr>
            </w:pPr>
            <w:r>
              <w:rPr>
                <w:rFonts w:ascii="Times New Roman" w:hAnsi="Times New Roman"/>
                <w:color w:val="auto"/>
                <w:sz w:val="21"/>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435" w:type="pct"/>
            <w:vMerge w:val="continue"/>
            <w:vAlign w:val="center"/>
          </w:tcPr>
          <w:p>
            <w:pPr>
              <w:pStyle w:val="166"/>
              <w:snapToGrid w:val="0"/>
              <w:rPr>
                <w:rFonts w:ascii="Times New Roman" w:hAnsi="Times New Roman"/>
                <w:color w:val="auto"/>
                <w:sz w:val="21"/>
                <w:szCs w:val="21"/>
              </w:rPr>
            </w:pPr>
          </w:p>
        </w:tc>
        <w:tc>
          <w:tcPr>
            <w:tcW w:w="948" w:type="pct"/>
            <w:gridSpan w:val="2"/>
            <w:tcBorders>
              <w:top w:val="single" w:color="auto" w:sz="4" w:space="0"/>
              <w:left w:val="single" w:color="auto" w:sz="4" w:space="0"/>
              <w:bottom w:val="single" w:color="auto" w:sz="4" w:space="0"/>
              <w:right w:val="single" w:color="auto" w:sz="4" w:space="0"/>
            </w:tcBorders>
            <w:vAlign w:val="center"/>
          </w:tcPr>
          <w:p>
            <w:pPr>
              <w:pStyle w:val="166"/>
              <w:snapToGrid w:val="0"/>
              <w:rPr>
                <w:rFonts w:ascii="Times New Roman" w:hAnsi="Times New Roman"/>
                <w:color w:val="auto"/>
                <w:sz w:val="21"/>
                <w:szCs w:val="21"/>
              </w:rPr>
            </w:pPr>
            <w:r>
              <w:rPr>
                <w:rFonts w:ascii="Times New Roman" w:hAnsi="Times New Roman"/>
                <w:color w:val="auto"/>
                <w:sz w:val="21"/>
                <w:szCs w:val="21"/>
              </w:rPr>
              <w:t>职工生活垃圾</w:t>
            </w:r>
          </w:p>
        </w:tc>
        <w:tc>
          <w:tcPr>
            <w:tcW w:w="871" w:type="pct"/>
            <w:tcBorders>
              <w:left w:val="single" w:color="auto" w:sz="4" w:space="0"/>
              <w:right w:val="single" w:color="auto" w:sz="4" w:space="0"/>
            </w:tcBorders>
            <w:vAlign w:val="center"/>
          </w:tcPr>
          <w:p>
            <w:pPr>
              <w:pStyle w:val="166"/>
              <w:snapToGrid w:val="0"/>
              <w:rPr>
                <w:rFonts w:ascii="Times New Roman" w:hAnsi="Times New Roman"/>
                <w:color w:val="auto"/>
                <w:sz w:val="21"/>
                <w:szCs w:val="21"/>
              </w:rPr>
            </w:pPr>
            <w:r>
              <w:rPr>
                <w:rFonts w:ascii="Times New Roman" w:hAnsi="Times New Roman"/>
                <w:color w:val="auto"/>
                <w:sz w:val="21"/>
                <w:szCs w:val="21"/>
              </w:rPr>
              <w:t>0</w:t>
            </w:r>
          </w:p>
        </w:tc>
        <w:tc>
          <w:tcPr>
            <w:tcW w:w="871" w:type="pct"/>
            <w:tcBorders>
              <w:left w:val="single" w:color="auto" w:sz="4" w:space="0"/>
              <w:right w:val="single" w:color="auto" w:sz="4" w:space="0"/>
            </w:tcBorders>
            <w:vAlign w:val="center"/>
          </w:tcPr>
          <w:p>
            <w:pPr>
              <w:pStyle w:val="166"/>
              <w:snapToGrid w:val="0"/>
              <w:rPr>
                <w:rFonts w:ascii="Times New Roman" w:hAnsi="Times New Roman"/>
                <w:color w:val="auto"/>
                <w:sz w:val="21"/>
                <w:szCs w:val="21"/>
              </w:rPr>
            </w:pPr>
            <w:r>
              <w:rPr>
                <w:rFonts w:ascii="Times New Roman" w:hAnsi="Times New Roman"/>
                <w:color w:val="auto"/>
                <w:sz w:val="21"/>
                <w:szCs w:val="21"/>
              </w:rPr>
              <w:t>0</w:t>
            </w:r>
          </w:p>
        </w:tc>
        <w:tc>
          <w:tcPr>
            <w:tcW w:w="566" w:type="pct"/>
            <w:tcBorders>
              <w:left w:val="single" w:color="auto" w:sz="4" w:space="0"/>
              <w:right w:val="single" w:color="auto" w:sz="4" w:space="0"/>
            </w:tcBorders>
            <w:vAlign w:val="center"/>
          </w:tcPr>
          <w:p>
            <w:pPr>
              <w:pStyle w:val="166"/>
              <w:snapToGrid w:val="0"/>
              <w:rPr>
                <w:rFonts w:ascii="Times New Roman" w:hAnsi="Times New Roman"/>
                <w:color w:val="auto"/>
                <w:sz w:val="21"/>
                <w:szCs w:val="21"/>
              </w:rPr>
            </w:pPr>
            <w:r>
              <w:rPr>
                <w:rFonts w:ascii="Times New Roman" w:hAnsi="Times New Roman"/>
                <w:color w:val="auto"/>
                <w:sz w:val="21"/>
                <w:szCs w:val="21"/>
              </w:rPr>
              <w:t>0</w:t>
            </w:r>
          </w:p>
        </w:tc>
        <w:tc>
          <w:tcPr>
            <w:tcW w:w="620" w:type="pct"/>
            <w:tcBorders>
              <w:left w:val="single" w:color="auto" w:sz="4" w:space="0"/>
              <w:right w:val="single" w:color="auto" w:sz="4" w:space="0"/>
            </w:tcBorders>
            <w:vAlign w:val="center"/>
          </w:tcPr>
          <w:p>
            <w:pPr>
              <w:snapToGrid w:val="0"/>
              <w:jc w:val="center"/>
              <w:rPr>
                <w:color w:val="auto"/>
                <w:szCs w:val="21"/>
              </w:rPr>
            </w:pPr>
            <w:r>
              <w:rPr>
                <w:color w:val="auto"/>
                <w:szCs w:val="21"/>
              </w:rPr>
              <w:t>0</w:t>
            </w:r>
          </w:p>
        </w:tc>
        <w:tc>
          <w:tcPr>
            <w:tcW w:w="686" w:type="pct"/>
            <w:tcBorders>
              <w:left w:val="single" w:color="auto" w:sz="4" w:space="0"/>
              <w:right w:val="single" w:color="auto" w:sz="4" w:space="0"/>
            </w:tcBorders>
            <w:vAlign w:val="center"/>
          </w:tcPr>
          <w:p>
            <w:pPr>
              <w:pStyle w:val="166"/>
              <w:snapToGrid w:val="0"/>
              <w:rPr>
                <w:rFonts w:ascii="Times New Roman" w:hAnsi="Times New Roman"/>
                <w:color w:val="auto"/>
                <w:sz w:val="21"/>
                <w:szCs w:val="21"/>
              </w:rPr>
            </w:pPr>
            <w:r>
              <w:rPr>
                <w:rFonts w:ascii="Times New Roman" w:hAnsi="Times New Roman"/>
                <w:color w:val="auto"/>
                <w:sz w:val="21"/>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435" w:type="pct"/>
            <w:vMerge w:val="continue"/>
            <w:vAlign w:val="center"/>
          </w:tcPr>
          <w:p>
            <w:pPr>
              <w:pStyle w:val="166"/>
              <w:snapToGrid w:val="0"/>
              <w:rPr>
                <w:rFonts w:ascii="Times New Roman" w:hAnsi="Times New Roman"/>
                <w:color w:val="auto"/>
                <w:sz w:val="21"/>
                <w:szCs w:val="21"/>
              </w:rPr>
            </w:pPr>
          </w:p>
        </w:tc>
        <w:tc>
          <w:tcPr>
            <w:tcW w:w="948" w:type="pct"/>
            <w:gridSpan w:val="2"/>
            <w:tcBorders>
              <w:top w:val="single" w:color="auto" w:sz="4" w:space="0"/>
              <w:left w:val="single" w:color="auto" w:sz="4" w:space="0"/>
              <w:bottom w:val="single" w:color="auto" w:sz="4" w:space="0"/>
              <w:right w:val="single" w:color="auto" w:sz="4" w:space="0"/>
            </w:tcBorders>
            <w:vAlign w:val="center"/>
          </w:tcPr>
          <w:p>
            <w:pPr>
              <w:pStyle w:val="166"/>
              <w:snapToGrid w:val="0"/>
              <w:rPr>
                <w:rFonts w:ascii="Times New Roman" w:hAnsi="Times New Roman"/>
                <w:color w:val="auto"/>
                <w:sz w:val="21"/>
                <w:szCs w:val="21"/>
              </w:rPr>
            </w:pPr>
            <w:r>
              <w:rPr>
                <w:rFonts w:ascii="Times New Roman" w:hAnsi="Times New Roman"/>
                <w:color w:val="auto"/>
                <w:sz w:val="21"/>
                <w:szCs w:val="21"/>
              </w:rPr>
              <w:t>废活性炭</w:t>
            </w:r>
          </w:p>
        </w:tc>
        <w:tc>
          <w:tcPr>
            <w:tcW w:w="871" w:type="pct"/>
            <w:tcBorders>
              <w:left w:val="single" w:color="auto" w:sz="4" w:space="0"/>
              <w:right w:val="single" w:color="auto" w:sz="4" w:space="0"/>
            </w:tcBorders>
            <w:vAlign w:val="center"/>
          </w:tcPr>
          <w:p>
            <w:pPr>
              <w:pStyle w:val="166"/>
              <w:snapToGrid w:val="0"/>
              <w:rPr>
                <w:rFonts w:ascii="Times New Roman" w:hAnsi="Times New Roman"/>
                <w:color w:val="auto"/>
                <w:sz w:val="21"/>
                <w:szCs w:val="21"/>
              </w:rPr>
            </w:pPr>
            <w:r>
              <w:rPr>
                <w:rFonts w:ascii="Times New Roman" w:hAnsi="Times New Roman"/>
                <w:color w:val="auto"/>
                <w:sz w:val="21"/>
                <w:szCs w:val="21"/>
              </w:rPr>
              <w:t>0</w:t>
            </w:r>
          </w:p>
        </w:tc>
        <w:tc>
          <w:tcPr>
            <w:tcW w:w="871" w:type="pct"/>
            <w:tcBorders>
              <w:left w:val="single" w:color="auto" w:sz="4" w:space="0"/>
              <w:right w:val="single" w:color="auto" w:sz="4" w:space="0"/>
            </w:tcBorders>
            <w:vAlign w:val="center"/>
          </w:tcPr>
          <w:p>
            <w:pPr>
              <w:pStyle w:val="166"/>
              <w:snapToGrid w:val="0"/>
              <w:rPr>
                <w:rFonts w:ascii="Times New Roman" w:hAnsi="Times New Roman"/>
                <w:color w:val="auto"/>
                <w:sz w:val="21"/>
                <w:szCs w:val="21"/>
              </w:rPr>
            </w:pPr>
            <w:r>
              <w:rPr>
                <w:rFonts w:ascii="Times New Roman" w:hAnsi="Times New Roman"/>
                <w:color w:val="auto"/>
                <w:sz w:val="21"/>
                <w:szCs w:val="21"/>
              </w:rPr>
              <w:t>0</w:t>
            </w:r>
          </w:p>
        </w:tc>
        <w:tc>
          <w:tcPr>
            <w:tcW w:w="566" w:type="pct"/>
            <w:tcBorders>
              <w:left w:val="single" w:color="auto" w:sz="4" w:space="0"/>
              <w:right w:val="single" w:color="auto" w:sz="4" w:space="0"/>
            </w:tcBorders>
            <w:vAlign w:val="center"/>
          </w:tcPr>
          <w:p>
            <w:pPr>
              <w:pStyle w:val="166"/>
              <w:snapToGrid w:val="0"/>
              <w:rPr>
                <w:rFonts w:ascii="Times New Roman" w:hAnsi="Times New Roman"/>
                <w:color w:val="auto"/>
                <w:sz w:val="21"/>
                <w:szCs w:val="21"/>
              </w:rPr>
            </w:pPr>
            <w:r>
              <w:rPr>
                <w:rFonts w:ascii="Times New Roman" w:hAnsi="Times New Roman"/>
                <w:color w:val="auto"/>
                <w:sz w:val="21"/>
                <w:szCs w:val="21"/>
              </w:rPr>
              <w:t>0</w:t>
            </w:r>
          </w:p>
        </w:tc>
        <w:tc>
          <w:tcPr>
            <w:tcW w:w="620" w:type="pct"/>
            <w:tcBorders>
              <w:left w:val="single" w:color="auto" w:sz="4" w:space="0"/>
              <w:right w:val="single" w:color="auto" w:sz="4" w:space="0"/>
            </w:tcBorders>
            <w:vAlign w:val="center"/>
          </w:tcPr>
          <w:p>
            <w:pPr>
              <w:pStyle w:val="166"/>
              <w:snapToGrid w:val="0"/>
              <w:rPr>
                <w:rFonts w:ascii="Times New Roman" w:hAnsi="Times New Roman"/>
                <w:color w:val="auto"/>
                <w:sz w:val="21"/>
                <w:szCs w:val="21"/>
              </w:rPr>
            </w:pPr>
            <w:r>
              <w:rPr>
                <w:rFonts w:ascii="Times New Roman" w:hAnsi="Times New Roman"/>
                <w:color w:val="auto"/>
                <w:sz w:val="21"/>
                <w:szCs w:val="21"/>
              </w:rPr>
              <w:t>0</w:t>
            </w:r>
          </w:p>
        </w:tc>
        <w:tc>
          <w:tcPr>
            <w:tcW w:w="686" w:type="pct"/>
            <w:tcBorders>
              <w:left w:val="single" w:color="auto" w:sz="4" w:space="0"/>
              <w:right w:val="single" w:color="auto" w:sz="4" w:space="0"/>
            </w:tcBorders>
            <w:vAlign w:val="center"/>
          </w:tcPr>
          <w:p>
            <w:pPr>
              <w:pStyle w:val="166"/>
              <w:snapToGrid w:val="0"/>
              <w:rPr>
                <w:rFonts w:ascii="Times New Roman" w:hAnsi="Times New Roman"/>
                <w:color w:val="auto"/>
                <w:sz w:val="21"/>
                <w:szCs w:val="21"/>
              </w:rPr>
            </w:pPr>
            <w:r>
              <w:rPr>
                <w:rFonts w:ascii="Times New Roman" w:hAnsi="Times New Roman"/>
                <w:color w:val="auto"/>
                <w:sz w:val="21"/>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435" w:type="pct"/>
            <w:vMerge w:val="continue"/>
            <w:vAlign w:val="center"/>
          </w:tcPr>
          <w:p>
            <w:pPr>
              <w:pStyle w:val="166"/>
              <w:snapToGrid w:val="0"/>
              <w:rPr>
                <w:rFonts w:ascii="Times New Roman" w:hAnsi="Times New Roman"/>
                <w:color w:val="auto"/>
                <w:sz w:val="21"/>
                <w:szCs w:val="21"/>
              </w:rPr>
            </w:pPr>
          </w:p>
        </w:tc>
        <w:tc>
          <w:tcPr>
            <w:tcW w:w="948" w:type="pct"/>
            <w:gridSpan w:val="2"/>
            <w:tcBorders>
              <w:top w:val="single" w:color="auto" w:sz="4" w:space="0"/>
              <w:left w:val="single" w:color="auto" w:sz="4" w:space="0"/>
              <w:bottom w:val="single" w:color="auto" w:sz="4" w:space="0"/>
              <w:right w:val="single" w:color="auto" w:sz="4" w:space="0"/>
            </w:tcBorders>
            <w:vAlign w:val="center"/>
          </w:tcPr>
          <w:p>
            <w:pPr>
              <w:pStyle w:val="166"/>
              <w:snapToGrid w:val="0"/>
              <w:rPr>
                <w:rFonts w:ascii="Times New Roman" w:hAnsi="Times New Roman"/>
                <w:color w:val="auto"/>
                <w:sz w:val="21"/>
                <w:szCs w:val="21"/>
              </w:rPr>
            </w:pPr>
            <w:r>
              <w:rPr>
                <w:rFonts w:hint="eastAsia" w:ascii="Times New Roman" w:hAnsi="Times New Roman"/>
                <w:color w:val="auto"/>
                <w:sz w:val="21"/>
                <w:szCs w:val="21"/>
                <w:lang w:val="en-US" w:eastAsia="zh-CN"/>
              </w:rPr>
              <w:t>废脱脂槽液</w:t>
            </w:r>
          </w:p>
        </w:tc>
        <w:tc>
          <w:tcPr>
            <w:tcW w:w="871" w:type="pct"/>
            <w:tcBorders>
              <w:left w:val="single" w:color="auto" w:sz="4" w:space="0"/>
              <w:right w:val="single" w:color="auto" w:sz="4" w:space="0"/>
            </w:tcBorders>
            <w:vAlign w:val="center"/>
          </w:tcPr>
          <w:p>
            <w:pPr>
              <w:pStyle w:val="166"/>
              <w:snapToGrid w:val="0"/>
              <w:rPr>
                <w:rFonts w:ascii="Times New Roman" w:hAnsi="Times New Roman"/>
                <w:color w:val="auto"/>
                <w:sz w:val="21"/>
                <w:szCs w:val="21"/>
              </w:rPr>
            </w:pPr>
            <w:r>
              <w:rPr>
                <w:rFonts w:ascii="Times New Roman" w:hAnsi="Times New Roman"/>
                <w:color w:val="auto"/>
                <w:sz w:val="21"/>
                <w:szCs w:val="21"/>
              </w:rPr>
              <w:t>0</w:t>
            </w:r>
          </w:p>
        </w:tc>
        <w:tc>
          <w:tcPr>
            <w:tcW w:w="871" w:type="pct"/>
            <w:tcBorders>
              <w:left w:val="single" w:color="auto" w:sz="4" w:space="0"/>
              <w:right w:val="single" w:color="auto" w:sz="4" w:space="0"/>
            </w:tcBorders>
            <w:vAlign w:val="center"/>
          </w:tcPr>
          <w:p>
            <w:pPr>
              <w:pStyle w:val="166"/>
              <w:snapToGrid w:val="0"/>
              <w:rPr>
                <w:rFonts w:ascii="Times New Roman" w:hAnsi="Times New Roman"/>
                <w:color w:val="auto"/>
                <w:sz w:val="21"/>
                <w:szCs w:val="21"/>
              </w:rPr>
            </w:pPr>
            <w:r>
              <w:rPr>
                <w:rFonts w:ascii="Times New Roman" w:hAnsi="Times New Roman"/>
                <w:color w:val="auto"/>
                <w:sz w:val="21"/>
                <w:szCs w:val="21"/>
              </w:rPr>
              <w:t>0</w:t>
            </w:r>
          </w:p>
        </w:tc>
        <w:tc>
          <w:tcPr>
            <w:tcW w:w="566" w:type="pct"/>
            <w:tcBorders>
              <w:left w:val="single" w:color="auto" w:sz="4" w:space="0"/>
              <w:right w:val="single" w:color="auto" w:sz="4" w:space="0"/>
            </w:tcBorders>
            <w:vAlign w:val="center"/>
          </w:tcPr>
          <w:p>
            <w:pPr>
              <w:pStyle w:val="166"/>
              <w:snapToGrid w:val="0"/>
              <w:rPr>
                <w:rFonts w:ascii="Times New Roman" w:hAnsi="Times New Roman"/>
                <w:color w:val="auto"/>
                <w:sz w:val="21"/>
                <w:szCs w:val="21"/>
              </w:rPr>
            </w:pPr>
            <w:r>
              <w:rPr>
                <w:rFonts w:ascii="Times New Roman" w:hAnsi="Times New Roman"/>
                <w:color w:val="auto"/>
                <w:sz w:val="21"/>
                <w:szCs w:val="21"/>
              </w:rPr>
              <w:t>0</w:t>
            </w:r>
          </w:p>
        </w:tc>
        <w:tc>
          <w:tcPr>
            <w:tcW w:w="620" w:type="pct"/>
            <w:tcBorders>
              <w:left w:val="single" w:color="auto" w:sz="4" w:space="0"/>
              <w:right w:val="single" w:color="auto" w:sz="4" w:space="0"/>
            </w:tcBorders>
            <w:vAlign w:val="center"/>
          </w:tcPr>
          <w:p>
            <w:pPr>
              <w:pStyle w:val="166"/>
              <w:snapToGrid w:val="0"/>
              <w:rPr>
                <w:rFonts w:ascii="Times New Roman" w:hAnsi="Times New Roman"/>
                <w:color w:val="auto"/>
                <w:sz w:val="21"/>
                <w:szCs w:val="21"/>
              </w:rPr>
            </w:pPr>
            <w:r>
              <w:rPr>
                <w:rFonts w:ascii="Times New Roman" w:hAnsi="Times New Roman"/>
                <w:color w:val="auto"/>
                <w:sz w:val="21"/>
                <w:szCs w:val="21"/>
              </w:rPr>
              <w:t>0</w:t>
            </w:r>
          </w:p>
        </w:tc>
        <w:tc>
          <w:tcPr>
            <w:tcW w:w="686" w:type="pct"/>
            <w:tcBorders>
              <w:left w:val="single" w:color="auto" w:sz="4" w:space="0"/>
              <w:right w:val="single" w:color="auto" w:sz="4" w:space="0"/>
            </w:tcBorders>
            <w:vAlign w:val="center"/>
          </w:tcPr>
          <w:p>
            <w:pPr>
              <w:pStyle w:val="166"/>
              <w:snapToGrid w:val="0"/>
              <w:rPr>
                <w:rFonts w:ascii="Times New Roman" w:hAnsi="Times New Roman"/>
                <w:color w:val="auto"/>
                <w:sz w:val="21"/>
                <w:szCs w:val="21"/>
              </w:rPr>
            </w:pPr>
            <w:r>
              <w:rPr>
                <w:rFonts w:ascii="Times New Roman" w:hAnsi="Times New Roman"/>
                <w:color w:val="auto"/>
                <w:sz w:val="21"/>
                <w:szCs w:val="21"/>
              </w:rPr>
              <w:t>0</w:t>
            </w:r>
          </w:p>
        </w:tc>
      </w:tr>
    </w:tbl>
    <w:p>
      <w:pPr>
        <w:rPr>
          <w:color w:val="auto"/>
        </w:rPr>
        <w:sectPr>
          <w:headerReference r:id="rId6" w:type="default"/>
          <w:footerReference r:id="rId7" w:type="default"/>
          <w:pgSz w:w="11911" w:h="16849"/>
          <w:pgMar w:top="1440" w:right="1587" w:bottom="1440" w:left="1587" w:header="680" w:footer="652" w:gutter="0"/>
          <w:pgBorders>
            <w:top w:val="none" w:sz="0" w:space="0"/>
            <w:left w:val="none" w:sz="0" w:space="0"/>
            <w:bottom w:val="none" w:sz="0" w:space="0"/>
            <w:right w:val="none" w:sz="0" w:space="0"/>
          </w:pgBorders>
          <w:cols w:space="720" w:num="1"/>
          <w:docGrid w:linePitch="322" w:charSpace="0"/>
        </w:sectPr>
      </w:pPr>
    </w:p>
    <w:p>
      <w:pPr>
        <w:pStyle w:val="2"/>
        <w:rPr>
          <w:color w:val="auto"/>
        </w:rPr>
      </w:pPr>
    </w:p>
    <w:p>
      <w:pPr>
        <w:pStyle w:val="3"/>
        <w:spacing w:before="120" w:after="0" w:line="360" w:lineRule="auto"/>
        <w:jc w:val="center"/>
        <w:rPr>
          <w:color w:val="auto"/>
          <w:sz w:val="36"/>
          <w:szCs w:val="36"/>
        </w:rPr>
      </w:pPr>
      <w:bookmarkStart w:id="177" w:name="_Toc14325"/>
      <w:r>
        <w:rPr>
          <w:color w:val="auto"/>
          <w:sz w:val="36"/>
          <w:szCs w:val="36"/>
        </w:rPr>
        <w:t>第</w:t>
      </w:r>
      <w:r>
        <w:rPr>
          <w:rFonts w:hint="eastAsia"/>
          <w:color w:val="auto"/>
          <w:sz w:val="36"/>
          <w:szCs w:val="36"/>
        </w:rPr>
        <w:t>五</w:t>
      </w:r>
      <w:r>
        <w:rPr>
          <w:color w:val="auto"/>
          <w:sz w:val="36"/>
          <w:szCs w:val="36"/>
        </w:rPr>
        <w:t xml:space="preserve">章 </w:t>
      </w:r>
      <w:bookmarkEnd w:id="164"/>
      <w:bookmarkEnd w:id="165"/>
      <w:bookmarkEnd w:id="166"/>
      <w:bookmarkEnd w:id="167"/>
      <w:bookmarkEnd w:id="168"/>
      <w:bookmarkEnd w:id="169"/>
      <w:bookmarkEnd w:id="170"/>
      <w:bookmarkEnd w:id="171"/>
      <w:r>
        <w:rPr>
          <w:color w:val="auto"/>
          <w:sz w:val="36"/>
          <w:szCs w:val="36"/>
        </w:rPr>
        <w:t>环境现状调查与评价</w:t>
      </w:r>
      <w:bookmarkEnd w:id="172"/>
      <w:bookmarkEnd w:id="177"/>
    </w:p>
    <w:p>
      <w:pPr>
        <w:pStyle w:val="113"/>
        <w:adjustRightInd w:val="0"/>
        <w:snapToGrid w:val="0"/>
        <w:spacing w:line="520" w:lineRule="exact"/>
        <w:rPr>
          <w:rFonts w:ascii="Times New Roman" w:hAnsi="Times New Roman" w:eastAsia="宋体"/>
          <w:b/>
          <w:color w:val="auto"/>
        </w:rPr>
      </w:pPr>
      <w:bookmarkStart w:id="178" w:name="_Toc388691346"/>
      <w:bookmarkStart w:id="179" w:name="_Toc333388587"/>
      <w:bookmarkStart w:id="180" w:name="_Toc366874104"/>
      <w:bookmarkStart w:id="181" w:name="_Toc390247932"/>
      <w:bookmarkStart w:id="182" w:name="_Toc287813382"/>
      <w:bookmarkStart w:id="183" w:name="_Toc225091058"/>
      <w:bookmarkStart w:id="184" w:name="_Toc388556571"/>
      <w:bookmarkStart w:id="185" w:name="_Toc335291747"/>
      <w:bookmarkStart w:id="186" w:name="_Toc333178545"/>
      <w:bookmarkStart w:id="187" w:name="_Toc333177968"/>
      <w:bookmarkStart w:id="188" w:name="_Toc367091863"/>
      <w:bookmarkStart w:id="189" w:name="_Toc16110"/>
      <w:bookmarkStart w:id="190" w:name="_Toc19061"/>
      <w:bookmarkStart w:id="191" w:name="_Toc202063746"/>
      <w:r>
        <w:rPr>
          <w:rFonts w:hint="eastAsia" w:ascii="Times New Roman" w:hAnsi="Times New Roman"/>
          <w:b/>
          <w:color w:val="auto"/>
        </w:rPr>
        <w:t>5</w:t>
      </w:r>
      <w:r>
        <w:rPr>
          <w:rFonts w:ascii="Times New Roman" w:hAnsi="Times New Roman"/>
          <w:b/>
          <w:color w:val="auto"/>
        </w:rPr>
        <w:t>.1</w:t>
      </w:r>
      <w:bookmarkEnd w:id="178"/>
      <w:bookmarkEnd w:id="179"/>
      <w:bookmarkEnd w:id="180"/>
      <w:bookmarkEnd w:id="181"/>
      <w:bookmarkEnd w:id="182"/>
      <w:bookmarkEnd w:id="183"/>
      <w:bookmarkEnd w:id="184"/>
      <w:bookmarkEnd w:id="185"/>
      <w:bookmarkEnd w:id="186"/>
      <w:bookmarkEnd w:id="187"/>
      <w:bookmarkEnd w:id="188"/>
      <w:bookmarkStart w:id="192" w:name="_Toc206896723"/>
      <w:r>
        <w:rPr>
          <w:rFonts w:ascii="Times New Roman" w:hAnsi="Times New Roman" w:eastAsia="宋体"/>
          <w:b/>
          <w:color w:val="auto"/>
        </w:rPr>
        <w:t>自然环境现状</w:t>
      </w:r>
      <w:bookmarkEnd w:id="189"/>
      <w:bookmarkEnd w:id="190"/>
    </w:p>
    <w:bookmarkEnd w:id="191"/>
    <w:bookmarkEnd w:id="192"/>
    <w:p>
      <w:pPr>
        <w:pStyle w:val="5"/>
        <w:spacing w:before="0" w:after="0" w:line="520" w:lineRule="exact"/>
        <w:rPr>
          <w:color w:val="auto"/>
          <w:sz w:val="24"/>
          <w:szCs w:val="24"/>
        </w:rPr>
      </w:pPr>
      <w:bookmarkStart w:id="193" w:name="_Toc333177969"/>
      <w:bookmarkStart w:id="194" w:name="_Toc287813383"/>
      <w:bookmarkStart w:id="195" w:name="_Toc223371326"/>
      <w:r>
        <w:rPr>
          <w:rFonts w:hint="eastAsia"/>
          <w:color w:val="auto"/>
          <w:sz w:val="24"/>
          <w:szCs w:val="24"/>
        </w:rPr>
        <w:t>5</w:t>
      </w:r>
      <w:r>
        <w:rPr>
          <w:color w:val="auto"/>
          <w:sz w:val="24"/>
          <w:szCs w:val="24"/>
        </w:rPr>
        <w:t>.1.1地理位置</w:t>
      </w:r>
      <w:bookmarkEnd w:id="193"/>
    </w:p>
    <w:bookmarkEnd w:id="194"/>
    <w:bookmarkEnd w:id="195"/>
    <w:p>
      <w:pPr>
        <w:widowControl/>
        <w:spacing w:line="520" w:lineRule="exact"/>
        <w:ind w:firstLine="480" w:firstLineChars="200"/>
        <w:rPr>
          <w:color w:val="auto"/>
          <w:sz w:val="24"/>
        </w:rPr>
      </w:pPr>
      <w:bookmarkStart w:id="196" w:name="_Toc333177970"/>
      <w:bookmarkStart w:id="197" w:name="_Toc223371327"/>
      <w:bookmarkStart w:id="198" w:name="_Toc287813384"/>
      <w:bookmarkStart w:id="199" w:name="_Toc333388589"/>
      <w:bookmarkStart w:id="200" w:name="_Toc335291749"/>
      <w:bookmarkStart w:id="201" w:name="_Toc333177976"/>
      <w:bookmarkStart w:id="202" w:name="_Toc333178547"/>
      <w:bookmarkStart w:id="203" w:name="_Toc367091865"/>
      <w:bookmarkStart w:id="204" w:name="_Toc388691348"/>
      <w:bookmarkStart w:id="205" w:name="_Toc388556573"/>
      <w:bookmarkStart w:id="206" w:name="_Toc390247934"/>
      <w:bookmarkStart w:id="207" w:name="_Toc366874106"/>
      <w:bookmarkStart w:id="208" w:name="_Toc22737"/>
      <w:r>
        <w:rPr>
          <w:color w:val="auto"/>
          <w:sz w:val="24"/>
        </w:rPr>
        <w:t>宁国市位于安徽省东南部，东依天目山，西靠黄山山脉，水阳江上游。地理坐标为东经118°36'~119°24' ，北纬 30°16'~30°47' 。辖区东西长 75.5 公里，南北宽 55.3km</w:t>
      </w:r>
      <w:r>
        <w:rPr>
          <w:color w:val="auto"/>
          <w:sz w:val="24"/>
          <w:vertAlign w:val="superscript"/>
        </w:rPr>
        <w:t>2</w:t>
      </w:r>
      <w:r>
        <w:rPr>
          <w:color w:val="auto"/>
          <w:sz w:val="24"/>
        </w:rPr>
        <w:t>，市域总面积2487 km</w:t>
      </w:r>
      <w:r>
        <w:rPr>
          <w:color w:val="auto"/>
          <w:sz w:val="24"/>
          <w:vertAlign w:val="superscript"/>
        </w:rPr>
        <w:t>2</w:t>
      </w:r>
      <w:r>
        <w:rPr>
          <w:color w:val="auto"/>
          <w:sz w:val="24"/>
        </w:rPr>
        <w:t>。</w:t>
      </w:r>
    </w:p>
    <w:p>
      <w:pPr>
        <w:widowControl/>
        <w:spacing w:line="520" w:lineRule="exact"/>
        <w:ind w:firstLine="480" w:firstLineChars="200"/>
        <w:rPr>
          <w:color w:val="auto"/>
          <w:sz w:val="24"/>
        </w:rPr>
      </w:pPr>
      <w:r>
        <w:rPr>
          <w:color w:val="auto"/>
          <w:sz w:val="24"/>
        </w:rPr>
        <w:t>本项目位于宁国市</w:t>
      </w:r>
      <w:r>
        <w:rPr>
          <w:rFonts w:hint="eastAsia"/>
          <w:color w:val="auto"/>
          <w:sz w:val="24"/>
          <w:lang w:eastAsia="zh-CN"/>
        </w:rPr>
        <w:t>安徽省宁国经济技术开发区河沥园区振宁路（宁国市德胜建筑机械有限公司内）</w:t>
      </w:r>
      <w:r>
        <w:rPr>
          <w:color w:val="auto"/>
          <w:sz w:val="24"/>
        </w:rPr>
        <w:t>内。</w:t>
      </w:r>
    </w:p>
    <w:p>
      <w:pPr>
        <w:pStyle w:val="5"/>
        <w:spacing w:before="0" w:after="0" w:line="520" w:lineRule="exact"/>
        <w:rPr>
          <w:color w:val="auto"/>
          <w:sz w:val="24"/>
          <w:szCs w:val="24"/>
        </w:rPr>
      </w:pPr>
      <w:r>
        <w:rPr>
          <w:rFonts w:hint="eastAsia"/>
          <w:color w:val="auto"/>
          <w:sz w:val="24"/>
          <w:szCs w:val="24"/>
        </w:rPr>
        <w:t>5</w:t>
      </w:r>
      <w:r>
        <w:rPr>
          <w:color w:val="auto"/>
          <w:sz w:val="24"/>
          <w:szCs w:val="24"/>
        </w:rPr>
        <w:t>.1.2地形、地貌、地质</w:t>
      </w:r>
      <w:bookmarkEnd w:id="196"/>
    </w:p>
    <w:p>
      <w:pPr>
        <w:spacing w:line="520" w:lineRule="exact"/>
        <w:ind w:firstLine="480" w:firstLineChars="200"/>
        <w:rPr>
          <w:color w:val="auto"/>
          <w:sz w:val="24"/>
        </w:rPr>
      </w:pPr>
      <w:r>
        <w:rPr>
          <w:color w:val="auto"/>
          <w:sz w:val="24"/>
        </w:rPr>
        <w:t>宁国市属皖南山地丘陵区，市域地形地貌以丘陵山地为主，间有岗岚、河谷平原和盆地等，地貌组合分异明显。</w:t>
      </w:r>
    </w:p>
    <w:p>
      <w:pPr>
        <w:spacing w:line="520" w:lineRule="exact"/>
        <w:ind w:firstLine="480" w:firstLineChars="200"/>
        <w:rPr>
          <w:color w:val="auto"/>
          <w:sz w:val="24"/>
        </w:rPr>
      </w:pPr>
      <w:r>
        <w:rPr>
          <w:color w:val="auto"/>
          <w:sz w:val="24"/>
        </w:rPr>
        <w:t>全市地形总体特征是南高北低，东南部有天目山连绵，西部有黄山余脉延伸入境，中部的羊毫山曲折起伏。最高海拔 1587m，最低海拔 30m。城区地处水阳江水系 3 条支流东津河、中津河和西津河相汇合的河谷盆地，四面群山环抱，自北向南逐渐升高；中有巫山的隆起， 海拔 85m，南部为丘陵岗地。</w:t>
      </w:r>
    </w:p>
    <w:p>
      <w:pPr>
        <w:spacing w:line="520" w:lineRule="exact"/>
        <w:ind w:firstLine="480" w:firstLineChars="200"/>
        <w:rPr>
          <w:color w:val="auto"/>
          <w:sz w:val="24"/>
        </w:rPr>
      </w:pPr>
      <w:r>
        <w:rPr>
          <w:color w:val="auto"/>
          <w:sz w:val="24"/>
        </w:rPr>
        <w:t>项目拟建场址区微地貌为河漫滩及山前斜地，地势总特征是西南高、东北低，分布标高65.8~73.4m，地层岩性为第四系全新统芜湖组（Q4w）粉质粘土、砂砾卵石及第四系中更新统戚家矶组（Q2q）的网纹红土、含粉质粘土砾石等。</w:t>
      </w:r>
    </w:p>
    <w:p>
      <w:pPr>
        <w:spacing w:line="520" w:lineRule="exact"/>
        <w:ind w:firstLine="480" w:firstLineChars="200"/>
        <w:rPr>
          <w:color w:val="auto"/>
          <w:sz w:val="24"/>
        </w:rPr>
      </w:pPr>
      <w:r>
        <w:rPr>
          <w:color w:val="auto"/>
          <w:sz w:val="24"/>
        </w:rPr>
        <w:t>区域地形与地貌类型简单，岩性单一，岩土体工程地质性质较好。</w:t>
      </w:r>
    </w:p>
    <w:p>
      <w:pPr>
        <w:pStyle w:val="5"/>
        <w:spacing w:before="0" w:after="0" w:line="520" w:lineRule="exact"/>
        <w:rPr>
          <w:color w:val="auto"/>
          <w:sz w:val="24"/>
          <w:szCs w:val="24"/>
        </w:rPr>
      </w:pPr>
      <w:bookmarkStart w:id="209" w:name="_Toc333177971"/>
      <w:r>
        <w:rPr>
          <w:rFonts w:hint="eastAsia"/>
          <w:color w:val="auto"/>
          <w:sz w:val="24"/>
          <w:szCs w:val="24"/>
        </w:rPr>
        <w:t>5</w:t>
      </w:r>
      <w:r>
        <w:rPr>
          <w:color w:val="auto"/>
          <w:sz w:val="24"/>
          <w:szCs w:val="24"/>
        </w:rPr>
        <w:t>.1.3气候、气象</w:t>
      </w:r>
      <w:bookmarkEnd w:id="209"/>
    </w:p>
    <w:p>
      <w:pPr>
        <w:pStyle w:val="176"/>
        <w:spacing w:line="520" w:lineRule="exact"/>
        <w:ind w:firstLine="512"/>
        <w:rPr>
          <w:bCs/>
          <w:color w:val="auto"/>
          <w:lang w:val="en-US"/>
        </w:rPr>
      </w:pPr>
      <w:bookmarkStart w:id="210" w:name="_Toc333177972"/>
      <w:r>
        <w:rPr>
          <w:bCs/>
          <w:color w:val="auto"/>
          <w:lang w:val="en-US"/>
        </w:rPr>
        <w:t>宁国市属于北亚热带季风亚湿润气候区。气候温和、雨量充沛、日照尚足，四季分明。春季气温回暖早，不稳定，春末夏初，降水集中，有洪涝，夏季有伏旱，秋季降温快，常有秋绵雨。</w:t>
      </w:r>
    </w:p>
    <w:p>
      <w:pPr>
        <w:pStyle w:val="176"/>
        <w:spacing w:line="520" w:lineRule="exact"/>
        <w:ind w:firstLine="512"/>
        <w:rPr>
          <w:bCs/>
          <w:color w:val="auto"/>
          <w:lang w:val="en-US"/>
        </w:rPr>
      </w:pPr>
      <w:r>
        <w:rPr>
          <w:bCs/>
          <w:color w:val="auto"/>
          <w:lang w:val="en-US"/>
        </w:rPr>
        <w:t>一、温度、湿度</w:t>
      </w:r>
    </w:p>
    <w:p>
      <w:pPr>
        <w:pStyle w:val="176"/>
        <w:spacing w:line="520" w:lineRule="exact"/>
        <w:ind w:firstLine="512"/>
        <w:rPr>
          <w:bCs/>
          <w:color w:val="auto"/>
          <w:lang w:val="en-US"/>
        </w:rPr>
      </w:pPr>
      <w:r>
        <w:rPr>
          <w:bCs/>
          <w:color w:val="auto"/>
          <w:lang w:val="en-US"/>
        </w:rPr>
        <w:t>年平均气温 15.4℃，年际变动一般在 14.8℃至 16.4℃，最热的 7、8 月平均气温 27.5℃, 最冷的 1 月平均气温 3.5℃，极端最高气温是 41.4℃，极端最低气温是－14.5℃；在垂直分布上， 气温随高度增高而降低， 一般每上升 100m，气温就降低 0.84℃。全年无霜期226天。</w:t>
      </w:r>
    </w:p>
    <w:p>
      <w:pPr>
        <w:pStyle w:val="176"/>
        <w:spacing w:line="520" w:lineRule="exact"/>
        <w:ind w:firstLine="512"/>
        <w:rPr>
          <w:bCs/>
          <w:color w:val="auto"/>
          <w:lang w:val="en-US"/>
        </w:rPr>
      </w:pPr>
      <w:r>
        <w:rPr>
          <w:bCs/>
          <w:color w:val="auto"/>
          <w:lang w:val="en-US"/>
        </w:rPr>
        <w:t>二、降水量、蒸发量</w:t>
      </w:r>
    </w:p>
    <w:p>
      <w:pPr>
        <w:pStyle w:val="176"/>
        <w:spacing w:line="520" w:lineRule="exact"/>
        <w:ind w:firstLine="512"/>
        <w:rPr>
          <w:bCs/>
          <w:color w:val="auto"/>
          <w:lang w:val="en-US"/>
        </w:rPr>
      </w:pPr>
      <w:r>
        <w:rPr>
          <w:bCs/>
          <w:color w:val="auto"/>
          <w:lang w:val="en-US"/>
        </w:rPr>
        <w:t>年平均降雨量 1471.4mm，年际变化较大，多年平均雨天数为 157 天，雨量较为集中（在5~7 月），年平均气温为 16.3℃，年平均蒸发量为 1499.1mm，相对湿度 80%。宁国市多年平均蒸发量为 1464.4mm，最大年蒸发量为 1715.7mm，最小蒸发量 1170.3mm，一年中 7、8两月蒸发量最大，约占全年的 30％左右。年平均蒸发量与年降水量相差不多。</w:t>
      </w:r>
    </w:p>
    <w:p>
      <w:pPr>
        <w:pStyle w:val="176"/>
        <w:spacing w:line="520" w:lineRule="exact"/>
        <w:ind w:firstLine="512"/>
        <w:rPr>
          <w:bCs/>
          <w:color w:val="auto"/>
          <w:lang w:val="en-US"/>
        </w:rPr>
      </w:pPr>
      <w:r>
        <w:rPr>
          <w:bCs/>
          <w:color w:val="auto"/>
          <w:lang w:val="en-US"/>
        </w:rPr>
        <w:t>三、风向、风速</w:t>
      </w:r>
    </w:p>
    <w:p>
      <w:pPr>
        <w:pStyle w:val="176"/>
        <w:spacing w:line="520" w:lineRule="exact"/>
        <w:ind w:firstLine="512"/>
        <w:rPr>
          <w:color w:val="auto"/>
          <w:lang w:val="en-US"/>
        </w:rPr>
      </w:pPr>
      <w:r>
        <w:rPr>
          <w:bCs/>
          <w:color w:val="auto"/>
          <w:lang w:val="en-US"/>
        </w:rPr>
        <w:t>宁国市全年日照时数 2038.2 小时，年无霜期 224 天。本地属季风气候区，风向有明显季节变化，冬季以偏北风为主，夏季以偏南风为主，春秋季是风向转换的季节，历年平均风速以春季 3-4 月最大，秋季 9-10 月最小。常年主导风向是西北偏北风（NNW），最大风速20.8m/s，历年平均风速1.8m/s</w:t>
      </w:r>
      <w:r>
        <w:rPr>
          <w:color w:val="auto"/>
          <w:lang w:val="en-US"/>
        </w:rPr>
        <w:t>。</w:t>
      </w:r>
    </w:p>
    <w:p>
      <w:pPr>
        <w:pStyle w:val="5"/>
        <w:spacing w:before="0" w:after="0" w:line="520" w:lineRule="exact"/>
        <w:rPr>
          <w:color w:val="auto"/>
          <w:sz w:val="24"/>
          <w:szCs w:val="24"/>
        </w:rPr>
      </w:pPr>
      <w:r>
        <w:rPr>
          <w:rFonts w:hint="eastAsia"/>
          <w:color w:val="auto"/>
          <w:sz w:val="24"/>
          <w:szCs w:val="24"/>
        </w:rPr>
        <w:t>5</w:t>
      </w:r>
      <w:r>
        <w:rPr>
          <w:color w:val="auto"/>
          <w:sz w:val="24"/>
          <w:szCs w:val="24"/>
        </w:rPr>
        <w:t>.1.4</w:t>
      </w:r>
      <w:bookmarkEnd w:id="210"/>
      <w:r>
        <w:rPr>
          <w:color w:val="auto"/>
          <w:sz w:val="24"/>
          <w:szCs w:val="24"/>
        </w:rPr>
        <w:t>水文地质</w:t>
      </w:r>
    </w:p>
    <w:p>
      <w:pPr>
        <w:spacing w:line="520" w:lineRule="exact"/>
        <w:ind w:firstLine="480" w:firstLineChars="200"/>
        <w:rPr>
          <w:bCs/>
          <w:color w:val="auto"/>
          <w:sz w:val="24"/>
        </w:rPr>
      </w:pPr>
      <w:r>
        <w:rPr>
          <w:bCs/>
          <w:color w:val="auto"/>
          <w:sz w:val="24"/>
        </w:rPr>
        <w:t>宁国地处皖南地区，地表水系发达，大小河流纵横交错，流经宁国市的主要河流分属四个水系，主干流东津河、中津河、西津河由南向北在河沥溪镇附近汇成水阳江水系向北流入宣城境内。</w:t>
      </w:r>
    </w:p>
    <w:p>
      <w:pPr>
        <w:spacing w:line="520" w:lineRule="exact"/>
        <w:ind w:firstLine="480" w:firstLineChars="200"/>
        <w:rPr>
          <w:bCs/>
          <w:color w:val="auto"/>
          <w:sz w:val="24"/>
        </w:rPr>
      </w:pPr>
      <w:r>
        <w:rPr>
          <w:bCs/>
          <w:color w:val="auto"/>
          <w:sz w:val="24"/>
        </w:rPr>
        <w:t>西津河发源于绩溪县，在绩溪县境内称为弋溪河及金沙河，流经宁国市胡乐、甲路，总流域面积 1198km</w:t>
      </w:r>
      <w:r>
        <w:rPr>
          <w:bCs/>
          <w:color w:val="auto"/>
          <w:sz w:val="24"/>
          <w:vertAlign w:val="superscript"/>
        </w:rPr>
        <w:t>2</w:t>
      </w:r>
      <w:r>
        <w:rPr>
          <w:bCs/>
          <w:color w:val="auto"/>
          <w:sz w:val="24"/>
        </w:rPr>
        <w:t>。河面最宽处 108m，最窄处 44.8m。主河道河口高程 70m，落差 110m。洪水期水深 7m，枯水期水深 0.6m。多年平均流量 31.84m</w:t>
      </w:r>
      <w:r>
        <w:rPr>
          <w:bCs/>
          <w:color w:val="auto"/>
          <w:sz w:val="24"/>
          <w:vertAlign w:val="superscript"/>
        </w:rPr>
        <w:t>3</w:t>
      </w:r>
      <w:r>
        <w:rPr>
          <w:bCs/>
          <w:color w:val="auto"/>
          <w:sz w:val="24"/>
        </w:rPr>
        <w:t>/s，最大洪峰流量港口湾 3920m</w:t>
      </w:r>
      <w:r>
        <w:rPr>
          <w:bCs/>
          <w:color w:val="auto"/>
          <w:sz w:val="24"/>
          <w:vertAlign w:val="superscript"/>
        </w:rPr>
        <w:t>3</w:t>
      </w:r>
      <w:r>
        <w:rPr>
          <w:bCs/>
          <w:color w:val="auto"/>
          <w:sz w:val="24"/>
        </w:rPr>
        <w:t>/s， 年平均径流量 10.4 亿 m</w:t>
      </w:r>
      <w:r>
        <w:rPr>
          <w:bCs/>
          <w:color w:val="auto"/>
          <w:sz w:val="24"/>
          <w:vertAlign w:val="superscript"/>
        </w:rPr>
        <w:t>3</w:t>
      </w:r>
      <w:r>
        <w:rPr>
          <w:bCs/>
          <w:color w:val="auto"/>
          <w:sz w:val="24"/>
        </w:rPr>
        <w:t>。沿河除东岸附近地势较为开阔外，其他大部分均系山区，河道坡陡流急，洪水猛涨猛落，为水阳江上游洪水的主要来源之一。</w:t>
      </w:r>
    </w:p>
    <w:p>
      <w:pPr>
        <w:spacing w:line="520" w:lineRule="exact"/>
        <w:ind w:firstLine="480" w:firstLineChars="200"/>
        <w:rPr>
          <w:bCs/>
          <w:color w:val="auto"/>
          <w:sz w:val="24"/>
        </w:rPr>
      </w:pPr>
      <w:r>
        <w:rPr>
          <w:bCs/>
          <w:color w:val="auto"/>
          <w:sz w:val="24"/>
        </w:rPr>
        <w:t>东津河在宁国市境内，主河道长 69km，流域面积 1014km</w:t>
      </w:r>
      <w:r>
        <w:rPr>
          <w:bCs/>
          <w:color w:val="auto"/>
          <w:sz w:val="24"/>
          <w:vertAlign w:val="superscript"/>
        </w:rPr>
        <w:t>2</w:t>
      </w:r>
      <w:r>
        <w:rPr>
          <w:bCs/>
          <w:color w:val="auto"/>
          <w:sz w:val="24"/>
        </w:rPr>
        <w:t>。河面最宽处 80m，最窄处35m。洪水期水深 7.5m，枯水期水深 0.4m。主河道河口高程 40m，落差 410m。多年平均流量 27.41m</w:t>
      </w:r>
      <w:r>
        <w:rPr>
          <w:bCs/>
          <w:color w:val="auto"/>
          <w:sz w:val="24"/>
          <w:vertAlign w:val="superscript"/>
        </w:rPr>
        <w:t>3</w:t>
      </w:r>
      <w:r>
        <w:rPr>
          <w:bCs/>
          <w:color w:val="auto"/>
          <w:sz w:val="24"/>
        </w:rPr>
        <w:t>/s，最大流量 2850m</w:t>
      </w:r>
      <w:r>
        <w:rPr>
          <w:bCs/>
          <w:color w:val="auto"/>
          <w:sz w:val="24"/>
          <w:vertAlign w:val="superscript"/>
        </w:rPr>
        <w:t>3</w:t>
      </w:r>
      <w:r>
        <w:rPr>
          <w:bCs/>
          <w:color w:val="auto"/>
          <w:sz w:val="24"/>
        </w:rPr>
        <w:t>/s，年平均径流量 8.55 亿 m</w:t>
      </w:r>
      <w:r>
        <w:rPr>
          <w:bCs/>
          <w:color w:val="auto"/>
          <w:sz w:val="24"/>
          <w:vertAlign w:val="superscript"/>
        </w:rPr>
        <w:t>3</w:t>
      </w:r>
      <w:r>
        <w:rPr>
          <w:bCs/>
          <w:color w:val="auto"/>
          <w:sz w:val="24"/>
        </w:rPr>
        <w:t>。</w:t>
      </w:r>
    </w:p>
    <w:p>
      <w:pPr>
        <w:pStyle w:val="5"/>
        <w:spacing w:before="0" w:after="0" w:line="520" w:lineRule="exact"/>
        <w:rPr>
          <w:color w:val="auto"/>
          <w:sz w:val="24"/>
          <w:szCs w:val="24"/>
        </w:rPr>
      </w:pPr>
      <w:r>
        <w:rPr>
          <w:rFonts w:hint="eastAsia"/>
          <w:color w:val="auto"/>
          <w:sz w:val="24"/>
          <w:szCs w:val="24"/>
        </w:rPr>
        <w:t>5</w:t>
      </w:r>
      <w:r>
        <w:rPr>
          <w:color w:val="auto"/>
          <w:sz w:val="24"/>
          <w:szCs w:val="24"/>
        </w:rPr>
        <w:t>.1.6土壤</w:t>
      </w:r>
    </w:p>
    <w:p>
      <w:pPr>
        <w:widowControl/>
        <w:spacing w:line="520" w:lineRule="exact"/>
        <w:ind w:firstLine="480" w:firstLineChars="200"/>
        <w:jc w:val="left"/>
        <w:rPr>
          <w:color w:val="auto"/>
          <w:sz w:val="24"/>
        </w:rPr>
      </w:pPr>
      <w:r>
        <w:rPr>
          <w:bCs/>
          <w:color w:val="auto"/>
          <w:sz w:val="24"/>
        </w:rPr>
        <w:t>宁国市土壤共分 7 个土类、10 个亚类、38 个土属、73 个土种。红壤为地带性土壤，具过渡性特征，是市内面积最大的土类，面积占全市总面积的 72.5%，广泛分布于海拔 650 m 以下的低山、丘陵、岗台地带；石灰（岩）土为发育在石灰岩上的岩成土壤，占全市总面积的 13.6%；水稻土主要集中在海拔 200m 以下，沿河两岸的畈、坡、岗、冲地上，水稻土面积占全市总面积的 3.8%，黄壤、紫色土、潮土合占全市总面积的 2.9%。就土壤肥力而言， 土壤有机质含量多属于中等水平</w:t>
      </w:r>
      <w:r>
        <w:rPr>
          <w:color w:val="auto"/>
          <w:sz w:val="24"/>
        </w:rPr>
        <w:t>。</w:t>
      </w:r>
    </w:p>
    <w:p>
      <w:pPr>
        <w:pStyle w:val="5"/>
        <w:spacing w:before="0" w:after="0" w:line="520" w:lineRule="exact"/>
        <w:rPr>
          <w:color w:val="auto"/>
          <w:sz w:val="24"/>
          <w:szCs w:val="24"/>
        </w:rPr>
      </w:pPr>
      <w:r>
        <w:rPr>
          <w:rFonts w:hint="eastAsia"/>
          <w:color w:val="auto"/>
          <w:sz w:val="24"/>
          <w:szCs w:val="24"/>
        </w:rPr>
        <w:t>5</w:t>
      </w:r>
      <w:r>
        <w:rPr>
          <w:color w:val="auto"/>
          <w:sz w:val="24"/>
          <w:szCs w:val="24"/>
        </w:rPr>
        <w:t>.1.7植物资源与生物多样性</w:t>
      </w:r>
    </w:p>
    <w:p>
      <w:pPr>
        <w:widowControl/>
        <w:spacing w:line="520" w:lineRule="exact"/>
        <w:ind w:firstLine="480" w:firstLineChars="200"/>
        <w:jc w:val="left"/>
        <w:rPr>
          <w:bCs/>
          <w:color w:val="auto"/>
          <w:sz w:val="24"/>
        </w:rPr>
      </w:pPr>
      <w:r>
        <w:rPr>
          <w:bCs/>
          <w:color w:val="auto"/>
          <w:sz w:val="24"/>
        </w:rPr>
        <w:t>宁国市植被属亚热带常绿阔叶林区，为安徽省林产区之一，近年来通过退耕还林、绿色长廊、世行项目等重点工程建设，使森林覆盖率达到 77.23%，3 年来完成人工造林 4.2 万亩，竹林面积已有 71 万亩、山核桃面积 36 万亩，保存率均在 90%以上，绿色植物覆盖率达 85%。天然植被以地带性植被常绿阔叶林为主， 人工植被主要树种有杉、松、板栗、山核桃、元竹等。全市生物资源丰富，尤以山核桃、香榧、笋干等具较高的经济价值。</w:t>
      </w:r>
    </w:p>
    <w:p>
      <w:pPr>
        <w:widowControl/>
        <w:spacing w:line="520" w:lineRule="exact"/>
        <w:ind w:firstLine="480" w:firstLineChars="200"/>
        <w:jc w:val="left"/>
        <w:rPr>
          <w:bCs/>
          <w:color w:val="auto"/>
          <w:sz w:val="24"/>
        </w:rPr>
      </w:pPr>
      <w:r>
        <w:rPr>
          <w:bCs/>
          <w:color w:val="auto"/>
          <w:sz w:val="24"/>
        </w:rPr>
        <w:t>区域内主要植被类型包括北亚热带常绿、落叶阔叶混交林和针阔混交林。全市森林资源呈现较明显的区域分布特征：西部及西南部地区西津河流域及港口湾水库库区以常绿阔叶林、针阔混交林和毛竹为主，兼有部分人工针叶林；东部地区东津河流域以经济林、竹林为主，兼有针阔混交林；中部地区中津河流域以经济林、竹林、杉木林为主，边远山区有常绿落叶阔叶林分布；北部地区水阳江上游地区主要以元竹、马尾松和外松人工林为主，间有部分次生阔叶林分布。</w:t>
      </w:r>
    </w:p>
    <w:p>
      <w:pPr>
        <w:widowControl/>
        <w:spacing w:line="520" w:lineRule="exact"/>
        <w:ind w:firstLine="480" w:firstLineChars="200"/>
        <w:jc w:val="left"/>
        <w:rPr>
          <w:color w:val="auto"/>
          <w:sz w:val="24"/>
        </w:rPr>
      </w:pPr>
      <w:r>
        <w:rPr>
          <w:bCs/>
          <w:color w:val="auto"/>
          <w:sz w:val="24"/>
        </w:rPr>
        <w:t>全市矿产资源共有 8 大类，30 多个矿种，主要有陶土矿、紫砂陶、水泥石灰石等等，其中陶土矿储量全省第一。紫砂陶属于省内独特产品，透闪石石棉为全国唯一产区，水泥石灰石和配料贮藏量大、品位稳佳；能源资源较丰富，全市煤炭工业储量 2284 万吨，石煤工业储量 7.5 亿吨。水能理论蕴藏量约为 44 万千瓦（不包括港口湾水库装机容量）</w:t>
      </w:r>
      <w:r>
        <w:rPr>
          <w:color w:val="auto"/>
          <w:sz w:val="24"/>
        </w:rPr>
        <w:t>。</w:t>
      </w:r>
    </w:p>
    <w:p>
      <w:pPr>
        <w:pStyle w:val="4"/>
        <w:spacing w:line="520" w:lineRule="exact"/>
        <w:rPr>
          <w:rFonts w:ascii="Times New Roman" w:hAnsi="Times New Roman"/>
          <w:b/>
          <w:color w:val="auto"/>
        </w:rPr>
      </w:pPr>
      <w:bookmarkStart w:id="211" w:name="_Toc31776"/>
      <w:r>
        <w:rPr>
          <w:rFonts w:hint="eastAsia" w:ascii="Times New Roman" w:hAnsi="Times New Roman"/>
          <w:b/>
          <w:color w:val="auto"/>
        </w:rPr>
        <w:t>5</w:t>
      </w:r>
      <w:r>
        <w:rPr>
          <w:rFonts w:ascii="Times New Roman" w:hAnsi="Times New Roman"/>
          <w:b/>
          <w:color w:val="auto"/>
        </w:rPr>
        <w:t>.</w:t>
      </w:r>
      <w:bookmarkEnd w:id="197"/>
      <w:bookmarkEnd w:id="198"/>
      <w:bookmarkEnd w:id="199"/>
      <w:bookmarkEnd w:id="200"/>
      <w:bookmarkEnd w:id="201"/>
      <w:bookmarkEnd w:id="202"/>
      <w:r>
        <w:rPr>
          <w:rFonts w:ascii="Times New Roman" w:hAnsi="Times New Roman"/>
          <w:b/>
          <w:color w:val="auto"/>
        </w:rPr>
        <w:t>2</w:t>
      </w:r>
      <w:bookmarkEnd w:id="203"/>
      <w:bookmarkEnd w:id="204"/>
      <w:bookmarkEnd w:id="205"/>
      <w:bookmarkEnd w:id="206"/>
      <w:bookmarkEnd w:id="207"/>
      <w:r>
        <w:rPr>
          <w:rFonts w:ascii="Times New Roman" w:hAnsi="Times New Roman"/>
          <w:b/>
          <w:color w:val="auto"/>
        </w:rPr>
        <w:t>环境质量现状评价</w:t>
      </w:r>
      <w:bookmarkEnd w:id="208"/>
      <w:bookmarkEnd w:id="211"/>
    </w:p>
    <w:p>
      <w:pPr>
        <w:pStyle w:val="5"/>
        <w:spacing w:before="0" w:after="0" w:line="520" w:lineRule="exact"/>
        <w:rPr>
          <w:color w:val="auto"/>
          <w:sz w:val="24"/>
          <w:szCs w:val="24"/>
        </w:rPr>
      </w:pPr>
      <w:r>
        <w:rPr>
          <w:rFonts w:hint="eastAsia"/>
          <w:color w:val="auto"/>
          <w:sz w:val="24"/>
          <w:szCs w:val="24"/>
        </w:rPr>
        <w:t>5</w:t>
      </w:r>
      <w:r>
        <w:rPr>
          <w:color w:val="auto"/>
          <w:sz w:val="24"/>
          <w:szCs w:val="24"/>
        </w:rPr>
        <w:t>.2.1地表水环境质量现状</w:t>
      </w:r>
    </w:p>
    <w:p>
      <w:pPr>
        <w:spacing w:line="360" w:lineRule="auto"/>
        <w:ind w:firstLine="480" w:firstLineChars="200"/>
        <w:rPr>
          <w:color w:val="auto"/>
          <w:sz w:val="24"/>
        </w:rPr>
      </w:pPr>
      <w:bookmarkStart w:id="212" w:name="_Toc163553450"/>
      <w:bookmarkStart w:id="213" w:name="_Toc307908814"/>
      <w:bookmarkStart w:id="214" w:name="_Toc163553664"/>
      <w:bookmarkStart w:id="215" w:name="_Toc388556576"/>
      <w:bookmarkStart w:id="216" w:name="_Toc388691351"/>
      <w:bookmarkStart w:id="217" w:name="_Toc333177987"/>
      <w:bookmarkStart w:id="218" w:name="_Toc333388596"/>
      <w:bookmarkStart w:id="219" w:name="_Toc287813391"/>
      <w:bookmarkStart w:id="220" w:name="_Toc366874109"/>
      <w:bookmarkStart w:id="221" w:name="_Toc367091868"/>
      <w:bookmarkStart w:id="222" w:name="_Toc335291756"/>
      <w:bookmarkStart w:id="223" w:name="_Toc333178554"/>
      <w:bookmarkStart w:id="224" w:name="_Toc390247937"/>
      <w:bookmarkStart w:id="225" w:name="_Toc206896732"/>
      <w:r>
        <w:rPr>
          <w:color w:val="auto"/>
          <w:sz w:val="24"/>
        </w:rPr>
        <w:t>（1）地表水质量现状监测</w:t>
      </w:r>
      <w:bookmarkEnd w:id="212"/>
      <w:bookmarkEnd w:id="213"/>
      <w:bookmarkEnd w:id="214"/>
    </w:p>
    <w:p>
      <w:pPr>
        <w:spacing w:line="360" w:lineRule="auto"/>
        <w:ind w:firstLine="480" w:firstLineChars="200"/>
        <w:rPr>
          <w:color w:val="auto"/>
          <w:sz w:val="24"/>
        </w:rPr>
      </w:pPr>
      <w:r>
        <w:rPr>
          <w:color w:val="auto"/>
          <w:sz w:val="24"/>
        </w:rPr>
        <w:t>①监测断面的布设</w:t>
      </w:r>
    </w:p>
    <w:p>
      <w:pPr>
        <w:spacing w:line="360" w:lineRule="auto"/>
        <w:ind w:firstLine="480" w:firstLineChars="200"/>
        <w:rPr>
          <w:color w:val="auto"/>
          <w:sz w:val="24"/>
        </w:rPr>
      </w:pPr>
      <w:r>
        <w:rPr>
          <w:color w:val="auto"/>
          <w:sz w:val="24"/>
        </w:rPr>
        <w:t>项目涉及到附近地表水为</w:t>
      </w:r>
      <w:r>
        <w:rPr>
          <w:rFonts w:hint="eastAsia"/>
          <w:bCs/>
          <w:color w:val="auto"/>
          <w:sz w:val="24"/>
          <w:lang w:eastAsia="zh-CN"/>
        </w:rPr>
        <w:t>东</w:t>
      </w:r>
      <w:r>
        <w:rPr>
          <w:bCs/>
          <w:color w:val="auto"/>
          <w:sz w:val="24"/>
        </w:rPr>
        <w:t>津河</w:t>
      </w:r>
      <w:r>
        <w:rPr>
          <w:color w:val="auto"/>
          <w:sz w:val="24"/>
        </w:rPr>
        <w:t xml:space="preserve">。根据宁国市浚成环境监测有限公司提供的检测报告，详见下表。 </w:t>
      </w:r>
    </w:p>
    <w:p>
      <w:pPr>
        <w:spacing w:line="360" w:lineRule="auto"/>
        <w:jc w:val="center"/>
        <w:rPr>
          <w:b/>
          <w:bCs/>
          <w:color w:val="auto"/>
          <w:sz w:val="24"/>
        </w:rPr>
      </w:pPr>
      <w:r>
        <w:rPr>
          <w:rFonts w:hint="eastAsia"/>
          <w:b/>
          <w:bCs/>
          <w:color w:val="auto"/>
          <w:sz w:val="24"/>
        </w:rPr>
        <w:t>表5</w:t>
      </w:r>
      <w:r>
        <w:rPr>
          <w:b/>
          <w:bCs/>
          <w:color w:val="auto"/>
          <w:sz w:val="24"/>
        </w:rPr>
        <w:t>-1  地表水质量监测布点一览表</w:t>
      </w:r>
    </w:p>
    <w:tbl>
      <w:tblPr>
        <w:tblStyle w:val="5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014"/>
        <w:gridCol w:w="1080"/>
        <w:gridCol w:w="4964"/>
        <w:gridCol w:w="134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5" w:hRule="atLeast"/>
          <w:jc w:val="center"/>
        </w:trPr>
        <w:tc>
          <w:tcPr>
            <w:tcW w:w="1014" w:type="dxa"/>
            <w:vAlign w:val="center"/>
          </w:tcPr>
          <w:p>
            <w:pPr>
              <w:spacing w:line="300" w:lineRule="exact"/>
              <w:jc w:val="center"/>
              <w:rPr>
                <w:bCs/>
                <w:color w:val="auto"/>
                <w:szCs w:val="21"/>
              </w:rPr>
            </w:pPr>
            <w:r>
              <w:rPr>
                <w:bCs/>
                <w:color w:val="auto"/>
                <w:szCs w:val="21"/>
              </w:rPr>
              <w:t>河流名称</w:t>
            </w:r>
          </w:p>
        </w:tc>
        <w:tc>
          <w:tcPr>
            <w:tcW w:w="1080" w:type="dxa"/>
            <w:vAlign w:val="center"/>
          </w:tcPr>
          <w:p>
            <w:pPr>
              <w:spacing w:line="300" w:lineRule="exact"/>
              <w:jc w:val="center"/>
              <w:rPr>
                <w:bCs/>
                <w:color w:val="auto"/>
                <w:szCs w:val="21"/>
              </w:rPr>
            </w:pPr>
            <w:r>
              <w:rPr>
                <w:bCs/>
                <w:color w:val="auto"/>
                <w:szCs w:val="21"/>
              </w:rPr>
              <w:t>断面编号</w:t>
            </w:r>
          </w:p>
        </w:tc>
        <w:tc>
          <w:tcPr>
            <w:tcW w:w="4964" w:type="dxa"/>
            <w:vAlign w:val="center"/>
          </w:tcPr>
          <w:p>
            <w:pPr>
              <w:spacing w:line="300" w:lineRule="exact"/>
              <w:jc w:val="center"/>
              <w:rPr>
                <w:bCs/>
                <w:color w:val="auto"/>
                <w:szCs w:val="21"/>
              </w:rPr>
            </w:pPr>
            <w:r>
              <w:rPr>
                <w:bCs/>
                <w:color w:val="auto"/>
                <w:szCs w:val="21"/>
              </w:rPr>
              <w:t>断  面  位  置</w:t>
            </w:r>
          </w:p>
        </w:tc>
        <w:tc>
          <w:tcPr>
            <w:tcW w:w="1344" w:type="dxa"/>
            <w:vAlign w:val="center"/>
          </w:tcPr>
          <w:p>
            <w:pPr>
              <w:spacing w:line="300" w:lineRule="exact"/>
              <w:jc w:val="center"/>
              <w:rPr>
                <w:bCs/>
                <w:color w:val="auto"/>
                <w:szCs w:val="21"/>
              </w:rPr>
            </w:pPr>
            <w:r>
              <w:rPr>
                <w:bCs/>
                <w:color w:val="auto"/>
                <w:szCs w:val="21"/>
              </w:rPr>
              <w:t>监测断面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5" w:hRule="atLeast"/>
          <w:jc w:val="center"/>
        </w:trPr>
        <w:tc>
          <w:tcPr>
            <w:tcW w:w="1014" w:type="dxa"/>
            <w:vMerge w:val="restart"/>
            <w:vAlign w:val="center"/>
          </w:tcPr>
          <w:p>
            <w:pPr>
              <w:spacing w:line="300" w:lineRule="exact"/>
              <w:jc w:val="center"/>
              <w:rPr>
                <w:bCs/>
                <w:color w:val="auto"/>
                <w:szCs w:val="21"/>
              </w:rPr>
            </w:pPr>
            <w:r>
              <w:rPr>
                <w:bCs/>
                <w:color w:val="auto"/>
                <w:szCs w:val="21"/>
              </w:rPr>
              <w:t>中津河</w:t>
            </w:r>
          </w:p>
        </w:tc>
        <w:tc>
          <w:tcPr>
            <w:tcW w:w="1080" w:type="dxa"/>
            <w:vAlign w:val="center"/>
          </w:tcPr>
          <w:p>
            <w:pPr>
              <w:spacing w:line="300" w:lineRule="exact"/>
              <w:jc w:val="center"/>
              <w:rPr>
                <w:bCs/>
                <w:color w:val="auto"/>
                <w:szCs w:val="21"/>
              </w:rPr>
            </w:pPr>
            <w:r>
              <w:rPr>
                <w:bCs/>
                <w:color w:val="auto"/>
                <w:szCs w:val="21"/>
              </w:rPr>
              <w:t>1#</w:t>
            </w:r>
          </w:p>
        </w:tc>
        <w:tc>
          <w:tcPr>
            <w:tcW w:w="4964" w:type="dxa"/>
            <w:vAlign w:val="center"/>
          </w:tcPr>
          <w:p>
            <w:pPr>
              <w:spacing w:line="300" w:lineRule="exact"/>
              <w:jc w:val="center"/>
              <w:rPr>
                <w:bCs/>
                <w:color w:val="auto"/>
                <w:szCs w:val="21"/>
              </w:rPr>
            </w:pPr>
            <w:r>
              <w:rPr>
                <w:rFonts w:hint="eastAsia"/>
                <w:bCs/>
                <w:color w:val="auto"/>
                <w:szCs w:val="21"/>
                <w:lang w:val="zh-TW" w:eastAsia="zh-CN"/>
              </w:rPr>
              <w:t>宁国市污水处理厂</w:t>
            </w:r>
            <w:r>
              <w:rPr>
                <w:bCs/>
                <w:color w:val="auto"/>
                <w:szCs w:val="21"/>
                <w:lang w:val="zh-TW" w:eastAsia="zh-TW"/>
              </w:rPr>
              <w:t>污水总排口入</w:t>
            </w:r>
            <w:r>
              <w:rPr>
                <w:rFonts w:hint="eastAsia"/>
                <w:bCs/>
                <w:color w:val="auto"/>
                <w:szCs w:val="21"/>
                <w:lang w:eastAsia="zh-CN"/>
              </w:rPr>
              <w:t>东</w:t>
            </w:r>
            <w:r>
              <w:rPr>
                <w:bCs/>
                <w:color w:val="auto"/>
                <w:szCs w:val="21"/>
              </w:rPr>
              <w:t>津河上游500m</w:t>
            </w:r>
          </w:p>
        </w:tc>
        <w:tc>
          <w:tcPr>
            <w:tcW w:w="1344" w:type="dxa"/>
            <w:vAlign w:val="center"/>
          </w:tcPr>
          <w:p>
            <w:pPr>
              <w:spacing w:line="300" w:lineRule="exact"/>
              <w:jc w:val="center"/>
              <w:rPr>
                <w:bCs/>
                <w:color w:val="auto"/>
                <w:szCs w:val="21"/>
              </w:rPr>
            </w:pPr>
            <w:r>
              <w:rPr>
                <w:bCs/>
                <w:color w:val="auto"/>
                <w:szCs w:val="21"/>
              </w:rPr>
              <w:t>对照断面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5" w:hRule="atLeast"/>
          <w:jc w:val="center"/>
        </w:trPr>
        <w:tc>
          <w:tcPr>
            <w:tcW w:w="1014" w:type="dxa"/>
            <w:vMerge w:val="continue"/>
            <w:vAlign w:val="center"/>
          </w:tcPr>
          <w:p>
            <w:pPr>
              <w:spacing w:line="300" w:lineRule="exact"/>
              <w:jc w:val="center"/>
              <w:rPr>
                <w:bCs/>
                <w:color w:val="auto"/>
                <w:szCs w:val="21"/>
              </w:rPr>
            </w:pPr>
          </w:p>
        </w:tc>
        <w:tc>
          <w:tcPr>
            <w:tcW w:w="1080" w:type="dxa"/>
            <w:vAlign w:val="center"/>
          </w:tcPr>
          <w:p>
            <w:pPr>
              <w:spacing w:line="300" w:lineRule="exact"/>
              <w:jc w:val="center"/>
              <w:rPr>
                <w:bCs/>
                <w:color w:val="auto"/>
                <w:szCs w:val="21"/>
              </w:rPr>
            </w:pPr>
            <w:r>
              <w:rPr>
                <w:bCs/>
                <w:color w:val="auto"/>
                <w:szCs w:val="21"/>
              </w:rPr>
              <w:t>2#</w:t>
            </w:r>
          </w:p>
        </w:tc>
        <w:tc>
          <w:tcPr>
            <w:tcW w:w="4964" w:type="dxa"/>
            <w:vAlign w:val="center"/>
          </w:tcPr>
          <w:p>
            <w:pPr>
              <w:spacing w:line="300" w:lineRule="exact"/>
              <w:jc w:val="center"/>
              <w:rPr>
                <w:bCs/>
                <w:color w:val="auto"/>
                <w:szCs w:val="21"/>
              </w:rPr>
            </w:pPr>
            <w:r>
              <w:rPr>
                <w:rFonts w:hint="eastAsia"/>
                <w:bCs/>
                <w:color w:val="auto"/>
                <w:szCs w:val="21"/>
                <w:lang w:val="zh-TW" w:eastAsia="zh-CN"/>
              </w:rPr>
              <w:t>宁国市污水处理厂</w:t>
            </w:r>
            <w:r>
              <w:rPr>
                <w:bCs/>
                <w:color w:val="auto"/>
                <w:szCs w:val="21"/>
                <w:lang w:val="zh-TW" w:eastAsia="zh-TW"/>
              </w:rPr>
              <w:t>污水总排口入</w:t>
            </w:r>
            <w:r>
              <w:rPr>
                <w:rFonts w:hint="eastAsia"/>
                <w:bCs/>
                <w:color w:val="auto"/>
                <w:szCs w:val="21"/>
                <w:lang w:eastAsia="zh-CN"/>
              </w:rPr>
              <w:t>东</w:t>
            </w:r>
            <w:r>
              <w:rPr>
                <w:bCs/>
                <w:color w:val="auto"/>
                <w:szCs w:val="21"/>
              </w:rPr>
              <w:t>津河下游500m</w:t>
            </w:r>
          </w:p>
        </w:tc>
        <w:tc>
          <w:tcPr>
            <w:tcW w:w="1344" w:type="dxa"/>
            <w:vAlign w:val="center"/>
          </w:tcPr>
          <w:p>
            <w:pPr>
              <w:spacing w:line="300" w:lineRule="exact"/>
              <w:jc w:val="center"/>
              <w:rPr>
                <w:bCs/>
                <w:color w:val="auto"/>
                <w:szCs w:val="21"/>
              </w:rPr>
            </w:pPr>
            <w:r>
              <w:rPr>
                <w:bCs/>
                <w:color w:val="auto"/>
                <w:szCs w:val="21"/>
              </w:rPr>
              <w:t>混合断面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5" w:hRule="atLeast"/>
          <w:jc w:val="center"/>
        </w:trPr>
        <w:tc>
          <w:tcPr>
            <w:tcW w:w="1014" w:type="dxa"/>
            <w:vMerge w:val="continue"/>
            <w:vAlign w:val="center"/>
          </w:tcPr>
          <w:p>
            <w:pPr>
              <w:spacing w:line="300" w:lineRule="exact"/>
              <w:jc w:val="center"/>
              <w:rPr>
                <w:bCs/>
                <w:color w:val="auto"/>
                <w:szCs w:val="21"/>
              </w:rPr>
            </w:pPr>
          </w:p>
        </w:tc>
        <w:tc>
          <w:tcPr>
            <w:tcW w:w="1080" w:type="dxa"/>
            <w:vAlign w:val="center"/>
          </w:tcPr>
          <w:p>
            <w:pPr>
              <w:spacing w:line="300" w:lineRule="exact"/>
              <w:jc w:val="center"/>
              <w:rPr>
                <w:bCs/>
                <w:color w:val="auto"/>
                <w:szCs w:val="21"/>
              </w:rPr>
            </w:pPr>
            <w:r>
              <w:rPr>
                <w:bCs/>
                <w:color w:val="auto"/>
                <w:szCs w:val="21"/>
              </w:rPr>
              <w:t>3#</w:t>
            </w:r>
          </w:p>
        </w:tc>
        <w:tc>
          <w:tcPr>
            <w:tcW w:w="4964" w:type="dxa"/>
            <w:vAlign w:val="center"/>
          </w:tcPr>
          <w:p>
            <w:pPr>
              <w:spacing w:line="300" w:lineRule="exact"/>
              <w:jc w:val="center"/>
              <w:rPr>
                <w:bCs/>
                <w:color w:val="auto"/>
                <w:szCs w:val="21"/>
              </w:rPr>
            </w:pPr>
            <w:r>
              <w:rPr>
                <w:rFonts w:hint="eastAsia"/>
                <w:bCs/>
                <w:color w:val="auto"/>
                <w:szCs w:val="21"/>
                <w:lang w:val="zh-TW" w:eastAsia="zh-CN"/>
              </w:rPr>
              <w:t>宁国市污水处理厂</w:t>
            </w:r>
            <w:r>
              <w:rPr>
                <w:bCs/>
                <w:color w:val="auto"/>
                <w:szCs w:val="21"/>
                <w:lang w:val="zh-TW" w:eastAsia="zh-TW"/>
              </w:rPr>
              <w:t>污水总排口入</w:t>
            </w:r>
            <w:r>
              <w:rPr>
                <w:rFonts w:hint="eastAsia"/>
                <w:bCs/>
                <w:color w:val="auto"/>
                <w:szCs w:val="21"/>
                <w:lang w:eastAsia="zh-CN"/>
              </w:rPr>
              <w:t>东</w:t>
            </w:r>
            <w:r>
              <w:rPr>
                <w:bCs/>
                <w:color w:val="auto"/>
                <w:szCs w:val="21"/>
              </w:rPr>
              <w:t>津河下游</w:t>
            </w:r>
            <w:r>
              <w:rPr>
                <w:rFonts w:hint="eastAsia"/>
                <w:bCs/>
                <w:color w:val="auto"/>
                <w:szCs w:val="21"/>
                <w:lang w:val="en-US" w:eastAsia="zh-CN"/>
              </w:rPr>
              <w:t>200</w:t>
            </w:r>
            <w:r>
              <w:rPr>
                <w:bCs/>
                <w:color w:val="auto"/>
                <w:szCs w:val="21"/>
              </w:rPr>
              <w:t>0m</w:t>
            </w:r>
          </w:p>
        </w:tc>
        <w:tc>
          <w:tcPr>
            <w:tcW w:w="1344" w:type="dxa"/>
            <w:vAlign w:val="center"/>
          </w:tcPr>
          <w:p>
            <w:pPr>
              <w:spacing w:line="300" w:lineRule="exact"/>
              <w:jc w:val="center"/>
              <w:rPr>
                <w:bCs/>
                <w:color w:val="auto"/>
                <w:szCs w:val="21"/>
              </w:rPr>
            </w:pPr>
            <w:r>
              <w:rPr>
                <w:bCs/>
                <w:color w:val="auto"/>
                <w:szCs w:val="21"/>
              </w:rPr>
              <w:t>控制断面</w:t>
            </w:r>
          </w:p>
        </w:tc>
      </w:tr>
    </w:tbl>
    <w:p>
      <w:pPr>
        <w:spacing w:line="360" w:lineRule="auto"/>
        <w:ind w:firstLine="480" w:firstLineChars="200"/>
        <w:rPr>
          <w:color w:val="auto"/>
          <w:sz w:val="24"/>
        </w:rPr>
      </w:pPr>
      <w:r>
        <w:rPr>
          <w:color w:val="auto"/>
          <w:sz w:val="24"/>
        </w:rPr>
        <w:t>②监测项目：本次评价共监测pH、COD</w:t>
      </w:r>
      <w:r>
        <w:rPr>
          <w:color w:val="auto"/>
          <w:sz w:val="24"/>
          <w:vertAlign w:val="subscript"/>
        </w:rPr>
        <w:t>cr</w:t>
      </w:r>
      <w:r>
        <w:rPr>
          <w:color w:val="auto"/>
          <w:sz w:val="24"/>
        </w:rPr>
        <w:t>、BOD</w:t>
      </w:r>
      <w:r>
        <w:rPr>
          <w:color w:val="auto"/>
          <w:sz w:val="24"/>
          <w:vertAlign w:val="subscript"/>
        </w:rPr>
        <w:t>5</w:t>
      </w:r>
      <w:r>
        <w:rPr>
          <w:color w:val="auto"/>
          <w:sz w:val="24"/>
        </w:rPr>
        <w:t>、NH</w:t>
      </w:r>
      <w:r>
        <w:rPr>
          <w:color w:val="auto"/>
          <w:sz w:val="24"/>
          <w:vertAlign w:val="subscript"/>
        </w:rPr>
        <w:t>3</w:t>
      </w:r>
      <w:r>
        <w:rPr>
          <w:color w:val="auto"/>
          <w:sz w:val="24"/>
        </w:rPr>
        <w:t>-N、总磷、石油类共6项指标。</w:t>
      </w:r>
    </w:p>
    <w:p>
      <w:pPr>
        <w:spacing w:line="360" w:lineRule="auto"/>
        <w:ind w:firstLine="480" w:firstLineChars="200"/>
        <w:rPr>
          <w:color w:val="auto"/>
          <w:sz w:val="24"/>
        </w:rPr>
      </w:pPr>
      <w:r>
        <w:rPr>
          <w:color w:val="auto"/>
          <w:sz w:val="24"/>
        </w:rPr>
        <w:t>③采样方法与分析方法：水质采样执行GB12997-91《水质采样方法设计规定》、GB12998-91《水质采样技术指导》、GB12999-91《水质采样、样品保存和管理技术规定》；样品的分析方法按GB3838-2002《地表水环境质量标准》中规定的方法执行。具体方法详见表。</w:t>
      </w:r>
    </w:p>
    <w:p>
      <w:pPr>
        <w:spacing w:line="360" w:lineRule="auto"/>
        <w:ind w:firstLine="539"/>
        <w:jc w:val="center"/>
        <w:rPr>
          <w:b/>
          <w:bCs/>
          <w:color w:val="auto"/>
          <w:sz w:val="24"/>
        </w:rPr>
      </w:pPr>
      <w:r>
        <w:rPr>
          <w:rFonts w:hint="eastAsia"/>
          <w:b/>
          <w:bCs/>
          <w:color w:val="auto"/>
          <w:sz w:val="24"/>
        </w:rPr>
        <w:t>表5</w:t>
      </w:r>
      <w:r>
        <w:rPr>
          <w:b/>
          <w:bCs/>
          <w:color w:val="auto"/>
          <w:sz w:val="24"/>
        </w:rPr>
        <w:t>-2  地表水水质监测方法一览表</w:t>
      </w:r>
    </w:p>
    <w:tbl>
      <w:tblPr>
        <w:tblStyle w:val="53"/>
        <w:tblW w:w="0" w:type="auto"/>
        <w:tblInd w:w="-1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1596"/>
        <w:gridCol w:w="4777"/>
        <w:gridCol w:w="2384"/>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1596" w:type="dxa"/>
            <w:tcBorders>
              <w:bottom w:val="single" w:color="000000" w:sz="4" w:space="0"/>
              <w:right w:val="single" w:color="000000" w:sz="4" w:space="0"/>
            </w:tcBorders>
            <w:vAlign w:val="center"/>
          </w:tcPr>
          <w:p>
            <w:pPr>
              <w:widowControl/>
              <w:jc w:val="center"/>
              <w:textAlignment w:val="center"/>
              <w:rPr>
                <w:color w:val="auto"/>
                <w:spacing w:val="-2"/>
                <w:kern w:val="0"/>
                <w:szCs w:val="21"/>
                <w:lang w:bidi="ar"/>
              </w:rPr>
            </w:pPr>
            <w:r>
              <w:rPr>
                <w:color w:val="auto"/>
                <w:spacing w:val="-2"/>
                <w:kern w:val="0"/>
                <w:szCs w:val="21"/>
                <w:lang w:bidi="ar"/>
              </w:rPr>
              <w:t>检测项目</w:t>
            </w:r>
          </w:p>
          <w:p>
            <w:pPr>
              <w:widowControl/>
              <w:jc w:val="center"/>
              <w:textAlignment w:val="center"/>
              <w:rPr>
                <w:color w:val="auto"/>
                <w:spacing w:val="-2"/>
                <w:kern w:val="0"/>
                <w:szCs w:val="21"/>
                <w:lang w:bidi="ar"/>
              </w:rPr>
            </w:pPr>
            <w:r>
              <w:rPr>
                <w:color w:val="auto"/>
                <w:spacing w:val="-2"/>
                <w:kern w:val="0"/>
                <w:szCs w:val="21"/>
                <w:lang w:bidi="ar"/>
              </w:rPr>
              <w:t>(Testing Items)</w:t>
            </w:r>
          </w:p>
        </w:tc>
        <w:tc>
          <w:tcPr>
            <w:tcW w:w="4777" w:type="dxa"/>
            <w:tcBorders>
              <w:left w:val="single" w:color="000000" w:sz="4" w:space="0"/>
              <w:bottom w:val="single" w:color="000000" w:sz="4" w:space="0"/>
              <w:right w:val="single" w:color="000000" w:sz="4" w:space="0"/>
            </w:tcBorders>
            <w:vAlign w:val="center"/>
          </w:tcPr>
          <w:p>
            <w:pPr>
              <w:widowControl/>
              <w:jc w:val="center"/>
              <w:textAlignment w:val="center"/>
              <w:rPr>
                <w:color w:val="auto"/>
                <w:spacing w:val="-2"/>
                <w:kern w:val="0"/>
                <w:szCs w:val="21"/>
                <w:lang w:bidi="ar"/>
              </w:rPr>
            </w:pPr>
            <w:r>
              <w:rPr>
                <w:color w:val="auto"/>
                <w:spacing w:val="-2"/>
                <w:kern w:val="0"/>
                <w:szCs w:val="21"/>
                <w:lang w:bidi="ar"/>
              </w:rPr>
              <w:t>分析方法</w:t>
            </w:r>
          </w:p>
          <w:p>
            <w:pPr>
              <w:widowControl/>
              <w:jc w:val="center"/>
              <w:textAlignment w:val="center"/>
              <w:rPr>
                <w:color w:val="auto"/>
                <w:spacing w:val="-2"/>
                <w:kern w:val="0"/>
                <w:szCs w:val="21"/>
                <w:lang w:bidi="ar"/>
              </w:rPr>
            </w:pPr>
            <w:r>
              <w:rPr>
                <w:color w:val="auto"/>
                <w:spacing w:val="-2"/>
                <w:kern w:val="0"/>
                <w:szCs w:val="21"/>
                <w:lang w:bidi="ar"/>
              </w:rPr>
              <w:t>(Analytical methods)</w:t>
            </w:r>
          </w:p>
        </w:tc>
        <w:tc>
          <w:tcPr>
            <w:tcW w:w="2384" w:type="dxa"/>
            <w:tcBorders>
              <w:left w:val="single" w:color="000000" w:sz="4" w:space="0"/>
              <w:bottom w:val="single" w:color="000000" w:sz="4" w:space="0"/>
            </w:tcBorders>
            <w:vAlign w:val="center"/>
          </w:tcPr>
          <w:p>
            <w:pPr>
              <w:widowControl/>
              <w:jc w:val="center"/>
              <w:textAlignment w:val="center"/>
              <w:rPr>
                <w:color w:val="auto"/>
                <w:spacing w:val="-2"/>
                <w:kern w:val="0"/>
                <w:szCs w:val="21"/>
                <w:lang w:bidi="ar"/>
              </w:rPr>
            </w:pPr>
            <w:r>
              <w:rPr>
                <w:color w:val="auto"/>
                <w:spacing w:val="-2"/>
                <w:kern w:val="0"/>
                <w:szCs w:val="21"/>
                <w:lang w:bidi="ar"/>
              </w:rPr>
              <w:t>检测仪器</w:t>
            </w:r>
          </w:p>
          <w:p>
            <w:pPr>
              <w:widowControl/>
              <w:jc w:val="center"/>
              <w:textAlignment w:val="center"/>
              <w:rPr>
                <w:color w:val="auto"/>
                <w:spacing w:val="-2"/>
                <w:kern w:val="0"/>
                <w:szCs w:val="21"/>
                <w:lang w:bidi="ar"/>
              </w:rPr>
            </w:pPr>
            <w:r>
              <w:rPr>
                <w:color w:val="auto"/>
                <w:spacing w:val="-2"/>
                <w:kern w:val="0"/>
                <w:szCs w:val="21"/>
                <w:lang w:bidi="ar"/>
              </w:rPr>
              <w:t>(Testing Instruments)</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1596" w:type="dxa"/>
            <w:tcBorders>
              <w:top w:val="single" w:color="000000" w:sz="4" w:space="0"/>
              <w:bottom w:val="single" w:color="000000" w:sz="4" w:space="0"/>
              <w:right w:val="single" w:color="000000" w:sz="4" w:space="0"/>
            </w:tcBorders>
            <w:vAlign w:val="center"/>
          </w:tcPr>
          <w:p>
            <w:pPr>
              <w:widowControl/>
              <w:jc w:val="center"/>
              <w:textAlignment w:val="center"/>
              <w:rPr>
                <w:color w:val="auto"/>
                <w:spacing w:val="-2"/>
                <w:kern w:val="0"/>
                <w:szCs w:val="21"/>
                <w:lang w:bidi="ar"/>
              </w:rPr>
            </w:pPr>
            <w:r>
              <w:rPr>
                <w:color w:val="auto"/>
                <w:spacing w:val="-2"/>
                <w:kern w:val="0"/>
                <w:szCs w:val="21"/>
                <w:lang w:bidi="ar"/>
              </w:rPr>
              <w:t>pH</w:t>
            </w:r>
          </w:p>
        </w:tc>
        <w:tc>
          <w:tcPr>
            <w:tcW w:w="47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color w:val="auto"/>
                <w:spacing w:val="-2"/>
                <w:kern w:val="0"/>
                <w:szCs w:val="21"/>
                <w:lang w:bidi="ar"/>
              </w:rPr>
            </w:pPr>
            <w:r>
              <w:rPr>
                <w:color w:val="auto"/>
                <w:spacing w:val="-2"/>
                <w:kern w:val="0"/>
                <w:szCs w:val="21"/>
                <w:lang w:bidi="ar"/>
              </w:rPr>
              <w:t>水质 pH 值的测定 玻璃电极法 GB/T 6920-1986</w:t>
            </w:r>
          </w:p>
        </w:tc>
        <w:tc>
          <w:tcPr>
            <w:tcW w:w="2384" w:type="dxa"/>
            <w:tcBorders>
              <w:top w:val="single" w:color="000000" w:sz="4" w:space="0"/>
              <w:left w:val="single" w:color="000000" w:sz="4" w:space="0"/>
              <w:bottom w:val="single" w:color="000000" w:sz="4" w:space="0"/>
            </w:tcBorders>
            <w:vAlign w:val="center"/>
          </w:tcPr>
          <w:p>
            <w:pPr>
              <w:widowControl/>
              <w:jc w:val="center"/>
              <w:textAlignment w:val="center"/>
              <w:rPr>
                <w:color w:val="auto"/>
                <w:spacing w:val="-2"/>
                <w:kern w:val="0"/>
                <w:szCs w:val="21"/>
                <w:lang w:bidi="ar"/>
              </w:rPr>
            </w:pPr>
            <w:r>
              <w:rPr>
                <w:color w:val="auto"/>
                <w:spacing w:val="-2"/>
                <w:kern w:val="0"/>
                <w:szCs w:val="21"/>
                <w:lang w:bidi="ar"/>
              </w:rPr>
              <w:t>pH 计 PHS-3C</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1596" w:type="dxa"/>
            <w:tcBorders>
              <w:top w:val="single" w:color="000000" w:sz="4" w:space="0"/>
              <w:bottom w:val="single" w:color="000000" w:sz="4" w:space="0"/>
              <w:right w:val="single" w:color="000000" w:sz="4" w:space="0"/>
            </w:tcBorders>
            <w:vAlign w:val="center"/>
          </w:tcPr>
          <w:p>
            <w:pPr>
              <w:widowControl/>
              <w:jc w:val="center"/>
              <w:textAlignment w:val="center"/>
              <w:rPr>
                <w:color w:val="auto"/>
                <w:spacing w:val="-2"/>
                <w:kern w:val="0"/>
                <w:szCs w:val="21"/>
                <w:lang w:bidi="ar"/>
              </w:rPr>
            </w:pPr>
            <w:r>
              <w:rPr>
                <w:color w:val="auto"/>
                <w:spacing w:val="-2"/>
                <w:kern w:val="0"/>
                <w:szCs w:val="21"/>
                <w:lang w:bidi="ar"/>
              </w:rPr>
              <w:t>化学需氧量</w:t>
            </w:r>
          </w:p>
        </w:tc>
        <w:tc>
          <w:tcPr>
            <w:tcW w:w="47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color w:val="auto"/>
                <w:spacing w:val="-2"/>
                <w:kern w:val="0"/>
                <w:szCs w:val="21"/>
                <w:lang w:bidi="ar"/>
              </w:rPr>
            </w:pPr>
            <w:r>
              <w:rPr>
                <w:color w:val="auto"/>
                <w:spacing w:val="-2"/>
                <w:kern w:val="0"/>
                <w:szCs w:val="21"/>
                <w:lang w:bidi="ar"/>
              </w:rPr>
              <w:t>水质 化学需氧量的测定 重铬酸盐法 HJ 828-2017</w:t>
            </w:r>
          </w:p>
        </w:tc>
        <w:tc>
          <w:tcPr>
            <w:tcW w:w="2384" w:type="dxa"/>
            <w:tcBorders>
              <w:top w:val="single" w:color="000000" w:sz="4" w:space="0"/>
              <w:left w:val="single" w:color="000000" w:sz="4" w:space="0"/>
              <w:bottom w:val="single" w:color="000000" w:sz="4" w:space="0"/>
            </w:tcBorders>
            <w:vAlign w:val="center"/>
          </w:tcPr>
          <w:p>
            <w:pPr>
              <w:widowControl/>
              <w:jc w:val="center"/>
              <w:textAlignment w:val="center"/>
              <w:rPr>
                <w:color w:val="auto"/>
                <w:spacing w:val="-2"/>
                <w:kern w:val="0"/>
                <w:szCs w:val="21"/>
                <w:lang w:bidi="ar"/>
              </w:rPr>
            </w:pPr>
            <w:r>
              <w:rPr>
                <w:color w:val="auto"/>
                <w:spacing w:val="-2"/>
                <w:kern w:val="0"/>
                <w:szCs w:val="21"/>
                <w:lang w:bidi="ar"/>
              </w:rPr>
              <w:t>COD 恒温加热器</w:t>
            </w:r>
          </w:p>
          <w:p>
            <w:pPr>
              <w:widowControl/>
              <w:jc w:val="center"/>
              <w:textAlignment w:val="center"/>
              <w:rPr>
                <w:color w:val="auto"/>
                <w:spacing w:val="-2"/>
                <w:kern w:val="0"/>
                <w:szCs w:val="21"/>
                <w:lang w:bidi="ar"/>
              </w:rPr>
            </w:pPr>
            <w:r>
              <w:rPr>
                <w:color w:val="auto"/>
                <w:spacing w:val="-2"/>
                <w:kern w:val="0"/>
                <w:szCs w:val="21"/>
                <w:lang w:bidi="ar"/>
              </w:rPr>
              <w:t>MB-9012A、</w:t>
            </w:r>
          </w:p>
          <w:p>
            <w:pPr>
              <w:widowControl/>
              <w:jc w:val="center"/>
              <w:textAlignment w:val="center"/>
              <w:rPr>
                <w:color w:val="auto"/>
                <w:spacing w:val="-2"/>
                <w:kern w:val="0"/>
                <w:szCs w:val="21"/>
                <w:lang w:bidi="ar"/>
              </w:rPr>
            </w:pPr>
            <w:r>
              <w:rPr>
                <w:color w:val="auto"/>
                <w:spacing w:val="-2"/>
                <w:kern w:val="0"/>
                <w:szCs w:val="21"/>
                <w:lang w:bidi="ar"/>
              </w:rPr>
              <w:t>酸式滴定管 50mL</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1596" w:type="dxa"/>
            <w:tcBorders>
              <w:top w:val="single" w:color="000000" w:sz="4" w:space="0"/>
              <w:bottom w:val="single" w:color="000000" w:sz="4" w:space="0"/>
              <w:right w:val="single" w:color="000000" w:sz="4" w:space="0"/>
            </w:tcBorders>
            <w:vAlign w:val="center"/>
          </w:tcPr>
          <w:p>
            <w:pPr>
              <w:widowControl/>
              <w:jc w:val="center"/>
              <w:textAlignment w:val="center"/>
              <w:rPr>
                <w:color w:val="auto"/>
                <w:spacing w:val="-2"/>
                <w:kern w:val="0"/>
                <w:szCs w:val="21"/>
                <w:lang w:bidi="ar"/>
              </w:rPr>
            </w:pPr>
            <w:r>
              <w:rPr>
                <w:color w:val="auto"/>
                <w:spacing w:val="-2"/>
                <w:kern w:val="0"/>
                <w:szCs w:val="21"/>
                <w:lang w:bidi="ar"/>
              </w:rPr>
              <w:t>氨氮</w:t>
            </w:r>
          </w:p>
        </w:tc>
        <w:tc>
          <w:tcPr>
            <w:tcW w:w="47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color w:val="auto"/>
                <w:spacing w:val="-2"/>
                <w:kern w:val="0"/>
                <w:szCs w:val="21"/>
                <w:lang w:bidi="ar"/>
              </w:rPr>
            </w:pPr>
            <w:r>
              <w:rPr>
                <w:color w:val="auto"/>
                <w:spacing w:val="-2"/>
                <w:kern w:val="0"/>
                <w:szCs w:val="21"/>
                <w:lang w:bidi="ar"/>
              </w:rPr>
              <w:t>水质 氨氮的测定 纳氏试剂分光光度法 HJ 535-2009</w:t>
            </w:r>
          </w:p>
        </w:tc>
        <w:tc>
          <w:tcPr>
            <w:tcW w:w="2384" w:type="dxa"/>
            <w:tcBorders>
              <w:top w:val="single" w:color="000000" w:sz="4" w:space="0"/>
              <w:left w:val="single" w:color="000000" w:sz="4" w:space="0"/>
              <w:bottom w:val="single" w:color="000000" w:sz="4" w:space="0"/>
            </w:tcBorders>
            <w:vAlign w:val="center"/>
          </w:tcPr>
          <w:p>
            <w:pPr>
              <w:widowControl/>
              <w:jc w:val="center"/>
              <w:textAlignment w:val="center"/>
              <w:rPr>
                <w:color w:val="auto"/>
                <w:spacing w:val="-2"/>
                <w:kern w:val="0"/>
                <w:szCs w:val="21"/>
                <w:lang w:bidi="ar"/>
              </w:rPr>
            </w:pPr>
            <w:r>
              <w:rPr>
                <w:color w:val="auto"/>
                <w:spacing w:val="-2"/>
                <w:kern w:val="0"/>
                <w:szCs w:val="21"/>
                <w:lang w:bidi="ar"/>
              </w:rPr>
              <w:t>紫外可见分光光度计</w:t>
            </w:r>
          </w:p>
          <w:p>
            <w:pPr>
              <w:widowControl/>
              <w:jc w:val="center"/>
              <w:textAlignment w:val="center"/>
              <w:rPr>
                <w:color w:val="auto"/>
                <w:spacing w:val="-2"/>
                <w:kern w:val="0"/>
                <w:szCs w:val="21"/>
                <w:lang w:bidi="ar"/>
              </w:rPr>
            </w:pPr>
            <w:r>
              <w:rPr>
                <w:color w:val="auto"/>
                <w:spacing w:val="-2"/>
                <w:kern w:val="0"/>
                <w:szCs w:val="21"/>
                <w:lang w:bidi="ar"/>
              </w:rPr>
              <w:t>752N</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1596" w:type="dxa"/>
            <w:tcBorders>
              <w:top w:val="single" w:color="000000" w:sz="4" w:space="0"/>
              <w:bottom w:val="single" w:color="000000" w:sz="4" w:space="0"/>
              <w:right w:val="single" w:color="000000" w:sz="4" w:space="0"/>
            </w:tcBorders>
            <w:vAlign w:val="center"/>
          </w:tcPr>
          <w:p>
            <w:pPr>
              <w:widowControl/>
              <w:jc w:val="center"/>
              <w:textAlignment w:val="center"/>
              <w:rPr>
                <w:color w:val="auto"/>
                <w:spacing w:val="-2"/>
                <w:kern w:val="0"/>
                <w:szCs w:val="21"/>
                <w:lang w:bidi="ar"/>
              </w:rPr>
            </w:pPr>
            <w:r>
              <w:rPr>
                <w:color w:val="auto"/>
                <w:spacing w:val="-2"/>
                <w:kern w:val="0"/>
                <w:szCs w:val="21"/>
                <w:lang w:bidi="ar"/>
              </w:rPr>
              <w:t>五日生化需氧量</w:t>
            </w:r>
          </w:p>
        </w:tc>
        <w:tc>
          <w:tcPr>
            <w:tcW w:w="47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color w:val="auto"/>
                <w:spacing w:val="-2"/>
                <w:kern w:val="0"/>
                <w:szCs w:val="21"/>
                <w:lang w:bidi="ar"/>
              </w:rPr>
            </w:pPr>
            <w:r>
              <w:rPr>
                <w:color w:val="auto"/>
                <w:spacing w:val="-2"/>
                <w:kern w:val="0"/>
                <w:szCs w:val="21"/>
                <w:lang w:bidi="ar"/>
              </w:rPr>
              <w:t>水质 五日生化需氧量的测定（BOD5） 稀释与接种法</w:t>
            </w:r>
            <w:r>
              <w:rPr>
                <w:color w:val="auto"/>
                <w:spacing w:val="-2"/>
                <w:kern w:val="0"/>
                <w:szCs w:val="21"/>
                <w:lang w:bidi="ar"/>
              </w:rPr>
              <w:tab/>
            </w:r>
            <w:r>
              <w:rPr>
                <w:color w:val="auto"/>
                <w:spacing w:val="-2"/>
                <w:kern w:val="0"/>
                <w:szCs w:val="21"/>
                <w:lang w:bidi="ar"/>
              </w:rPr>
              <w:t>HJ 505-2009</w:t>
            </w:r>
          </w:p>
        </w:tc>
        <w:tc>
          <w:tcPr>
            <w:tcW w:w="2384" w:type="dxa"/>
            <w:tcBorders>
              <w:top w:val="single" w:color="000000" w:sz="4" w:space="0"/>
              <w:left w:val="single" w:color="000000" w:sz="4" w:space="0"/>
              <w:bottom w:val="single" w:color="000000" w:sz="4" w:space="0"/>
            </w:tcBorders>
            <w:vAlign w:val="center"/>
          </w:tcPr>
          <w:p>
            <w:pPr>
              <w:widowControl/>
              <w:jc w:val="center"/>
              <w:textAlignment w:val="center"/>
              <w:rPr>
                <w:color w:val="auto"/>
                <w:spacing w:val="-2"/>
                <w:kern w:val="0"/>
                <w:szCs w:val="21"/>
                <w:lang w:bidi="ar"/>
              </w:rPr>
            </w:pPr>
            <w:r>
              <w:rPr>
                <w:color w:val="auto"/>
                <w:spacing w:val="-2"/>
                <w:kern w:val="0"/>
                <w:szCs w:val="21"/>
                <w:lang w:bidi="ar"/>
              </w:rPr>
              <w:t>生化培养箱 LRH-150</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1596" w:type="dxa"/>
            <w:tcBorders>
              <w:top w:val="single" w:color="000000" w:sz="4" w:space="0"/>
              <w:bottom w:val="single" w:color="000000" w:sz="4" w:space="0"/>
              <w:right w:val="single" w:color="000000" w:sz="4" w:space="0"/>
            </w:tcBorders>
            <w:vAlign w:val="center"/>
          </w:tcPr>
          <w:p>
            <w:pPr>
              <w:widowControl/>
              <w:jc w:val="center"/>
              <w:textAlignment w:val="center"/>
              <w:rPr>
                <w:color w:val="auto"/>
                <w:spacing w:val="-2"/>
                <w:kern w:val="0"/>
                <w:szCs w:val="21"/>
                <w:lang w:bidi="ar"/>
              </w:rPr>
            </w:pPr>
            <w:r>
              <w:rPr>
                <w:color w:val="auto"/>
                <w:spacing w:val="-2"/>
                <w:kern w:val="0"/>
                <w:szCs w:val="21"/>
                <w:lang w:bidi="ar"/>
              </w:rPr>
              <w:t>总磷</w:t>
            </w:r>
          </w:p>
        </w:tc>
        <w:tc>
          <w:tcPr>
            <w:tcW w:w="47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color w:val="auto"/>
                <w:spacing w:val="-2"/>
                <w:kern w:val="0"/>
                <w:szCs w:val="21"/>
                <w:lang w:bidi="ar"/>
              </w:rPr>
            </w:pPr>
            <w:r>
              <w:rPr>
                <w:color w:val="auto"/>
                <w:spacing w:val="-2"/>
                <w:kern w:val="0"/>
                <w:szCs w:val="21"/>
                <w:lang w:bidi="ar"/>
              </w:rPr>
              <w:t>水质 总磷的测定 钼酸铵分光光度法  GB/T 11893-1989</w:t>
            </w:r>
          </w:p>
        </w:tc>
        <w:tc>
          <w:tcPr>
            <w:tcW w:w="2384" w:type="dxa"/>
            <w:tcBorders>
              <w:top w:val="single" w:color="000000" w:sz="4" w:space="0"/>
              <w:left w:val="single" w:color="000000" w:sz="4" w:space="0"/>
              <w:bottom w:val="single" w:color="000000" w:sz="4" w:space="0"/>
            </w:tcBorders>
            <w:vAlign w:val="center"/>
          </w:tcPr>
          <w:p>
            <w:pPr>
              <w:widowControl/>
              <w:jc w:val="center"/>
              <w:textAlignment w:val="center"/>
              <w:rPr>
                <w:color w:val="auto"/>
                <w:spacing w:val="-2"/>
                <w:kern w:val="0"/>
                <w:szCs w:val="21"/>
                <w:lang w:bidi="ar"/>
              </w:rPr>
            </w:pPr>
            <w:r>
              <w:rPr>
                <w:color w:val="auto"/>
                <w:spacing w:val="-2"/>
                <w:kern w:val="0"/>
                <w:szCs w:val="21"/>
                <w:lang w:bidi="ar"/>
              </w:rPr>
              <w:t>紫外可见分光光度计</w:t>
            </w:r>
          </w:p>
          <w:p>
            <w:pPr>
              <w:widowControl/>
              <w:jc w:val="center"/>
              <w:textAlignment w:val="center"/>
              <w:rPr>
                <w:color w:val="auto"/>
                <w:spacing w:val="-2"/>
                <w:kern w:val="0"/>
                <w:szCs w:val="21"/>
                <w:lang w:bidi="ar"/>
              </w:rPr>
            </w:pPr>
            <w:r>
              <w:rPr>
                <w:color w:val="auto"/>
                <w:spacing w:val="-2"/>
                <w:kern w:val="0"/>
                <w:szCs w:val="21"/>
                <w:lang w:bidi="ar"/>
              </w:rPr>
              <w:t>752N、立式压力蒸汽灭菌器 LS-35LJ</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1596" w:type="dxa"/>
            <w:tcBorders>
              <w:top w:val="single" w:color="000000" w:sz="4" w:space="0"/>
              <w:right w:val="single" w:color="000000" w:sz="4" w:space="0"/>
            </w:tcBorders>
            <w:vAlign w:val="center"/>
          </w:tcPr>
          <w:p>
            <w:pPr>
              <w:widowControl/>
              <w:jc w:val="center"/>
              <w:textAlignment w:val="center"/>
              <w:rPr>
                <w:color w:val="auto"/>
                <w:spacing w:val="-2"/>
                <w:kern w:val="0"/>
                <w:szCs w:val="21"/>
                <w:lang w:bidi="ar"/>
              </w:rPr>
            </w:pPr>
            <w:r>
              <w:rPr>
                <w:color w:val="auto"/>
                <w:spacing w:val="-2"/>
                <w:kern w:val="0"/>
                <w:szCs w:val="21"/>
                <w:lang w:bidi="ar"/>
              </w:rPr>
              <w:t>石油类※</w:t>
            </w:r>
          </w:p>
        </w:tc>
        <w:tc>
          <w:tcPr>
            <w:tcW w:w="4777" w:type="dxa"/>
            <w:tcBorders>
              <w:top w:val="single" w:color="000000" w:sz="4" w:space="0"/>
              <w:left w:val="single" w:color="000000" w:sz="4" w:space="0"/>
              <w:right w:val="single" w:color="000000" w:sz="4" w:space="0"/>
            </w:tcBorders>
            <w:vAlign w:val="center"/>
          </w:tcPr>
          <w:p>
            <w:pPr>
              <w:widowControl/>
              <w:jc w:val="center"/>
              <w:textAlignment w:val="center"/>
              <w:rPr>
                <w:color w:val="auto"/>
                <w:spacing w:val="-2"/>
                <w:kern w:val="0"/>
                <w:szCs w:val="21"/>
                <w:lang w:bidi="ar"/>
              </w:rPr>
            </w:pPr>
            <w:r>
              <w:rPr>
                <w:color w:val="auto"/>
                <w:spacing w:val="-2"/>
                <w:kern w:val="0"/>
                <w:szCs w:val="21"/>
                <w:lang w:bidi="ar"/>
              </w:rPr>
              <w:t>水质 石油类和动植物油类的测定 红外分光光度法</w:t>
            </w:r>
          </w:p>
          <w:p>
            <w:pPr>
              <w:widowControl/>
              <w:jc w:val="center"/>
              <w:textAlignment w:val="center"/>
              <w:rPr>
                <w:color w:val="auto"/>
                <w:spacing w:val="-2"/>
                <w:kern w:val="0"/>
                <w:szCs w:val="21"/>
                <w:lang w:bidi="ar"/>
              </w:rPr>
            </w:pPr>
            <w:r>
              <w:rPr>
                <w:color w:val="auto"/>
                <w:spacing w:val="-2"/>
                <w:kern w:val="0"/>
                <w:szCs w:val="21"/>
                <w:lang w:bidi="ar"/>
              </w:rPr>
              <w:t>HJ 637-2012</w:t>
            </w:r>
          </w:p>
        </w:tc>
        <w:tc>
          <w:tcPr>
            <w:tcW w:w="2384" w:type="dxa"/>
            <w:tcBorders>
              <w:top w:val="single" w:color="000000" w:sz="4" w:space="0"/>
              <w:left w:val="single" w:color="000000" w:sz="4" w:space="0"/>
            </w:tcBorders>
            <w:vAlign w:val="center"/>
          </w:tcPr>
          <w:p>
            <w:pPr>
              <w:widowControl/>
              <w:jc w:val="center"/>
              <w:textAlignment w:val="center"/>
              <w:rPr>
                <w:color w:val="auto"/>
                <w:spacing w:val="-2"/>
                <w:kern w:val="0"/>
                <w:szCs w:val="21"/>
                <w:lang w:bidi="ar"/>
              </w:rPr>
            </w:pPr>
            <w:r>
              <w:rPr>
                <w:color w:val="auto"/>
                <w:spacing w:val="-2"/>
                <w:kern w:val="0"/>
                <w:szCs w:val="21"/>
                <w:lang w:bidi="ar"/>
              </w:rPr>
              <w:t>红外测油仪 OIL480</w:t>
            </w:r>
          </w:p>
        </w:tc>
      </w:tr>
    </w:tbl>
    <w:p>
      <w:pPr>
        <w:spacing w:line="360" w:lineRule="auto"/>
        <w:ind w:firstLine="600" w:firstLineChars="250"/>
        <w:rPr>
          <w:b/>
          <w:bCs/>
          <w:color w:val="auto"/>
          <w:sz w:val="24"/>
        </w:rPr>
      </w:pPr>
      <w:r>
        <w:rPr>
          <w:color w:val="auto"/>
          <w:sz w:val="24"/>
        </w:rPr>
        <w:t>④监测结果：地表水水质现状监测结果详见下表。</w:t>
      </w:r>
    </w:p>
    <w:p>
      <w:pPr>
        <w:spacing w:line="360" w:lineRule="auto"/>
        <w:jc w:val="center"/>
        <w:rPr>
          <w:b/>
          <w:bCs/>
          <w:color w:val="auto"/>
          <w:sz w:val="24"/>
        </w:rPr>
      </w:pPr>
    </w:p>
    <w:p>
      <w:pPr>
        <w:spacing w:line="360" w:lineRule="auto"/>
        <w:jc w:val="center"/>
        <w:rPr>
          <w:b/>
          <w:bCs/>
          <w:color w:val="auto"/>
          <w:sz w:val="24"/>
        </w:rPr>
      </w:pPr>
    </w:p>
    <w:p>
      <w:pPr>
        <w:spacing w:line="360" w:lineRule="auto"/>
        <w:jc w:val="center"/>
        <w:rPr>
          <w:b/>
          <w:bCs/>
          <w:color w:val="auto"/>
          <w:sz w:val="24"/>
        </w:rPr>
      </w:pPr>
      <w:r>
        <w:rPr>
          <w:rFonts w:hint="eastAsia"/>
          <w:b/>
          <w:bCs/>
          <w:color w:val="auto"/>
          <w:sz w:val="24"/>
        </w:rPr>
        <w:t>表5</w:t>
      </w:r>
      <w:r>
        <w:rPr>
          <w:b/>
          <w:bCs/>
          <w:color w:val="auto"/>
          <w:sz w:val="24"/>
        </w:rPr>
        <w:t>-3  地表水水质现状监测结果一览表  单位：mg/L（pH除外）</w:t>
      </w:r>
      <w:bookmarkStart w:id="226" w:name="_Toc163553451"/>
      <w:bookmarkStart w:id="227" w:name="_Toc163553665"/>
      <w:bookmarkStart w:id="228" w:name="_Toc307908815"/>
    </w:p>
    <w:tbl>
      <w:tblPr>
        <w:tblStyle w:val="54"/>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60"/>
        <w:gridCol w:w="1202"/>
        <w:gridCol w:w="1399"/>
        <w:gridCol w:w="702"/>
        <w:gridCol w:w="755"/>
        <w:gridCol w:w="736"/>
        <w:gridCol w:w="759"/>
        <w:gridCol w:w="813"/>
        <w:gridCol w:w="779"/>
        <w:gridCol w:w="7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92" w:type="pct"/>
            <w:vMerge w:val="restart"/>
            <w:vAlign w:val="center"/>
          </w:tcPr>
          <w:p>
            <w:pPr>
              <w:widowControl/>
              <w:jc w:val="center"/>
              <w:textAlignment w:val="center"/>
              <w:rPr>
                <w:color w:val="auto"/>
                <w:spacing w:val="-2"/>
                <w:kern w:val="0"/>
                <w:szCs w:val="21"/>
                <w:lang w:bidi="ar"/>
              </w:rPr>
            </w:pPr>
            <w:r>
              <w:rPr>
                <w:rFonts w:hint="eastAsia"/>
                <w:color w:val="auto"/>
                <w:spacing w:val="-2"/>
                <w:kern w:val="0"/>
                <w:szCs w:val="21"/>
                <w:lang w:bidi="ar"/>
              </w:rPr>
              <w:t>点位</w:t>
            </w:r>
          </w:p>
        </w:tc>
        <w:tc>
          <w:tcPr>
            <w:tcW w:w="671" w:type="pct"/>
            <w:vMerge w:val="restart"/>
            <w:vAlign w:val="center"/>
          </w:tcPr>
          <w:p>
            <w:pPr>
              <w:widowControl/>
              <w:jc w:val="center"/>
              <w:textAlignment w:val="center"/>
              <w:rPr>
                <w:color w:val="auto"/>
                <w:spacing w:val="-2"/>
                <w:kern w:val="0"/>
                <w:szCs w:val="21"/>
                <w:lang w:bidi="ar"/>
              </w:rPr>
            </w:pPr>
            <w:r>
              <w:rPr>
                <w:rFonts w:hint="eastAsia"/>
                <w:color w:val="auto"/>
                <w:spacing w:val="-2"/>
                <w:kern w:val="0"/>
                <w:szCs w:val="21"/>
                <w:lang w:bidi="ar"/>
              </w:rPr>
              <w:t>采样日期</w:t>
            </w:r>
          </w:p>
        </w:tc>
        <w:tc>
          <w:tcPr>
            <w:tcW w:w="781" w:type="pct"/>
            <w:vMerge w:val="restart"/>
            <w:vAlign w:val="center"/>
          </w:tcPr>
          <w:p>
            <w:pPr>
              <w:widowControl/>
              <w:jc w:val="center"/>
              <w:textAlignment w:val="center"/>
              <w:rPr>
                <w:color w:val="auto"/>
                <w:spacing w:val="-2"/>
                <w:kern w:val="0"/>
                <w:szCs w:val="21"/>
                <w:lang w:bidi="ar"/>
              </w:rPr>
            </w:pPr>
            <w:r>
              <w:rPr>
                <w:rFonts w:hint="eastAsia"/>
                <w:color w:val="auto"/>
                <w:spacing w:val="-2"/>
                <w:kern w:val="0"/>
                <w:szCs w:val="21"/>
                <w:lang w:bidi="ar"/>
              </w:rPr>
              <w:t>样品编号</w:t>
            </w:r>
          </w:p>
        </w:tc>
        <w:tc>
          <w:tcPr>
            <w:tcW w:w="2954" w:type="pct"/>
            <w:gridSpan w:val="7"/>
            <w:vAlign w:val="center"/>
          </w:tcPr>
          <w:p>
            <w:pPr>
              <w:widowControl/>
              <w:jc w:val="center"/>
              <w:textAlignment w:val="center"/>
              <w:rPr>
                <w:color w:val="auto"/>
                <w:spacing w:val="-2"/>
                <w:kern w:val="0"/>
                <w:szCs w:val="21"/>
                <w:lang w:bidi="ar"/>
              </w:rPr>
            </w:pPr>
            <w:r>
              <w:rPr>
                <w:rFonts w:hint="eastAsia"/>
                <w:color w:val="auto"/>
                <w:spacing w:val="-2"/>
                <w:kern w:val="0"/>
                <w:szCs w:val="21"/>
                <w:lang w:bidi="ar"/>
              </w:rPr>
              <w:t xml:space="preserve">检测项目  </w:t>
            </w:r>
          </w:p>
          <w:p>
            <w:pPr>
              <w:widowControl/>
              <w:jc w:val="center"/>
              <w:textAlignment w:val="center"/>
              <w:rPr>
                <w:color w:val="auto"/>
                <w:spacing w:val="-2"/>
                <w:kern w:val="0"/>
                <w:szCs w:val="21"/>
                <w:lang w:bidi="ar"/>
              </w:rPr>
            </w:pPr>
            <w:r>
              <w:rPr>
                <w:rFonts w:hint="eastAsia"/>
                <w:color w:val="auto"/>
                <w:spacing w:val="-2"/>
                <w:kern w:val="0"/>
                <w:szCs w:val="21"/>
                <w:lang w:bidi="ar"/>
              </w:rPr>
              <w:t>单位mg/L（pH值为无量纲；水温为℃）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92" w:type="pct"/>
            <w:vMerge w:val="continue"/>
            <w:vAlign w:val="center"/>
          </w:tcPr>
          <w:p>
            <w:pPr>
              <w:widowControl/>
              <w:jc w:val="center"/>
              <w:textAlignment w:val="center"/>
              <w:rPr>
                <w:color w:val="auto"/>
                <w:spacing w:val="-2"/>
                <w:kern w:val="0"/>
                <w:szCs w:val="21"/>
                <w:lang w:bidi="ar"/>
              </w:rPr>
            </w:pPr>
          </w:p>
        </w:tc>
        <w:tc>
          <w:tcPr>
            <w:tcW w:w="671" w:type="pct"/>
            <w:vMerge w:val="continue"/>
            <w:vAlign w:val="center"/>
          </w:tcPr>
          <w:p>
            <w:pPr>
              <w:widowControl/>
              <w:jc w:val="center"/>
              <w:textAlignment w:val="center"/>
              <w:rPr>
                <w:color w:val="auto"/>
                <w:spacing w:val="-2"/>
                <w:kern w:val="0"/>
                <w:szCs w:val="21"/>
                <w:lang w:bidi="ar"/>
              </w:rPr>
            </w:pPr>
          </w:p>
        </w:tc>
        <w:tc>
          <w:tcPr>
            <w:tcW w:w="781" w:type="pct"/>
            <w:vMerge w:val="continue"/>
            <w:vAlign w:val="center"/>
          </w:tcPr>
          <w:p>
            <w:pPr>
              <w:widowControl/>
              <w:jc w:val="center"/>
              <w:textAlignment w:val="center"/>
              <w:rPr>
                <w:color w:val="auto"/>
                <w:spacing w:val="-2"/>
                <w:kern w:val="0"/>
                <w:szCs w:val="21"/>
                <w:lang w:bidi="ar"/>
              </w:rPr>
            </w:pPr>
          </w:p>
        </w:tc>
        <w:tc>
          <w:tcPr>
            <w:tcW w:w="392" w:type="pct"/>
            <w:vAlign w:val="center"/>
          </w:tcPr>
          <w:p>
            <w:pPr>
              <w:widowControl/>
              <w:jc w:val="center"/>
              <w:textAlignment w:val="center"/>
              <w:rPr>
                <w:color w:val="auto"/>
                <w:spacing w:val="-2"/>
                <w:kern w:val="0"/>
                <w:szCs w:val="21"/>
                <w:lang w:bidi="ar"/>
              </w:rPr>
            </w:pPr>
            <w:r>
              <w:rPr>
                <w:rFonts w:hint="eastAsia"/>
                <w:color w:val="auto"/>
                <w:spacing w:val="-2"/>
                <w:kern w:val="0"/>
                <w:szCs w:val="21"/>
                <w:lang w:bidi="ar"/>
              </w:rPr>
              <w:t>pH值</w:t>
            </w:r>
          </w:p>
        </w:tc>
        <w:tc>
          <w:tcPr>
            <w:tcW w:w="421" w:type="pct"/>
            <w:vAlign w:val="center"/>
          </w:tcPr>
          <w:p>
            <w:pPr>
              <w:widowControl/>
              <w:jc w:val="center"/>
              <w:textAlignment w:val="center"/>
              <w:rPr>
                <w:color w:val="auto"/>
                <w:spacing w:val="-2"/>
                <w:kern w:val="0"/>
                <w:szCs w:val="21"/>
                <w:lang w:bidi="ar"/>
              </w:rPr>
            </w:pPr>
            <w:r>
              <w:rPr>
                <w:rFonts w:hint="eastAsia"/>
                <w:color w:val="auto"/>
                <w:spacing w:val="-2"/>
                <w:kern w:val="0"/>
                <w:szCs w:val="21"/>
                <w:lang w:bidi="ar"/>
              </w:rPr>
              <w:t>BOD5</w:t>
            </w:r>
          </w:p>
        </w:tc>
        <w:tc>
          <w:tcPr>
            <w:tcW w:w="411" w:type="pct"/>
            <w:vAlign w:val="center"/>
          </w:tcPr>
          <w:p>
            <w:pPr>
              <w:widowControl/>
              <w:jc w:val="center"/>
              <w:textAlignment w:val="center"/>
              <w:rPr>
                <w:color w:val="auto"/>
                <w:spacing w:val="-2"/>
                <w:kern w:val="0"/>
                <w:szCs w:val="21"/>
                <w:lang w:bidi="ar"/>
              </w:rPr>
            </w:pPr>
            <w:r>
              <w:rPr>
                <w:rFonts w:hint="eastAsia"/>
                <w:color w:val="auto"/>
                <w:spacing w:val="-2"/>
                <w:kern w:val="0"/>
                <w:szCs w:val="21"/>
                <w:lang w:bidi="ar"/>
              </w:rPr>
              <w:t>总磷</w:t>
            </w:r>
          </w:p>
        </w:tc>
        <w:tc>
          <w:tcPr>
            <w:tcW w:w="424" w:type="pct"/>
            <w:vAlign w:val="center"/>
          </w:tcPr>
          <w:p>
            <w:pPr>
              <w:widowControl/>
              <w:jc w:val="center"/>
              <w:textAlignment w:val="center"/>
              <w:rPr>
                <w:color w:val="auto"/>
                <w:spacing w:val="-2"/>
                <w:kern w:val="0"/>
                <w:szCs w:val="21"/>
                <w:lang w:bidi="ar"/>
              </w:rPr>
            </w:pPr>
            <w:r>
              <w:rPr>
                <w:rFonts w:hint="eastAsia"/>
                <w:color w:val="auto"/>
                <w:spacing w:val="-2"/>
                <w:kern w:val="0"/>
                <w:szCs w:val="21"/>
                <w:lang w:bidi="ar"/>
              </w:rPr>
              <w:t>氨氮</w:t>
            </w:r>
          </w:p>
        </w:tc>
        <w:tc>
          <w:tcPr>
            <w:tcW w:w="454" w:type="pct"/>
            <w:vAlign w:val="center"/>
          </w:tcPr>
          <w:p>
            <w:pPr>
              <w:widowControl/>
              <w:jc w:val="center"/>
              <w:textAlignment w:val="center"/>
              <w:rPr>
                <w:color w:val="auto"/>
                <w:spacing w:val="-2"/>
                <w:kern w:val="0"/>
                <w:szCs w:val="21"/>
                <w:lang w:bidi="ar"/>
              </w:rPr>
            </w:pPr>
            <w:r>
              <w:rPr>
                <w:rFonts w:hint="eastAsia"/>
                <w:color w:val="auto"/>
                <w:spacing w:val="-2"/>
                <w:kern w:val="0"/>
                <w:szCs w:val="21"/>
                <w:lang w:bidi="ar"/>
              </w:rPr>
              <w:t>CODcr</w:t>
            </w:r>
          </w:p>
        </w:tc>
        <w:tc>
          <w:tcPr>
            <w:tcW w:w="435" w:type="pct"/>
            <w:vAlign w:val="center"/>
          </w:tcPr>
          <w:p>
            <w:pPr>
              <w:widowControl/>
              <w:jc w:val="center"/>
              <w:textAlignment w:val="center"/>
              <w:rPr>
                <w:color w:val="auto"/>
                <w:spacing w:val="-2"/>
                <w:kern w:val="0"/>
                <w:szCs w:val="21"/>
                <w:lang w:bidi="ar"/>
              </w:rPr>
            </w:pPr>
            <w:r>
              <w:rPr>
                <w:rFonts w:hint="eastAsia"/>
                <w:color w:val="auto"/>
                <w:spacing w:val="-2"/>
                <w:kern w:val="0"/>
                <w:szCs w:val="21"/>
                <w:lang w:bidi="ar"/>
              </w:rPr>
              <w:t>石油类</w:t>
            </w:r>
          </w:p>
        </w:tc>
        <w:tc>
          <w:tcPr>
            <w:tcW w:w="415" w:type="pct"/>
            <w:vAlign w:val="center"/>
          </w:tcPr>
          <w:p>
            <w:pPr>
              <w:widowControl/>
              <w:jc w:val="center"/>
              <w:textAlignment w:val="center"/>
              <w:rPr>
                <w:color w:val="auto"/>
                <w:spacing w:val="-2"/>
                <w:kern w:val="0"/>
                <w:szCs w:val="21"/>
                <w:lang w:bidi="ar"/>
              </w:rPr>
            </w:pPr>
            <w:r>
              <w:rPr>
                <w:rFonts w:hint="eastAsia"/>
                <w:color w:val="auto"/>
                <w:spacing w:val="-2"/>
                <w:kern w:val="0"/>
                <w:szCs w:val="21"/>
                <w:lang w:bidi="ar"/>
              </w:rPr>
              <w:t>水温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92" w:type="pct"/>
            <w:vMerge w:val="restart"/>
            <w:vAlign w:val="center"/>
          </w:tcPr>
          <w:p>
            <w:pPr>
              <w:widowControl/>
              <w:jc w:val="center"/>
              <w:textAlignment w:val="center"/>
              <w:rPr>
                <w:color w:val="auto"/>
                <w:spacing w:val="-2"/>
                <w:kern w:val="0"/>
                <w:szCs w:val="21"/>
                <w:lang w:bidi="ar"/>
              </w:rPr>
            </w:pPr>
            <w:r>
              <w:rPr>
                <w:rFonts w:hint="eastAsia"/>
                <w:color w:val="auto"/>
                <w:spacing w:val="-2"/>
                <w:kern w:val="0"/>
                <w:szCs w:val="21"/>
                <w:lang w:eastAsia="zh-CN" w:bidi="ar"/>
              </w:rPr>
              <w:t>宁国市污水处理厂</w:t>
            </w:r>
            <w:r>
              <w:rPr>
                <w:rFonts w:hint="eastAsia"/>
                <w:color w:val="auto"/>
                <w:spacing w:val="-2"/>
                <w:kern w:val="0"/>
                <w:szCs w:val="21"/>
                <w:lang w:bidi="ar"/>
              </w:rPr>
              <w:t>污水总排口</w:t>
            </w:r>
            <w:r>
              <w:rPr>
                <w:color w:val="auto"/>
                <w:spacing w:val="-2"/>
                <w:kern w:val="0"/>
                <w:szCs w:val="21"/>
                <w:lang w:bidi="ar"/>
              </w:rPr>
              <w:t>入</w:t>
            </w:r>
            <w:r>
              <w:rPr>
                <w:rFonts w:hint="eastAsia"/>
                <w:color w:val="auto"/>
                <w:spacing w:val="-2"/>
                <w:kern w:val="0"/>
                <w:szCs w:val="21"/>
                <w:lang w:eastAsia="zh-CN" w:bidi="ar"/>
              </w:rPr>
              <w:t>东</w:t>
            </w:r>
            <w:r>
              <w:rPr>
                <w:color w:val="auto"/>
                <w:spacing w:val="-2"/>
                <w:kern w:val="0"/>
                <w:szCs w:val="21"/>
                <w:lang w:bidi="ar"/>
              </w:rPr>
              <w:t>津河上游500m</w:t>
            </w:r>
          </w:p>
        </w:tc>
        <w:tc>
          <w:tcPr>
            <w:tcW w:w="671" w:type="pct"/>
            <w:vAlign w:val="center"/>
          </w:tcPr>
          <w:p>
            <w:pPr>
              <w:widowControl/>
              <w:jc w:val="center"/>
              <w:textAlignment w:val="center"/>
              <w:rPr>
                <w:rFonts w:hint="default" w:eastAsia="宋体"/>
                <w:color w:val="auto"/>
                <w:spacing w:val="-2"/>
                <w:kern w:val="0"/>
                <w:szCs w:val="21"/>
                <w:lang w:val="en-US" w:eastAsia="zh-CN" w:bidi="ar"/>
              </w:rPr>
            </w:pPr>
            <w:r>
              <w:rPr>
                <w:rFonts w:hint="eastAsia"/>
                <w:color w:val="auto"/>
                <w:spacing w:val="-2"/>
                <w:kern w:val="0"/>
                <w:szCs w:val="21"/>
                <w:lang w:bidi="ar"/>
              </w:rPr>
              <w:t>2020.</w:t>
            </w:r>
            <w:r>
              <w:rPr>
                <w:rFonts w:hint="eastAsia"/>
                <w:color w:val="auto"/>
                <w:spacing w:val="-2"/>
                <w:kern w:val="0"/>
                <w:szCs w:val="21"/>
                <w:lang w:val="en-US" w:eastAsia="zh-CN" w:bidi="ar"/>
              </w:rPr>
              <w:t>8.14</w:t>
            </w:r>
          </w:p>
        </w:tc>
        <w:tc>
          <w:tcPr>
            <w:tcW w:w="781" w:type="pct"/>
            <w:vAlign w:val="center"/>
          </w:tcPr>
          <w:p>
            <w:pPr>
              <w:widowControl/>
              <w:jc w:val="center"/>
              <w:textAlignment w:val="center"/>
              <w:rPr>
                <w:color w:val="auto"/>
                <w:spacing w:val="-2"/>
                <w:kern w:val="0"/>
                <w:szCs w:val="21"/>
                <w:lang w:bidi="ar"/>
              </w:rPr>
            </w:pPr>
            <w:r>
              <w:rPr>
                <w:rFonts w:hint="eastAsia"/>
                <w:color w:val="auto"/>
                <w:spacing w:val="-2"/>
                <w:kern w:val="0"/>
                <w:szCs w:val="21"/>
                <w:lang w:bidi="ar"/>
              </w:rPr>
              <w:t>W20200414-1-1</w:t>
            </w:r>
          </w:p>
        </w:tc>
        <w:tc>
          <w:tcPr>
            <w:tcW w:w="392" w:type="pct"/>
            <w:vAlign w:val="center"/>
          </w:tcPr>
          <w:p>
            <w:pPr>
              <w:widowControl/>
              <w:jc w:val="center"/>
              <w:textAlignment w:val="center"/>
              <w:rPr>
                <w:color w:val="auto"/>
                <w:spacing w:val="-2"/>
                <w:kern w:val="0"/>
                <w:szCs w:val="21"/>
                <w:lang w:bidi="ar"/>
              </w:rPr>
            </w:pPr>
            <w:r>
              <w:rPr>
                <w:rFonts w:hint="eastAsia"/>
                <w:color w:val="auto"/>
                <w:spacing w:val="-2"/>
                <w:kern w:val="0"/>
                <w:szCs w:val="21"/>
                <w:lang w:bidi="ar"/>
              </w:rPr>
              <w:t>7.85</w:t>
            </w:r>
          </w:p>
        </w:tc>
        <w:tc>
          <w:tcPr>
            <w:tcW w:w="421" w:type="pct"/>
            <w:vAlign w:val="center"/>
          </w:tcPr>
          <w:p>
            <w:pPr>
              <w:widowControl/>
              <w:jc w:val="center"/>
              <w:textAlignment w:val="center"/>
              <w:rPr>
                <w:color w:val="auto"/>
                <w:spacing w:val="-2"/>
                <w:kern w:val="0"/>
                <w:szCs w:val="21"/>
                <w:lang w:bidi="ar"/>
              </w:rPr>
            </w:pPr>
            <w:r>
              <w:rPr>
                <w:rFonts w:hint="eastAsia"/>
                <w:color w:val="auto"/>
                <w:spacing w:val="-2"/>
                <w:kern w:val="0"/>
                <w:szCs w:val="21"/>
                <w:lang w:bidi="ar"/>
              </w:rPr>
              <w:t>1.6</w:t>
            </w:r>
          </w:p>
        </w:tc>
        <w:tc>
          <w:tcPr>
            <w:tcW w:w="411" w:type="pct"/>
            <w:vAlign w:val="center"/>
          </w:tcPr>
          <w:p>
            <w:pPr>
              <w:widowControl/>
              <w:jc w:val="center"/>
              <w:textAlignment w:val="center"/>
              <w:rPr>
                <w:color w:val="auto"/>
                <w:spacing w:val="-2"/>
                <w:kern w:val="0"/>
                <w:szCs w:val="21"/>
                <w:lang w:bidi="ar"/>
              </w:rPr>
            </w:pPr>
            <w:r>
              <w:rPr>
                <w:rFonts w:hint="eastAsia"/>
                <w:color w:val="auto"/>
                <w:spacing w:val="-2"/>
                <w:kern w:val="0"/>
                <w:szCs w:val="21"/>
                <w:lang w:bidi="ar"/>
              </w:rPr>
              <w:t>0.06</w:t>
            </w:r>
          </w:p>
        </w:tc>
        <w:tc>
          <w:tcPr>
            <w:tcW w:w="424" w:type="pct"/>
            <w:vAlign w:val="center"/>
          </w:tcPr>
          <w:p>
            <w:pPr>
              <w:widowControl/>
              <w:jc w:val="center"/>
              <w:textAlignment w:val="center"/>
              <w:rPr>
                <w:color w:val="auto"/>
                <w:spacing w:val="-2"/>
                <w:kern w:val="0"/>
                <w:szCs w:val="21"/>
                <w:lang w:bidi="ar"/>
              </w:rPr>
            </w:pPr>
            <w:r>
              <w:rPr>
                <w:rFonts w:hint="eastAsia"/>
                <w:color w:val="auto"/>
                <w:spacing w:val="-2"/>
                <w:kern w:val="0"/>
                <w:szCs w:val="21"/>
                <w:lang w:bidi="ar"/>
              </w:rPr>
              <w:t>0.11</w:t>
            </w:r>
          </w:p>
        </w:tc>
        <w:tc>
          <w:tcPr>
            <w:tcW w:w="454" w:type="pct"/>
            <w:vAlign w:val="center"/>
          </w:tcPr>
          <w:p>
            <w:pPr>
              <w:widowControl/>
              <w:jc w:val="center"/>
              <w:textAlignment w:val="center"/>
              <w:rPr>
                <w:color w:val="auto"/>
                <w:spacing w:val="-2"/>
                <w:kern w:val="0"/>
                <w:szCs w:val="21"/>
                <w:lang w:bidi="ar"/>
              </w:rPr>
            </w:pPr>
            <w:r>
              <w:rPr>
                <w:rFonts w:hint="eastAsia"/>
                <w:color w:val="auto"/>
                <w:spacing w:val="-2"/>
                <w:kern w:val="0"/>
                <w:szCs w:val="21"/>
                <w:lang w:bidi="ar"/>
              </w:rPr>
              <w:t>10</w:t>
            </w:r>
          </w:p>
        </w:tc>
        <w:tc>
          <w:tcPr>
            <w:tcW w:w="435" w:type="pct"/>
            <w:vAlign w:val="center"/>
          </w:tcPr>
          <w:p>
            <w:pPr>
              <w:widowControl/>
              <w:jc w:val="center"/>
              <w:textAlignment w:val="center"/>
              <w:rPr>
                <w:color w:val="auto"/>
                <w:spacing w:val="-2"/>
                <w:kern w:val="0"/>
                <w:szCs w:val="21"/>
                <w:lang w:bidi="ar"/>
              </w:rPr>
            </w:pPr>
            <w:r>
              <w:rPr>
                <w:rFonts w:hint="eastAsia"/>
                <w:color w:val="auto"/>
                <w:spacing w:val="-2"/>
                <w:kern w:val="0"/>
                <w:szCs w:val="21"/>
                <w:lang w:bidi="ar"/>
              </w:rPr>
              <w:t>未检出</w:t>
            </w:r>
          </w:p>
        </w:tc>
        <w:tc>
          <w:tcPr>
            <w:tcW w:w="415" w:type="pct"/>
            <w:vAlign w:val="center"/>
          </w:tcPr>
          <w:p>
            <w:pPr>
              <w:widowControl/>
              <w:jc w:val="center"/>
              <w:textAlignment w:val="center"/>
              <w:rPr>
                <w:color w:val="auto"/>
                <w:spacing w:val="-2"/>
                <w:kern w:val="0"/>
                <w:szCs w:val="21"/>
                <w:lang w:bidi="ar"/>
              </w:rPr>
            </w:pPr>
            <w:r>
              <w:rPr>
                <w:rFonts w:hint="eastAsia"/>
                <w:color w:val="auto"/>
                <w:spacing w:val="-2"/>
                <w:kern w:val="0"/>
                <w:szCs w:val="21"/>
                <w:lang w:bidi="ar"/>
              </w:rPr>
              <w:t>12.6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92" w:type="pct"/>
            <w:vMerge w:val="continue"/>
            <w:vAlign w:val="center"/>
          </w:tcPr>
          <w:p>
            <w:pPr>
              <w:widowControl/>
              <w:jc w:val="center"/>
              <w:textAlignment w:val="center"/>
              <w:rPr>
                <w:color w:val="auto"/>
                <w:spacing w:val="-2"/>
                <w:kern w:val="0"/>
                <w:szCs w:val="21"/>
                <w:lang w:bidi="ar"/>
              </w:rPr>
            </w:pPr>
          </w:p>
        </w:tc>
        <w:tc>
          <w:tcPr>
            <w:tcW w:w="671" w:type="pct"/>
            <w:vAlign w:val="center"/>
          </w:tcPr>
          <w:p>
            <w:pPr>
              <w:widowControl/>
              <w:jc w:val="center"/>
              <w:textAlignment w:val="center"/>
              <w:rPr>
                <w:rFonts w:hint="default"/>
                <w:color w:val="auto"/>
                <w:spacing w:val="-2"/>
                <w:kern w:val="0"/>
                <w:szCs w:val="21"/>
                <w:lang w:val="en-US" w:bidi="ar"/>
              </w:rPr>
            </w:pPr>
            <w:r>
              <w:rPr>
                <w:rFonts w:hint="eastAsia"/>
                <w:color w:val="auto"/>
                <w:spacing w:val="-2"/>
                <w:kern w:val="0"/>
                <w:szCs w:val="21"/>
                <w:lang w:bidi="ar"/>
              </w:rPr>
              <w:t>2020.</w:t>
            </w:r>
            <w:r>
              <w:rPr>
                <w:rFonts w:hint="eastAsia"/>
                <w:color w:val="auto"/>
                <w:spacing w:val="-2"/>
                <w:kern w:val="0"/>
                <w:szCs w:val="21"/>
                <w:lang w:val="en-US" w:eastAsia="zh-CN" w:bidi="ar"/>
              </w:rPr>
              <w:t>8.15</w:t>
            </w:r>
          </w:p>
        </w:tc>
        <w:tc>
          <w:tcPr>
            <w:tcW w:w="781" w:type="pct"/>
            <w:vAlign w:val="center"/>
          </w:tcPr>
          <w:p>
            <w:pPr>
              <w:widowControl/>
              <w:jc w:val="center"/>
              <w:textAlignment w:val="center"/>
              <w:rPr>
                <w:color w:val="auto"/>
                <w:spacing w:val="-2"/>
                <w:kern w:val="0"/>
                <w:szCs w:val="21"/>
                <w:lang w:bidi="ar"/>
              </w:rPr>
            </w:pPr>
            <w:r>
              <w:rPr>
                <w:rFonts w:hint="eastAsia"/>
                <w:color w:val="auto"/>
                <w:spacing w:val="-2"/>
                <w:kern w:val="0"/>
                <w:szCs w:val="21"/>
                <w:lang w:bidi="ar"/>
              </w:rPr>
              <w:t>W20200415-1-1</w:t>
            </w:r>
          </w:p>
        </w:tc>
        <w:tc>
          <w:tcPr>
            <w:tcW w:w="392" w:type="pct"/>
            <w:vAlign w:val="center"/>
          </w:tcPr>
          <w:p>
            <w:pPr>
              <w:widowControl/>
              <w:jc w:val="center"/>
              <w:textAlignment w:val="center"/>
              <w:rPr>
                <w:color w:val="auto"/>
                <w:spacing w:val="-2"/>
                <w:kern w:val="0"/>
                <w:szCs w:val="21"/>
                <w:lang w:bidi="ar"/>
              </w:rPr>
            </w:pPr>
            <w:r>
              <w:rPr>
                <w:rFonts w:hint="eastAsia"/>
                <w:color w:val="auto"/>
                <w:spacing w:val="-2"/>
                <w:kern w:val="0"/>
                <w:szCs w:val="21"/>
                <w:lang w:bidi="ar"/>
              </w:rPr>
              <w:t>7.40</w:t>
            </w:r>
          </w:p>
        </w:tc>
        <w:tc>
          <w:tcPr>
            <w:tcW w:w="421" w:type="pct"/>
            <w:vAlign w:val="center"/>
          </w:tcPr>
          <w:p>
            <w:pPr>
              <w:widowControl/>
              <w:jc w:val="center"/>
              <w:textAlignment w:val="center"/>
              <w:rPr>
                <w:color w:val="auto"/>
                <w:spacing w:val="-2"/>
                <w:kern w:val="0"/>
                <w:szCs w:val="21"/>
                <w:lang w:bidi="ar"/>
              </w:rPr>
            </w:pPr>
            <w:r>
              <w:rPr>
                <w:rFonts w:hint="eastAsia"/>
                <w:color w:val="auto"/>
                <w:spacing w:val="-2"/>
                <w:kern w:val="0"/>
                <w:szCs w:val="21"/>
                <w:lang w:bidi="ar"/>
              </w:rPr>
              <w:t>1.6</w:t>
            </w:r>
          </w:p>
        </w:tc>
        <w:tc>
          <w:tcPr>
            <w:tcW w:w="411" w:type="pct"/>
            <w:vAlign w:val="center"/>
          </w:tcPr>
          <w:p>
            <w:pPr>
              <w:widowControl/>
              <w:jc w:val="center"/>
              <w:textAlignment w:val="center"/>
              <w:rPr>
                <w:color w:val="auto"/>
                <w:spacing w:val="-2"/>
                <w:kern w:val="0"/>
                <w:szCs w:val="21"/>
                <w:lang w:bidi="ar"/>
              </w:rPr>
            </w:pPr>
            <w:r>
              <w:rPr>
                <w:rFonts w:hint="eastAsia"/>
                <w:color w:val="auto"/>
                <w:spacing w:val="-2"/>
                <w:kern w:val="0"/>
                <w:szCs w:val="21"/>
                <w:lang w:bidi="ar"/>
              </w:rPr>
              <w:t>0.18</w:t>
            </w:r>
          </w:p>
        </w:tc>
        <w:tc>
          <w:tcPr>
            <w:tcW w:w="424" w:type="pct"/>
            <w:vAlign w:val="center"/>
          </w:tcPr>
          <w:p>
            <w:pPr>
              <w:widowControl/>
              <w:jc w:val="center"/>
              <w:textAlignment w:val="center"/>
              <w:rPr>
                <w:color w:val="auto"/>
                <w:spacing w:val="-2"/>
                <w:kern w:val="0"/>
                <w:szCs w:val="21"/>
                <w:lang w:bidi="ar"/>
              </w:rPr>
            </w:pPr>
            <w:r>
              <w:rPr>
                <w:rFonts w:hint="eastAsia"/>
                <w:color w:val="auto"/>
                <w:spacing w:val="-2"/>
                <w:kern w:val="0"/>
                <w:szCs w:val="21"/>
                <w:lang w:bidi="ar"/>
              </w:rPr>
              <w:t>0.20</w:t>
            </w:r>
          </w:p>
        </w:tc>
        <w:tc>
          <w:tcPr>
            <w:tcW w:w="454" w:type="pct"/>
            <w:vAlign w:val="center"/>
          </w:tcPr>
          <w:p>
            <w:pPr>
              <w:widowControl/>
              <w:jc w:val="center"/>
              <w:textAlignment w:val="center"/>
              <w:rPr>
                <w:color w:val="auto"/>
                <w:spacing w:val="-2"/>
                <w:kern w:val="0"/>
                <w:szCs w:val="21"/>
                <w:lang w:bidi="ar"/>
              </w:rPr>
            </w:pPr>
            <w:r>
              <w:rPr>
                <w:rFonts w:hint="eastAsia"/>
                <w:color w:val="auto"/>
                <w:spacing w:val="-2"/>
                <w:kern w:val="0"/>
                <w:szCs w:val="21"/>
                <w:lang w:bidi="ar"/>
              </w:rPr>
              <w:t>12</w:t>
            </w:r>
          </w:p>
        </w:tc>
        <w:tc>
          <w:tcPr>
            <w:tcW w:w="435" w:type="pct"/>
            <w:vAlign w:val="center"/>
          </w:tcPr>
          <w:p>
            <w:pPr>
              <w:widowControl/>
              <w:jc w:val="center"/>
              <w:textAlignment w:val="center"/>
              <w:rPr>
                <w:color w:val="auto"/>
                <w:spacing w:val="-2"/>
                <w:kern w:val="0"/>
                <w:szCs w:val="21"/>
                <w:lang w:bidi="ar"/>
              </w:rPr>
            </w:pPr>
            <w:r>
              <w:rPr>
                <w:rFonts w:hint="eastAsia"/>
                <w:color w:val="auto"/>
                <w:spacing w:val="-2"/>
                <w:kern w:val="0"/>
                <w:szCs w:val="21"/>
                <w:lang w:bidi="ar"/>
              </w:rPr>
              <w:t>未检出</w:t>
            </w:r>
          </w:p>
        </w:tc>
        <w:tc>
          <w:tcPr>
            <w:tcW w:w="415" w:type="pct"/>
            <w:vAlign w:val="center"/>
          </w:tcPr>
          <w:p>
            <w:pPr>
              <w:widowControl/>
              <w:jc w:val="center"/>
              <w:textAlignment w:val="center"/>
              <w:rPr>
                <w:color w:val="auto"/>
                <w:spacing w:val="-2"/>
                <w:kern w:val="0"/>
                <w:szCs w:val="21"/>
                <w:lang w:bidi="ar"/>
              </w:rPr>
            </w:pPr>
            <w:r>
              <w:rPr>
                <w:rFonts w:hint="eastAsia"/>
                <w:color w:val="auto"/>
                <w:spacing w:val="-2"/>
                <w:kern w:val="0"/>
                <w:szCs w:val="21"/>
                <w:lang w:bidi="ar"/>
              </w:rPr>
              <w:t>17.2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92" w:type="pct"/>
            <w:vMerge w:val="restart"/>
            <w:vAlign w:val="center"/>
          </w:tcPr>
          <w:p>
            <w:pPr>
              <w:widowControl/>
              <w:jc w:val="center"/>
              <w:textAlignment w:val="center"/>
              <w:rPr>
                <w:color w:val="auto"/>
                <w:spacing w:val="-2"/>
                <w:kern w:val="0"/>
                <w:szCs w:val="21"/>
                <w:lang w:bidi="ar"/>
              </w:rPr>
            </w:pPr>
            <w:r>
              <w:rPr>
                <w:rFonts w:hint="eastAsia"/>
                <w:color w:val="auto"/>
                <w:spacing w:val="-2"/>
                <w:kern w:val="0"/>
                <w:szCs w:val="21"/>
                <w:lang w:eastAsia="zh-CN" w:bidi="ar"/>
              </w:rPr>
              <w:t>宁国市污水处理厂</w:t>
            </w:r>
            <w:r>
              <w:rPr>
                <w:rFonts w:hint="eastAsia"/>
                <w:color w:val="auto"/>
                <w:spacing w:val="-2"/>
                <w:kern w:val="0"/>
                <w:szCs w:val="21"/>
                <w:lang w:bidi="ar"/>
              </w:rPr>
              <w:t>污水总排口</w:t>
            </w:r>
            <w:r>
              <w:rPr>
                <w:color w:val="auto"/>
                <w:spacing w:val="-2"/>
                <w:kern w:val="0"/>
                <w:szCs w:val="21"/>
                <w:lang w:bidi="ar"/>
              </w:rPr>
              <w:t>入</w:t>
            </w:r>
            <w:r>
              <w:rPr>
                <w:rFonts w:hint="eastAsia"/>
                <w:color w:val="auto"/>
                <w:spacing w:val="-2"/>
                <w:kern w:val="0"/>
                <w:szCs w:val="21"/>
                <w:lang w:eastAsia="zh-CN" w:bidi="ar"/>
              </w:rPr>
              <w:t>东</w:t>
            </w:r>
            <w:r>
              <w:rPr>
                <w:color w:val="auto"/>
                <w:spacing w:val="-2"/>
                <w:kern w:val="0"/>
                <w:szCs w:val="21"/>
                <w:lang w:bidi="ar"/>
              </w:rPr>
              <w:t>津河下游1000m</w:t>
            </w:r>
          </w:p>
        </w:tc>
        <w:tc>
          <w:tcPr>
            <w:tcW w:w="671" w:type="pct"/>
            <w:vAlign w:val="center"/>
          </w:tcPr>
          <w:p>
            <w:pPr>
              <w:widowControl/>
              <w:jc w:val="center"/>
              <w:textAlignment w:val="center"/>
              <w:rPr>
                <w:rFonts w:hint="default" w:ascii="Times New Roman" w:hAnsi="Times New Roman" w:eastAsia="宋体" w:cs="Times New Roman"/>
                <w:color w:val="auto"/>
                <w:spacing w:val="-2"/>
                <w:kern w:val="0"/>
                <w:sz w:val="21"/>
                <w:szCs w:val="21"/>
                <w:lang w:val="en-US" w:eastAsia="zh-CN" w:bidi="ar"/>
              </w:rPr>
            </w:pPr>
            <w:r>
              <w:rPr>
                <w:rFonts w:hint="eastAsia"/>
                <w:color w:val="auto"/>
                <w:spacing w:val="-2"/>
                <w:kern w:val="0"/>
                <w:szCs w:val="21"/>
                <w:lang w:bidi="ar"/>
              </w:rPr>
              <w:t>2020.</w:t>
            </w:r>
            <w:r>
              <w:rPr>
                <w:rFonts w:hint="eastAsia"/>
                <w:color w:val="auto"/>
                <w:spacing w:val="-2"/>
                <w:kern w:val="0"/>
                <w:szCs w:val="21"/>
                <w:lang w:val="en-US" w:eastAsia="zh-CN" w:bidi="ar"/>
              </w:rPr>
              <w:t>8.14</w:t>
            </w:r>
          </w:p>
        </w:tc>
        <w:tc>
          <w:tcPr>
            <w:tcW w:w="781" w:type="pct"/>
            <w:vAlign w:val="center"/>
          </w:tcPr>
          <w:p>
            <w:pPr>
              <w:widowControl/>
              <w:jc w:val="center"/>
              <w:textAlignment w:val="center"/>
              <w:rPr>
                <w:color w:val="auto"/>
                <w:spacing w:val="-2"/>
                <w:kern w:val="0"/>
                <w:szCs w:val="21"/>
                <w:lang w:bidi="ar"/>
              </w:rPr>
            </w:pPr>
            <w:r>
              <w:rPr>
                <w:rFonts w:hint="eastAsia"/>
                <w:color w:val="auto"/>
                <w:spacing w:val="-2"/>
                <w:kern w:val="0"/>
                <w:szCs w:val="21"/>
                <w:lang w:bidi="ar"/>
              </w:rPr>
              <w:t>W20200414-2-1</w:t>
            </w:r>
          </w:p>
        </w:tc>
        <w:tc>
          <w:tcPr>
            <w:tcW w:w="392" w:type="pct"/>
            <w:vAlign w:val="center"/>
          </w:tcPr>
          <w:p>
            <w:pPr>
              <w:widowControl/>
              <w:jc w:val="center"/>
              <w:textAlignment w:val="center"/>
              <w:rPr>
                <w:color w:val="auto"/>
                <w:spacing w:val="-2"/>
                <w:kern w:val="0"/>
                <w:szCs w:val="21"/>
                <w:lang w:bidi="ar"/>
              </w:rPr>
            </w:pPr>
            <w:r>
              <w:rPr>
                <w:rFonts w:hint="eastAsia"/>
                <w:color w:val="auto"/>
                <w:spacing w:val="-2"/>
                <w:kern w:val="0"/>
                <w:szCs w:val="21"/>
                <w:lang w:bidi="ar"/>
              </w:rPr>
              <w:t>7.89</w:t>
            </w:r>
          </w:p>
        </w:tc>
        <w:tc>
          <w:tcPr>
            <w:tcW w:w="421" w:type="pct"/>
            <w:vAlign w:val="center"/>
          </w:tcPr>
          <w:p>
            <w:pPr>
              <w:widowControl/>
              <w:jc w:val="center"/>
              <w:textAlignment w:val="center"/>
              <w:rPr>
                <w:color w:val="auto"/>
                <w:spacing w:val="-2"/>
                <w:kern w:val="0"/>
                <w:szCs w:val="21"/>
                <w:lang w:bidi="ar"/>
              </w:rPr>
            </w:pPr>
            <w:r>
              <w:rPr>
                <w:rFonts w:hint="eastAsia"/>
                <w:color w:val="auto"/>
                <w:spacing w:val="-2"/>
                <w:kern w:val="0"/>
                <w:szCs w:val="21"/>
                <w:lang w:bidi="ar"/>
              </w:rPr>
              <w:t>1.8</w:t>
            </w:r>
          </w:p>
        </w:tc>
        <w:tc>
          <w:tcPr>
            <w:tcW w:w="411" w:type="pct"/>
            <w:vAlign w:val="center"/>
          </w:tcPr>
          <w:p>
            <w:pPr>
              <w:widowControl/>
              <w:jc w:val="center"/>
              <w:textAlignment w:val="center"/>
              <w:rPr>
                <w:color w:val="auto"/>
                <w:spacing w:val="-2"/>
                <w:kern w:val="0"/>
                <w:szCs w:val="21"/>
                <w:lang w:bidi="ar"/>
              </w:rPr>
            </w:pPr>
            <w:r>
              <w:rPr>
                <w:rFonts w:hint="eastAsia"/>
                <w:color w:val="auto"/>
                <w:spacing w:val="-2"/>
                <w:kern w:val="0"/>
                <w:szCs w:val="21"/>
                <w:lang w:bidi="ar"/>
              </w:rPr>
              <w:t>0.08</w:t>
            </w:r>
          </w:p>
        </w:tc>
        <w:tc>
          <w:tcPr>
            <w:tcW w:w="424" w:type="pct"/>
            <w:vAlign w:val="center"/>
          </w:tcPr>
          <w:p>
            <w:pPr>
              <w:widowControl/>
              <w:jc w:val="center"/>
              <w:textAlignment w:val="center"/>
              <w:rPr>
                <w:color w:val="auto"/>
                <w:spacing w:val="-2"/>
                <w:kern w:val="0"/>
                <w:szCs w:val="21"/>
                <w:lang w:bidi="ar"/>
              </w:rPr>
            </w:pPr>
            <w:r>
              <w:rPr>
                <w:rFonts w:hint="eastAsia"/>
                <w:color w:val="auto"/>
                <w:spacing w:val="-2"/>
                <w:kern w:val="0"/>
                <w:szCs w:val="21"/>
                <w:lang w:bidi="ar"/>
              </w:rPr>
              <w:t>0.12</w:t>
            </w:r>
          </w:p>
        </w:tc>
        <w:tc>
          <w:tcPr>
            <w:tcW w:w="454" w:type="pct"/>
            <w:vAlign w:val="center"/>
          </w:tcPr>
          <w:p>
            <w:pPr>
              <w:widowControl/>
              <w:jc w:val="center"/>
              <w:textAlignment w:val="center"/>
              <w:rPr>
                <w:color w:val="auto"/>
                <w:spacing w:val="-2"/>
                <w:kern w:val="0"/>
                <w:szCs w:val="21"/>
                <w:lang w:bidi="ar"/>
              </w:rPr>
            </w:pPr>
            <w:r>
              <w:rPr>
                <w:rFonts w:hint="eastAsia"/>
                <w:color w:val="auto"/>
                <w:spacing w:val="-2"/>
                <w:kern w:val="0"/>
                <w:szCs w:val="21"/>
                <w:lang w:bidi="ar"/>
              </w:rPr>
              <w:t>17</w:t>
            </w:r>
          </w:p>
        </w:tc>
        <w:tc>
          <w:tcPr>
            <w:tcW w:w="435" w:type="pct"/>
            <w:vAlign w:val="center"/>
          </w:tcPr>
          <w:p>
            <w:pPr>
              <w:widowControl/>
              <w:jc w:val="center"/>
              <w:textAlignment w:val="center"/>
              <w:rPr>
                <w:color w:val="auto"/>
                <w:spacing w:val="-2"/>
                <w:kern w:val="0"/>
                <w:szCs w:val="21"/>
                <w:lang w:bidi="ar"/>
              </w:rPr>
            </w:pPr>
            <w:r>
              <w:rPr>
                <w:rFonts w:hint="eastAsia"/>
                <w:color w:val="auto"/>
                <w:spacing w:val="-2"/>
                <w:kern w:val="0"/>
                <w:szCs w:val="21"/>
                <w:lang w:bidi="ar"/>
              </w:rPr>
              <w:t>未检出</w:t>
            </w:r>
          </w:p>
        </w:tc>
        <w:tc>
          <w:tcPr>
            <w:tcW w:w="415" w:type="pct"/>
            <w:vAlign w:val="center"/>
          </w:tcPr>
          <w:p>
            <w:pPr>
              <w:widowControl/>
              <w:jc w:val="center"/>
              <w:textAlignment w:val="center"/>
              <w:rPr>
                <w:color w:val="auto"/>
                <w:spacing w:val="-2"/>
                <w:kern w:val="0"/>
                <w:szCs w:val="21"/>
                <w:lang w:bidi="ar"/>
              </w:rPr>
            </w:pPr>
            <w:r>
              <w:rPr>
                <w:rFonts w:hint="eastAsia"/>
                <w:color w:val="auto"/>
                <w:spacing w:val="-2"/>
                <w:kern w:val="0"/>
                <w:szCs w:val="21"/>
                <w:lang w:bidi="ar"/>
              </w:rPr>
              <w:t>13.2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92" w:type="pct"/>
            <w:vMerge w:val="continue"/>
            <w:vAlign w:val="center"/>
          </w:tcPr>
          <w:p>
            <w:pPr>
              <w:widowControl/>
              <w:jc w:val="center"/>
              <w:textAlignment w:val="center"/>
              <w:rPr>
                <w:color w:val="auto"/>
                <w:spacing w:val="-2"/>
                <w:kern w:val="0"/>
                <w:szCs w:val="21"/>
                <w:lang w:bidi="ar"/>
              </w:rPr>
            </w:pPr>
          </w:p>
        </w:tc>
        <w:tc>
          <w:tcPr>
            <w:tcW w:w="671" w:type="pct"/>
            <w:vAlign w:val="center"/>
          </w:tcPr>
          <w:p>
            <w:pPr>
              <w:widowControl/>
              <w:jc w:val="center"/>
              <w:textAlignment w:val="center"/>
              <w:rPr>
                <w:rFonts w:hint="default" w:ascii="Times New Roman" w:hAnsi="Times New Roman" w:eastAsia="宋体" w:cs="Times New Roman"/>
                <w:color w:val="auto"/>
                <w:spacing w:val="-2"/>
                <w:kern w:val="0"/>
                <w:sz w:val="21"/>
                <w:szCs w:val="21"/>
                <w:lang w:val="en-US" w:eastAsia="zh-CN" w:bidi="ar"/>
              </w:rPr>
            </w:pPr>
            <w:r>
              <w:rPr>
                <w:rFonts w:hint="eastAsia"/>
                <w:color w:val="auto"/>
                <w:spacing w:val="-2"/>
                <w:kern w:val="0"/>
                <w:szCs w:val="21"/>
                <w:lang w:bidi="ar"/>
              </w:rPr>
              <w:t>2020.</w:t>
            </w:r>
            <w:r>
              <w:rPr>
                <w:rFonts w:hint="eastAsia"/>
                <w:color w:val="auto"/>
                <w:spacing w:val="-2"/>
                <w:kern w:val="0"/>
                <w:szCs w:val="21"/>
                <w:lang w:val="en-US" w:eastAsia="zh-CN" w:bidi="ar"/>
              </w:rPr>
              <w:t>8.15</w:t>
            </w:r>
          </w:p>
        </w:tc>
        <w:tc>
          <w:tcPr>
            <w:tcW w:w="781" w:type="pct"/>
            <w:vAlign w:val="center"/>
          </w:tcPr>
          <w:p>
            <w:pPr>
              <w:widowControl/>
              <w:jc w:val="center"/>
              <w:textAlignment w:val="center"/>
              <w:rPr>
                <w:color w:val="auto"/>
                <w:spacing w:val="-2"/>
                <w:kern w:val="0"/>
                <w:szCs w:val="21"/>
                <w:lang w:bidi="ar"/>
              </w:rPr>
            </w:pPr>
            <w:r>
              <w:rPr>
                <w:rFonts w:hint="eastAsia"/>
                <w:color w:val="auto"/>
                <w:spacing w:val="-2"/>
                <w:kern w:val="0"/>
                <w:szCs w:val="21"/>
                <w:lang w:bidi="ar"/>
              </w:rPr>
              <w:t>W20200415-2-1</w:t>
            </w:r>
          </w:p>
        </w:tc>
        <w:tc>
          <w:tcPr>
            <w:tcW w:w="392" w:type="pct"/>
            <w:vAlign w:val="center"/>
          </w:tcPr>
          <w:p>
            <w:pPr>
              <w:widowControl/>
              <w:jc w:val="center"/>
              <w:textAlignment w:val="center"/>
              <w:rPr>
                <w:color w:val="auto"/>
                <w:spacing w:val="-2"/>
                <w:kern w:val="0"/>
                <w:szCs w:val="21"/>
                <w:lang w:bidi="ar"/>
              </w:rPr>
            </w:pPr>
            <w:r>
              <w:rPr>
                <w:rFonts w:hint="eastAsia"/>
                <w:color w:val="auto"/>
                <w:spacing w:val="-2"/>
                <w:kern w:val="0"/>
                <w:szCs w:val="21"/>
                <w:lang w:bidi="ar"/>
              </w:rPr>
              <w:t>7.44</w:t>
            </w:r>
          </w:p>
        </w:tc>
        <w:tc>
          <w:tcPr>
            <w:tcW w:w="421" w:type="pct"/>
            <w:vAlign w:val="center"/>
          </w:tcPr>
          <w:p>
            <w:pPr>
              <w:widowControl/>
              <w:jc w:val="center"/>
              <w:textAlignment w:val="center"/>
              <w:rPr>
                <w:color w:val="auto"/>
                <w:spacing w:val="-2"/>
                <w:kern w:val="0"/>
                <w:szCs w:val="21"/>
                <w:lang w:bidi="ar"/>
              </w:rPr>
            </w:pPr>
            <w:r>
              <w:rPr>
                <w:rFonts w:hint="eastAsia"/>
                <w:color w:val="auto"/>
                <w:spacing w:val="-2"/>
                <w:kern w:val="0"/>
                <w:szCs w:val="21"/>
                <w:lang w:bidi="ar"/>
              </w:rPr>
              <w:t>1.8</w:t>
            </w:r>
          </w:p>
        </w:tc>
        <w:tc>
          <w:tcPr>
            <w:tcW w:w="411" w:type="pct"/>
            <w:vAlign w:val="center"/>
          </w:tcPr>
          <w:p>
            <w:pPr>
              <w:widowControl/>
              <w:jc w:val="center"/>
              <w:textAlignment w:val="center"/>
              <w:rPr>
                <w:color w:val="auto"/>
                <w:spacing w:val="-2"/>
                <w:kern w:val="0"/>
                <w:szCs w:val="21"/>
                <w:lang w:bidi="ar"/>
              </w:rPr>
            </w:pPr>
            <w:r>
              <w:rPr>
                <w:rFonts w:hint="eastAsia"/>
                <w:color w:val="auto"/>
                <w:spacing w:val="-2"/>
                <w:kern w:val="0"/>
                <w:szCs w:val="21"/>
                <w:lang w:bidi="ar"/>
              </w:rPr>
              <w:t>0.10</w:t>
            </w:r>
          </w:p>
        </w:tc>
        <w:tc>
          <w:tcPr>
            <w:tcW w:w="424" w:type="pct"/>
            <w:vAlign w:val="center"/>
          </w:tcPr>
          <w:p>
            <w:pPr>
              <w:widowControl/>
              <w:jc w:val="center"/>
              <w:textAlignment w:val="center"/>
              <w:rPr>
                <w:color w:val="auto"/>
                <w:spacing w:val="-2"/>
                <w:kern w:val="0"/>
                <w:szCs w:val="21"/>
                <w:lang w:bidi="ar"/>
              </w:rPr>
            </w:pPr>
            <w:r>
              <w:rPr>
                <w:rFonts w:hint="eastAsia"/>
                <w:color w:val="auto"/>
                <w:spacing w:val="-2"/>
                <w:kern w:val="0"/>
                <w:szCs w:val="21"/>
                <w:lang w:bidi="ar"/>
              </w:rPr>
              <w:t>0.23</w:t>
            </w:r>
          </w:p>
        </w:tc>
        <w:tc>
          <w:tcPr>
            <w:tcW w:w="454" w:type="pct"/>
            <w:vAlign w:val="center"/>
          </w:tcPr>
          <w:p>
            <w:pPr>
              <w:widowControl/>
              <w:jc w:val="center"/>
              <w:textAlignment w:val="center"/>
              <w:rPr>
                <w:color w:val="auto"/>
                <w:spacing w:val="-2"/>
                <w:kern w:val="0"/>
                <w:szCs w:val="21"/>
                <w:lang w:bidi="ar"/>
              </w:rPr>
            </w:pPr>
            <w:r>
              <w:rPr>
                <w:rFonts w:hint="eastAsia"/>
                <w:color w:val="auto"/>
                <w:spacing w:val="-2"/>
                <w:kern w:val="0"/>
                <w:szCs w:val="21"/>
                <w:lang w:bidi="ar"/>
              </w:rPr>
              <w:t>18</w:t>
            </w:r>
          </w:p>
        </w:tc>
        <w:tc>
          <w:tcPr>
            <w:tcW w:w="435" w:type="pct"/>
            <w:vAlign w:val="center"/>
          </w:tcPr>
          <w:p>
            <w:pPr>
              <w:widowControl/>
              <w:jc w:val="center"/>
              <w:textAlignment w:val="center"/>
              <w:rPr>
                <w:color w:val="auto"/>
                <w:spacing w:val="-2"/>
                <w:kern w:val="0"/>
                <w:szCs w:val="21"/>
                <w:lang w:bidi="ar"/>
              </w:rPr>
            </w:pPr>
            <w:r>
              <w:rPr>
                <w:rFonts w:hint="eastAsia"/>
                <w:color w:val="auto"/>
                <w:spacing w:val="-2"/>
                <w:kern w:val="0"/>
                <w:szCs w:val="21"/>
                <w:lang w:bidi="ar"/>
              </w:rPr>
              <w:t>未检出</w:t>
            </w:r>
          </w:p>
        </w:tc>
        <w:tc>
          <w:tcPr>
            <w:tcW w:w="415" w:type="pct"/>
            <w:vAlign w:val="center"/>
          </w:tcPr>
          <w:p>
            <w:pPr>
              <w:widowControl/>
              <w:jc w:val="center"/>
              <w:textAlignment w:val="center"/>
              <w:rPr>
                <w:color w:val="auto"/>
                <w:spacing w:val="-2"/>
                <w:kern w:val="0"/>
                <w:szCs w:val="21"/>
                <w:lang w:bidi="ar"/>
              </w:rPr>
            </w:pPr>
            <w:r>
              <w:rPr>
                <w:rFonts w:hint="eastAsia"/>
                <w:color w:val="auto"/>
                <w:spacing w:val="-2"/>
                <w:kern w:val="0"/>
                <w:szCs w:val="21"/>
                <w:lang w:bidi="ar"/>
              </w:rPr>
              <w:t>17.4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92" w:type="pct"/>
            <w:vMerge w:val="restart"/>
            <w:vAlign w:val="center"/>
          </w:tcPr>
          <w:p>
            <w:pPr>
              <w:widowControl/>
              <w:jc w:val="center"/>
              <w:textAlignment w:val="center"/>
              <w:rPr>
                <w:color w:val="auto"/>
                <w:spacing w:val="-2"/>
                <w:kern w:val="0"/>
                <w:szCs w:val="21"/>
                <w:lang w:bidi="ar"/>
              </w:rPr>
            </w:pPr>
            <w:r>
              <w:rPr>
                <w:rFonts w:hint="eastAsia"/>
                <w:color w:val="auto"/>
                <w:spacing w:val="-2"/>
                <w:kern w:val="0"/>
                <w:szCs w:val="21"/>
                <w:lang w:eastAsia="zh-CN" w:bidi="ar"/>
              </w:rPr>
              <w:t>宁国市污水处理厂</w:t>
            </w:r>
            <w:r>
              <w:rPr>
                <w:rFonts w:hint="eastAsia"/>
                <w:color w:val="auto"/>
                <w:spacing w:val="-2"/>
                <w:kern w:val="0"/>
                <w:szCs w:val="21"/>
                <w:lang w:bidi="ar"/>
              </w:rPr>
              <w:t>污水总排口</w:t>
            </w:r>
            <w:r>
              <w:rPr>
                <w:color w:val="auto"/>
                <w:spacing w:val="-2"/>
                <w:kern w:val="0"/>
                <w:szCs w:val="21"/>
                <w:lang w:bidi="ar"/>
              </w:rPr>
              <w:t>入</w:t>
            </w:r>
            <w:r>
              <w:rPr>
                <w:rFonts w:hint="eastAsia"/>
                <w:color w:val="auto"/>
                <w:spacing w:val="-2"/>
                <w:kern w:val="0"/>
                <w:szCs w:val="21"/>
                <w:lang w:eastAsia="zh-CN" w:bidi="ar"/>
              </w:rPr>
              <w:t>东</w:t>
            </w:r>
            <w:r>
              <w:rPr>
                <w:color w:val="auto"/>
                <w:spacing w:val="-2"/>
                <w:kern w:val="0"/>
                <w:szCs w:val="21"/>
                <w:lang w:bidi="ar"/>
              </w:rPr>
              <w:t>津河下游2</w:t>
            </w:r>
            <w:r>
              <w:rPr>
                <w:rFonts w:hint="eastAsia"/>
                <w:color w:val="auto"/>
                <w:spacing w:val="-2"/>
                <w:kern w:val="0"/>
                <w:szCs w:val="21"/>
                <w:lang w:bidi="ar"/>
              </w:rPr>
              <w:t>0</w:t>
            </w:r>
            <w:r>
              <w:rPr>
                <w:color w:val="auto"/>
                <w:spacing w:val="-2"/>
                <w:kern w:val="0"/>
                <w:szCs w:val="21"/>
                <w:lang w:bidi="ar"/>
              </w:rPr>
              <w:t>00m</w:t>
            </w:r>
          </w:p>
        </w:tc>
        <w:tc>
          <w:tcPr>
            <w:tcW w:w="671" w:type="pct"/>
            <w:vAlign w:val="center"/>
          </w:tcPr>
          <w:p>
            <w:pPr>
              <w:widowControl/>
              <w:jc w:val="center"/>
              <w:textAlignment w:val="center"/>
              <w:rPr>
                <w:rFonts w:hint="default" w:ascii="Times New Roman" w:hAnsi="Times New Roman" w:eastAsia="宋体" w:cs="Times New Roman"/>
                <w:color w:val="auto"/>
                <w:spacing w:val="-2"/>
                <w:kern w:val="0"/>
                <w:sz w:val="21"/>
                <w:szCs w:val="21"/>
                <w:lang w:val="en-US" w:eastAsia="zh-CN" w:bidi="ar"/>
              </w:rPr>
            </w:pPr>
            <w:r>
              <w:rPr>
                <w:rFonts w:hint="eastAsia"/>
                <w:color w:val="auto"/>
                <w:spacing w:val="-2"/>
                <w:kern w:val="0"/>
                <w:szCs w:val="21"/>
                <w:lang w:bidi="ar"/>
              </w:rPr>
              <w:t>2020.</w:t>
            </w:r>
            <w:r>
              <w:rPr>
                <w:rFonts w:hint="eastAsia"/>
                <w:color w:val="auto"/>
                <w:spacing w:val="-2"/>
                <w:kern w:val="0"/>
                <w:szCs w:val="21"/>
                <w:lang w:val="en-US" w:eastAsia="zh-CN" w:bidi="ar"/>
              </w:rPr>
              <w:t>8.14</w:t>
            </w:r>
          </w:p>
        </w:tc>
        <w:tc>
          <w:tcPr>
            <w:tcW w:w="781" w:type="pct"/>
            <w:vAlign w:val="center"/>
          </w:tcPr>
          <w:p>
            <w:pPr>
              <w:widowControl/>
              <w:jc w:val="center"/>
              <w:textAlignment w:val="center"/>
              <w:rPr>
                <w:color w:val="auto"/>
                <w:spacing w:val="-2"/>
                <w:kern w:val="0"/>
                <w:szCs w:val="21"/>
                <w:lang w:bidi="ar"/>
              </w:rPr>
            </w:pPr>
            <w:r>
              <w:rPr>
                <w:rFonts w:hint="eastAsia"/>
                <w:color w:val="auto"/>
                <w:spacing w:val="-2"/>
                <w:kern w:val="0"/>
                <w:szCs w:val="21"/>
                <w:lang w:bidi="ar"/>
              </w:rPr>
              <w:t>W20200414-3-1</w:t>
            </w:r>
          </w:p>
        </w:tc>
        <w:tc>
          <w:tcPr>
            <w:tcW w:w="392" w:type="pct"/>
            <w:vAlign w:val="center"/>
          </w:tcPr>
          <w:p>
            <w:pPr>
              <w:widowControl/>
              <w:jc w:val="center"/>
              <w:textAlignment w:val="center"/>
              <w:rPr>
                <w:color w:val="auto"/>
                <w:spacing w:val="-2"/>
                <w:kern w:val="0"/>
                <w:szCs w:val="21"/>
                <w:lang w:bidi="ar"/>
              </w:rPr>
            </w:pPr>
            <w:r>
              <w:rPr>
                <w:rFonts w:hint="eastAsia"/>
                <w:color w:val="auto"/>
                <w:spacing w:val="-2"/>
                <w:kern w:val="0"/>
                <w:szCs w:val="21"/>
                <w:lang w:bidi="ar"/>
              </w:rPr>
              <w:t>7.82</w:t>
            </w:r>
          </w:p>
        </w:tc>
        <w:tc>
          <w:tcPr>
            <w:tcW w:w="421" w:type="pct"/>
            <w:vAlign w:val="center"/>
          </w:tcPr>
          <w:p>
            <w:pPr>
              <w:widowControl/>
              <w:jc w:val="center"/>
              <w:textAlignment w:val="center"/>
              <w:rPr>
                <w:color w:val="auto"/>
                <w:spacing w:val="-2"/>
                <w:kern w:val="0"/>
                <w:szCs w:val="21"/>
                <w:lang w:bidi="ar"/>
              </w:rPr>
            </w:pPr>
            <w:r>
              <w:rPr>
                <w:rFonts w:hint="eastAsia"/>
                <w:color w:val="auto"/>
                <w:spacing w:val="-2"/>
                <w:kern w:val="0"/>
                <w:szCs w:val="21"/>
                <w:lang w:bidi="ar"/>
              </w:rPr>
              <w:t>1.9</w:t>
            </w:r>
          </w:p>
        </w:tc>
        <w:tc>
          <w:tcPr>
            <w:tcW w:w="411" w:type="pct"/>
            <w:vAlign w:val="center"/>
          </w:tcPr>
          <w:p>
            <w:pPr>
              <w:widowControl/>
              <w:jc w:val="center"/>
              <w:textAlignment w:val="center"/>
              <w:rPr>
                <w:color w:val="auto"/>
                <w:spacing w:val="-2"/>
                <w:kern w:val="0"/>
                <w:szCs w:val="21"/>
                <w:lang w:bidi="ar"/>
              </w:rPr>
            </w:pPr>
            <w:r>
              <w:rPr>
                <w:rFonts w:hint="eastAsia"/>
                <w:color w:val="auto"/>
                <w:spacing w:val="-2"/>
                <w:kern w:val="0"/>
                <w:szCs w:val="21"/>
                <w:lang w:bidi="ar"/>
              </w:rPr>
              <w:t>0.07</w:t>
            </w:r>
          </w:p>
        </w:tc>
        <w:tc>
          <w:tcPr>
            <w:tcW w:w="424" w:type="pct"/>
            <w:vAlign w:val="center"/>
          </w:tcPr>
          <w:p>
            <w:pPr>
              <w:widowControl/>
              <w:jc w:val="center"/>
              <w:textAlignment w:val="center"/>
              <w:rPr>
                <w:color w:val="auto"/>
                <w:spacing w:val="-2"/>
                <w:kern w:val="0"/>
                <w:szCs w:val="21"/>
                <w:lang w:bidi="ar"/>
              </w:rPr>
            </w:pPr>
            <w:r>
              <w:rPr>
                <w:rFonts w:hint="eastAsia"/>
                <w:color w:val="auto"/>
                <w:spacing w:val="-2"/>
                <w:kern w:val="0"/>
                <w:szCs w:val="21"/>
                <w:lang w:bidi="ar"/>
              </w:rPr>
              <w:t>0.11</w:t>
            </w:r>
          </w:p>
        </w:tc>
        <w:tc>
          <w:tcPr>
            <w:tcW w:w="454" w:type="pct"/>
            <w:vAlign w:val="center"/>
          </w:tcPr>
          <w:p>
            <w:pPr>
              <w:widowControl/>
              <w:jc w:val="center"/>
              <w:textAlignment w:val="center"/>
              <w:rPr>
                <w:color w:val="auto"/>
                <w:spacing w:val="-2"/>
                <w:kern w:val="0"/>
                <w:szCs w:val="21"/>
                <w:lang w:bidi="ar"/>
              </w:rPr>
            </w:pPr>
            <w:r>
              <w:rPr>
                <w:rFonts w:hint="eastAsia"/>
                <w:color w:val="auto"/>
                <w:spacing w:val="-2"/>
                <w:kern w:val="0"/>
                <w:szCs w:val="21"/>
                <w:lang w:bidi="ar"/>
              </w:rPr>
              <w:t>13</w:t>
            </w:r>
          </w:p>
        </w:tc>
        <w:tc>
          <w:tcPr>
            <w:tcW w:w="435" w:type="pct"/>
            <w:vAlign w:val="center"/>
          </w:tcPr>
          <w:p>
            <w:pPr>
              <w:widowControl/>
              <w:jc w:val="center"/>
              <w:textAlignment w:val="center"/>
              <w:rPr>
                <w:color w:val="auto"/>
                <w:spacing w:val="-2"/>
                <w:kern w:val="0"/>
                <w:szCs w:val="21"/>
                <w:lang w:bidi="ar"/>
              </w:rPr>
            </w:pPr>
            <w:r>
              <w:rPr>
                <w:rFonts w:hint="eastAsia"/>
                <w:color w:val="auto"/>
                <w:spacing w:val="-2"/>
                <w:kern w:val="0"/>
                <w:szCs w:val="21"/>
                <w:lang w:bidi="ar"/>
              </w:rPr>
              <w:t>未检出</w:t>
            </w:r>
          </w:p>
        </w:tc>
        <w:tc>
          <w:tcPr>
            <w:tcW w:w="415" w:type="pct"/>
            <w:vAlign w:val="center"/>
          </w:tcPr>
          <w:p>
            <w:pPr>
              <w:widowControl/>
              <w:jc w:val="center"/>
              <w:textAlignment w:val="center"/>
              <w:rPr>
                <w:color w:val="auto"/>
                <w:spacing w:val="-2"/>
                <w:kern w:val="0"/>
                <w:szCs w:val="21"/>
                <w:lang w:bidi="ar"/>
              </w:rPr>
            </w:pPr>
            <w:r>
              <w:rPr>
                <w:rFonts w:hint="eastAsia"/>
                <w:color w:val="auto"/>
                <w:spacing w:val="-2"/>
                <w:kern w:val="0"/>
                <w:szCs w:val="21"/>
                <w:lang w:bidi="ar"/>
              </w:rPr>
              <w:t>13.4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92" w:type="pct"/>
            <w:vMerge w:val="continue"/>
            <w:vAlign w:val="center"/>
          </w:tcPr>
          <w:p>
            <w:pPr>
              <w:widowControl/>
              <w:jc w:val="center"/>
              <w:textAlignment w:val="center"/>
              <w:rPr>
                <w:color w:val="auto"/>
                <w:spacing w:val="-2"/>
                <w:kern w:val="0"/>
                <w:szCs w:val="21"/>
                <w:lang w:bidi="ar"/>
              </w:rPr>
            </w:pPr>
          </w:p>
        </w:tc>
        <w:tc>
          <w:tcPr>
            <w:tcW w:w="671" w:type="pct"/>
            <w:vAlign w:val="center"/>
          </w:tcPr>
          <w:p>
            <w:pPr>
              <w:widowControl/>
              <w:jc w:val="center"/>
              <w:textAlignment w:val="center"/>
              <w:rPr>
                <w:rFonts w:hint="default" w:ascii="Times New Roman" w:hAnsi="Times New Roman" w:eastAsia="宋体" w:cs="Times New Roman"/>
                <w:color w:val="auto"/>
                <w:spacing w:val="-2"/>
                <w:kern w:val="0"/>
                <w:sz w:val="21"/>
                <w:szCs w:val="21"/>
                <w:lang w:val="en-US" w:eastAsia="zh-CN" w:bidi="ar"/>
              </w:rPr>
            </w:pPr>
            <w:r>
              <w:rPr>
                <w:rFonts w:hint="eastAsia"/>
                <w:color w:val="auto"/>
                <w:spacing w:val="-2"/>
                <w:kern w:val="0"/>
                <w:szCs w:val="21"/>
                <w:lang w:bidi="ar"/>
              </w:rPr>
              <w:t>2020.</w:t>
            </w:r>
            <w:r>
              <w:rPr>
                <w:rFonts w:hint="eastAsia"/>
                <w:color w:val="auto"/>
                <w:spacing w:val="-2"/>
                <w:kern w:val="0"/>
                <w:szCs w:val="21"/>
                <w:lang w:val="en-US" w:eastAsia="zh-CN" w:bidi="ar"/>
              </w:rPr>
              <w:t>8.15</w:t>
            </w:r>
          </w:p>
        </w:tc>
        <w:tc>
          <w:tcPr>
            <w:tcW w:w="781" w:type="pct"/>
            <w:vAlign w:val="center"/>
          </w:tcPr>
          <w:p>
            <w:pPr>
              <w:widowControl/>
              <w:jc w:val="center"/>
              <w:textAlignment w:val="center"/>
              <w:rPr>
                <w:color w:val="auto"/>
                <w:spacing w:val="-2"/>
                <w:kern w:val="0"/>
                <w:szCs w:val="21"/>
                <w:lang w:bidi="ar"/>
              </w:rPr>
            </w:pPr>
            <w:r>
              <w:rPr>
                <w:rFonts w:hint="eastAsia"/>
                <w:color w:val="auto"/>
                <w:spacing w:val="-2"/>
                <w:kern w:val="0"/>
                <w:szCs w:val="21"/>
                <w:lang w:bidi="ar"/>
              </w:rPr>
              <w:t>W20200415-3-1</w:t>
            </w:r>
          </w:p>
        </w:tc>
        <w:tc>
          <w:tcPr>
            <w:tcW w:w="392" w:type="pct"/>
            <w:vAlign w:val="center"/>
          </w:tcPr>
          <w:p>
            <w:pPr>
              <w:widowControl/>
              <w:jc w:val="center"/>
              <w:textAlignment w:val="center"/>
              <w:rPr>
                <w:color w:val="auto"/>
                <w:spacing w:val="-2"/>
                <w:kern w:val="0"/>
                <w:szCs w:val="21"/>
                <w:lang w:bidi="ar"/>
              </w:rPr>
            </w:pPr>
            <w:r>
              <w:rPr>
                <w:rFonts w:hint="eastAsia"/>
                <w:color w:val="auto"/>
                <w:spacing w:val="-2"/>
                <w:kern w:val="0"/>
                <w:szCs w:val="21"/>
                <w:lang w:bidi="ar"/>
              </w:rPr>
              <w:t>7.46</w:t>
            </w:r>
          </w:p>
        </w:tc>
        <w:tc>
          <w:tcPr>
            <w:tcW w:w="421" w:type="pct"/>
            <w:vAlign w:val="center"/>
          </w:tcPr>
          <w:p>
            <w:pPr>
              <w:widowControl/>
              <w:jc w:val="center"/>
              <w:textAlignment w:val="center"/>
              <w:rPr>
                <w:color w:val="auto"/>
                <w:spacing w:val="-2"/>
                <w:kern w:val="0"/>
                <w:szCs w:val="21"/>
                <w:lang w:bidi="ar"/>
              </w:rPr>
            </w:pPr>
            <w:r>
              <w:rPr>
                <w:rFonts w:hint="eastAsia"/>
                <w:color w:val="auto"/>
                <w:spacing w:val="-2"/>
                <w:kern w:val="0"/>
                <w:szCs w:val="21"/>
                <w:lang w:bidi="ar"/>
              </w:rPr>
              <w:t>1.8</w:t>
            </w:r>
          </w:p>
        </w:tc>
        <w:tc>
          <w:tcPr>
            <w:tcW w:w="411" w:type="pct"/>
            <w:vAlign w:val="center"/>
          </w:tcPr>
          <w:p>
            <w:pPr>
              <w:widowControl/>
              <w:jc w:val="center"/>
              <w:textAlignment w:val="center"/>
              <w:rPr>
                <w:color w:val="auto"/>
                <w:spacing w:val="-2"/>
                <w:kern w:val="0"/>
                <w:szCs w:val="21"/>
                <w:lang w:bidi="ar"/>
              </w:rPr>
            </w:pPr>
            <w:r>
              <w:rPr>
                <w:rFonts w:hint="eastAsia"/>
                <w:color w:val="auto"/>
                <w:spacing w:val="-2"/>
                <w:kern w:val="0"/>
                <w:szCs w:val="21"/>
                <w:lang w:bidi="ar"/>
              </w:rPr>
              <w:t>0.24</w:t>
            </w:r>
          </w:p>
        </w:tc>
        <w:tc>
          <w:tcPr>
            <w:tcW w:w="424" w:type="pct"/>
            <w:vAlign w:val="center"/>
          </w:tcPr>
          <w:p>
            <w:pPr>
              <w:widowControl/>
              <w:jc w:val="center"/>
              <w:textAlignment w:val="center"/>
              <w:rPr>
                <w:color w:val="auto"/>
                <w:spacing w:val="-2"/>
                <w:kern w:val="0"/>
                <w:szCs w:val="21"/>
                <w:lang w:bidi="ar"/>
              </w:rPr>
            </w:pPr>
            <w:r>
              <w:rPr>
                <w:rFonts w:hint="eastAsia"/>
                <w:color w:val="auto"/>
                <w:spacing w:val="-2"/>
                <w:kern w:val="0"/>
                <w:szCs w:val="21"/>
                <w:lang w:bidi="ar"/>
              </w:rPr>
              <w:t>0.17</w:t>
            </w:r>
          </w:p>
        </w:tc>
        <w:tc>
          <w:tcPr>
            <w:tcW w:w="454" w:type="pct"/>
            <w:vAlign w:val="center"/>
          </w:tcPr>
          <w:p>
            <w:pPr>
              <w:widowControl/>
              <w:jc w:val="center"/>
              <w:textAlignment w:val="center"/>
              <w:rPr>
                <w:color w:val="auto"/>
                <w:spacing w:val="-2"/>
                <w:kern w:val="0"/>
                <w:szCs w:val="21"/>
                <w:lang w:bidi="ar"/>
              </w:rPr>
            </w:pPr>
            <w:r>
              <w:rPr>
                <w:rFonts w:hint="eastAsia"/>
                <w:color w:val="auto"/>
                <w:spacing w:val="-2"/>
                <w:kern w:val="0"/>
                <w:szCs w:val="21"/>
                <w:lang w:bidi="ar"/>
              </w:rPr>
              <w:t>14</w:t>
            </w:r>
          </w:p>
        </w:tc>
        <w:tc>
          <w:tcPr>
            <w:tcW w:w="435" w:type="pct"/>
            <w:vAlign w:val="center"/>
          </w:tcPr>
          <w:p>
            <w:pPr>
              <w:widowControl/>
              <w:jc w:val="center"/>
              <w:textAlignment w:val="center"/>
              <w:rPr>
                <w:color w:val="auto"/>
                <w:spacing w:val="-2"/>
                <w:kern w:val="0"/>
                <w:szCs w:val="21"/>
                <w:lang w:bidi="ar"/>
              </w:rPr>
            </w:pPr>
            <w:r>
              <w:rPr>
                <w:rFonts w:hint="eastAsia"/>
                <w:color w:val="auto"/>
                <w:spacing w:val="-2"/>
                <w:kern w:val="0"/>
                <w:szCs w:val="21"/>
                <w:lang w:bidi="ar"/>
              </w:rPr>
              <w:t>未检出</w:t>
            </w:r>
          </w:p>
        </w:tc>
        <w:tc>
          <w:tcPr>
            <w:tcW w:w="415" w:type="pct"/>
            <w:vAlign w:val="center"/>
          </w:tcPr>
          <w:p>
            <w:pPr>
              <w:widowControl/>
              <w:jc w:val="center"/>
              <w:textAlignment w:val="center"/>
              <w:rPr>
                <w:color w:val="auto"/>
                <w:spacing w:val="-2"/>
                <w:kern w:val="0"/>
                <w:szCs w:val="21"/>
                <w:lang w:bidi="ar"/>
              </w:rPr>
            </w:pPr>
            <w:r>
              <w:rPr>
                <w:rFonts w:hint="eastAsia"/>
                <w:color w:val="auto"/>
                <w:spacing w:val="-2"/>
                <w:kern w:val="0"/>
                <w:szCs w:val="21"/>
                <w:lang w:bidi="ar"/>
              </w:rPr>
              <w:t>17.5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045" w:type="pct"/>
            <w:gridSpan w:val="3"/>
            <w:vAlign w:val="center"/>
          </w:tcPr>
          <w:p>
            <w:pPr>
              <w:widowControl/>
              <w:jc w:val="center"/>
              <w:textAlignment w:val="center"/>
              <w:rPr>
                <w:color w:val="auto"/>
                <w:spacing w:val="-2"/>
                <w:kern w:val="0"/>
                <w:szCs w:val="21"/>
                <w:lang w:bidi="ar"/>
              </w:rPr>
            </w:pPr>
            <w:r>
              <w:rPr>
                <w:rFonts w:hint="eastAsia"/>
                <w:color w:val="auto"/>
                <w:spacing w:val="-2"/>
                <w:kern w:val="0"/>
                <w:szCs w:val="21"/>
                <w:lang w:bidi="ar"/>
              </w:rPr>
              <w:t>检出限mg/L</w:t>
            </w:r>
          </w:p>
        </w:tc>
        <w:tc>
          <w:tcPr>
            <w:tcW w:w="392" w:type="pct"/>
            <w:vAlign w:val="center"/>
          </w:tcPr>
          <w:p>
            <w:pPr>
              <w:widowControl/>
              <w:jc w:val="center"/>
              <w:textAlignment w:val="center"/>
              <w:rPr>
                <w:color w:val="auto"/>
                <w:spacing w:val="-2"/>
                <w:kern w:val="0"/>
                <w:szCs w:val="21"/>
                <w:lang w:bidi="ar"/>
              </w:rPr>
            </w:pPr>
            <w:r>
              <w:rPr>
                <w:rFonts w:hint="eastAsia"/>
                <w:color w:val="auto"/>
                <w:spacing w:val="-2"/>
                <w:kern w:val="0"/>
                <w:szCs w:val="21"/>
                <w:lang w:bidi="ar"/>
              </w:rPr>
              <w:t>/</w:t>
            </w:r>
          </w:p>
        </w:tc>
        <w:tc>
          <w:tcPr>
            <w:tcW w:w="421" w:type="pct"/>
            <w:vAlign w:val="center"/>
          </w:tcPr>
          <w:p>
            <w:pPr>
              <w:widowControl/>
              <w:jc w:val="center"/>
              <w:textAlignment w:val="center"/>
              <w:rPr>
                <w:color w:val="auto"/>
                <w:spacing w:val="-2"/>
                <w:kern w:val="0"/>
                <w:szCs w:val="21"/>
                <w:lang w:bidi="ar"/>
              </w:rPr>
            </w:pPr>
            <w:r>
              <w:rPr>
                <w:rFonts w:hint="eastAsia"/>
                <w:color w:val="auto"/>
                <w:spacing w:val="-2"/>
                <w:kern w:val="0"/>
                <w:szCs w:val="21"/>
                <w:lang w:bidi="ar"/>
              </w:rPr>
              <w:t>0.5</w:t>
            </w:r>
          </w:p>
        </w:tc>
        <w:tc>
          <w:tcPr>
            <w:tcW w:w="411" w:type="pct"/>
            <w:vAlign w:val="center"/>
          </w:tcPr>
          <w:p>
            <w:pPr>
              <w:widowControl/>
              <w:jc w:val="center"/>
              <w:textAlignment w:val="center"/>
              <w:rPr>
                <w:color w:val="auto"/>
                <w:spacing w:val="-2"/>
                <w:kern w:val="0"/>
                <w:szCs w:val="21"/>
                <w:lang w:bidi="ar"/>
              </w:rPr>
            </w:pPr>
            <w:r>
              <w:rPr>
                <w:rFonts w:hint="eastAsia"/>
                <w:color w:val="auto"/>
                <w:spacing w:val="-2"/>
                <w:kern w:val="0"/>
                <w:szCs w:val="21"/>
                <w:lang w:bidi="ar"/>
              </w:rPr>
              <w:t>0.01</w:t>
            </w:r>
          </w:p>
        </w:tc>
        <w:tc>
          <w:tcPr>
            <w:tcW w:w="424" w:type="pct"/>
            <w:vAlign w:val="center"/>
          </w:tcPr>
          <w:p>
            <w:pPr>
              <w:widowControl/>
              <w:jc w:val="center"/>
              <w:textAlignment w:val="center"/>
              <w:rPr>
                <w:color w:val="auto"/>
                <w:spacing w:val="-2"/>
                <w:kern w:val="0"/>
                <w:szCs w:val="21"/>
                <w:lang w:bidi="ar"/>
              </w:rPr>
            </w:pPr>
            <w:r>
              <w:rPr>
                <w:rFonts w:hint="eastAsia"/>
                <w:color w:val="auto"/>
                <w:spacing w:val="-2"/>
                <w:kern w:val="0"/>
                <w:szCs w:val="21"/>
                <w:lang w:bidi="ar"/>
              </w:rPr>
              <w:t>0.025</w:t>
            </w:r>
          </w:p>
        </w:tc>
        <w:tc>
          <w:tcPr>
            <w:tcW w:w="454" w:type="pct"/>
            <w:vAlign w:val="center"/>
          </w:tcPr>
          <w:p>
            <w:pPr>
              <w:widowControl/>
              <w:jc w:val="center"/>
              <w:textAlignment w:val="center"/>
              <w:rPr>
                <w:color w:val="auto"/>
                <w:spacing w:val="-2"/>
                <w:kern w:val="0"/>
                <w:szCs w:val="21"/>
                <w:lang w:bidi="ar"/>
              </w:rPr>
            </w:pPr>
            <w:r>
              <w:rPr>
                <w:rFonts w:hint="eastAsia"/>
                <w:color w:val="auto"/>
                <w:spacing w:val="-2"/>
                <w:kern w:val="0"/>
                <w:szCs w:val="21"/>
                <w:lang w:bidi="ar"/>
              </w:rPr>
              <w:t>4</w:t>
            </w:r>
          </w:p>
        </w:tc>
        <w:tc>
          <w:tcPr>
            <w:tcW w:w="435" w:type="pct"/>
            <w:vAlign w:val="center"/>
          </w:tcPr>
          <w:p>
            <w:pPr>
              <w:widowControl/>
              <w:jc w:val="center"/>
              <w:textAlignment w:val="center"/>
              <w:rPr>
                <w:color w:val="auto"/>
                <w:spacing w:val="-2"/>
                <w:kern w:val="0"/>
                <w:szCs w:val="21"/>
                <w:lang w:bidi="ar"/>
              </w:rPr>
            </w:pPr>
            <w:r>
              <w:rPr>
                <w:rFonts w:hint="eastAsia"/>
                <w:color w:val="auto"/>
                <w:spacing w:val="-2"/>
                <w:kern w:val="0"/>
                <w:szCs w:val="21"/>
                <w:lang w:bidi="ar"/>
              </w:rPr>
              <w:t>0.01</w:t>
            </w:r>
          </w:p>
        </w:tc>
        <w:tc>
          <w:tcPr>
            <w:tcW w:w="415" w:type="pct"/>
            <w:vAlign w:val="center"/>
          </w:tcPr>
          <w:p>
            <w:pPr>
              <w:widowControl/>
              <w:jc w:val="center"/>
              <w:textAlignment w:val="center"/>
              <w:rPr>
                <w:color w:val="auto"/>
                <w:spacing w:val="-2"/>
                <w:kern w:val="0"/>
                <w:szCs w:val="21"/>
                <w:lang w:bidi="ar"/>
              </w:rPr>
            </w:pPr>
            <w:r>
              <w:rPr>
                <w:rFonts w:hint="eastAsia"/>
                <w:color w:val="auto"/>
                <w:spacing w:val="-2"/>
                <w:kern w:val="0"/>
                <w:szCs w:val="21"/>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045" w:type="pct"/>
            <w:gridSpan w:val="3"/>
            <w:vAlign w:val="center"/>
          </w:tcPr>
          <w:p>
            <w:pPr>
              <w:widowControl/>
              <w:jc w:val="center"/>
              <w:textAlignment w:val="center"/>
              <w:rPr>
                <w:color w:val="auto"/>
                <w:spacing w:val="-2"/>
                <w:kern w:val="0"/>
                <w:szCs w:val="21"/>
                <w:lang w:bidi="ar"/>
              </w:rPr>
            </w:pPr>
            <w:r>
              <w:rPr>
                <w:rFonts w:hint="eastAsia"/>
                <w:color w:val="auto"/>
                <w:spacing w:val="-2"/>
                <w:kern w:val="0"/>
                <w:szCs w:val="21"/>
                <w:lang w:bidi="ar"/>
              </w:rPr>
              <w:t>样品性状</w:t>
            </w:r>
          </w:p>
        </w:tc>
        <w:tc>
          <w:tcPr>
            <w:tcW w:w="2954" w:type="pct"/>
            <w:gridSpan w:val="7"/>
            <w:vAlign w:val="center"/>
          </w:tcPr>
          <w:p>
            <w:pPr>
              <w:widowControl/>
              <w:jc w:val="center"/>
              <w:textAlignment w:val="center"/>
              <w:rPr>
                <w:color w:val="auto"/>
                <w:spacing w:val="-2"/>
                <w:kern w:val="0"/>
                <w:szCs w:val="21"/>
                <w:lang w:bidi="ar"/>
              </w:rPr>
            </w:pPr>
            <w:r>
              <w:rPr>
                <w:rFonts w:hint="eastAsia"/>
                <w:color w:val="auto"/>
                <w:spacing w:val="-2"/>
                <w:kern w:val="0"/>
                <w:szCs w:val="21"/>
                <w:lang w:bidi="ar"/>
              </w:rPr>
              <w:t>无色、透明、无异味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045" w:type="pct"/>
            <w:gridSpan w:val="3"/>
            <w:vAlign w:val="center"/>
          </w:tcPr>
          <w:p>
            <w:pPr>
              <w:widowControl/>
              <w:jc w:val="center"/>
              <w:textAlignment w:val="center"/>
              <w:rPr>
                <w:color w:val="auto"/>
                <w:spacing w:val="-2"/>
                <w:kern w:val="0"/>
                <w:szCs w:val="21"/>
                <w:lang w:bidi="ar"/>
              </w:rPr>
            </w:pPr>
            <w:r>
              <w:rPr>
                <w:rFonts w:hint="eastAsia"/>
                <w:color w:val="auto"/>
                <w:spacing w:val="-2"/>
                <w:kern w:val="0"/>
                <w:szCs w:val="21"/>
                <w:lang w:bidi="ar"/>
              </w:rPr>
              <w:t>检测日期</w:t>
            </w:r>
          </w:p>
        </w:tc>
        <w:tc>
          <w:tcPr>
            <w:tcW w:w="2954" w:type="pct"/>
            <w:gridSpan w:val="7"/>
            <w:vAlign w:val="center"/>
          </w:tcPr>
          <w:p>
            <w:pPr>
              <w:widowControl/>
              <w:jc w:val="center"/>
              <w:textAlignment w:val="center"/>
              <w:rPr>
                <w:color w:val="auto"/>
                <w:spacing w:val="-2"/>
                <w:kern w:val="0"/>
                <w:szCs w:val="21"/>
                <w:lang w:bidi="ar"/>
              </w:rPr>
            </w:pPr>
            <w:r>
              <w:rPr>
                <w:rFonts w:hint="eastAsia"/>
                <w:color w:val="auto"/>
                <w:spacing w:val="-2"/>
                <w:kern w:val="0"/>
                <w:szCs w:val="21"/>
                <w:lang w:bidi="ar"/>
              </w:rPr>
              <w:t>2020.04.14-2020.04.21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045" w:type="pct"/>
            <w:gridSpan w:val="3"/>
            <w:vAlign w:val="center"/>
          </w:tcPr>
          <w:p>
            <w:pPr>
              <w:widowControl/>
              <w:jc w:val="center"/>
              <w:textAlignment w:val="center"/>
              <w:rPr>
                <w:color w:val="auto"/>
                <w:spacing w:val="-2"/>
                <w:kern w:val="0"/>
                <w:szCs w:val="21"/>
                <w:lang w:bidi="ar"/>
              </w:rPr>
            </w:pPr>
            <w:r>
              <w:rPr>
                <w:rFonts w:hint="eastAsia"/>
                <w:color w:val="auto"/>
                <w:spacing w:val="-2"/>
                <w:kern w:val="0"/>
                <w:szCs w:val="21"/>
                <w:lang w:bidi="ar"/>
              </w:rPr>
              <w:t>检测仪器</w:t>
            </w:r>
          </w:p>
        </w:tc>
        <w:tc>
          <w:tcPr>
            <w:tcW w:w="2954" w:type="pct"/>
            <w:gridSpan w:val="7"/>
            <w:vAlign w:val="center"/>
          </w:tcPr>
          <w:p>
            <w:pPr>
              <w:widowControl/>
              <w:jc w:val="center"/>
              <w:textAlignment w:val="center"/>
              <w:rPr>
                <w:color w:val="auto"/>
                <w:spacing w:val="-2"/>
                <w:kern w:val="0"/>
                <w:szCs w:val="21"/>
                <w:lang w:bidi="ar"/>
              </w:rPr>
            </w:pPr>
            <w:r>
              <w:rPr>
                <w:rFonts w:hint="eastAsia"/>
                <w:color w:val="auto"/>
                <w:spacing w:val="-2"/>
                <w:kern w:val="0"/>
                <w:szCs w:val="21"/>
                <w:lang w:bidi="ar"/>
              </w:rPr>
              <w:t>PHBJ-260型便携式PH计</w:t>
            </w:r>
          </w:p>
          <w:p>
            <w:pPr>
              <w:widowControl/>
              <w:jc w:val="center"/>
              <w:textAlignment w:val="center"/>
              <w:rPr>
                <w:color w:val="auto"/>
                <w:spacing w:val="-2"/>
                <w:kern w:val="0"/>
                <w:szCs w:val="21"/>
                <w:lang w:bidi="ar"/>
              </w:rPr>
            </w:pPr>
            <w:r>
              <w:rPr>
                <w:rFonts w:hint="eastAsia"/>
                <w:color w:val="auto"/>
                <w:spacing w:val="-2"/>
                <w:kern w:val="0"/>
                <w:szCs w:val="21"/>
                <w:lang w:bidi="ar"/>
              </w:rPr>
              <w:t>TU-1810紫外可见分光光度计</w:t>
            </w:r>
          </w:p>
          <w:p>
            <w:pPr>
              <w:widowControl/>
              <w:jc w:val="center"/>
              <w:textAlignment w:val="center"/>
              <w:rPr>
                <w:color w:val="auto"/>
                <w:spacing w:val="-2"/>
                <w:kern w:val="0"/>
                <w:szCs w:val="21"/>
                <w:lang w:bidi="ar"/>
              </w:rPr>
            </w:pPr>
            <w:r>
              <w:rPr>
                <w:color w:val="auto"/>
                <w:spacing w:val="-2"/>
                <w:kern w:val="0"/>
                <w:szCs w:val="21"/>
                <w:lang w:bidi="ar"/>
              </w:rPr>
              <w:t>HCA-102</w:t>
            </w:r>
            <w:r>
              <w:rPr>
                <w:rFonts w:hint="eastAsia"/>
                <w:color w:val="auto"/>
                <w:spacing w:val="-2"/>
                <w:kern w:val="0"/>
                <w:szCs w:val="21"/>
                <w:lang w:bidi="ar"/>
              </w:rPr>
              <w:t>标准</w:t>
            </w:r>
            <w:r>
              <w:rPr>
                <w:color w:val="auto"/>
                <w:spacing w:val="-2"/>
                <w:kern w:val="0"/>
                <w:szCs w:val="21"/>
                <w:lang w:bidi="ar"/>
              </w:rPr>
              <w:t>COD</w:t>
            </w:r>
            <w:r>
              <w:rPr>
                <w:rFonts w:hint="eastAsia"/>
                <w:color w:val="auto"/>
                <w:spacing w:val="-2"/>
                <w:kern w:val="0"/>
                <w:szCs w:val="21"/>
                <w:lang w:bidi="ar"/>
              </w:rPr>
              <w:t>消解器</w:t>
            </w:r>
          </w:p>
          <w:p>
            <w:pPr>
              <w:widowControl/>
              <w:jc w:val="center"/>
              <w:textAlignment w:val="center"/>
              <w:rPr>
                <w:color w:val="auto"/>
                <w:spacing w:val="-2"/>
                <w:kern w:val="0"/>
                <w:szCs w:val="21"/>
                <w:lang w:bidi="ar"/>
              </w:rPr>
            </w:pPr>
            <w:r>
              <w:rPr>
                <w:rFonts w:hint="eastAsia"/>
                <w:color w:val="auto"/>
                <w:spacing w:val="-2"/>
                <w:kern w:val="0"/>
                <w:szCs w:val="21"/>
                <w:lang w:bidi="ar"/>
              </w:rPr>
              <w:t>MJX-160B-Z生化培养箱</w:t>
            </w:r>
          </w:p>
          <w:p>
            <w:pPr>
              <w:widowControl/>
              <w:jc w:val="center"/>
              <w:textAlignment w:val="center"/>
              <w:rPr>
                <w:color w:val="auto"/>
                <w:spacing w:val="-2"/>
                <w:kern w:val="0"/>
                <w:szCs w:val="21"/>
                <w:lang w:bidi="ar"/>
              </w:rPr>
            </w:pPr>
            <w:r>
              <w:rPr>
                <w:rFonts w:hint="eastAsia"/>
                <w:color w:val="auto"/>
                <w:spacing w:val="-2"/>
                <w:kern w:val="0"/>
                <w:szCs w:val="21"/>
                <w:lang w:bidi="ar"/>
              </w:rPr>
              <w:t xml:space="preserve"> OIL480 红外分光测油仪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045" w:type="pct"/>
            <w:gridSpan w:val="3"/>
            <w:vAlign w:val="center"/>
          </w:tcPr>
          <w:p>
            <w:pPr>
              <w:widowControl/>
              <w:jc w:val="center"/>
              <w:textAlignment w:val="center"/>
              <w:rPr>
                <w:color w:val="auto"/>
                <w:spacing w:val="-2"/>
                <w:kern w:val="0"/>
                <w:szCs w:val="21"/>
                <w:lang w:bidi="ar"/>
              </w:rPr>
            </w:pPr>
            <w:r>
              <w:rPr>
                <w:rFonts w:hint="eastAsia"/>
                <w:color w:val="auto"/>
                <w:spacing w:val="-2"/>
                <w:kern w:val="0"/>
                <w:szCs w:val="21"/>
                <w:lang w:bidi="ar"/>
              </w:rPr>
              <w:t>备注</w:t>
            </w:r>
          </w:p>
        </w:tc>
        <w:tc>
          <w:tcPr>
            <w:tcW w:w="2954" w:type="pct"/>
            <w:gridSpan w:val="7"/>
            <w:vAlign w:val="center"/>
          </w:tcPr>
          <w:p>
            <w:pPr>
              <w:widowControl/>
              <w:jc w:val="center"/>
              <w:textAlignment w:val="center"/>
              <w:rPr>
                <w:color w:val="auto"/>
                <w:spacing w:val="-2"/>
                <w:kern w:val="0"/>
                <w:szCs w:val="21"/>
                <w:lang w:bidi="ar"/>
              </w:rPr>
            </w:pPr>
          </w:p>
        </w:tc>
      </w:tr>
    </w:tbl>
    <w:p>
      <w:pPr>
        <w:pStyle w:val="2"/>
        <w:rPr>
          <w:color w:val="auto"/>
        </w:rPr>
      </w:pPr>
    </w:p>
    <w:p>
      <w:pPr>
        <w:spacing w:line="360" w:lineRule="auto"/>
        <w:ind w:firstLine="480" w:firstLineChars="200"/>
        <w:jc w:val="left"/>
        <w:rPr>
          <w:color w:val="auto"/>
          <w:sz w:val="24"/>
        </w:rPr>
      </w:pPr>
      <w:r>
        <w:rPr>
          <w:color w:val="auto"/>
          <w:sz w:val="24"/>
        </w:rPr>
        <w:t>（2）地表水环境质量现状评价</w:t>
      </w:r>
      <w:bookmarkEnd w:id="226"/>
      <w:bookmarkEnd w:id="227"/>
      <w:bookmarkEnd w:id="228"/>
    </w:p>
    <w:p>
      <w:pPr>
        <w:spacing w:line="360" w:lineRule="auto"/>
        <w:ind w:firstLine="480" w:firstLineChars="200"/>
        <w:rPr>
          <w:color w:val="auto"/>
          <w:sz w:val="24"/>
        </w:rPr>
      </w:pPr>
      <w:r>
        <w:rPr>
          <w:color w:val="auto"/>
          <w:sz w:val="24"/>
        </w:rPr>
        <w:t>①评价标准</w:t>
      </w:r>
    </w:p>
    <w:p>
      <w:pPr>
        <w:spacing w:line="360" w:lineRule="auto"/>
        <w:ind w:firstLine="480" w:firstLineChars="200"/>
        <w:jc w:val="left"/>
        <w:rPr>
          <w:color w:val="auto"/>
          <w:sz w:val="24"/>
        </w:rPr>
      </w:pPr>
      <w:r>
        <w:rPr>
          <w:color w:val="auto"/>
          <w:sz w:val="24"/>
        </w:rPr>
        <w:t>根据宁国市浚成环境监测有限公司出具监测报告，区域内地表水环境质量中津河执行《地表水环境质量标准》（GB3838-2002）中Ⅲ类标准。</w:t>
      </w:r>
    </w:p>
    <w:p>
      <w:pPr>
        <w:spacing w:line="360" w:lineRule="auto"/>
        <w:jc w:val="center"/>
        <w:rPr>
          <w:b/>
          <w:bCs/>
          <w:color w:val="auto"/>
          <w:sz w:val="24"/>
        </w:rPr>
      </w:pPr>
      <w:r>
        <w:rPr>
          <w:rFonts w:hint="eastAsia"/>
          <w:b/>
          <w:bCs/>
          <w:color w:val="auto"/>
          <w:sz w:val="24"/>
        </w:rPr>
        <w:t>表5</w:t>
      </w:r>
      <w:r>
        <w:rPr>
          <w:b/>
          <w:bCs/>
          <w:color w:val="auto"/>
          <w:sz w:val="24"/>
        </w:rPr>
        <w:t>-4   地表水环境质量评价标准      单位：mg/L，pH除外</w:t>
      </w:r>
    </w:p>
    <w:tbl>
      <w:tblPr>
        <w:tblStyle w:val="5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42"/>
        <w:gridCol w:w="1165"/>
        <w:gridCol w:w="1164"/>
        <w:gridCol w:w="1165"/>
        <w:gridCol w:w="1164"/>
        <w:gridCol w:w="1162"/>
        <w:gridCol w:w="114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jc w:val="center"/>
        </w:trPr>
        <w:tc>
          <w:tcPr>
            <w:tcW w:w="1642" w:type="dxa"/>
            <w:vMerge w:val="restart"/>
            <w:vAlign w:val="center"/>
          </w:tcPr>
          <w:p>
            <w:pPr>
              <w:spacing w:line="300" w:lineRule="exact"/>
              <w:jc w:val="center"/>
              <w:rPr>
                <w:bCs/>
                <w:color w:val="auto"/>
                <w:szCs w:val="21"/>
              </w:rPr>
            </w:pPr>
            <w:r>
              <w:rPr>
                <w:bCs/>
                <w:color w:val="auto"/>
                <w:szCs w:val="21"/>
              </w:rPr>
              <w:t>GB3838-2002</w:t>
            </w:r>
          </w:p>
          <w:p>
            <w:pPr>
              <w:spacing w:line="300" w:lineRule="exact"/>
              <w:jc w:val="center"/>
              <w:rPr>
                <w:bCs/>
                <w:color w:val="auto"/>
                <w:szCs w:val="21"/>
              </w:rPr>
            </w:pPr>
            <w:r>
              <w:rPr>
                <w:bCs/>
                <w:color w:val="auto"/>
                <w:szCs w:val="21"/>
              </w:rPr>
              <w:t>Ⅲ类</w:t>
            </w:r>
          </w:p>
        </w:tc>
        <w:tc>
          <w:tcPr>
            <w:tcW w:w="1165" w:type="dxa"/>
            <w:vAlign w:val="center"/>
          </w:tcPr>
          <w:p>
            <w:pPr>
              <w:spacing w:line="300" w:lineRule="exact"/>
              <w:jc w:val="center"/>
              <w:rPr>
                <w:bCs/>
                <w:color w:val="auto"/>
                <w:szCs w:val="21"/>
              </w:rPr>
            </w:pPr>
            <w:r>
              <w:rPr>
                <w:bCs/>
                <w:color w:val="auto"/>
                <w:szCs w:val="21"/>
              </w:rPr>
              <w:t>pH</w:t>
            </w:r>
          </w:p>
        </w:tc>
        <w:tc>
          <w:tcPr>
            <w:tcW w:w="1164" w:type="dxa"/>
            <w:vAlign w:val="center"/>
          </w:tcPr>
          <w:p>
            <w:pPr>
              <w:spacing w:line="300" w:lineRule="exact"/>
              <w:jc w:val="center"/>
              <w:rPr>
                <w:bCs/>
                <w:color w:val="auto"/>
                <w:szCs w:val="21"/>
              </w:rPr>
            </w:pPr>
            <w:r>
              <w:rPr>
                <w:bCs/>
                <w:color w:val="auto"/>
                <w:szCs w:val="21"/>
              </w:rPr>
              <w:t>CODcr</w:t>
            </w:r>
          </w:p>
        </w:tc>
        <w:tc>
          <w:tcPr>
            <w:tcW w:w="1165" w:type="dxa"/>
            <w:vAlign w:val="center"/>
          </w:tcPr>
          <w:p>
            <w:pPr>
              <w:spacing w:line="300" w:lineRule="exact"/>
              <w:jc w:val="center"/>
              <w:rPr>
                <w:bCs/>
                <w:color w:val="auto"/>
                <w:szCs w:val="21"/>
              </w:rPr>
            </w:pPr>
            <w:r>
              <w:rPr>
                <w:bCs/>
                <w:color w:val="auto"/>
                <w:szCs w:val="21"/>
              </w:rPr>
              <w:t>BOD</w:t>
            </w:r>
            <w:r>
              <w:rPr>
                <w:bCs/>
                <w:color w:val="auto"/>
                <w:szCs w:val="21"/>
                <w:vertAlign w:val="subscript"/>
              </w:rPr>
              <w:t>5</w:t>
            </w:r>
          </w:p>
        </w:tc>
        <w:tc>
          <w:tcPr>
            <w:tcW w:w="1164" w:type="dxa"/>
            <w:vAlign w:val="center"/>
          </w:tcPr>
          <w:p>
            <w:pPr>
              <w:spacing w:line="300" w:lineRule="exact"/>
              <w:jc w:val="center"/>
              <w:rPr>
                <w:bCs/>
                <w:color w:val="auto"/>
                <w:szCs w:val="21"/>
              </w:rPr>
            </w:pPr>
            <w:r>
              <w:rPr>
                <w:bCs/>
                <w:color w:val="auto"/>
                <w:szCs w:val="21"/>
              </w:rPr>
              <w:t>NH</w:t>
            </w:r>
            <w:r>
              <w:rPr>
                <w:bCs/>
                <w:color w:val="auto"/>
                <w:szCs w:val="21"/>
                <w:vertAlign w:val="subscript"/>
              </w:rPr>
              <w:t>3</w:t>
            </w:r>
            <w:r>
              <w:rPr>
                <w:bCs/>
                <w:color w:val="auto"/>
                <w:szCs w:val="21"/>
              </w:rPr>
              <w:t>-N</w:t>
            </w:r>
          </w:p>
        </w:tc>
        <w:tc>
          <w:tcPr>
            <w:tcW w:w="1162" w:type="dxa"/>
            <w:vAlign w:val="center"/>
          </w:tcPr>
          <w:p>
            <w:pPr>
              <w:spacing w:line="300" w:lineRule="exact"/>
              <w:jc w:val="center"/>
              <w:rPr>
                <w:bCs/>
                <w:color w:val="auto"/>
                <w:szCs w:val="21"/>
              </w:rPr>
            </w:pPr>
            <w:r>
              <w:rPr>
                <w:bCs/>
                <w:color w:val="auto"/>
                <w:szCs w:val="21"/>
              </w:rPr>
              <w:t>TP</w:t>
            </w:r>
          </w:p>
        </w:tc>
        <w:tc>
          <w:tcPr>
            <w:tcW w:w="1146" w:type="dxa"/>
            <w:vAlign w:val="center"/>
          </w:tcPr>
          <w:p>
            <w:pPr>
              <w:spacing w:line="300" w:lineRule="exact"/>
              <w:jc w:val="center"/>
              <w:rPr>
                <w:bCs/>
                <w:color w:val="auto"/>
                <w:szCs w:val="21"/>
              </w:rPr>
            </w:pPr>
            <w:r>
              <w:rPr>
                <w:bCs/>
                <w:color w:val="auto"/>
                <w:szCs w:val="21"/>
              </w:rPr>
              <w:t>石油类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jc w:val="center"/>
        </w:trPr>
        <w:tc>
          <w:tcPr>
            <w:tcW w:w="1642" w:type="dxa"/>
            <w:vMerge w:val="continue"/>
            <w:vAlign w:val="center"/>
          </w:tcPr>
          <w:p>
            <w:pPr>
              <w:spacing w:line="300" w:lineRule="exact"/>
              <w:jc w:val="center"/>
              <w:rPr>
                <w:bCs/>
                <w:color w:val="auto"/>
                <w:szCs w:val="21"/>
              </w:rPr>
            </w:pPr>
          </w:p>
        </w:tc>
        <w:tc>
          <w:tcPr>
            <w:tcW w:w="1165" w:type="dxa"/>
            <w:vAlign w:val="center"/>
          </w:tcPr>
          <w:p>
            <w:pPr>
              <w:spacing w:line="300" w:lineRule="exact"/>
              <w:jc w:val="center"/>
              <w:rPr>
                <w:bCs/>
                <w:color w:val="auto"/>
                <w:szCs w:val="21"/>
              </w:rPr>
            </w:pPr>
            <w:r>
              <w:rPr>
                <w:bCs/>
                <w:color w:val="auto"/>
                <w:szCs w:val="21"/>
              </w:rPr>
              <w:t>6~9</w:t>
            </w:r>
          </w:p>
        </w:tc>
        <w:tc>
          <w:tcPr>
            <w:tcW w:w="1164" w:type="dxa"/>
            <w:vAlign w:val="center"/>
          </w:tcPr>
          <w:p>
            <w:pPr>
              <w:spacing w:line="300" w:lineRule="exact"/>
              <w:jc w:val="center"/>
              <w:rPr>
                <w:bCs/>
                <w:color w:val="auto"/>
                <w:szCs w:val="21"/>
              </w:rPr>
            </w:pPr>
            <w:r>
              <w:rPr>
                <w:bCs/>
                <w:color w:val="auto"/>
                <w:szCs w:val="21"/>
              </w:rPr>
              <w:t>20</w:t>
            </w:r>
          </w:p>
        </w:tc>
        <w:tc>
          <w:tcPr>
            <w:tcW w:w="1165" w:type="dxa"/>
            <w:vAlign w:val="center"/>
          </w:tcPr>
          <w:p>
            <w:pPr>
              <w:spacing w:line="300" w:lineRule="exact"/>
              <w:jc w:val="center"/>
              <w:rPr>
                <w:bCs/>
                <w:color w:val="auto"/>
                <w:szCs w:val="21"/>
              </w:rPr>
            </w:pPr>
            <w:r>
              <w:rPr>
                <w:bCs/>
                <w:color w:val="auto"/>
                <w:szCs w:val="21"/>
              </w:rPr>
              <w:t>4</w:t>
            </w:r>
          </w:p>
        </w:tc>
        <w:tc>
          <w:tcPr>
            <w:tcW w:w="1164" w:type="dxa"/>
            <w:vAlign w:val="center"/>
          </w:tcPr>
          <w:p>
            <w:pPr>
              <w:spacing w:line="300" w:lineRule="exact"/>
              <w:jc w:val="center"/>
              <w:rPr>
                <w:bCs/>
                <w:color w:val="auto"/>
                <w:szCs w:val="21"/>
              </w:rPr>
            </w:pPr>
            <w:r>
              <w:rPr>
                <w:bCs/>
                <w:color w:val="auto"/>
                <w:szCs w:val="21"/>
              </w:rPr>
              <w:t>1.0</w:t>
            </w:r>
          </w:p>
        </w:tc>
        <w:tc>
          <w:tcPr>
            <w:tcW w:w="1162" w:type="dxa"/>
            <w:vAlign w:val="center"/>
          </w:tcPr>
          <w:p>
            <w:pPr>
              <w:spacing w:line="300" w:lineRule="exact"/>
              <w:jc w:val="center"/>
              <w:rPr>
                <w:bCs/>
                <w:color w:val="auto"/>
                <w:szCs w:val="21"/>
              </w:rPr>
            </w:pPr>
            <w:r>
              <w:rPr>
                <w:bCs/>
                <w:color w:val="auto"/>
                <w:szCs w:val="21"/>
              </w:rPr>
              <w:t>0.2</w:t>
            </w:r>
          </w:p>
        </w:tc>
        <w:tc>
          <w:tcPr>
            <w:tcW w:w="1146" w:type="dxa"/>
            <w:vAlign w:val="center"/>
          </w:tcPr>
          <w:p>
            <w:pPr>
              <w:spacing w:line="300" w:lineRule="exact"/>
              <w:jc w:val="center"/>
              <w:rPr>
                <w:bCs/>
                <w:color w:val="auto"/>
                <w:szCs w:val="21"/>
              </w:rPr>
            </w:pPr>
            <w:r>
              <w:rPr>
                <w:bCs/>
                <w:color w:val="auto"/>
                <w:szCs w:val="21"/>
              </w:rPr>
              <w:t>0.05</w:t>
            </w:r>
          </w:p>
        </w:tc>
      </w:tr>
    </w:tbl>
    <w:p>
      <w:pPr>
        <w:spacing w:line="360" w:lineRule="auto"/>
        <w:ind w:firstLine="480" w:firstLineChars="200"/>
        <w:rPr>
          <w:color w:val="auto"/>
          <w:sz w:val="24"/>
        </w:rPr>
      </w:pPr>
      <w:r>
        <w:rPr>
          <w:color w:val="auto"/>
          <w:sz w:val="24"/>
        </w:rPr>
        <w:t>②评价方法</w:t>
      </w:r>
    </w:p>
    <w:p>
      <w:pPr>
        <w:spacing w:line="360" w:lineRule="auto"/>
        <w:ind w:firstLine="480" w:firstLineChars="200"/>
        <w:rPr>
          <w:color w:val="auto"/>
          <w:sz w:val="24"/>
        </w:rPr>
      </w:pPr>
      <w:r>
        <w:rPr>
          <w:color w:val="auto"/>
          <w:sz w:val="24"/>
        </w:rPr>
        <w:t>采用单项污染指数法进行评价，其计算公式如下：</w:t>
      </w:r>
    </w:p>
    <w:p>
      <w:pPr>
        <w:spacing w:line="360" w:lineRule="auto"/>
        <w:jc w:val="center"/>
        <w:rPr>
          <w:color w:val="auto"/>
          <w:sz w:val="24"/>
        </w:rPr>
      </w:pPr>
      <w:r>
        <w:rPr>
          <w:color w:val="auto"/>
          <w:position w:val="-34"/>
          <w:sz w:val="24"/>
        </w:rPr>
        <w:object>
          <v:shape id="_x0000_i1025" o:spt="75" type="#_x0000_t75" style="height:36pt;width:42pt;" o:ole="t" filled="f" o:preferrelative="t" stroked="f" coordsize="21600,21600">
            <v:path/>
            <v:fill on="f" focussize="0,0"/>
            <v:stroke on="f" joinstyle="miter"/>
            <v:imagedata r:id="rId30" o:title=""/>
            <o:lock v:ext="edit" aspectratio="t"/>
            <w10:wrap type="none"/>
            <w10:anchorlock/>
          </v:shape>
          <o:OLEObject Type="Embed" ProgID="Equation.3" ShapeID="_x0000_i1025" DrawAspect="Content" ObjectID="_1468075734" r:id="rId29">
            <o:LockedField>false</o:LockedField>
          </o:OLEObject>
        </w:object>
      </w:r>
    </w:p>
    <w:p>
      <w:pPr>
        <w:spacing w:line="360" w:lineRule="auto"/>
        <w:ind w:firstLine="540"/>
        <w:rPr>
          <w:color w:val="auto"/>
          <w:sz w:val="24"/>
        </w:rPr>
      </w:pPr>
      <w:r>
        <w:rPr>
          <w:color w:val="auto"/>
          <w:sz w:val="24"/>
        </w:rPr>
        <w:t>式中：S</w:t>
      </w:r>
      <w:r>
        <w:rPr>
          <w:color w:val="auto"/>
          <w:sz w:val="24"/>
          <w:vertAlign w:val="subscript"/>
        </w:rPr>
        <w:t>i</w:t>
      </w:r>
      <w:r>
        <w:rPr>
          <w:color w:val="auto"/>
          <w:sz w:val="24"/>
        </w:rPr>
        <w:t>——i种污染物分指数；</w:t>
      </w:r>
    </w:p>
    <w:p>
      <w:pPr>
        <w:spacing w:line="360" w:lineRule="auto"/>
        <w:ind w:firstLine="540"/>
        <w:rPr>
          <w:color w:val="auto"/>
          <w:sz w:val="24"/>
        </w:rPr>
      </w:pPr>
      <w:r>
        <w:rPr>
          <w:color w:val="auto"/>
          <w:sz w:val="24"/>
        </w:rPr>
        <w:t xml:space="preserve">      C</w:t>
      </w:r>
      <w:r>
        <w:rPr>
          <w:color w:val="auto"/>
          <w:sz w:val="24"/>
          <w:vertAlign w:val="subscript"/>
        </w:rPr>
        <w:t>i</w:t>
      </w:r>
      <w:r>
        <w:rPr>
          <w:color w:val="auto"/>
          <w:sz w:val="24"/>
        </w:rPr>
        <w:t>——i种污染物实测值（mg/l）</w:t>
      </w:r>
    </w:p>
    <w:p>
      <w:pPr>
        <w:spacing w:line="360" w:lineRule="auto"/>
        <w:ind w:firstLine="540"/>
        <w:rPr>
          <w:color w:val="auto"/>
          <w:sz w:val="24"/>
        </w:rPr>
      </w:pPr>
      <w:r>
        <w:rPr>
          <w:color w:val="auto"/>
          <w:sz w:val="24"/>
        </w:rPr>
        <w:t xml:space="preserve">      C</w:t>
      </w:r>
      <w:r>
        <w:rPr>
          <w:color w:val="auto"/>
          <w:sz w:val="24"/>
          <w:vertAlign w:val="subscript"/>
        </w:rPr>
        <w:t>Si</w:t>
      </w:r>
      <w:r>
        <w:rPr>
          <w:color w:val="auto"/>
          <w:sz w:val="24"/>
        </w:rPr>
        <w:t>——i种污染物评价标准值（mg/l）</w:t>
      </w:r>
    </w:p>
    <w:p>
      <w:pPr>
        <w:spacing w:line="360" w:lineRule="auto"/>
        <w:ind w:firstLine="540"/>
        <w:rPr>
          <w:color w:val="auto"/>
          <w:sz w:val="24"/>
        </w:rPr>
      </w:pPr>
      <w:r>
        <w:rPr>
          <w:color w:val="auto"/>
          <w:sz w:val="24"/>
        </w:rPr>
        <w:t>pH污染物指数为：</w:t>
      </w:r>
    </w:p>
    <w:p>
      <w:pPr>
        <w:spacing w:line="360" w:lineRule="auto"/>
        <w:ind w:firstLine="1257" w:firstLineChars="524"/>
        <w:rPr>
          <w:color w:val="auto"/>
          <w:sz w:val="24"/>
        </w:rPr>
      </w:pPr>
      <w:r>
        <w:rPr>
          <w:color w:val="auto"/>
          <w:position w:val="-30"/>
          <w:sz w:val="24"/>
        </w:rPr>
        <w:object>
          <v:shape id="_x0000_i1026" o:spt="75" type="#_x0000_t75" style="height:36pt;width:87pt;" o:ole="t" filled="f" o:preferrelative="t" stroked="f" coordsize="21600,21600">
            <v:path/>
            <v:fill on="f" focussize="0,0"/>
            <v:stroke on="f" joinstyle="miter"/>
            <v:imagedata r:id="rId32" o:title=""/>
            <o:lock v:ext="edit" aspectratio="t"/>
            <w10:wrap type="none"/>
            <w10:anchorlock/>
          </v:shape>
          <o:OLEObject Type="Embed" ProgID="Equation.3" ShapeID="_x0000_i1026" DrawAspect="Content" ObjectID="_1468075735" r:id="rId31">
            <o:LockedField>false</o:LockedField>
          </o:OLEObject>
        </w:object>
      </w:r>
      <w:r>
        <w:rPr>
          <w:color w:val="auto"/>
          <w:sz w:val="24"/>
        </w:rPr>
        <w:t xml:space="preserve">              （当pH</w:t>
      </w:r>
      <w:r>
        <w:rPr>
          <w:color w:val="auto"/>
          <w:sz w:val="24"/>
          <w:vertAlign w:val="subscript"/>
        </w:rPr>
        <w:t>j</w:t>
      </w:r>
      <w:r>
        <w:rPr>
          <w:color w:val="auto"/>
          <w:sz w:val="24"/>
        </w:rPr>
        <w:t>≤7.0时）；</w:t>
      </w:r>
    </w:p>
    <w:p>
      <w:pPr>
        <w:spacing w:line="360" w:lineRule="auto"/>
        <w:ind w:firstLine="1257" w:firstLineChars="524"/>
        <w:rPr>
          <w:color w:val="auto"/>
          <w:sz w:val="24"/>
        </w:rPr>
      </w:pPr>
      <w:r>
        <w:rPr>
          <w:color w:val="auto"/>
          <w:position w:val="-30"/>
          <w:sz w:val="24"/>
        </w:rPr>
        <w:object>
          <v:shape id="_x0000_i1027" o:spt="75" type="#_x0000_t75" style="height:36pt;width:85.8pt;" o:ole="t" filled="f" o:preferrelative="t" stroked="f" coordsize="21600,21600">
            <v:path/>
            <v:fill on="f" focussize="0,0"/>
            <v:stroke on="f" joinstyle="miter"/>
            <v:imagedata r:id="rId34" o:title=""/>
            <o:lock v:ext="edit" aspectratio="t"/>
            <w10:wrap type="none"/>
            <w10:anchorlock/>
          </v:shape>
          <o:OLEObject Type="Embed" ProgID="Equation.3" ShapeID="_x0000_i1027" DrawAspect="Content" ObjectID="_1468075736" r:id="rId33">
            <o:LockedField>false</o:LockedField>
          </o:OLEObject>
        </w:object>
      </w:r>
      <w:r>
        <w:rPr>
          <w:color w:val="auto"/>
          <w:sz w:val="24"/>
        </w:rPr>
        <w:t xml:space="preserve">              （当pH</w:t>
      </w:r>
      <w:r>
        <w:rPr>
          <w:color w:val="auto"/>
          <w:sz w:val="24"/>
          <w:vertAlign w:val="subscript"/>
        </w:rPr>
        <w:t>j</w:t>
      </w:r>
      <w:r>
        <w:rPr>
          <w:color w:val="auto"/>
          <w:sz w:val="24"/>
        </w:rPr>
        <w:t>&gt;7.0时）；</w:t>
      </w:r>
    </w:p>
    <w:p>
      <w:pPr>
        <w:spacing w:line="360" w:lineRule="auto"/>
        <w:ind w:firstLine="539"/>
        <w:rPr>
          <w:color w:val="auto"/>
          <w:sz w:val="24"/>
        </w:rPr>
      </w:pPr>
      <w:r>
        <w:rPr>
          <w:color w:val="auto"/>
          <w:sz w:val="24"/>
        </w:rPr>
        <w:t>式中：S</w:t>
      </w:r>
      <w:r>
        <w:rPr>
          <w:color w:val="auto"/>
          <w:sz w:val="24"/>
          <w:vertAlign w:val="subscript"/>
        </w:rPr>
        <w:t>pH</w:t>
      </w:r>
      <w:r>
        <w:rPr>
          <w:color w:val="auto"/>
          <w:sz w:val="24"/>
        </w:rPr>
        <w:t>——pH值的分指数</w:t>
      </w:r>
    </w:p>
    <w:p>
      <w:pPr>
        <w:spacing w:line="360" w:lineRule="auto"/>
        <w:ind w:firstLine="540"/>
        <w:rPr>
          <w:color w:val="auto"/>
          <w:sz w:val="24"/>
        </w:rPr>
      </w:pPr>
      <w:r>
        <w:rPr>
          <w:color w:val="auto"/>
          <w:sz w:val="24"/>
        </w:rPr>
        <w:t xml:space="preserve">      pH</w:t>
      </w:r>
      <w:r>
        <w:rPr>
          <w:color w:val="auto"/>
          <w:sz w:val="24"/>
          <w:vertAlign w:val="subscript"/>
        </w:rPr>
        <w:t>j</w:t>
      </w:r>
      <w:r>
        <w:rPr>
          <w:color w:val="auto"/>
          <w:sz w:val="24"/>
        </w:rPr>
        <w:t>——pH实测值；</w:t>
      </w:r>
    </w:p>
    <w:p>
      <w:pPr>
        <w:spacing w:line="360" w:lineRule="auto"/>
        <w:ind w:firstLine="540"/>
        <w:rPr>
          <w:color w:val="auto"/>
          <w:sz w:val="24"/>
        </w:rPr>
      </w:pPr>
      <w:r>
        <w:rPr>
          <w:color w:val="auto"/>
          <w:sz w:val="24"/>
        </w:rPr>
        <w:t xml:space="preserve">      pH</w:t>
      </w:r>
      <w:r>
        <w:rPr>
          <w:color w:val="auto"/>
          <w:sz w:val="24"/>
          <w:vertAlign w:val="subscript"/>
        </w:rPr>
        <w:t>Sd</w:t>
      </w:r>
      <w:r>
        <w:rPr>
          <w:color w:val="auto"/>
          <w:sz w:val="24"/>
        </w:rPr>
        <w:t>——pH值评价标准的下限值；</w:t>
      </w:r>
    </w:p>
    <w:p>
      <w:pPr>
        <w:spacing w:line="360" w:lineRule="auto"/>
        <w:rPr>
          <w:color w:val="auto"/>
          <w:sz w:val="24"/>
        </w:rPr>
      </w:pPr>
      <w:r>
        <w:rPr>
          <w:color w:val="auto"/>
          <w:sz w:val="24"/>
        </w:rPr>
        <w:t xml:space="preserve">           pH</w:t>
      </w:r>
      <w:r>
        <w:rPr>
          <w:color w:val="auto"/>
          <w:sz w:val="24"/>
          <w:vertAlign w:val="subscript"/>
        </w:rPr>
        <w:t>Su</w:t>
      </w:r>
      <w:r>
        <w:rPr>
          <w:color w:val="auto"/>
          <w:sz w:val="24"/>
        </w:rPr>
        <w:t>——pH值评价标准的上限值。</w:t>
      </w:r>
    </w:p>
    <w:p>
      <w:pPr>
        <w:spacing w:line="360" w:lineRule="auto"/>
        <w:ind w:firstLine="480" w:firstLineChars="200"/>
        <w:rPr>
          <w:color w:val="auto"/>
          <w:sz w:val="24"/>
        </w:rPr>
      </w:pPr>
      <w:r>
        <w:rPr>
          <w:color w:val="auto"/>
          <w:sz w:val="24"/>
        </w:rPr>
        <w:t>③评价结果</w:t>
      </w:r>
    </w:p>
    <w:p>
      <w:pPr>
        <w:spacing w:line="360" w:lineRule="auto"/>
        <w:ind w:firstLine="480" w:firstLineChars="200"/>
        <w:rPr>
          <w:b/>
          <w:bCs/>
          <w:color w:val="auto"/>
          <w:sz w:val="24"/>
        </w:rPr>
      </w:pPr>
      <w:r>
        <w:rPr>
          <w:color w:val="auto"/>
          <w:sz w:val="24"/>
        </w:rPr>
        <w:t>地表水现状评价结果见下表。</w:t>
      </w:r>
    </w:p>
    <w:p>
      <w:pPr>
        <w:spacing w:line="360" w:lineRule="auto"/>
        <w:jc w:val="center"/>
        <w:rPr>
          <w:b/>
          <w:bCs/>
          <w:color w:val="auto"/>
          <w:sz w:val="24"/>
        </w:rPr>
      </w:pPr>
      <w:r>
        <w:rPr>
          <w:rFonts w:hint="eastAsia"/>
          <w:b/>
          <w:bCs/>
          <w:color w:val="auto"/>
          <w:sz w:val="24"/>
        </w:rPr>
        <w:t>表5</w:t>
      </w:r>
      <w:r>
        <w:rPr>
          <w:b/>
          <w:bCs/>
          <w:color w:val="auto"/>
          <w:sz w:val="24"/>
        </w:rPr>
        <w:t>-5  地表水环境质量现状评价结果</w:t>
      </w:r>
    </w:p>
    <w:tbl>
      <w:tblPr>
        <w:tblStyle w:val="5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29"/>
        <w:gridCol w:w="1200"/>
        <w:gridCol w:w="987"/>
        <w:gridCol w:w="987"/>
        <w:gridCol w:w="987"/>
        <w:gridCol w:w="987"/>
        <w:gridCol w:w="987"/>
        <w:gridCol w:w="98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 w:hRule="atLeast"/>
        </w:trPr>
        <w:tc>
          <w:tcPr>
            <w:tcW w:w="1829" w:type="dxa"/>
            <w:vMerge w:val="restart"/>
            <w:vAlign w:val="center"/>
          </w:tcPr>
          <w:p>
            <w:pPr>
              <w:spacing w:line="300" w:lineRule="exact"/>
              <w:jc w:val="center"/>
              <w:rPr>
                <w:bCs/>
                <w:color w:val="auto"/>
                <w:szCs w:val="21"/>
              </w:rPr>
            </w:pPr>
            <w:r>
              <w:rPr>
                <w:bCs/>
                <w:color w:val="auto"/>
                <w:szCs w:val="21"/>
              </w:rPr>
              <w:t>采样地点</w:t>
            </w:r>
          </w:p>
        </w:tc>
        <w:tc>
          <w:tcPr>
            <w:tcW w:w="1200" w:type="dxa"/>
            <w:vMerge w:val="restart"/>
            <w:vAlign w:val="center"/>
          </w:tcPr>
          <w:p>
            <w:pPr>
              <w:spacing w:line="300" w:lineRule="exact"/>
              <w:jc w:val="center"/>
              <w:rPr>
                <w:bCs/>
                <w:color w:val="auto"/>
                <w:szCs w:val="21"/>
              </w:rPr>
            </w:pPr>
            <w:r>
              <w:rPr>
                <w:bCs/>
                <w:color w:val="auto"/>
                <w:szCs w:val="21"/>
              </w:rPr>
              <w:t>采样日期</w:t>
            </w:r>
          </w:p>
        </w:tc>
        <w:tc>
          <w:tcPr>
            <w:tcW w:w="5924" w:type="dxa"/>
            <w:gridSpan w:val="6"/>
            <w:vAlign w:val="center"/>
          </w:tcPr>
          <w:p>
            <w:pPr>
              <w:spacing w:line="300" w:lineRule="exact"/>
              <w:jc w:val="center"/>
              <w:rPr>
                <w:bCs/>
                <w:color w:val="auto"/>
                <w:szCs w:val="21"/>
              </w:rPr>
            </w:pPr>
            <w:r>
              <w:rPr>
                <w:bCs/>
                <w:color w:val="auto"/>
                <w:szCs w:val="21"/>
              </w:rPr>
              <w:t>检    测    项    目      （pH值为无量纲）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 w:hRule="atLeast"/>
        </w:trPr>
        <w:tc>
          <w:tcPr>
            <w:tcW w:w="1829" w:type="dxa"/>
            <w:vMerge w:val="continue"/>
            <w:vAlign w:val="center"/>
          </w:tcPr>
          <w:p>
            <w:pPr>
              <w:spacing w:line="300" w:lineRule="exact"/>
              <w:jc w:val="center"/>
              <w:rPr>
                <w:bCs/>
                <w:color w:val="auto"/>
                <w:szCs w:val="21"/>
              </w:rPr>
            </w:pPr>
          </w:p>
        </w:tc>
        <w:tc>
          <w:tcPr>
            <w:tcW w:w="1200" w:type="dxa"/>
            <w:vMerge w:val="continue"/>
            <w:vAlign w:val="center"/>
          </w:tcPr>
          <w:p>
            <w:pPr>
              <w:spacing w:line="300" w:lineRule="exact"/>
              <w:jc w:val="center"/>
              <w:rPr>
                <w:bCs/>
                <w:color w:val="auto"/>
                <w:szCs w:val="21"/>
              </w:rPr>
            </w:pPr>
          </w:p>
        </w:tc>
        <w:tc>
          <w:tcPr>
            <w:tcW w:w="987" w:type="dxa"/>
            <w:vAlign w:val="center"/>
          </w:tcPr>
          <w:p>
            <w:pPr>
              <w:spacing w:line="300" w:lineRule="exact"/>
              <w:jc w:val="center"/>
              <w:rPr>
                <w:bCs/>
                <w:color w:val="auto"/>
                <w:szCs w:val="21"/>
              </w:rPr>
            </w:pPr>
            <w:r>
              <w:rPr>
                <w:rFonts w:hint="eastAsia"/>
                <w:bCs/>
                <w:color w:val="auto"/>
                <w:szCs w:val="21"/>
              </w:rPr>
              <w:t>pH值</w:t>
            </w:r>
          </w:p>
        </w:tc>
        <w:tc>
          <w:tcPr>
            <w:tcW w:w="987" w:type="dxa"/>
            <w:vAlign w:val="center"/>
          </w:tcPr>
          <w:p>
            <w:pPr>
              <w:spacing w:line="300" w:lineRule="exact"/>
              <w:jc w:val="center"/>
              <w:rPr>
                <w:bCs/>
                <w:color w:val="auto"/>
                <w:szCs w:val="21"/>
              </w:rPr>
            </w:pPr>
            <w:r>
              <w:rPr>
                <w:rFonts w:hint="eastAsia"/>
                <w:bCs/>
                <w:color w:val="auto"/>
                <w:szCs w:val="21"/>
              </w:rPr>
              <w:t>BOD5</w:t>
            </w:r>
          </w:p>
        </w:tc>
        <w:tc>
          <w:tcPr>
            <w:tcW w:w="987" w:type="dxa"/>
            <w:vAlign w:val="center"/>
          </w:tcPr>
          <w:p>
            <w:pPr>
              <w:spacing w:line="300" w:lineRule="exact"/>
              <w:jc w:val="center"/>
              <w:rPr>
                <w:bCs/>
                <w:color w:val="auto"/>
                <w:szCs w:val="21"/>
              </w:rPr>
            </w:pPr>
            <w:r>
              <w:rPr>
                <w:rFonts w:hint="eastAsia"/>
                <w:bCs/>
                <w:color w:val="auto"/>
                <w:szCs w:val="21"/>
              </w:rPr>
              <w:t>总磷</w:t>
            </w:r>
          </w:p>
        </w:tc>
        <w:tc>
          <w:tcPr>
            <w:tcW w:w="987" w:type="dxa"/>
            <w:vAlign w:val="center"/>
          </w:tcPr>
          <w:p>
            <w:pPr>
              <w:spacing w:line="300" w:lineRule="exact"/>
              <w:jc w:val="center"/>
              <w:rPr>
                <w:bCs/>
                <w:color w:val="auto"/>
                <w:szCs w:val="21"/>
              </w:rPr>
            </w:pPr>
            <w:r>
              <w:rPr>
                <w:rFonts w:hint="eastAsia"/>
                <w:bCs/>
                <w:color w:val="auto"/>
                <w:szCs w:val="21"/>
              </w:rPr>
              <w:t>氨氮</w:t>
            </w:r>
          </w:p>
        </w:tc>
        <w:tc>
          <w:tcPr>
            <w:tcW w:w="987" w:type="dxa"/>
            <w:vAlign w:val="center"/>
          </w:tcPr>
          <w:p>
            <w:pPr>
              <w:spacing w:line="300" w:lineRule="exact"/>
              <w:jc w:val="center"/>
              <w:rPr>
                <w:bCs/>
                <w:color w:val="auto"/>
                <w:szCs w:val="21"/>
              </w:rPr>
            </w:pPr>
            <w:r>
              <w:rPr>
                <w:rFonts w:hint="eastAsia"/>
                <w:bCs/>
                <w:color w:val="auto"/>
                <w:szCs w:val="21"/>
              </w:rPr>
              <w:t>CODcr</w:t>
            </w:r>
          </w:p>
        </w:tc>
        <w:tc>
          <w:tcPr>
            <w:tcW w:w="989" w:type="dxa"/>
            <w:vAlign w:val="center"/>
          </w:tcPr>
          <w:p>
            <w:pPr>
              <w:spacing w:line="300" w:lineRule="exact"/>
              <w:jc w:val="center"/>
              <w:rPr>
                <w:bCs/>
                <w:color w:val="auto"/>
                <w:szCs w:val="21"/>
              </w:rPr>
            </w:pPr>
            <w:r>
              <w:rPr>
                <w:rFonts w:hint="eastAsia"/>
                <w:bCs/>
                <w:color w:val="auto"/>
                <w:szCs w:val="21"/>
              </w:rPr>
              <w:t>石油类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 w:hRule="atLeast"/>
        </w:trPr>
        <w:tc>
          <w:tcPr>
            <w:tcW w:w="1829" w:type="dxa"/>
            <w:vMerge w:val="restart"/>
            <w:vAlign w:val="center"/>
          </w:tcPr>
          <w:p>
            <w:pPr>
              <w:spacing w:line="300" w:lineRule="exact"/>
              <w:jc w:val="center"/>
              <w:rPr>
                <w:bCs/>
                <w:color w:val="auto"/>
                <w:szCs w:val="21"/>
              </w:rPr>
            </w:pPr>
            <w:r>
              <w:rPr>
                <w:rFonts w:hint="eastAsia"/>
                <w:bCs/>
                <w:color w:val="auto"/>
                <w:szCs w:val="21"/>
                <w:lang w:eastAsia="zh-CN"/>
              </w:rPr>
              <w:t>宁国市污水处理厂</w:t>
            </w:r>
            <w:r>
              <w:rPr>
                <w:rFonts w:hint="eastAsia"/>
                <w:bCs/>
                <w:color w:val="auto"/>
                <w:szCs w:val="21"/>
              </w:rPr>
              <w:t>污水总排口</w:t>
            </w:r>
            <w:r>
              <w:rPr>
                <w:bCs/>
                <w:color w:val="auto"/>
                <w:szCs w:val="21"/>
              </w:rPr>
              <w:t>入</w:t>
            </w:r>
            <w:r>
              <w:rPr>
                <w:rFonts w:hint="eastAsia"/>
                <w:bCs/>
                <w:color w:val="auto"/>
                <w:szCs w:val="21"/>
                <w:lang w:eastAsia="zh-CN"/>
              </w:rPr>
              <w:t>东</w:t>
            </w:r>
            <w:r>
              <w:rPr>
                <w:bCs/>
                <w:color w:val="auto"/>
                <w:szCs w:val="21"/>
              </w:rPr>
              <w:t>津河上游500m</w:t>
            </w:r>
          </w:p>
        </w:tc>
        <w:tc>
          <w:tcPr>
            <w:tcW w:w="1200" w:type="dxa"/>
            <w:vAlign w:val="center"/>
          </w:tcPr>
          <w:p>
            <w:pPr>
              <w:spacing w:line="300" w:lineRule="exact"/>
              <w:jc w:val="center"/>
              <w:rPr>
                <w:bCs/>
                <w:color w:val="auto"/>
                <w:szCs w:val="21"/>
              </w:rPr>
            </w:pPr>
            <w:r>
              <w:rPr>
                <w:rFonts w:hint="eastAsia"/>
                <w:bCs/>
                <w:color w:val="auto"/>
                <w:szCs w:val="21"/>
              </w:rPr>
              <w:t>2020.</w:t>
            </w:r>
            <w:r>
              <w:rPr>
                <w:rFonts w:hint="eastAsia"/>
                <w:bCs/>
                <w:color w:val="auto"/>
                <w:szCs w:val="21"/>
                <w:lang w:val="en-US" w:eastAsia="zh-CN"/>
              </w:rPr>
              <w:t>8</w:t>
            </w:r>
            <w:r>
              <w:rPr>
                <w:rFonts w:hint="eastAsia"/>
                <w:bCs/>
                <w:color w:val="auto"/>
                <w:szCs w:val="21"/>
              </w:rPr>
              <w:t>.14</w:t>
            </w:r>
          </w:p>
        </w:tc>
        <w:tc>
          <w:tcPr>
            <w:tcW w:w="987" w:type="dxa"/>
            <w:vAlign w:val="center"/>
          </w:tcPr>
          <w:p>
            <w:pPr>
              <w:spacing w:line="300" w:lineRule="exact"/>
              <w:jc w:val="center"/>
              <w:rPr>
                <w:bCs/>
                <w:color w:val="auto"/>
                <w:szCs w:val="21"/>
              </w:rPr>
            </w:pPr>
            <w:r>
              <w:rPr>
                <w:rFonts w:hint="eastAsia"/>
                <w:bCs/>
                <w:color w:val="auto"/>
                <w:szCs w:val="21"/>
              </w:rPr>
              <w:t>0.925</w:t>
            </w:r>
          </w:p>
        </w:tc>
        <w:tc>
          <w:tcPr>
            <w:tcW w:w="987" w:type="dxa"/>
            <w:vAlign w:val="center"/>
          </w:tcPr>
          <w:p>
            <w:pPr>
              <w:spacing w:line="300" w:lineRule="exact"/>
              <w:jc w:val="center"/>
              <w:rPr>
                <w:bCs/>
                <w:color w:val="auto"/>
                <w:szCs w:val="21"/>
              </w:rPr>
            </w:pPr>
            <w:r>
              <w:rPr>
                <w:rFonts w:hint="eastAsia"/>
                <w:bCs/>
                <w:color w:val="auto"/>
                <w:szCs w:val="21"/>
              </w:rPr>
              <w:t>0.4</w:t>
            </w:r>
          </w:p>
        </w:tc>
        <w:tc>
          <w:tcPr>
            <w:tcW w:w="987" w:type="dxa"/>
            <w:vAlign w:val="center"/>
          </w:tcPr>
          <w:p>
            <w:pPr>
              <w:spacing w:line="300" w:lineRule="exact"/>
              <w:jc w:val="center"/>
              <w:rPr>
                <w:bCs/>
                <w:color w:val="auto"/>
                <w:szCs w:val="21"/>
              </w:rPr>
            </w:pPr>
            <w:r>
              <w:rPr>
                <w:rFonts w:hint="eastAsia"/>
                <w:bCs/>
                <w:color w:val="auto"/>
                <w:szCs w:val="21"/>
              </w:rPr>
              <w:t>0.3</w:t>
            </w:r>
          </w:p>
        </w:tc>
        <w:tc>
          <w:tcPr>
            <w:tcW w:w="987" w:type="dxa"/>
            <w:vAlign w:val="center"/>
          </w:tcPr>
          <w:p>
            <w:pPr>
              <w:spacing w:line="300" w:lineRule="exact"/>
              <w:jc w:val="center"/>
              <w:rPr>
                <w:bCs/>
                <w:color w:val="auto"/>
                <w:szCs w:val="21"/>
              </w:rPr>
            </w:pPr>
            <w:r>
              <w:rPr>
                <w:rFonts w:hint="eastAsia"/>
                <w:bCs/>
                <w:color w:val="auto"/>
                <w:szCs w:val="21"/>
              </w:rPr>
              <w:t>0.11</w:t>
            </w:r>
          </w:p>
        </w:tc>
        <w:tc>
          <w:tcPr>
            <w:tcW w:w="987" w:type="dxa"/>
            <w:vAlign w:val="center"/>
          </w:tcPr>
          <w:p>
            <w:pPr>
              <w:spacing w:line="300" w:lineRule="exact"/>
              <w:jc w:val="center"/>
              <w:rPr>
                <w:bCs/>
                <w:color w:val="auto"/>
                <w:szCs w:val="21"/>
              </w:rPr>
            </w:pPr>
            <w:r>
              <w:rPr>
                <w:rFonts w:hint="eastAsia"/>
                <w:bCs/>
                <w:color w:val="auto"/>
                <w:szCs w:val="21"/>
              </w:rPr>
              <w:t>0.5</w:t>
            </w:r>
          </w:p>
        </w:tc>
        <w:tc>
          <w:tcPr>
            <w:tcW w:w="989" w:type="dxa"/>
            <w:vAlign w:val="center"/>
          </w:tcPr>
          <w:p>
            <w:pPr>
              <w:spacing w:line="300" w:lineRule="exact"/>
              <w:jc w:val="center"/>
              <w:rPr>
                <w:bCs/>
                <w:color w:val="auto"/>
                <w:szCs w:val="21"/>
              </w:rPr>
            </w:pPr>
            <w:r>
              <w:rPr>
                <w:bCs/>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 w:hRule="atLeast"/>
        </w:trPr>
        <w:tc>
          <w:tcPr>
            <w:tcW w:w="1829" w:type="dxa"/>
            <w:vMerge w:val="continue"/>
            <w:vAlign w:val="center"/>
          </w:tcPr>
          <w:p>
            <w:pPr>
              <w:spacing w:line="300" w:lineRule="exact"/>
              <w:jc w:val="center"/>
              <w:rPr>
                <w:bCs/>
                <w:color w:val="auto"/>
                <w:szCs w:val="21"/>
              </w:rPr>
            </w:pPr>
          </w:p>
        </w:tc>
        <w:tc>
          <w:tcPr>
            <w:tcW w:w="1200" w:type="dxa"/>
            <w:vAlign w:val="center"/>
          </w:tcPr>
          <w:p>
            <w:pPr>
              <w:spacing w:line="300" w:lineRule="exact"/>
              <w:jc w:val="center"/>
              <w:rPr>
                <w:bCs/>
                <w:color w:val="auto"/>
                <w:szCs w:val="21"/>
              </w:rPr>
            </w:pPr>
            <w:r>
              <w:rPr>
                <w:rFonts w:hint="eastAsia"/>
                <w:bCs/>
                <w:color w:val="auto"/>
                <w:szCs w:val="21"/>
              </w:rPr>
              <w:t>2020.</w:t>
            </w:r>
            <w:r>
              <w:rPr>
                <w:rFonts w:hint="eastAsia"/>
                <w:bCs/>
                <w:color w:val="auto"/>
                <w:szCs w:val="21"/>
                <w:lang w:val="en-US" w:eastAsia="zh-CN"/>
              </w:rPr>
              <w:t>8</w:t>
            </w:r>
            <w:r>
              <w:rPr>
                <w:rFonts w:hint="eastAsia"/>
                <w:bCs/>
                <w:color w:val="auto"/>
                <w:szCs w:val="21"/>
              </w:rPr>
              <w:t>.15</w:t>
            </w:r>
          </w:p>
        </w:tc>
        <w:tc>
          <w:tcPr>
            <w:tcW w:w="987" w:type="dxa"/>
            <w:vAlign w:val="center"/>
          </w:tcPr>
          <w:p>
            <w:pPr>
              <w:spacing w:line="300" w:lineRule="exact"/>
              <w:jc w:val="center"/>
              <w:rPr>
                <w:bCs/>
                <w:color w:val="auto"/>
                <w:szCs w:val="21"/>
              </w:rPr>
            </w:pPr>
            <w:r>
              <w:rPr>
                <w:rFonts w:hint="eastAsia"/>
                <w:bCs/>
                <w:color w:val="auto"/>
                <w:szCs w:val="21"/>
              </w:rPr>
              <w:t>0.7</w:t>
            </w:r>
          </w:p>
        </w:tc>
        <w:tc>
          <w:tcPr>
            <w:tcW w:w="987" w:type="dxa"/>
            <w:vAlign w:val="center"/>
          </w:tcPr>
          <w:p>
            <w:pPr>
              <w:spacing w:line="300" w:lineRule="exact"/>
              <w:jc w:val="center"/>
              <w:rPr>
                <w:bCs/>
                <w:color w:val="auto"/>
                <w:szCs w:val="21"/>
              </w:rPr>
            </w:pPr>
            <w:r>
              <w:rPr>
                <w:rFonts w:hint="eastAsia"/>
                <w:bCs/>
                <w:color w:val="auto"/>
                <w:szCs w:val="21"/>
              </w:rPr>
              <w:t>0.4</w:t>
            </w:r>
          </w:p>
        </w:tc>
        <w:tc>
          <w:tcPr>
            <w:tcW w:w="987" w:type="dxa"/>
            <w:vAlign w:val="center"/>
          </w:tcPr>
          <w:p>
            <w:pPr>
              <w:spacing w:line="300" w:lineRule="exact"/>
              <w:jc w:val="center"/>
              <w:rPr>
                <w:bCs/>
                <w:color w:val="auto"/>
                <w:szCs w:val="21"/>
              </w:rPr>
            </w:pPr>
            <w:r>
              <w:rPr>
                <w:rFonts w:hint="eastAsia"/>
                <w:bCs/>
                <w:color w:val="auto"/>
                <w:szCs w:val="21"/>
              </w:rPr>
              <w:t>0.9</w:t>
            </w:r>
          </w:p>
        </w:tc>
        <w:tc>
          <w:tcPr>
            <w:tcW w:w="987" w:type="dxa"/>
            <w:vAlign w:val="center"/>
          </w:tcPr>
          <w:p>
            <w:pPr>
              <w:spacing w:line="300" w:lineRule="exact"/>
              <w:jc w:val="center"/>
              <w:rPr>
                <w:bCs/>
                <w:color w:val="auto"/>
                <w:szCs w:val="21"/>
              </w:rPr>
            </w:pPr>
            <w:r>
              <w:rPr>
                <w:rFonts w:hint="eastAsia"/>
                <w:bCs/>
                <w:color w:val="auto"/>
                <w:szCs w:val="21"/>
              </w:rPr>
              <w:t>0.2</w:t>
            </w:r>
          </w:p>
        </w:tc>
        <w:tc>
          <w:tcPr>
            <w:tcW w:w="987" w:type="dxa"/>
            <w:vAlign w:val="center"/>
          </w:tcPr>
          <w:p>
            <w:pPr>
              <w:spacing w:line="300" w:lineRule="exact"/>
              <w:jc w:val="center"/>
              <w:rPr>
                <w:bCs/>
                <w:color w:val="auto"/>
                <w:szCs w:val="21"/>
              </w:rPr>
            </w:pPr>
            <w:r>
              <w:rPr>
                <w:rFonts w:hint="eastAsia"/>
                <w:bCs/>
                <w:color w:val="auto"/>
                <w:szCs w:val="21"/>
              </w:rPr>
              <w:t>0.6</w:t>
            </w:r>
          </w:p>
        </w:tc>
        <w:tc>
          <w:tcPr>
            <w:tcW w:w="989" w:type="dxa"/>
            <w:vAlign w:val="center"/>
          </w:tcPr>
          <w:p>
            <w:pPr>
              <w:spacing w:line="300" w:lineRule="exact"/>
              <w:jc w:val="center"/>
              <w:rPr>
                <w:bCs/>
                <w:color w:val="auto"/>
                <w:szCs w:val="21"/>
              </w:rPr>
            </w:pPr>
            <w:r>
              <w:rPr>
                <w:bCs/>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 w:hRule="atLeast"/>
        </w:trPr>
        <w:tc>
          <w:tcPr>
            <w:tcW w:w="1829" w:type="dxa"/>
            <w:vMerge w:val="restart"/>
            <w:vAlign w:val="center"/>
          </w:tcPr>
          <w:p>
            <w:pPr>
              <w:spacing w:line="300" w:lineRule="exact"/>
              <w:jc w:val="center"/>
              <w:rPr>
                <w:bCs/>
                <w:color w:val="auto"/>
                <w:szCs w:val="21"/>
              </w:rPr>
            </w:pPr>
            <w:r>
              <w:rPr>
                <w:rFonts w:hint="eastAsia"/>
                <w:bCs/>
                <w:color w:val="auto"/>
                <w:szCs w:val="21"/>
                <w:lang w:eastAsia="zh-CN"/>
              </w:rPr>
              <w:t>宁国市污水处理厂</w:t>
            </w:r>
            <w:r>
              <w:rPr>
                <w:rFonts w:hint="eastAsia"/>
                <w:bCs/>
                <w:color w:val="auto"/>
                <w:szCs w:val="21"/>
              </w:rPr>
              <w:t>污水总排口</w:t>
            </w:r>
            <w:r>
              <w:rPr>
                <w:bCs/>
                <w:color w:val="auto"/>
                <w:szCs w:val="21"/>
              </w:rPr>
              <w:t>入</w:t>
            </w:r>
            <w:r>
              <w:rPr>
                <w:rFonts w:hint="eastAsia"/>
                <w:bCs/>
                <w:color w:val="auto"/>
                <w:szCs w:val="21"/>
                <w:lang w:eastAsia="zh-CN"/>
              </w:rPr>
              <w:t>东</w:t>
            </w:r>
            <w:r>
              <w:rPr>
                <w:bCs/>
                <w:color w:val="auto"/>
                <w:szCs w:val="21"/>
              </w:rPr>
              <w:t>津河下游1000m</w:t>
            </w:r>
          </w:p>
        </w:tc>
        <w:tc>
          <w:tcPr>
            <w:tcW w:w="1200" w:type="dxa"/>
            <w:vAlign w:val="center"/>
          </w:tcPr>
          <w:p>
            <w:pPr>
              <w:spacing w:line="300" w:lineRule="exact"/>
              <w:jc w:val="center"/>
              <w:rPr>
                <w:rFonts w:ascii="Times New Roman" w:hAnsi="Times New Roman" w:eastAsia="宋体" w:cs="Times New Roman"/>
                <w:bCs/>
                <w:color w:val="auto"/>
                <w:kern w:val="2"/>
                <w:sz w:val="21"/>
                <w:szCs w:val="21"/>
                <w:lang w:val="en-US" w:eastAsia="zh-CN" w:bidi="ar-SA"/>
              </w:rPr>
            </w:pPr>
            <w:r>
              <w:rPr>
                <w:rFonts w:hint="eastAsia"/>
                <w:bCs/>
                <w:color w:val="auto"/>
                <w:szCs w:val="21"/>
              </w:rPr>
              <w:t>2020.</w:t>
            </w:r>
            <w:r>
              <w:rPr>
                <w:rFonts w:hint="eastAsia"/>
                <w:bCs/>
                <w:color w:val="auto"/>
                <w:szCs w:val="21"/>
                <w:lang w:val="en-US" w:eastAsia="zh-CN"/>
              </w:rPr>
              <w:t>8</w:t>
            </w:r>
            <w:r>
              <w:rPr>
                <w:rFonts w:hint="eastAsia"/>
                <w:bCs/>
                <w:color w:val="auto"/>
                <w:szCs w:val="21"/>
              </w:rPr>
              <w:t>.14</w:t>
            </w:r>
          </w:p>
        </w:tc>
        <w:tc>
          <w:tcPr>
            <w:tcW w:w="987" w:type="dxa"/>
            <w:vAlign w:val="center"/>
          </w:tcPr>
          <w:p>
            <w:pPr>
              <w:spacing w:line="300" w:lineRule="exact"/>
              <w:jc w:val="center"/>
              <w:rPr>
                <w:bCs/>
                <w:color w:val="auto"/>
                <w:szCs w:val="21"/>
              </w:rPr>
            </w:pPr>
            <w:r>
              <w:rPr>
                <w:rFonts w:hint="eastAsia"/>
                <w:bCs/>
                <w:color w:val="auto"/>
                <w:szCs w:val="21"/>
              </w:rPr>
              <w:t>0.945</w:t>
            </w:r>
          </w:p>
        </w:tc>
        <w:tc>
          <w:tcPr>
            <w:tcW w:w="987" w:type="dxa"/>
            <w:vAlign w:val="center"/>
          </w:tcPr>
          <w:p>
            <w:pPr>
              <w:spacing w:line="300" w:lineRule="exact"/>
              <w:jc w:val="center"/>
              <w:rPr>
                <w:bCs/>
                <w:color w:val="auto"/>
                <w:szCs w:val="21"/>
              </w:rPr>
            </w:pPr>
            <w:r>
              <w:rPr>
                <w:rFonts w:hint="eastAsia"/>
                <w:bCs/>
                <w:color w:val="auto"/>
                <w:szCs w:val="21"/>
              </w:rPr>
              <w:t>0.45</w:t>
            </w:r>
          </w:p>
        </w:tc>
        <w:tc>
          <w:tcPr>
            <w:tcW w:w="987" w:type="dxa"/>
            <w:vAlign w:val="center"/>
          </w:tcPr>
          <w:p>
            <w:pPr>
              <w:spacing w:line="300" w:lineRule="exact"/>
              <w:jc w:val="center"/>
              <w:rPr>
                <w:bCs/>
                <w:color w:val="auto"/>
                <w:szCs w:val="21"/>
              </w:rPr>
            </w:pPr>
            <w:r>
              <w:rPr>
                <w:rFonts w:hint="eastAsia"/>
                <w:bCs/>
                <w:color w:val="auto"/>
                <w:szCs w:val="21"/>
              </w:rPr>
              <w:t>0.4</w:t>
            </w:r>
          </w:p>
        </w:tc>
        <w:tc>
          <w:tcPr>
            <w:tcW w:w="987" w:type="dxa"/>
            <w:vAlign w:val="center"/>
          </w:tcPr>
          <w:p>
            <w:pPr>
              <w:spacing w:line="300" w:lineRule="exact"/>
              <w:jc w:val="center"/>
              <w:rPr>
                <w:bCs/>
                <w:color w:val="auto"/>
                <w:szCs w:val="21"/>
              </w:rPr>
            </w:pPr>
            <w:r>
              <w:rPr>
                <w:rFonts w:hint="eastAsia"/>
                <w:bCs/>
                <w:color w:val="auto"/>
                <w:szCs w:val="21"/>
              </w:rPr>
              <w:t>0.12</w:t>
            </w:r>
          </w:p>
        </w:tc>
        <w:tc>
          <w:tcPr>
            <w:tcW w:w="987" w:type="dxa"/>
            <w:vAlign w:val="center"/>
          </w:tcPr>
          <w:p>
            <w:pPr>
              <w:spacing w:line="300" w:lineRule="exact"/>
              <w:jc w:val="center"/>
              <w:rPr>
                <w:bCs/>
                <w:color w:val="auto"/>
                <w:szCs w:val="21"/>
              </w:rPr>
            </w:pPr>
            <w:r>
              <w:rPr>
                <w:rFonts w:hint="eastAsia"/>
                <w:bCs/>
                <w:color w:val="auto"/>
                <w:szCs w:val="21"/>
              </w:rPr>
              <w:t>0.85</w:t>
            </w:r>
          </w:p>
        </w:tc>
        <w:tc>
          <w:tcPr>
            <w:tcW w:w="989" w:type="dxa"/>
            <w:vAlign w:val="center"/>
          </w:tcPr>
          <w:p>
            <w:pPr>
              <w:spacing w:line="300" w:lineRule="exact"/>
              <w:jc w:val="center"/>
              <w:rPr>
                <w:bCs/>
                <w:color w:val="auto"/>
                <w:szCs w:val="21"/>
              </w:rPr>
            </w:pPr>
            <w:r>
              <w:rPr>
                <w:bCs/>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 w:hRule="atLeast"/>
        </w:trPr>
        <w:tc>
          <w:tcPr>
            <w:tcW w:w="1829" w:type="dxa"/>
            <w:vMerge w:val="continue"/>
            <w:vAlign w:val="center"/>
          </w:tcPr>
          <w:p>
            <w:pPr>
              <w:spacing w:line="300" w:lineRule="exact"/>
              <w:jc w:val="center"/>
              <w:rPr>
                <w:bCs/>
                <w:color w:val="auto"/>
                <w:szCs w:val="21"/>
              </w:rPr>
            </w:pPr>
          </w:p>
        </w:tc>
        <w:tc>
          <w:tcPr>
            <w:tcW w:w="1200" w:type="dxa"/>
            <w:vAlign w:val="center"/>
          </w:tcPr>
          <w:p>
            <w:pPr>
              <w:spacing w:line="300" w:lineRule="exact"/>
              <w:jc w:val="center"/>
              <w:rPr>
                <w:rFonts w:ascii="Times New Roman" w:hAnsi="Times New Roman" w:eastAsia="宋体" w:cs="Times New Roman"/>
                <w:bCs/>
                <w:color w:val="auto"/>
                <w:kern w:val="2"/>
                <w:sz w:val="21"/>
                <w:szCs w:val="21"/>
                <w:lang w:val="en-US" w:eastAsia="zh-CN" w:bidi="ar-SA"/>
              </w:rPr>
            </w:pPr>
            <w:r>
              <w:rPr>
                <w:rFonts w:hint="eastAsia"/>
                <w:bCs/>
                <w:color w:val="auto"/>
                <w:szCs w:val="21"/>
              </w:rPr>
              <w:t>2020.</w:t>
            </w:r>
            <w:r>
              <w:rPr>
                <w:rFonts w:hint="eastAsia"/>
                <w:bCs/>
                <w:color w:val="auto"/>
                <w:szCs w:val="21"/>
                <w:lang w:val="en-US" w:eastAsia="zh-CN"/>
              </w:rPr>
              <w:t>8</w:t>
            </w:r>
            <w:r>
              <w:rPr>
                <w:rFonts w:hint="eastAsia"/>
                <w:bCs/>
                <w:color w:val="auto"/>
                <w:szCs w:val="21"/>
              </w:rPr>
              <w:t>.15</w:t>
            </w:r>
          </w:p>
        </w:tc>
        <w:tc>
          <w:tcPr>
            <w:tcW w:w="987" w:type="dxa"/>
            <w:vAlign w:val="center"/>
          </w:tcPr>
          <w:p>
            <w:pPr>
              <w:spacing w:line="300" w:lineRule="exact"/>
              <w:jc w:val="center"/>
              <w:rPr>
                <w:bCs/>
                <w:color w:val="auto"/>
                <w:szCs w:val="21"/>
              </w:rPr>
            </w:pPr>
            <w:r>
              <w:rPr>
                <w:rFonts w:hint="eastAsia"/>
                <w:bCs/>
                <w:color w:val="auto"/>
                <w:szCs w:val="21"/>
              </w:rPr>
              <w:t>0.72</w:t>
            </w:r>
          </w:p>
        </w:tc>
        <w:tc>
          <w:tcPr>
            <w:tcW w:w="987" w:type="dxa"/>
            <w:vAlign w:val="center"/>
          </w:tcPr>
          <w:p>
            <w:pPr>
              <w:spacing w:line="300" w:lineRule="exact"/>
              <w:jc w:val="center"/>
              <w:rPr>
                <w:bCs/>
                <w:color w:val="auto"/>
                <w:szCs w:val="21"/>
              </w:rPr>
            </w:pPr>
            <w:r>
              <w:rPr>
                <w:rFonts w:hint="eastAsia"/>
                <w:bCs/>
                <w:color w:val="auto"/>
                <w:szCs w:val="21"/>
              </w:rPr>
              <w:t>0.45</w:t>
            </w:r>
          </w:p>
        </w:tc>
        <w:tc>
          <w:tcPr>
            <w:tcW w:w="987" w:type="dxa"/>
            <w:vAlign w:val="center"/>
          </w:tcPr>
          <w:p>
            <w:pPr>
              <w:spacing w:line="300" w:lineRule="exact"/>
              <w:jc w:val="center"/>
              <w:rPr>
                <w:bCs/>
                <w:color w:val="auto"/>
                <w:szCs w:val="21"/>
              </w:rPr>
            </w:pPr>
            <w:r>
              <w:rPr>
                <w:rFonts w:hint="eastAsia"/>
                <w:bCs/>
                <w:color w:val="auto"/>
                <w:szCs w:val="21"/>
              </w:rPr>
              <w:t>0.5</w:t>
            </w:r>
          </w:p>
        </w:tc>
        <w:tc>
          <w:tcPr>
            <w:tcW w:w="987" w:type="dxa"/>
            <w:vAlign w:val="center"/>
          </w:tcPr>
          <w:p>
            <w:pPr>
              <w:spacing w:line="300" w:lineRule="exact"/>
              <w:jc w:val="center"/>
              <w:rPr>
                <w:bCs/>
                <w:color w:val="auto"/>
                <w:szCs w:val="21"/>
              </w:rPr>
            </w:pPr>
            <w:r>
              <w:rPr>
                <w:rFonts w:hint="eastAsia"/>
                <w:bCs/>
                <w:color w:val="auto"/>
                <w:szCs w:val="21"/>
              </w:rPr>
              <w:t>0.23</w:t>
            </w:r>
          </w:p>
        </w:tc>
        <w:tc>
          <w:tcPr>
            <w:tcW w:w="987" w:type="dxa"/>
            <w:vAlign w:val="center"/>
          </w:tcPr>
          <w:p>
            <w:pPr>
              <w:spacing w:line="300" w:lineRule="exact"/>
              <w:jc w:val="center"/>
              <w:rPr>
                <w:bCs/>
                <w:color w:val="auto"/>
                <w:szCs w:val="21"/>
              </w:rPr>
            </w:pPr>
            <w:r>
              <w:rPr>
                <w:rFonts w:hint="eastAsia"/>
                <w:bCs/>
                <w:color w:val="auto"/>
                <w:szCs w:val="21"/>
              </w:rPr>
              <w:t>0.9</w:t>
            </w:r>
          </w:p>
        </w:tc>
        <w:tc>
          <w:tcPr>
            <w:tcW w:w="989" w:type="dxa"/>
            <w:vAlign w:val="center"/>
          </w:tcPr>
          <w:p>
            <w:pPr>
              <w:spacing w:line="300" w:lineRule="exact"/>
              <w:jc w:val="center"/>
              <w:rPr>
                <w:bCs/>
                <w:color w:val="auto"/>
                <w:szCs w:val="21"/>
              </w:rPr>
            </w:pPr>
            <w:r>
              <w:rPr>
                <w:bCs/>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 w:hRule="atLeast"/>
        </w:trPr>
        <w:tc>
          <w:tcPr>
            <w:tcW w:w="1829" w:type="dxa"/>
            <w:vMerge w:val="restart"/>
            <w:vAlign w:val="center"/>
          </w:tcPr>
          <w:p>
            <w:pPr>
              <w:spacing w:line="300" w:lineRule="exact"/>
              <w:jc w:val="center"/>
              <w:rPr>
                <w:bCs/>
                <w:color w:val="auto"/>
                <w:szCs w:val="21"/>
              </w:rPr>
            </w:pPr>
            <w:r>
              <w:rPr>
                <w:rFonts w:hint="eastAsia"/>
                <w:bCs/>
                <w:color w:val="auto"/>
                <w:szCs w:val="21"/>
                <w:lang w:eastAsia="zh-CN"/>
              </w:rPr>
              <w:t>宁国市污水处理厂</w:t>
            </w:r>
            <w:r>
              <w:rPr>
                <w:rFonts w:hint="eastAsia"/>
                <w:bCs/>
                <w:color w:val="auto"/>
                <w:szCs w:val="21"/>
              </w:rPr>
              <w:t>污水总排口</w:t>
            </w:r>
            <w:r>
              <w:rPr>
                <w:bCs/>
                <w:color w:val="auto"/>
                <w:szCs w:val="21"/>
              </w:rPr>
              <w:t>入</w:t>
            </w:r>
            <w:r>
              <w:rPr>
                <w:rFonts w:hint="eastAsia"/>
                <w:bCs/>
                <w:color w:val="auto"/>
                <w:szCs w:val="21"/>
                <w:lang w:eastAsia="zh-CN"/>
              </w:rPr>
              <w:t>东</w:t>
            </w:r>
            <w:r>
              <w:rPr>
                <w:bCs/>
                <w:color w:val="auto"/>
                <w:szCs w:val="21"/>
              </w:rPr>
              <w:t>津河下游2</w:t>
            </w:r>
            <w:r>
              <w:rPr>
                <w:rFonts w:hint="eastAsia"/>
                <w:bCs/>
                <w:color w:val="auto"/>
                <w:szCs w:val="21"/>
              </w:rPr>
              <w:t>0</w:t>
            </w:r>
            <w:r>
              <w:rPr>
                <w:bCs/>
                <w:color w:val="auto"/>
                <w:szCs w:val="21"/>
              </w:rPr>
              <w:t>00m</w:t>
            </w:r>
          </w:p>
        </w:tc>
        <w:tc>
          <w:tcPr>
            <w:tcW w:w="1200" w:type="dxa"/>
            <w:vAlign w:val="center"/>
          </w:tcPr>
          <w:p>
            <w:pPr>
              <w:spacing w:line="300" w:lineRule="exact"/>
              <w:jc w:val="center"/>
              <w:rPr>
                <w:rFonts w:ascii="Times New Roman" w:hAnsi="Times New Roman" w:eastAsia="宋体" w:cs="Times New Roman"/>
                <w:bCs/>
                <w:color w:val="auto"/>
                <w:kern w:val="2"/>
                <w:sz w:val="21"/>
                <w:szCs w:val="21"/>
                <w:lang w:val="en-US" w:eastAsia="zh-CN" w:bidi="ar-SA"/>
              </w:rPr>
            </w:pPr>
            <w:r>
              <w:rPr>
                <w:rFonts w:hint="eastAsia"/>
                <w:bCs/>
                <w:color w:val="auto"/>
                <w:szCs w:val="21"/>
              </w:rPr>
              <w:t>2020.</w:t>
            </w:r>
            <w:r>
              <w:rPr>
                <w:rFonts w:hint="eastAsia"/>
                <w:bCs/>
                <w:color w:val="auto"/>
                <w:szCs w:val="21"/>
                <w:lang w:val="en-US" w:eastAsia="zh-CN"/>
              </w:rPr>
              <w:t>8</w:t>
            </w:r>
            <w:r>
              <w:rPr>
                <w:rFonts w:hint="eastAsia"/>
                <w:bCs/>
                <w:color w:val="auto"/>
                <w:szCs w:val="21"/>
              </w:rPr>
              <w:t>.14</w:t>
            </w:r>
          </w:p>
        </w:tc>
        <w:tc>
          <w:tcPr>
            <w:tcW w:w="987" w:type="dxa"/>
            <w:vAlign w:val="center"/>
          </w:tcPr>
          <w:p>
            <w:pPr>
              <w:spacing w:line="300" w:lineRule="exact"/>
              <w:jc w:val="center"/>
              <w:rPr>
                <w:bCs/>
                <w:color w:val="auto"/>
                <w:szCs w:val="21"/>
              </w:rPr>
            </w:pPr>
            <w:r>
              <w:rPr>
                <w:rFonts w:hint="eastAsia"/>
                <w:bCs/>
                <w:color w:val="auto"/>
                <w:szCs w:val="21"/>
              </w:rPr>
              <w:t>0.91</w:t>
            </w:r>
          </w:p>
        </w:tc>
        <w:tc>
          <w:tcPr>
            <w:tcW w:w="987" w:type="dxa"/>
            <w:vAlign w:val="center"/>
          </w:tcPr>
          <w:p>
            <w:pPr>
              <w:spacing w:line="300" w:lineRule="exact"/>
              <w:jc w:val="center"/>
              <w:rPr>
                <w:bCs/>
                <w:color w:val="auto"/>
                <w:szCs w:val="21"/>
              </w:rPr>
            </w:pPr>
            <w:r>
              <w:rPr>
                <w:rFonts w:hint="eastAsia"/>
                <w:bCs/>
                <w:color w:val="auto"/>
                <w:szCs w:val="21"/>
              </w:rPr>
              <w:t>0.475</w:t>
            </w:r>
          </w:p>
        </w:tc>
        <w:tc>
          <w:tcPr>
            <w:tcW w:w="987" w:type="dxa"/>
            <w:vAlign w:val="center"/>
          </w:tcPr>
          <w:p>
            <w:pPr>
              <w:spacing w:line="300" w:lineRule="exact"/>
              <w:jc w:val="center"/>
              <w:rPr>
                <w:bCs/>
                <w:color w:val="auto"/>
                <w:szCs w:val="21"/>
              </w:rPr>
            </w:pPr>
            <w:r>
              <w:rPr>
                <w:rFonts w:hint="eastAsia"/>
                <w:bCs/>
                <w:color w:val="auto"/>
                <w:szCs w:val="21"/>
              </w:rPr>
              <w:t>0.35</w:t>
            </w:r>
          </w:p>
        </w:tc>
        <w:tc>
          <w:tcPr>
            <w:tcW w:w="987" w:type="dxa"/>
            <w:vAlign w:val="center"/>
          </w:tcPr>
          <w:p>
            <w:pPr>
              <w:spacing w:line="300" w:lineRule="exact"/>
              <w:jc w:val="center"/>
              <w:rPr>
                <w:bCs/>
                <w:color w:val="auto"/>
                <w:szCs w:val="21"/>
              </w:rPr>
            </w:pPr>
            <w:r>
              <w:rPr>
                <w:rFonts w:hint="eastAsia"/>
                <w:bCs/>
                <w:color w:val="auto"/>
                <w:szCs w:val="21"/>
              </w:rPr>
              <w:t>0.11</w:t>
            </w:r>
          </w:p>
        </w:tc>
        <w:tc>
          <w:tcPr>
            <w:tcW w:w="987" w:type="dxa"/>
            <w:vAlign w:val="center"/>
          </w:tcPr>
          <w:p>
            <w:pPr>
              <w:spacing w:line="300" w:lineRule="exact"/>
              <w:jc w:val="center"/>
              <w:rPr>
                <w:bCs/>
                <w:color w:val="auto"/>
                <w:szCs w:val="21"/>
              </w:rPr>
            </w:pPr>
            <w:r>
              <w:rPr>
                <w:rFonts w:hint="eastAsia"/>
                <w:bCs/>
                <w:color w:val="auto"/>
                <w:szCs w:val="21"/>
              </w:rPr>
              <w:t>0.65</w:t>
            </w:r>
          </w:p>
        </w:tc>
        <w:tc>
          <w:tcPr>
            <w:tcW w:w="989" w:type="dxa"/>
            <w:vAlign w:val="center"/>
          </w:tcPr>
          <w:p>
            <w:pPr>
              <w:spacing w:line="300" w:lineRule="exact"/>
              <w:jc w:val="center"/>
              <w:rPr>
                <w:bCs/>
                <w:color w:val="auto"/>
                <w:szCs w:val="21"/>
              </w:rPr>
            </w:pPr>
            <w:r>
              <w:rPr>
                <w:bCs/>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 w:hRule="atLeast"/>
        </w:trPr>
        <w:tc>
          <w:tcPr>
            <w:tcW w:w="1829" w:type="dxa"/>
            <w:vMerge w:val="continue"/>
            <w:vAlign w:val="center"/>
          </w:tcPr>
          <w:p>
            <w:pPr>
              <w:spacing w:line="300" w:lineRule="exact"/>
              <w:jc w:val="center"/>
              <w:rPr>
                <w:bCs/>
                <w:color w:val="auto"/>
                <w:szCs w:val="21"/>
              </w:rPr>
            </w:pPr>
          </w:p>
        </w:tc>
        <w:tc>
          <w:tcPr>
            <w:tcW w:w="1200" w:type="dxa"/>
            <w:vAlign w:val="center"/>
          </w:tcPr>
          <w:p>
            <w:pPr>
              <w:spacing w:line="300" w:lineRule="exact"/>
              <w:jc w:val="center"/>
              <w:rPr>
                <w:rFonts w:ascii="Times New Roman" w:hAnsi="Times New Roman" w:eastAsia="宋体" w:cs="Times New Roman"/>
                <w:bCs/>
                <w:color w:val="auto"/>
                <w:kern w:val="2"/>
                <w:sz w:val="21"/>
                <w:szCs w:val="21"/>
                <w:lang w:val="en-US" w:eastAsia="zh-CN" w:bidi="ar-SA"/>
              </w:rPr>
            </w:pPr>
            <w:r>
              <w:rPr>
                <w:rFonts w:hint="eastAsia"/>
                <w:bCs/>
                <w:color w:val="auto"/>
                <w:szCs w:val="21"/>
              </w:rPr>
              <w:t>2020.</w:t>
            </w:r>
            <w:r>
              <w:rPr>
                <w:rFonts w:hint="eastAsia"/>
                <w:bCs/>
                <w:color w:val="auto"/>
                <w:szCs w:val="21"/>
                <w:lang w:val="en-US" w:eastAsia="zh-CN"/>
              </w:rPr>
              <w:t>8</w:t>
            </w:r>
            <w:r>
              <w:rPr>
                <w:rFonts w:hint="eastAsia"/>
                <w:bCs/>
                <w:color w:val="auto"/>
                <w:szCs w:val="21"/>
              </w:rPr>
              <w:t>.15</w:t>
            </w:r>
          </w:p>
        </w:tc>
        <w:tc>
          <w:tcPr>
            <w:tcW w:w="987" w:type="dxa"/>
            <w:vAlign w:val="center"/>
          </w:tcPr>
          <w:p>
            <w:pPr>
              <w:spacing w:line="300" w:lineRule="exact"/>
              <w:jc w:val="center"/>
              <w:rPr>
                <w:bCs/>
                <w:color w:val="auto"/>
                <w:szCs w:val="21"/>
              </w:rPr>
            </w:pPr>
            <w:r>
              <w:rPr>
                <w:rFonts w:hint="eastAsia"/>
                <w:bCs/>
                <w:color w:val="auto"/>
                <w:szCs w:val="21"/>
              </w:rPr>
              <w:t>0.73</w:t>
            </w:r>
          </w:p>
        </w:tc>
        <w:tc>
          <w:tcPr>
            <w:tcW w:w="987" w:type="dxa"/>
            <w:vAlign w:val="center"/>
          </w:tcPr>
          <w:p>
            <w:pPr>
              <w:spacing w:line="300" w:lineRule="exact"/>
              <w:jc w:val="center"/>
              <w:rPr>
                <w:bCs/>
                <w:color w:val="auto"/>
                <w:szCs w:val="21"/>
              </w:rPr>
            </w:pPr>
            <w:r>
              <w:rPr>
                <w:rFonts w:hint="eastAsia"/>
                <w:bCs/>
                <w:color w:val="auto"/>
                <w:szCs w:val="21"/>
              </w:rPr>
              <w:t>0.45</w:t>
            </w:r>
          </w:p>
        </w:tc>
        <w:tc>
          <w:tcPr>
            <w:tcW w:w="987" w:type="dxa"/>
            <w:vAlign w:val="center"/>
          </w:tcPr>
          <w:p>
            <w:pPr>
              <w:spacing w:line="300" w:lineRule="exact"/>
              <w:jc w:val="center"/>
              <w:rPr>
                <w:bCs/>
                <w:color w:val="auto"/>
                <w:szCs w:val="21"/>
              </w:rPr>
            </w:pPr>
            <w:r>
              <w:rPr>
                <w:rFonts w:hint="eastAsia"/>
                <w:bCs/>
                <w:color w:val="auto"/>
                <w:szCs w:val="21"/>
              </w:rPr>
              <w:t>1.2</w:t>
            </w:r>
          </w:p>
        </w:tc>
        <w:tc>
          <w:tcPr>
            <w:tcW w:w="987" w:type="dxa"/>
            <w:vAlign w:val="center"/>
          </w:tcPr>
          <w:p>
            <w:pPr>
              <w:spacing w:line="300" w:lineRule="exact"/>
              <w:jc w:val="center"/>
              <w:rPr>
                <w:bCs/>
                <w:color w:val="auto"/>
                <w:szCs w:val="21"/>
              </w:rPr>
            </w:pPr>
            <w:r>
              <w:rPr>
                <w:rFonts w:hint="eastAsia"/>
                <w:bCs/>
                <w:color w:val="auto"/>
                <w:szCs w:val="21"/>
              </w:rPr>
              <w:t>0.17</w:t>
            </w:r>
          </w:p>
        </w:tc>
        <w:tc>
          <w:tcPr>
            <w:tcW w:w="987" w:type="dxa"/>
            <w:vAlign w:val="center"/>
          </w:tcPr>
          <w:p>
            <w:pPr>
              <w:spacing w:line="300" w:lineRule="exact"/>
              <w:jc w:val="center"/>
              <w:rPr>
                <w:bCs/>
                <w:color w:val="auto"/>
                <w:szCs w:val="21"/>
              </w:rPr>
            </w:pPr>
            <w:r>
              <w:rPr>
                <w:rFonts w:hint="eastAsia"/>
                <w:bCs/>
                <w:color w:val="auto"/>
                <w:szCs w:val="21"/>
              </w:rPr>
              <w:t>0.7</w:t>
            </w:r>
          </w:p>
        </w:tc>
        <w:tc>
          <w:tcPr>
            <w:tcW w:w="989" w:type="dxa"/>
            <w:vAlign w:val="center"/>
          </w:tcPr>
          <w:p>
            <w:pPr>
              <w:spacing w:line="300" w:lineRule="exact"/>
              <w:jc w:val="center"/>
              <w:rPr>
                <w:bCs/>
                <w:color w:val="auto"/>
                <w:szCs w:val="21"/>
              </w:rPr>
            </w:pPr>
            <w:r>
              <w:rPr>
                <w:bCs/>
                <w:color w:val="auto"/>
                <w:szCs w:val="21"/>
              </w:rPr>
              <w:t>/</w:t>
            </w:r>
          </w:p>
        </w:tc>
      </w:tr>
    </w:tbl>
    <w:p>
      <w:pPr>
        <w:rPr>
          <w:color w:val="auto"/>
        </w:rPr>
      </w:pPr>
    </w:p>
    <w:p>
      <w:pPr>
        <w:spacing w:line="360" w:lineRule="auto"/>
        <w:ind w:firstLine="480" w:firstLineChars="200"/>
        <w:jc w:val="left"/>
        <w:rPr>
          <w:color w:val="auto"/>
          <w:sz w:val="24"/>
        </w:rPr>
      </w:pPr>
      <w:r>
        <w:rPr>
          <w:color w:val="auto"/>
          <w:sz w:val="24"/>
        </w:rPr>
        <w:t>由上表的评价结果可知：项目区域</w:t>
      </w:r>
      <w:r>
        <w:rPr>
          <w:rFonts w:hint="eastAsia"/>
          <w:color w:val="auto"/>
          <w:sz w:val="24"/>
          <w:lang w:eastAsia="zh-CN"/>
        </w:rPr>
        <w:t>东</w:t>
      </w:r>
      <w:r>
        <w:rPr>
          <w:color w:val="auto"/>
          <w:sz w:val="24"/>
        </w:rPr>
        <w:t>津河的水体水质中各污染物均能满足《地表水环境质量标准》（GB3838-2002）中Ⅲ类标准的要求，说明区域地表水质良好。</w:t>
      </w:r>
    </w:p>
    <w:p>
      <w:pPr>
        <w:pStyle w:val="5"/>
        <w:spacing w:before="0" w:after="0" w:line="520" w:lineRule="exact"/>
        <w:rPr>
          <w:color w:val="auto"/>
          <w:sz w:val="24"/>
          <w:szCs w:val="24"/>
        </w:rPr>
      </w:pPr>
      <w:r>
        <w:rPr>
          <w:rFonts w:hint="eastAsia"/>
          <w:color w:val="auto"/>
          <w:sz w:val="24"/>
          <w:szCs w:val="24"/>
        </w:rPr>
        <w:t>5</w:t>
      </w:r>
      <w:r>
        <w:rPr>
          <w:color w:val="auto"/>
          <w:sz w:val="24"/>
          <w:szCs w:val="24"/>
        </w:rPr>
        <w:t>.2.2大气环境质量现状</w:t>
      </w:r>
      <w:bookmarkEnd w:id="215"/>
      <w:bookmarkEnd w:id="216"/>
      <w:bookmarkEnd w:id="217"/>
      <w:bookmarkEnd w:id="218"/>
      <w:bookmarkEnd w:id="219"/>
      <w:bookmarkEnd w:id="220"/>
      <w:bookmarkEnd w:id="221"/>
      <w:bookmarkEnd w:id="222"/>
      <w:bookmarkEnd w:id="223"/>
      <w:bookmarkEnd w:id="224"/>
    </w:p>
    <w:p>
      <w:pPr>
        <w:widowControl/>
        <w:spacing w:line="520" w:lineRule="exact"/>
        <w:ind w:firstLine="480" w:firstLineChars="200"/>
        <w:outlineLvl w:val="3"/>
        <w:rPr>
          <w:bCs/>
          <w:color w:val="auto"/>
          <w:sz w:val="24"/>
        </w:rPr>
      </w:pPr>
      <w:bookmarkStart w:id="229" w:name="_Toc206896736"/>
      <w:r>
        <w:rPr>
          <w:bCs/>
          <w:color w:val="auto"/>
          <w:sz w:val="24"/>
        </w:rPr>
        <w:t>（1）项目所在区域达标判断</w:t>
      </w:r>
    </w:p>
    <w:p>
      <w:pPr>
        <w:spacing w:line="360" w:lineRule="auto"/>
        <w:ind w:firstLine="480" w:firstLineChars="200"/>
        <w:rPr>
          <w:rFonts w:hint="eastAsia" w:ascii="Times New Roman" w:hAnsi="Times New Roman" w:cs="Times New Roman"/>
          <w:color w:val="auto"/>
          <w:sz w:val="24"/>
        </w:rPr>
      </w:pPr>
      <w:r>
        <w:rPr>
          <w:sz w:val="24"/>
        </w:rPr>
        <w:t>根据宁国市环保局公布的</w:t>
      </w:r>
      <w:r>
        <w:rPr>
          <w:rFonts w:hint="eastAsia"/>
          <w:sz w:val="24"/>
        </w:rPr>
        <w:t>201</w:t>
      </w:r>
      <w:r>
        <w:rPr>
          <w:rFonts w:hint="eastAsia"/>
          <w:sz w:val="24"/>
          <w:lang w:val="en-US" w:eastAsia="zh-CN"/>
        </w:rPr>
        <w:t>9</w:t>
      </w:r>
      <w:r>
        <w:rPr>
          <w:rFonts w:hint="eastAsia"/>
          <w:sz w:val="24"/>
        </w:rPr>
        <w:t>年《宁国市环境质量公报》</w:t>
      </w:r>
      <w:r>
        <w:rPr>
          <w:sz w:val="24"/>
        </w:rPr>
        <w:t>，</w:t>
      </w:r>
      <w:r>
        <w:rPr>
          <w:rFonts w:hint="default" w:ascii="Times New Roman" w:hAnsi="Times New Roman" w:cs="Times New Roman"/>
          <w:color w:val="auto"/>
          <w:sz w:val="24"/>
          <w:lang w:val="en-US" w:eastAsia="zh-CN"/>
        </w:rPr>
        <w:t>2019年度宁国市环境空气质量有效监测天数344天，其中空气质量达到“优”或“良”的天数为290天，占监测天数的84.3%，“轻度污染”和“中度污染”天数比例分别为15.1%和0.6%。</w:t>
      </w:r>
    </w:p>
    <w:p>
      <w:pPr>
        <w:spacing w:line="360" w:lineRule="auto"/>
        <w:ind w:firstLine="480" w:firstLineChars="200"/>
        <w:rPr>
          <w:rFonts w:hint="eastAsia" w:ascii="Times New Roman" w:hAnsi="Times New Roman" w:cs="Times New Roman"/>
          <w:color w:val="auto"/>
          <w:sz w:val="24"/>
        </w:rPr>
      </w:pPr>
      <w:r>
        <w:rPr>
          <w:rFonts w:hint="default" w:ascii="Times New Roman" w:hAnsi="Times New Roman" w:cs="Times New Roman"/>
          <w:color w:val="auto"/>
          <w:sz w:val="24"/>
          <w:lang w:val="en-US" w:eastAsia="zh-CN"/>
        </w:rPr>
        <w:t>细颗粒物（PM</w:t>
      </w:r>
      <w:r>
        <w:rPr>
          <w:rFonts w:hint="default" w:ascii="Times New Roman" w:hAnsi="Times New Roman" w:cs="Times New Roman"/>
          <w:color w:val="auto"/>
          <w:sz w:val="24"/>
          <w:vertAlign w:val="subscript"/>
          <w:lang w:val="en-US" w:eastAsia="zh-CN"/>
        </w:rPr>
        <w:t>2.5</w:t>
      </w:r>
      <w:r>
        <w:rPr>
          <w:rFonts w:hint="default" w:ascii="Times New Roman" w:hAnsi="Times New Roman" w:cs="Times New Roman"/>
          <w:color w:val="auto"/>
          <w:sz w:val="24"/>
          <w:lang w:val="en-US" w:eastAsia="zh-CN"/>
        </w:rPr>
        <w:t>）年均浓度34微克/立方米。</w:t>
      </w:r>
    </w:p>
    <w:p>
      <w:pPr>
        <w:spacing w:line="360" w:lineRule="auto"/>
        <w:ind w:firstLine="480" w:firstLineChars="200"/>
        <w:rPr>
          <w:rFonts w:hint="eastAsia" w:ascii="Times New Roman" w:hAnsi="Times New Roman" w:cs="Times New Roman"/>
          <w:color w:val="auto"/>
          <w:sz w:val="24"/>
        </w:rPr>
      </w:pPr>
      <w:r>
        <w:rPr>
          <w:rFonts w:hint="default" w:ascii="Times New Roman" w:hAnsi="Times New Roman" w:cs="Times New Roman"/>
          <w:color w:val="auto"/>
          <w:sz w:val="24"/>
          <w:lang w:val="en-US" w:eastAsia="zh-CN"/>
        </w:rPr>
        <w:t>可吸入颗粒物（PM</w:t>
      </w:r>
      <w:r>
        <w:rPr>
          <w:rFonts w:hint="default" w:ascii="Times New Roman" w:hAnsi="Times New Roman" w:cs="Times New Roman"/>
          <w:color w:val="auto"/>
          <w:sz w:val="24"/>
          <w:vertAlign w:val="subscript"/>
          <w:lang w:val="en-US" w:eastAsia="zh-CN"/>
        </w:rPr>
        <w:t>10</w:t>
      </w:r>
      <w:r>
        <w:rPr>
          <w:rFonts w:hint="default" w:ascii="Times New Roman" w:hAnsi="Times New Roman" w:cs="Times New Roman"/>
          <w:color w:val="auto"/>
          <w:sz w:val="24"/>
          <w:lang w:val="en-US" w:eastAsia="zh-CN"/>
        </w:rPr>
        <w:t>）年均浓度69微克/立方米。</w:t>
      </w:r>
    </w:p>
    <w:p>
      <w:pPr>
        <w:spacing w:line="360" w:lineRule="auto"/>
        <w:ind w:firstLine="480" w:firstLineChars="200"/>
        <w:rPr>
          <w:rFonts w:hint="eastAsia" w:ascii="Times New Roman" w:hAnsi="Times New Roman" w:cs="Times New Roman"/>
          <w:color w:val="auto"/>
          <w:sz w:val="24"/>
        </w:rPr>
      </w:pPr>
      <w:r>
        <w:rPr>
          <w:rFonts w:hint="default" w:ascii="Times New Roman" w:hAnsi="Times New Roman" w:cs="Times New Roman"/>
          <w:color w:val="auto"/>
          <w:sz w:val="24"/>
          <w:lang w:val="en-US" w:eastAsia="zh-CN"/>
        </w:rPr>
        <w:t>二氧化硫（SO</w:t>
      </w:r>
      <w:r>
        <w:rPr>
          <w:rFonts w:hint="default" w:ascii="Times New Roman" w:hAnsi="Times New Roman" w:cs="Times New Roman"/>
          <w:color w:val="auto"/>
          <w:sz w:val="24"/>
          <w:vertAlign w:val="subscript"/>
          <w:lang w:val="en-US" w:eastAsia="zh-CN"/>
        </w:rPr>
        <w:t>2</w:t>
      </w:r>
      <w:r>
        <w:rPr>
          <w:rFonts w:hint="default" w:ascii="Times New Roman" w:hAnsi="Times New Roman" w:cs="Times New Roman"/>
          <w:color w:val="auto"/>
          <w:sz w:val="24"/>
          <w:lang w:val="en-US" w:eastAsia="zh-CN"/>
        </w:rPr>
        <w:t>）年均浓度10微克/立方米。</w:t>
      </w:r>
    </w:p>
    <w:p>
      <w:pPr>
        <w:spacing w:line="360" w:lineRule="auto"/>
        <w:ind w:firstLine="480" w:firstLineChars="200"/>
        <w:rPr>
          <w:rFonts w:hint="eastAsia" w:ascii="Times New Roman" w:hAnsi="Times New Roman" w:cs="Times New Roman"/>
          <w:color w:val="auto"/>
          <w:sz w:val="24"/>
        </w:rPr>
      </w:pPr>
      <w:r>
        <w:rPr>
          <w:rFonts w:hint="default" w:ascii="Times New Roman" w:hAnsi="Times New Roman" w:cs="Times New Roman"/>
          <w:color w:val="auto"/>
          <w:sz w:val="24"/>
          <w:lang w:val="en-US" w:eastAsia="zh-CN"/>
        </w:rPr>
        <w:t>二氧化氮（NO</w:t>
      </w:r>
      <w:r>
        <w:rPr>
          <w:rFonts w:hint="default" w:ascii="Times New Roman" w:hAnsi="Times New Roman" w:cs="Times New Roman"/>
          <w:color w:val="auto"/>
          <w:sz w:val="24"/>
          <w:vertAlign w:val="subscript"/>
          <w:lang w:val="en-US" w:eastAsia="zh-CN"/>
        </w:rPr>
        <w:t>2</w:t>
      </w:r>
      <w:r>
        <w:rPr>
          <w:rFonts w:hint="default" w:ascii="Times New Roman" w:hAnsi="Times New Roman" w:cs="Times New Roman"/>
          <w:color w:val="auto"/>
          <w:sz w:val="24"/>
          <w:lang w:val="en-US" w:eastAsia="zh-CN"/>
        </w:rPr>
        <w:t>）年均浓度26微克/立方米。</w:t>
      </w:r>
    </w:p>
    <w:p>
      <w:pPr>
        <w:spacing w:line="360" w:lineRule="auto"/>
        <w:ind w:firstLine="480" w:firstLineChars="200"/>
        <w:rPr>
          <w:rFonts w:hint="eastAsia" w:ascii="Times New Roman" w:hAnsi="Times New Roman" w:cs="Times New Roman"/>
          <w:color w:val="auto"/>
          <w:sz w:val="24"/>
        </w:rPr>
      </w:pPr>
      <w:r>
        <w:rPr>
          <w:rFonts w:hint="default" w:ascii="Times New Roman" w:hAnsi="Times New Roman" w:cs="Times New Roman"/>
          <w:color w:val="auto"/>
          <w:sz w:val="24"/>
          <w:lang w:val="en-US" w:eastAsia="zh-CN"/>
        </w:rPr>
        <w:t>臭氧（O</w:t>
      </w:r>
      <w:r>
        <w:rPr>
          <w:rFonts w:hint="default" w:ascii="Times New Roman" w:hAnsi="Times New Roman" w:cs="Times New Roman"/>
          <w:color w:val="auto"/>
          <w:sz w:val="24"/>
          <w:vertAlign w:val="subscript"/>
          <w:lang w:val="en-US" w:eastAsia="zh-CN"/>
        </w:rPr>
        <w:t>3</w:t>
      </w:r>
      <w:r>
        <w:rPr>
          <w:rFonts w:hint="default" w:ascii="Times New Roman" w:hAnsi="Times New Roman" w:cs="Times New Roman"/>
          <w:color w:val="auto"/>
          <w:sz w:val="24"/>
          <w:lang w:val="en-US" w:eastAsia="zh-CN"/>
        </w:rPr>
        <w:t>）日最大8小时滑动平均第90百分位数浓度162微克/立方米。</w:t>
      </w:r>
    </w:p>
    <w:p>
      <w:pPr>
        <w:spacing w:line="360" w:lineRule="auto"/>
        <w:ind w:firstLine="480" w:firstLineChars="200"/>
        <w:rPr>
          <w:rFonts w:hint="default" w:ascii="Times New Roman" w:hAnsi="Times New Roman" w:cs="Times New Roman"/>
          <w:color w:val="auto"/>
          <w:kern w:val="0"/>
          <w:sz w:val="24"/>
          <w:szCs w:val="20"/>
          <w:lang w:val="en-US" w:eastAsia="zh-CN"/>
        </w:rPr>
      </w:pPr>
      <w:r>
        <w:rPr>
          <w:rFonts w:hint="default" w:ascii="Times New Roman" w:hAnsi="Times New Roman" w:cs="Times New Roman"/>
          <w:color w:val="auto"/>
          <w:sz w:val="24"/>
          <w:lang w:val="en-US" w:eastAsia="zh-CN"/>
        </w:rPr>
        <w:t>一氧化碳（CO）日均值第95百分位数浓度1.7毫克/立方米。</w:t>
      </w:r>
    </w:p>
    <w:p>
      <w:pPr>
        <w:widowControl/>
        <w:spacing w:line="360" w:lineRule="auto"/>
        <w:ind w:firstLine="480" w:firstLineChars="200"/>
        <w:jc w:val="left"/>
        <w:rPr>
          <w:rFonts w:hint="default" w:ascii="Times New Roman" w:hAnsi="Times New Roman" w:cs="Times New Roman"/>
          <w:color w:val="auto"/>
          <w:lang w:val="en-US" w:eastAsia="zh-CN"/>
        </w:rPr>
      </w:pPr>
      <w:r>
        <w:rPr>
          <w:rFonts w:hint="default" w:ascii="Times New Roman" w:hAnsi="Times New Roman" w:cs="Times New Roman"/>
          <w:color w:val="auto"/>
          <w:kern w:val="0"/>
          <w:sz w:val="24"/>
          <w:szCs w:val="20"/>
          <w:lang w:val="en-US" w:eastAsia="zh-CN"/>
        </w:rPr>
        <w:t>具体污染因子年均浓度见下表：</w:t>
      </w:r>
    </w:p>
    <w:p>
      <w:pPr>
        <w:adjustRightInd w:val="0"/>
        <w:snapToGrid w:val="0"/>
        <w:spacing w:line="520" w:lineRule="exact"/>
        <w:jc w:val="center"/>
        <w:rPr>
          <w:rFonts w:hint="default" w:ascii="Times New Roman" w:hAnsi="Times New Roman" w:cs="Times New Roman"/>
          <w:b/>
          <w:color w:val="auto"/>
          <w:sz w:val="24"/>
          <w:szCs w:val="24"/>
        </w:rPr>
      </w:pPr>
      <w:r>
        <w:rPr>
          <w:rFonts w:hint="default" w:ascii="Times New Roman" w:hAnsi="Times New Roman" w:cs="Times New Roman"/>
          <w:b/>
          <w:color w:val="auto"/>
          <w:sz w:val="24"/>
          <w:szCs w:val="24"/>
        </w:rPr>
        <w:t>表</w:t>
      </w:r>
      <w:r>
        <w:rPr>
          <w:rFonts w:hint="eastAsia" w:cs="Times New Roman"/>
          <w:b/>
          <w:color w:val="auto"/>
          <w:sz w:val="24"/>
          <w:szCs w:val="24"/>
          <w:lang w:val="en-US" w:eastAsia="zh-CN"/>
        </w:rPr>
        <w:t>5-6</w:t>
      </w:r>
      <w:r>
        <w:rPr>
          <w:rFonts w:hint="default" w:ascii="Times New Roman" w:hAnsi="Times New Roman" w:cs="Times New Roman"/>
          <w:b/>
          <w:color w:val="auto"/>
          <w:sz w:val="24"/>
          <w:szCs w:val="24"/>
          <w:lang w:val="en-US" w:eastAsia="zh-CN"/>
        </w:rPr>
        <w:t xml:space="preserve">  </w:t>
      </w:r>
      <w:r>
        <w:rPr>
          <w:rFonts w:hint="default" w:ascii="Times New Roman" w:hAnsi="Times New Roman" w:cs="Times New Roman"/>
          <w:b/>
          <w:color w:val="auto"/>
          <w:sz w:val="24"/>
          <w:szCs w:val="24"/>
        </w:rPr>
        <w:t xml:space="preserve"> </w:t>
      </w:r>
      <w:r>
        <w:rPr>
          <w:rFonts w:hint="default" w:ascii="Times New Roman" w:hAnsi="Times New Roman" w:cs="Times New Roman"/>
          <w:b/>
          <w:color w:val="auto"/>
          <w:sz w:val="24"/>
          <w:szCs w:val="24"/>
          <w:lang w:val="en-US" w:eastAsia="zh-CN"/>
        </w:rPr>
        <w:t>201</w:t>
      </w:r>
      <w:r>
        <w:rPr>
          <w:rFonts w:hint="eastAsia" w:cs="Times New Roman"/>
          <w:b/>
          <w:color w:val="auto"/>
          <w:sz w:val="24"/>
          <w:szCs w:val="24"/>
          <w:lang w:val="en-US" w:eastAsia="zh-CN"/>
        </w:rPr>
        <w:t>9</w:t>
      </w:r>
      <w:r>
        <w:rPr>
          <w:rFonts w:hint="default" w:ascii="Times New Roman" w:hAnsi="Times New Roman" w:cs="Times New Roman"/>
          <w:b/>
          <w:color w:val="auto"/>
          <w:sz w:val="24"/>
          <w:szCs w:val="24"/>
          <w:lang w:val="en-US" w:eastAsia="zh-CN"/>
        </w:rPr>
        <w:t>年年均浓度</w:t>
      </w:r>
      <w:r>
        <w:rPr>
          <w:rFonts w:hint="default" w:ascii="Times New Roman" w:hAnsi="Times New Roman" w:cs="Times New Roman"/>
          <w:b/>
          <w:color w:val="auto"/>
          <w:sz w:val="24"/>
          <w:szCs w:val="24"/>
        </w:rPr>
        <w:t xml:space="preserve"> 单位 µg/m</w:t>
      </w:r>
      <w:r>
        <w:rPr>
          <w:rFonts w:hint="default" w:ascii="Times New Roman" w:hAnsi="Times New Roman" w:cs="Times New Roman"/>
          <w:b/>
          <w:color w:val="auto"/>
          <w:sz w:val="24"/>
          <w:szCs w:val="24"/>
          <w:vertAlign w:val="superscript"/>
        </w:rPr>
        <w:t>3</w:t>
      </w:r>
      <w:r>
        <w:rPr>
          <w:rFonts w:hint="default" w:ascii="Times New Roman" w:hAnsi="Times New Roman" w:cs="Times New Roman"/>
          <w:b/>
          <w:color w:val="auto"/>
          <w:sz w:val="24"/>
          <w:szCs w:val="24"/>
          <w:lang w:val="en-US" w:eastAsia="zh-CN"/>
        </w:rPr>
        <w:t>（CO为mg/</w:t>
      </w:r>
      <w:r>
        <w:rPr>
          <w:rFonts w:hint="default" w:ascii="Times New Roman" w:hAnsi="Times New Roman" w:cs="Times New Roman"/>
          <w:b/>
          <w:color w:val="auto"/>
          <w:sz w:val="24"/>
          <w:szCs w:val="24"/>
        </w:rPr>
        <w:t>m</w:t>
      </w:r>
      <w:r>
        <w:rPr>
          <w:rFonts w:hint="default" w:ascii="Times New Roman" w:hAnsi="Times New Roman" w:cs="Times New Roman"/>
          <w:b/>
          <w:color w:val="auto"/>
          <w:sz w:val="24"/>
          <w:szCs w:val="24"/>
          <w:vertAlign w:val="superscript"/>
        </w:rPr>
        <w:t>3</w:t>
      </w:r>
      <w:r>
        <w:rPr>
          <w:rFonts w:hint="default" w:ascii="Times New Roman" w:hAnsi="Times New Roman" w:cs="Times New Roman"/>
          <w:b/>
          <w:color w:val="auto"/>
          <w:sz w:val="24"/>
          <w:szCs w:val="24"/>
          <w:lang w:val="en-US" w:eastAsia="zh-CN"/>
        </w:rPr>
        <w:t>）</w:t>
      </w:r>
    </w:p>
    <w:tbl>
      <w:tblPr>
        <w:tblStyle w:val="5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25"/>
        <w:gridCol w:w="1284"/>
        <w:gridCol w:w="1286"/>
        <w:gridCol w:w="1282"/>
        <w:gridCol w:w="1289"/>
        <w:gridCol w:w="1290"/>
        <w:gridCol w:w="129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62" w:type="dxa"/>
            <w:noWrap w:val="0"/>
            <w:vAlign w:val="top"/>
          </w:tcPr>
          <w:p>
            <w:pPr>
              <w:spacing w:line="360" w:lineRule="auto"/>
              <w:jc w:val="center"/>
              <w:rPr>
                <w:rFonts w:hint="default" w:ascii="Times New Roman" w:hAnsi="Times New Roman" w:eastAsia="宋体" w:cs="Times New Roman"/>
                <w:color w:val="auto"/>
                <w:kern w:val="0"/>
                <w:sz w:val="21"/>
                <w:szCs w:val="21"/>
                <w:vertAlign w:val="baseline"/>
                <w:lang w:val="en-US" w:eastAsia="zh-CN"/>
              </w:rPr>
            </w:pPr>
            <w:r>
              <w:rPr>
                <w:rFonts w:hint="default" w:ascii="Times New Roman" w:hAnsi="Times New Roman" w:eastAsia="宋体" w:cs="Times New Roman"/>
                <w:color w:val="auto"/>
                <w:kern w:val="0"/>
                <w:sz w:val="21"/>
                <w:szCs w:val="21"/>
                <w:vertAlign w:val="baseline"/>
                <w:lang w:val="en-US" w:eastAsia="zh-CN"/>
              </w:rPr>
              <w:t>污染物</w:t>
            </w:r>
          </w:p>
        </w:tc>
        <w:tc>
          <w:tcPr>
            <w:tcW w:w="1318" w:type="dxa"/>
            <w:noWrap w:val="0"/>
            <w:vAlign w:val="top"/>
          </w:tcPr>
          <w:p>
            <w:pPr>
              <w:spacing w:line="360" w:lineRule="auto"/>
              <w:jc w:val="center"/>
              <w:rPr>
                <w:rFonts w:hint="default" w:ascii="Times New Roman" w:hAnsi="Times New Roman" w:eastAsia="宋体" w:cs="Times New Roman"/>
                <w:color w:val="auto"/>
                <w:kern w:val="0"/>
                <w:sz w:val="21"/>
                <w:szCs w:val="21"/>
                <w:vertAlign w:val="baseline"/>
                <w:lang w:val="en-US" w:eastAsia="zh-CN"/>
              </w:rPr>
            </w:pPr>
            <w:r>
              <w:rPr>
                <w:rFonts w:hint="default" w:ascii="Times New Roman" w:hAnsi="Times New Roman" w:eastAsia="宋体" w:cs="Times New Roman"/>
                <w:color w:val="auto"/>
                <w:kern w:val="0"/>
                <w:sz w:val="21"/>
                <w:szCs w:val="21"/>
                <w:vertAlign w:val="baseline"/>
                <w:lang w:val="en-US" w:eastAsia="zh-CN"/>
              </w:rPr>
              <w:t>SO</w:t>
            </w:r>
            <w:r>
              <w:rPr>
                <w:rFonts w:hint="default" w:ascii="Times New Roman" w:hAnsi="Times New Roman" w:eastAsia="宋体" w:cs="Times New Roman"/>
                <w:color w:val="auto"/>
                <w:kern w:val="0"/>
                <w:sz w:val="21"/>
                <w:szCs w:val="21"/>
                <w:vertAlign w:val="subscript"/>
                <w:lang w:val="en-US" w:eastAsia="zh-CN"/>
              </w:rPr>
              <w:t>2</w:t>
            </w:r>
          </w:p>
        </w:tc>
        <w:tc>
          <w:tcPr>
            <w:tcW w:w="1318" w:type="dxa"/>
            <w:noWrap w:val="0"/>
            <w:vAlign w:val="top"/>
          </w:tcPr>
          <w:p>
            <w:pPr>
              <w:spacing w:line="360" w:lineRule="auto"/>
              <w:jc w:val="center"/>
              <w:rPr>
                <w:rFonts w:hint="default" w:ascii="Times New Roman" w:hAnsi="Times New Roman" w:cs="Times New Roman"/>
                <w:color w:val="auto"/>
                <w:kern w:val="0"/>
                <w:sz w:val="21"/>
                <w:szCs w:val="21"/>
                <w:vertAlign w:val="baseline"/>
              </w:rPr>
            </w:pPr>
            <w:r>
              <w:rPr>
                <w:rFonts w:hint="default" w:ascii="Times New Roman" w:hAnsi="Times New Roman" w:cs="Times New Roman"/>
                <w:color w:val="auto"/>
                <w:kern w:val="0"/>
                <w:sz w:val="21"/>
                <w:szCs w:val="21"/>
              </w:rPr>
              <w:t>NO</w:t>
            </w:r>
            <w:r>
              <w:rPr>
                <w:rFonts w:hint="default" w:ascii="Times New Roman" w:hAnsi="Times New Roman" w:cs="Times New Roman"/>
                <w:color w:val="auto"/>
                <w:kern w:val="0"/>
                <w:sz w:val="21"/>
                <w:szCs w:val="21"/>
                <w:vertAlign w:val="subscript"/>
              </w:rPr>
              <w:t>2</w:t>
            </w:r>
          </w:p>
        </w:tc>
        <w:tc>
          <w:tcPr>
            <w:tcW w:w="1318" w:type="dxa"/>
            <w:noWrap w:val="0"/>
            <w:vAlign w:val="top"/>
          </w:tcPr>
          <w:p>
            <w:pPr>
              <w:spacing w:line="360" w:lineRule="auto"/>
              <w:jc w:val="center"/>
              <w:rPr>
                <w:rFonts w:hint="default" w:ascii="Times New Roman" w:hAnsi="Times New Roman" w:cs="Times New Roman"/>
                <w:color w:val="auto"/>
                <w:kern w:val="0"/>
                <w:sz w:val="21"/>
                <w:szCs w:val="21"/>
                <w:vertAlign w:val="baseline"/>
              </w:rPr>
            </w:pPr>
            <w:r>
              <w:rPr>
                <w:rFonts w:hint="default" w:ascii="Times New Roman" w:hAnsi="Times New Roman" w:cs="Times New Roman"/>
                <w:b w:val="0"/>
                <w:bCs/>
                <w:color w:val="auto"/>
                <w:kern w:val="0"/>
                <w:sz w:val="21"/>
                <w:szCs w:val="21"/>
                <w:lang w:val="en-US" w:eastAsia="zh-CN"/>
              </w:rPr>
              <w:t>CO</w:t>
            </w:r>
          </w:p>
        </w:tc>
        <w:tc>
          <w:tcPr>
            <w:tcW w:w="1318" w:type="dxa"/>
            <w:noWrap w:val="0"/>
            <w:vAlign w:val="top"/>
          </w:tcPr>
          <w:p>
            <w:pPr>
              <w:spacing w:line="360" w:lineRule="auto"/>
              <w:jc w:val="center"/>
              <w:rPr>
                <w:rFonts w:hint="default" w:ascii="Times New Roman" w:hAnsi="Times New Roman" w:cs="Times New Roman"/>
                <w:color w:val="auto"/>
                <w:kern w:val="0"/>
                <w:sz w:val="21"/>
                <w:szCs w:val="21"/>
                <w:vertAlign w:val="baseline"/>
              </w:rPr>
            </w:pPr>
            <w:r>
              <w:rPr>
                <w:rFonts w:hint="default" w:ascii="Times New Roman" w:hAnsi="Times New Roman" w:cs="Times New Roman"/>
                <w:color w:val="auto"/>
                <w:kern w:val="0"/>
                <w:sz w:val="21"/>
                <w:szCs w:val="21"/>
              </w:rPr>
              <w:t>PM</w:t>
            </w:r>
            <w:r>
              <w:rPr>
                <w:rFonts w:hint="default" w:ascii="Times New Roman" w:hAnsi="Times New Roman" w:cs="Times New Roman"/>
                <w:color w:val="auto"/>
                <w:kern w:val="0"/>
                <w:sz w:val="21"/>
                <w:szCs w:val="21"/>
                <w:vertAlign w:val="subscript"/>
              </w:rPr>
              <w:t>10</w:t>
            </w:r>
          </w:p>
        </w:tc>
        <w:tc>
          <w:tcPr>
            <w:tcW w:w="1318" w:type="dxa"/>
            <w:noWrap w:val="0"/>
            <w:vAlign w:val="top"/>
          </w:tcPr>
          <w:p>
            <w:pPr>
              <w:spacing w:line="360" w:lineRule="auto"/>
              <w:jc w:val="center"/>
              <w:rPr>
                <w:rFonts w:hint="default" w:ascii="Times New Roman" w:hAnsi="Times New Roman" w:eastAsia="宋体" w:cs="Times New Roman"/>
                <w:color w:val="auto"/>
                <w:kern w:val="0"/>
                <w:sz w:val="21"/>
                <w:szCs w:val="21"/>
                <w:vertAlign w:val="baseline"/>
                <w:lang w:val="en-US" w:eastAsia="zh-CN"/>
              </w:rPr>
            </w:pPr>
            <w:r>
              <w:rPr>
                <w:rFonts w:hint="default" w:ascii="Times New Roman" w:hAnsi="Times New Roman" w:cs="Times New Roman"/>
                <w:color w:val="auto"/>
                <w:kern w:val="0"/>
                <w:sz w:val="21"/>
                <w:szCs w:val="21"/>
              </w:rPr>
              <w:t>PM</w:t>
            </w:r>
            <w:r>
              <w:rPr>
                <w:rFonts w:hint="default" w:ascii="Times New Roman" w:hAnsi="Times New Roman" w:cs="Times New Roman"/>
                <w:color w:val="auto"/>
                <w:kern w:val="0"/>
                <w:sz w:val="21"/>
                <w:szCs w:val="21"/>
                <w:vertAlign w:val="subscript"/>
                <w:lang w:val="en-US" w:eastAsia="zh-CN"/>
              </w:rPr>
              <w:t>2.5</w:t>
            </w:r>
          </w:p>
        </w:tc>
        <w:tc>
          <w:tcPr>
            <w:tcW w:w="1321" w:type="dxa"/>
            <w:noWrap w:val="0"/>
            <w:vAlign w:val="top"/>
          </w:tcPr>
          <w:p>
            <w:pPr>
              <w:spacing w:line="360" w:lineRule="auto"/>
              <w:jc w:val="center"/>
              <w:rPr>
                <w:rFonts w:hint="default" w:ascii="Times New Roman" w:hAnsi="Times New Roman" w:eastAsia="宋体" w:cs="Times New Roman"/>
                <w:color w:val="auto"/>
                <w:kern w:val="0"/>
                <w:sz w:val="21"/>
                <w:szCs w:val="21"/>
                <w:vertAlign w:val="baseline"/>
                <w:lang w:val="en-US" w:eastAsia="zh-CN"/>
              </w:rPr>
            </w:pPr>
            <w:r>
              <w:rPr>
                <w:rFonts w:hint="default" w:ascii="Times New Roman" w:hAnsi="Times New Roman" w:cs="Times New Roman"/>
                <w:color w:val="auto"/>
                <w:kern w:val="0"/>
                <w:sz w:val="21"/>
                <w:szCs w:val="21"/>
                <w:vertAlign w:val="baseline"/>
                <w:lang w:val="en-US" w:eastAsia="zh-CN"/>
              </w:rPr>
              <w:t>O</w:t>
            </w:r>
            <w:r>
              <w:rPr>
                <w:rFonts w:hint="default" w:ascii="Times New Roman" w:hAnsi="Times New Roman" w:cs="Times New Roman"/>
                <w:color w:val="auto"/>
                <w:kern w:val="0"/>
                <w:sz w:val="21"/>
                <w:szCs w:val="21"/>
                <w:vertAlign w:val="subscript"/>
                <w:lang w:val="en-US" w:eastAsia="zh-CN"/>
              </w:rPr>
              <w:t>3</w:t>
            </w:r>
            <w:r>
              <w:rPr>
                <w:rFonts w:hint="default" w:ascii="Times New Roman" w:hAnsi="Times New Roman" w:cs="Times New Roman"/>
                <w:color w:val="auto"/>
                <w:kern w:val="0"/>
                <w:sz w:val="21"/>
                <w:szCs w:val="21"/>
                <w:vertAlign w:val="baseline"/>
                <w:lang w:val="en-US" w:eastAsia="zh-CN"/>
              </w:rPr>
              <w:t>-8H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62" w:type="dxa"/>
            <w:noWrap w:val="0"/>
            <w:vAlign w:val="top"/>
          </w:tcPr>
          <w:p>
            <w:pPr>
              <w:spacing w:line="360" w:lineRule="auto"/>
              <w:jc w:val="center"/>
              <w:rPr>
                <w:rFonts w:hint="default" w:ascii="Times New Roman" w:hAnsi="Times New Roman" w:eastAsia="宋体" w:cs="Times New Roman"/>
                <w:color w:val="auto"/>
                <w:kern w:val="0"/>
                <w:sz w:val="21"/>
                <w:szCs w:val="21"/>
                <w:vertAlign w:val="baseline"/>
                <w:lang w:val="en-US" w:eastAsia="zh-CN"/>
              </w:rPr>
            </w:pPr>
            <w:r>
              <w:rPr>
                <w:rFonts w:hint="default" w:ascii="Times New Roman" w:hAnsi="Times New Roman" w:eastAsia="宋体" w:cs="Times New Roman"/>
                <w:color w:val="auto"/>
                <w:kern w:val="0"/>
                <w:sz w:val="21"/>
                <w:szCs w:val="21"/>
                <w:vertAlign w:val="baseline"/>
                <w:lang w:val="en-US" w:eastAsia="zh-CN"/>
              </w:rPr>
              <w:t>年均值</w:t>
            </w:r>
          </w:p>
        </w:tc>
        <w:tc>
          <w:tcPr>
            <w:tcW w:w="1318" w:type="dxa"/>
            <w:noWrap w:val="0"/>
            <w:vAlign w:val="top"/>
          </w:tcPr>
          <w:p>
            <w:pPr>
              <w:spacing w:line="360" w:lineRule="auto"/>
              <w:jc w:val="center"/>
              <w:rPr>
                <w:rFonts w:hint="default" w:ascii="Times New Roman" w:hAnsi="Times New Roman" w:eastAsia="宋体" w:cs="Times New Roman"/>
                <w:color w:val="auto"/>
                <w:kern w:val="0"/>
                <w:sz w:val="21"/>
                <w:szCs w:val="21"/>
                <w:vertAlign w:val="baseline"/>
                <w:lang w:val="en-US" w:eastAsia="zh-CN"/>
              </w:rPr>
            </w:pPr>
            <w:r>
              <w:rPr>
                <w:rFonts w:hint="eastAsia" w:cs="Times New Roman"/>
                <w:color w:val="auto"/>
                <w:kern w:val="0"/>
                <w:sz w:val="21"/>
                <w:szCs w:val="21"/>
                <w:vertAlign w:val="baseline"/>
                <w:lang w:val="en-US" w:eastAsia="zh-CN"/>
              </w:rPr>
              <w:t>10</w:t>
            </w:r>
          </w:p>
        </w:tc>
        <w:tc>
          <w:tcPr>
            <w:tcW w:w="1318" w:type="dxa"/>
            <w:noWrap w:val="0"/>
            <w:vAlign w:val="top"/>
          </w:tcPr>
          <w:p>
            <w:pPr>
              <w:spacing w:line="360" w:lineRule="auto"/>
              <w:jc w:val="center"/>
              <w:rPr>
                <w:rFonts w:hint="default" w:ascii="Times New Roman" w:hAnsi="Times New Roman" w:eastAsia="宋体" w:cs="Times New Roman"/>
                <w:color w:val="auto"/>
                <w:kern w:val="0"/>
                <w:sz w:val="21"/>
                <w:szCs w:val="21"/>
                <w:vertAlign w:val="baseline"/>
                <w:lang w:val="en-US" w:eastAsia="zh-CN"/>
              </w:rPr>
            </w:pPr>
            <w:r>
              <w:rPr>
                <w:rFonts w:hint="default" w:ascii="Times New Roman" w:hAnsi="Times New Roman" w:eastAsia="宋体" w:cs="Times New Roman"/>
                <w:color w:val="auto"/>
                <w:kern w:val="0"/>
                <w:sz w:val="21"/>
                <w:szCs w:val="21"/>
                <w:vertAlign w:val="baseline"/>
                <w:lang w:val="en-US" w:eastAsia="zh-CN"/>
              </w:rPr>
              <w:t>2</w:t>
            </w:r>
            <w:r>
              <w:rPr>
                <w:rFonts w:hint="eastAsia" w:cs="Times New Roman"/>
                <w:color w:val="auto"/>
                <w:kern w:val="0"/>
                <w:sz w:val="21"/>
                <w:szCs w:val="21"/>
                <w:vertAlign w:val="baseline"/>
                <w:lang w:val="en-US" w:eastAsia="zh-CN"/>
              </w:rPr>
              <w:t>6</w:t>
            </w:r>
          </w:p>
        </w:tc>
        <w:tc>
          <w:tcPr>
            <w:tcW w:w="1318" w:type="dxa"/>
            <w:noWrap w:val="0"/>
            <w:vAlign w:val="top"/>
          </w:tcPr>
          <w:p>
            <w:pPr>
              <w:spacing w:line="360" w:lineRule="auto"/>
              <w:jc w:val="center"/>
              <w:rPr>
                <w:rFonts w:hint="default" w:ascii="Times New Roman" w:hAnsi="Times New Roman" w:eastAsia="宋体" w:cs="Times New Roman"/>
                <w:color w:val="auto"/>
                <w:kern w:val="0"/>
                <w:sz w:val="21"/>
                <w:szCs w:val="21"/>
                <w:vertAlign w:val="baseline"/>
                <w:lang w:val="en-US" w:eastAsia="zh-CN"/>
              </w:rPr>
            </w:pPr>
            <w:r>
              <w:rPr>
                <w:rFonts w:hint="eastAsia" w:cs="Times New Roman"/>
                <w:color w:val="auto"/>
                <w:kern w:val="0"/>
                <w:sz w:val="21"/>
                <w:szCs w:val="21"/>
                <w:vertAlign w:val="baseline"/>
                <w:lang w:val="en-US" w:eastAsia="zh-CN"/>
              </w:rPr>
              <w:t>1.7</w:t>
            </w:r>
          </w:p>
        </w:tc>
        <w:tc>
          <w:tcPr>
            <w:tcW w:w="1318" w:type="dxa"/>
            <w:noWrap w:val="0"/>
            <w:vAlign w:val="top"/>
          </w:tcPr>
          <w:p>
            <w:pPr>
              <w:spacing w:line="360" w:lineRule="auto"/>
              <w:jc w:val="center"/>
              <w:rPr>
                <w:rFonts w:hint="default" w:ascii="Times New Roman" w:hAnsi="Times New Roman" w:eastAsia="宋体" w:cs="Times New Roman"/>
                <w:color w:val="auto"/>
                <w:kern w:val="0"/>
                <w:sz w:val="21"/>
                <w:szCs w:val="21"/>
                <w:vertAlign w:val="baseline"/>
                <w:lang w:val="en-US" w:eastAsia="zh-CN"/>
              </w:rPr>
            </w:pPr>
            <w:r>
              <w:rPr>
                <w:rFonts w:hint="eastAsia" w:cs="Times New Roman"/>
                <w:color w:val="auto"/>
                <w:kern w:val="0"/>
                <w:sz w:val="21"/>
                <w:szCs w:val="21"/>
                <w:vertAlign w:val="baseline"/>
                <w:lang w:val="en-US" w:eastAsia="zh-CN"/>
              </w:rPr>
              <w:t>69</w:t>
            </w:r>
          </w:p>
        </w:tc>
        <w:tc>
          <w:tcPr>
            <w:tcW w:w="1318" w:type="dxa"/>
            <w:noWrap w:val="0"/>
            <w:vAlign w:val="top"/>
          </w:tcPr>
          <w:p>
            <w:pPr>
              <w:spacing w:line="360" w:lineRule="auto"/>
              <w:jc w:val="center"/>
              <w:rPr>
                <w:rFonts w:hint="default" w:ascii="Times New Roman" w:hAnsi="Times New Roman" w:eastAsia="宋体" w:cs="Times New Roman"/>
                <w:color w:val="auto"/>
                <w:kern w:val="0"/>
                <w:sz w:val="21"/>
                <w:szCs w:val="21"/>
                <w:vertAlign w:val="baseline"/>
                <w:lang w:val="en-US" w:eastAsia="zh-CN"/>
              </w:rPr>
            </w:pPr>
            <w:r>
              <w:rPr>
                <w:rFonts w:hint="eastAsia" w:cs="Times New Roman"/>
                <w:color w:val="auto"/>
                <w:kern w:val="0"/>
                <w:sz w:val="21"/>
                <w:szCs w:val="21"/>
                <w:vertAlign w:val="baseline"/>
                <w:lang w:val="en-US" w:eastAsia="zh-CN"/>
              </w:rPr>
              <w:t>34</w:t>
            </w:r>
          </w:p>
        </w:tc>
        <w:tc>
          <w:tcPr>
            <w:tcW w:w="1321" w:type="dxa"/>
            <w:noWrap w:val="0"/>
            <w:vAlign w:val="top"/>
          </w:tcPr>
          <w:p>
            <w:pPr>
              <w:spacing w:line="360" w:lineRule="auto"/>
              <w:jc w:val="center"/>
              <w:rPr>
                <w:rFonts w:hint="default" w:ascii="Times New Roman" w:hAnsi="Times New Roman" w:eastAsia="宋体" w:cs="Times New Roman"/>
                <w:color w:val="auto"/>
                <w:kern w:val="0"/>
                <w:sz w:val="21"/>
                <w:szCs w:val="21"/>
                <w:vertAlign w:val="baseline"/>
                <w:lang w:val="en-US" w:eastAsia="zh-CN"/>
              </w:rPr>
            </w:pPr>
            <w:r>
              <w:rPr>
                <w:rFonts w:hint="eastAsia" w:cs="Times New Roman"/>
                <w:color w:val="auto"/>
                <w:kern w:val="0"/>
                <w:sz w:val="21"/>
                <w:szCs w:val="21"/>
                <w:vertAlign w:val="baseline"/>
                <w:lang w:val="en-US" w:eastAsia="zh-CN"/>
              </w:rPr>
              <w:t>162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62" w:type="dxa"/>
            <w:noWrap w:val="0"/>
            <w:vAlign w:val="top"/>
          </w:tcPr>
          <w:p>
            <w:pPr>
              <w:spacing w:line="360" w:lineRule="auto"/>
              <w:jc w:val="center"/>
              <w:rPr>
                <w:rFonts w:hint="default" w:ascii="Times New Roman" w:hAnsi="Times New Roman" w:eastAsia="宋体" w:cs="Times New Roman"/>
                <w:color w:val="auto"/>
                <w:kern w:val="0"/>
                <w:sz w:val="21"/>
                <w:szCs w:val="21"/>
                <w:vertAlign w:val="baseline"/>
                <w:lang w:val="en-US" w:eastAsia="zh-CN"/>
              </w:rPr>
            </w:pPr>
            <w:r>
              <w:rPr>
                <w:rFonts w:hint="default" w:ascii="Times New Roman" w:hAnsi="Times New Roman" w:eastAsia="宋体" w:cs="Times New Roman"/>
                <w:color w:val="auto"/>
                <w:kern w:val="0"/>
                <w:sz w:val="21"/>
                <w:szCs w:val="21"/>
                <w:vertAlign w:val="baseline"/>
                <w:lang w:val="en-US" w:eastAsia="zh-CN"/>
              </w:rPr>
              <w:t>二级标准</w:t>
            </w:r>
          </w:p>
        </w:tc>
        <w:tc>
          <w:tcPr>
            <w:tcW w:w="1318" w:type="dxa"/>
            <w:noWrap w:val="0"/>
            <w:vAlign w:val="top"/>
          </w:tcPr>
          <w:p>
            <w:pPr>
              <w:spacing w:line="360" w:lineRule="auto"/>
              <w:jc w:val="center"/>
              <w:rPr>
                <w:rFonts w:hint="default" w:ascii="Times New Roman" w:hAnsi="Times New Roman" w:eastAsia="宋体" w:cs="Times New Roman"/>
                <w:color w:val="auto"/>
                <w:kern w:val="0"/>
                <w:sz w:val="21"/>
                <w:szCs w:val="21"/>
                <w:vertAlign w:val="baseline"/>
                <w:lang w:val="en-US" w:eastAsia="zh-CN"/>
              </w:rPr>
            </w:pPr>
            <w:r>
              <w:rPr>
                <w:rFonts w:hint="default" w:ascii="Times New Roman" w:hAnsi="Times New Roman" w:eastAsia="宋体" w:cs="Times New Roman"/>
                <w:color w:val="auto"/>
                <w:kern w:val="0"/>
                <w:sz w:val="21"/>
                <w:szCs w:val="21"/>
                <w:vertAlign w:val="baseline"/>
                <w:lang w:val="en-US" w:eastAsia="zh-CN"/>
              </w:rPr>
              <w:t>60</w:t>
            </w:r>
          </w:p>
        </w:tc>
        <w:tc>
          <w:tcPr>
            <w:tcW w:w="1318" w:type="dxa"/>
            <w:noWrap w:val="0"/>
            <w:vAlign w:val="top"/>
          </w:tcPr>
          <w:p>
            <w:pPr>
              <w:spacing w:line="360" w:lineRule="auto"/>
              <w:jc w:val="center"/>
              <w:rPr>
                <w:rFonts w:hint="default" w:ascii="Times New Roman" w:hAnsi="Times New Roman" w:cs="Times New Roman"/>
                <w:color w:val="auto"/>
                <w:kern w:val="0"/>
                <w:sz w:val="21"/>
                <w:szCs w:val="21"/>
                <w:vertAlign w:val="baseline"/>
                <w:lang w:val="en-US" w:eastAsia="zh-CN"/>
              </w:rPr>
            </w:pPr>
            <w:r>
              <w:rPr>
                <w:rFonts w:hint="default" w:ascii="Times New Roman" w:hAnsi="Times New Roman" w:cs="Times New Roman"/>
                <w:color w:val="auto"/>
                <w:kern w:val="0"/>
                <w:sz w:val="21"/>
                <w:szCs w:val="21"/>
                <w:vertAlign w:val="baseline"/>
                <w:lang w:val="en-US" w:eastAsia="zh-CN"/>
              </w:rPr>
              <w:t>40</w:t>
            </w:r>
          </w:p>
        </w:tc>
        <w:tc>
          <w:tcPr>
            <w:tcW w:w="1318" w:type="dxa"/>
            <w:noWrap w:val="0"/>
            <w:vAlign w:val="top"/>
          </w:tcPr>
          <w:p>
            <w:pPr>
              <w:spacing w:line="360" w:lineRule="auto"/>
              <w:jc w:val="center"/>
              <w:rPr>
                <w:rFonts w:hint="default" w:ascii="Times New Roman" w:hAnsi="Times New Roman" w:cs="Times New Roman"/>
                <w:color w:val="auto"/>
                <w:kern w:val="0"/>
                <w:sz w:val="21"/>
                <w:szCs w:val="21"/>
                <w:vertAlign w:val="baseline"/>
                <w:lang w:val="en-US" w:eastAsia="zh-CN"/>
              </w:rPr>
            </w:pPr>
            <w:r>
              <w:rPr>
                <w:rFonts w:hint="default" w:ascii="Times New Roman" w:hAnsi="Times New Roman" w:cs="Times New Roman"/>
                <w:color w:val="auto"/>
                <w:kern w:val="0"/>
                <w:sz w:val="21"/>
                <w:szCs w:val="21"/>
                <w:vertAlign w:val="baseline"/>
                <w:lang w:val="en-US" w:eastAsia="zh-CN"/>
              </w:rPr>
              <w:t>4</w:t>
            </w:r>
          </w:p>
        </w:tc>
        <w:tc>
          <w:tcPr>
            <w:tcW w:w="1318" w:type="dxa"/>
            <w:noWrap w:val="0"/>
            <w:vAlign w:val="top"/>
          </w:tcPr>
          <w:p>
            <w:pPr>
              <w:spacing w:line="360" w:lineRule="auto"/>
              <w:jc w:val="center"/>
              <w:rPr>
                <w:rFonts w:hint="default" w:ascii="Times New Roman" w:hAnsi="Times New Roman" w:cs="Times New Roman"/>
                <w:color w:val="auto"/>
                <w:kern w:val="0"/>
                <w:sz w:val="21"/>
                <w:szCs w:val="21"/>
                <w:vertAlign w:val="baseline"/>
                <w:lang w:val="en-US" w:eastAsia="zh-CN"/>
              </w:rPr>
            </w:pPr>
            <w:r>
              <w:rPr>
                <w:rFonts w:hint="default" w:ascii="Times New Roman" w:hAnsi="Times New Roman" w:cs="Times New Roman"/>
                <w:color w:val="auto"/>
                <w:kern w:val="0"/>
                <w:sz w:val="21"/>
                <w:szCs w:val="21"/>
                <w:vertAlign w:val="baseline"/>
                <w:lang w:val="en-US" w:eastAsia="zh-CN"/>
              </w:rPr>
              <w:t>70</w:t>
            </w:r>
          </w:p>
        </w:tc>
        <w:tc>
          <w:tcPr>
            <w:tcW w:w="1318" w:type="dxa"/>
            <w:noWrap w:val="0"/>
            <w:vAlign w:val="top"/>
          </w:tcPr>
          <w:p>
            <w:pPr>
              <w:spacing w:line="360" w:lineRule="auto"/>
              <w:jc w:val="center"/>
              <w:rPr>
                <w:rFonts w:hint="default" w:ascii="Times New Roman" w:hAnsi="Times New Roman" w:cs="Times New Roman"/>
                <w:color w:val="auto"/>
                <w:kern w:val="0"/>
                <w:sz w:val="21"/>
                <w:szCs w:val="21"/>
                <w:vertAlign w:val="baseline"/>
                <w:lang w:val="en-US" w:eastAsia="zh-CN"/>
              </w:rPr>
            </w:pPr>
            <w:r>
              <w:rPr>
                <w:rFonts w:hint="default" w:ascii="Times New Roman" w:hAnsi="Times New Roman" w:cs="Times New Roman"/>
                <w:color w:val="auto"/>
                <w:kern w:val="0"/>
                <w:sz w:val="21"/>
                <w:szCs w:val="21"/>
                <w:vertAlign w:val="baseline"/>
                <w:lang w:val="en-US" w:eastAsia="zh-CN"/>
              </w:rPr>
              <w:t>35</w:t>
            </w:r>
          </w:p>
        </w:tc>
        <w:tc>
          <w:tcPr>
            <w:tcW w:w="1321" w:type="dxa"/>
            <w:noWrap w:val="0"/>
            <w:vAlign w:val="top"/>
          </w:tcPr>
          <w:p>
            <w:pPr>
              <w:spacing w:line="360" w:lineRule="auto"/>
              <w:jc w:val="center"/>
              <w:rPr>
                <w:rFonts w:hint="default" w:ascii="Times New Roman" w:hAnsi="Times New Roman" w:cs="Times New Roman"/>
                <w:color w:val="auto"/>
                <w:kern w:val="0"/>
                <w:sz w:val="21"/>
                <w:szCs w:val="21"/>
                <w:vertAlign w:val="baseline"/>
                <w:lang w:val="en-US" w:eastAsia="zh-CN"/>
              </w:rPr>
            </w:pPr>
            <w:r>
              <w:rPr>
                <w:rFonts w:hint="default" w:ascii="Times New Roman" w:hAnsi="Times New Roman" w:cs="Times New Roman"/>
                <w:color w:val="auto"/>
                <w:kern w:val="0"/>
                <w:sz w:val="21"/>
                <w:szCs w:val="21"/>
                <w:vertAlign w:val="baseline"/>
                <w:lang w:val="en-US" w:eastAsia="zh-CN"/>
              </w:rPr>
              <w:t>160</w:t>
            </w:r>
          </w:p>
        </w:tc>
      </w:tr>
    </w:tbl>
    <w:p>
      <w:pPr>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项目所在区域大气污染物SO</w:t>
      </w:r>
      <w:r>
        <w:rPr>
          <w:rFonts w:hint="default" w:ascii="Times New Roman" w:hAnsi="Times New Roman" w:cs="Times New Roman"/>
          <w:color w:val="auto"/>
          <w:sz w:val="24"/>
          <w:vertAlign w:val="subscript"/>
        </w:rPr>
        <w:t>2</w:t>
      </w:r>
      <w:r>
        <w:rPr>
          <w:rFonts w:hint="default" w:ascii="Times New Roman" w:hAnsi="Times New Roman" w:cs="Times New Roman"/>
          <w:color w:val="auto"/>
          <w:sz w:val="24"/>
        </w:rPr>
        <w:t>、NO</w:t>
      </w:r>
      <w:r>
        <w:rPr>
          <w:rFonts w:hint="default" w:ascii="Times New Roman" w:hAnsi="Times New Roman" w:cs="Times New Roman"/>
          <w:color w:val="auto"/>
          <w:sz w:val="24"/>
          <w:vertAlign w:val="subscript"/>
        </w:rPr>
        <w:t>2</w:t>
      </w:r>
      <w:r>
        <w:rPr>
          <w:rFonts w:hint="default" w:ascii="Times New Roman" w:hAnsi="Times New Roman" w:cs="Times New Roman"/>
          <w:color w:val="auto"/>
          <w:sz w:val="24"/>
        </w:rPr>
        <w:t>、CO、可吸入颗粒物（PM</w:t>
      </w:r>
      <w:r>
        <w:rPr>
          <w:rFonts w:hint="default" w:ascii="Times New Roman" w:hAnsi="Times New Roman" w:cs="Times New Roman"/>
          <w:color w:val="auto"/>
          <w:sz w:val="24"/>
          <w:vertAlign w:val="subscript"/>
        </w:rPr>
        <w:t>10</w:t>
      </w:r>
      <w:r>
        <w:rPr>
          <w:rFonts w:hint="default" w:ascii="Times New Roman" w:hAnsi="Times New Roman" w:cs="Times New Roman"/>
          <w:color w:val="auto"/>
          <w:sz w:val="24"/>
        </w:rPr>
        <w:t>）、细颗粒物（PM</w:t>
      </w:r>
      <w:r>
        <w:rPr>
          <w:rFonts w:hint="default" w:ascii="Times New Roman" w:hAnsi="Times New Roman" w:cs="Times New Roman"/>
          <w:color w:val="auto"/>
          <w:sz w:val="24"/>
          <w:vertAlign w:val="subscript"/>
        </w:rPr>
        <w:t>2.5</w:t>
      </w:r>
      <w:r>
        <w:rPr>
          <w:rFonts w:hint="default" w:ascii="Times New Roman" w:hAnsi="Times New Roman" w:cs="Times New Roman"/>
          <w:color w:val="auto"/>
          <w:sz w:val="24"/>
        </w:rPr>
        <w:t>）年均浓度值均达到《环境空气质量标准》（GB3095-2012）二级标准的要求，O</w:t>
      </w:r>
      <w:r>
        <w:rPr>
          <w:rFonts w:hint="default" w:ascii="Times New Roman" w:hAnsi="Times New Roman" w:cs="Times New Roman"/>
          <w:color w:val="auto"/>
          <w:sz w:val="24"/>
          <w:vertAlign w:val="subscript"/>
        </w:rPr>
        <w:t>3</w:t>
      </w:r>
      <w:r>
        <w:rPr>
          <w:rFonts w:hint="default" w:ascii="Times New Roman" w:hAnsi="Times New Roman" w:cs="Times New Roman"/>
          <w:color w:val="auto"/>
          <w:sz w:val="24"/>
        </w:rPr>
        <w:t>未达标。</w:t>
      </w:r>
    </w:p>
    <w:p>
      <w:pPr>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因此，宁国市为环境空气质量不达标区。</w:t>
      </w:r>
    </w:p>
    <w:p>
      <w:pPr>
        <w:spacing w:line="360" w:lineRule="auto"/>
        <w:ind w:firstLine="480" w:firstLineChars="200"/>
        <w:rPr>
          <w:color w:val="auto"/>
          <w:sz w:val="24"/>
        </w:rPr>
      </w:pPr>
      <w:r>
        <w:rPr>
          <w:color w:val="auto"/>
          <w:sz w:val="24"/>
        </w:rPr>
        <w:t>根据《环境影响评价技术导则-大气环境》（HJ2.2-2018）要求，不达标区建设项目选择大气污染治理设施、预防措施或多方案比选时，应优先考虑治理效果，结合达标规划和替代源削减方案的实施情况，在只考虑环境因素的前提下选择最优技术方案，保证大气污染物达到最低排放强度和排放浓度，并使环境影响可以接受。</w:t>
      </w:r>
    </w:p>
    <w:p>
      <w:pPr>
        <w:spacing w:line="360" w:lineRule="auto"/>
        <w:ind w:firstLine="480" w:firstLineChars="200"/>
        <w:rPr>
          <w:color w:val="auto"/>
          <w:sz w:val="24"/>
        </w:rPr>
      </w:pPr>
      <w:r>
        <w:rPr>
          <w:color w:val="auto"/>
          <w:sz w:val="24"/>
        </w:rPr>
        <w:t>（2）环境空气质量现状监测</w:t>
      </w:r>
    </w:p>
    <w:p>
      <w:pPr>
        <w:spacing w:line="360" w:lineRule="auto"/>
        <w:ind w:firstLine="480" w:firstLineChars="200"/>
        <w:rPr>
          <w:color w:val="auto"/>
          <w:sz w:val="24"/>
        </w:rPr>
      </w:pPr>
      <w:r>
        <w:rPr>
          <w:color w:val="auto"/>
          <w:sz w:val="24"/>
        </w:rPr>
        <w:t>①本项目环境空气现状中非甲烷总烃、硫化氢由宁国市浚成环境监测有限公司进行了现场检测。</w:t>
      </w:r>
    </w:p>
    <w:p>
      <w:pPr>
        <w:spacing w:line="360" w:lineRule="auto"/>
        <w:ind w:firstLine="480" w:firstLineChars="200"/>
        <w:rPr>
          <w:color w:val="auto"/>
          <w:sz w:val="24"/>
        </w:rPr>
      </w:pPr>
      <w:r>
        <w:rPr>
          <w:color w:val="auto"/>
          <w:sz w:val="24"/>
        </w:rPr>
        <w:t>②监测布点：</w:t>
      </w:r>
    </w:p>
    <w:p>
      <w:pPr>
        <w:adjustRightInd w:val="0"/>
        <w:snapToGrid w:val="0"/>
        <w:spacing w:line="360" w:lineRule="auto"/>
        <w:jc w:val="center"/>
        <w:rPr>
          <w:b/>
          <w:color w:val="auto"/>
          <w:sz w:val="24"/>
        </w:rPr>
      </w:pPr>
      <w:r>
        <w:rPr>
          <w:rFonts w:hint="eastAsia"/>
          <w:b/>
          <w:color w:val="auto"/>
          <w:sz w:val="24"/>
        </w:rPr>
        <w:t>表5</w:t>
      </w:r>
      <w:r>
        <w:rPr>
          <w:b/>
          <w:color w:val="auto"/>
          <w:sz w:val="24"/>
        </w:rPr>
        <w:t>-7  环境空气监测点位一览表</w:t>
      </w:r>
    </w:p>
    <w:tbl>
      <w:tblPr>
        <w:tblStyle w:val="5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337"/>
        <w:gridCol w:w="56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3337" w:type="dxa"/>
            <w:vAlign w:val="center"/>
          </w:tcPr>
          <w:p>
            <w:pPr>
              <w:widowControl/>
              <w:jc w:val="center"/>
              <w:rPr>
                <w:color w:val="auto"/>
                <w:szCs w:val="21"/>
              </w:rPr>
            </w:pPr>
            <w:r>
              <w:rPr>
                <w:color w:val="auto"/>
                <w:szCs w:val="21"/>
              </w:rPr>
              <w:t>编号</w:t>
            </w:r>
          </w:p>
        </w:tc>
        <w:tc>
          <w:tcPr>
            <w:tcW w:w="5616" w:type="dxa"/>
            <w:vAlign w:val="center"/>
          </w:tcPr>
          <w:p>
            <w:pPr>
              <w:widowControl/>
              <w:jc w:val="center"/>
              <w:rPr>
                <w:color w:val="auto"/>
                <w:szCs w:val="21"/>
              </w:rPr>
            </w:pPr>
            <w:r>
              <w:rPr>
                <w:color w:val="auto"/>
                <w:szCs w:val="21"/>
              </w:rPr>
              <w:t>监测点位名称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3337" w:type="dxa"/>
            <w:vAlign w:val="center"/>
          </w:tcPr>
          <w:p>
            <w:pPr>
              <w:widowControl/>
              <w:jc w:val="center"/>
              <w:rPr>
                <w:color w:val="auto"/>
                <w:szCs w:val="21"/>
              </w:rPr>
            </w:pPr>
            <w:r>
              <w:rPr>
                <w:color w:val="auto"/>
                <w:szCs w:val="21"/>
              </w:rPr>
              <w:t>1#</w:t>
            </w:r>
          </w:p>
        </w:tc>
        <w:tc>
          <w:tcPr>
            <w:tcW w:w="5616" w:type="dxa"/>
            <w:vAlign w:val="center"/>
          </w:tcPr>
          <w:p>
            <w:pPr>
              <w:spacing w:line="320" w:lineRule="exact"/>
              <w:jc w:val="center"/>
              <w:rPr>
                <w:color w:val="auto"/>
                <w:szCs w:val="21"/>
              </w:rPr>
            </w:pPr>
            <w:r>
              <w:rPr>
                <w:color w:val="auto"/>
                <w:szCs w:val="21"/>
              </w:rPr>
              <w:t>项目区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3337" w:type="dxa"/>
            <w:vAlign w:val="center"/>
          </w:tcPr>
          <w:p>
            <w:pPr>
              <w:spacing w:line="320" w:lineRule="exact"/>
              <w:jc w:val="center"/>
              <w:rPr>
                <w:color w:val="auto"/>
                <w:szCs w:val="21"/>
              </w:rPr>
            </w:pPr>
            <w:r>
              <w:rPr>
                <w:color w:val="auto"/>
                <w:szCs w:val="21"/>
              </w:rPr>
              <w:t>2#</w:t>
            </w:r>
          </w:p>
        </w:tc>
        <w:tc>
          <w:tcPr>
            <w:tcW w:w="5616" w:type="dxa"/>
            <w:vAlign w:val="center"/>
          </w:tcPr>
          <w:p>
            <w:pPr>
              <w:spacing w:line="320" w:lineRule="exact"/>
              <w:jc w:val="center"/>
              <w:rPr>
                <w:color w:val="auto"/>
                <w:szCs w:val="21"/>
              </w:rPr>
            </w:pPr>
            <w:r>
              <w:rPr>
                <w:rFonts w:hint="eastAsia"/>
                <w:color w:val="auto"/>
                <w:szCs w:val="21"/>
                <w:lang w:val="en-US" w:eastAsia="zh-CN"/>
              </w:rPr>
              <w:t>连塘冲</w:t>
            </w:r>
            <w:r>
              <w:rPr>
                <w:color w:val="auto"/>
                <w:szCs w:val="21"/>
              </w:rPr>
              <w:t>（下风向）</w:t>
            </w:r>
          </w:p>
        </w:tc>
      </w:tr>
    </w:tbl>
    <w:p>
      <w:pPr>
        <w:pStyle w:val="2"/>
        <w:rPr>
          <w:color w:val="auto"/>
        </w:rPr>
      </w:pPr>
    </w:p>
    <w:p>
      <w:pPr>
        <w:spacing w:line="360" w:lineRule="auto"/>
        <w:ind w:firstLine="480" w:firstLineChars="200"/>
        <w:rPr>
          <w:color w:val="auto"/>
          <w:sz w:val="24"/>
        </w:rPr>
      </w:pPr>
      <w:r>
        <w:rPr>
          <w:color w:val="auto"/>
          <w:sz w:val="24"/>
        </w:rPr>
        <w:t>③监测项目</w:t>
      </w:r>
    </w:p>
    <w:p>
      <w:pPr>
        <w:spacing w:line="360" w:lineRule="auto"/>
        <w:ind w:firstLine="480" w:firstLineChars="200"/>
        <w:rPr>
          <w:color w:val="auto"/>
          <w:sz w:val="24"/>
        </w:rPr>
      </w:pPr>
      <w:r>
        <w:rPr>
          <w:color w:val="auto"/>
          <w:sz w:val="24"/>
        </w:rPr>
        <w:t>非甲烷总烃、硫化氢。</w:t>
      </w:r>
    </w:p>
    <w:p>
      <w:pPr>
        <w:spacing w:line="360" w:lineRule="auto"/>
        <w:ind w:firstLine="480" w:firstLineChars="200"/>
        <w:rPr>
          <w:color w:val="auto"/>
          <w:sz w:val="24"/>
        </w:rPr>
      </w:pPr>
      <w:r>
        <w:rPr>
          <w:color w:val="auto"/>
          <w:sz w:val="24"/>
        </w:rPr>
        <w:t>④监测时段及频率</w:t>
      </w:r>
    </w:p>
    <w:p>
      <w:pPr>
        <w:spacing w:line="360" w:lineRule="auto"/>
        <w:ind w:firstLine="480" w:firstLineChars="200"/>
        <w:rPr>
          <w:color w:val="auto"/>
          <w:sz w:val="24"/>
        </w:rPr>
      </w:pPr>
      <w:r>
        <w:rPr>
          <w:color w:val="auto"/>
          <w:sz w:val="24"/>
        </w:rPr>
        <w:t>非甲烷总烃、硫化氢连续监测7天，均监测日均值、小时值，每天监测24小时。监测期间同时观测天气状况、气温、风向、风速等气象要素。</w:t>
      </w:r>
    </w:p>
    <w:p>
      <w:pPr>
        <w:spacing w:line="360" w:lineRule="auto"/>
        <w:ind w:firstLine="480" w:firstLineChars="200"/>
        <w:rPr>
          <w:color w:val="auto"/>
          <w:sz w:val="24"/>
        </w:rPr>
      </w:pPr>
      <w:r>
        <w:rPr>
          <w:color w:val="auto"/>
          <w:sz w:val="24"/>
        </w:rPr>
        <w:t>⑤监测方法</w:t>
      </w:r>
    </w:p>
    <w:p>
      <w:pPr>
        <w:spacing w:line="360" w:lineRule="auto"/>
        <w:ind w:firstLine="480" w:firstLineChars="200"/>
        <w:rPr>
          <w:b/>
          <w:bCs/>
          <w:color w:val="auto"/>
          <w:sz w:val="24"/>
        </w:rPr>
      </w:pPr>
      <w:r>
        <w:rPr>
          <w:color w:val="auto"/>
          <w:sz w:val="24"/>
        </w:rPr>
        <w:t>采样监测方法按《环境监测技术规范（大气部分）》等有关规定进行，分析方法按《环境空气质量标准》(GB3095-2012)中推荐的方法进行。</w:t>
      </w:r>
    </w:p>
    <w:p>
      <w:pPr>
        <w:spacing w:line="360" w:lineRule="auto"/>
        <w:jc w:val="center"/>
        <w:rPr>
          <w:b/>
          <w:bCs/>
          <w:color w:val="auto"/>
          <w:sz w:val="24"/>
        </w:rPr>
      </w:pPr>
      <w:r>
        <w:rPr>
          <w:rFonts w:hint="eastAsia"/>
          <w:b/>
          <w:bCs/>
          <w:color w:val="auto"/>
          <w:sz w:val="24"/>
        </w:rPr>
        <w:t>表5</w:t>
      </w:r>
      <w:r>
        <w:rPr>
          <w:b/>
          <w:bCs/>
          <w:color w:val="auto"/>
          <w:sz w:val="24"/>
        </w:rPr>
        <w:t>-8  大气监测分析方法</w:t>
      </w:r>
    </w:p>
    <w:tbl>
      <w:tblPr>
        <w:tblStyle w:val="53"/>
        <w:tblW w:w="8752" w:type="dxa"/>
        <w:tblInd w:w="-1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2598"/>
        <w:gridCol w:w="6154"/>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2598" w:type="dxa"/>
            <w:tcBorders>
              <w:bottom w:val="single" w:color="000000" w:sz="4" w:space="0"/>
              <w:right w:val="single" w:color="000000" w:sz="4" w:space="0"/>
            </w:tcBorders>
            <w:vAlign w:val="center"/>
          </w:tcPr>
          <w:p>
            <w:pPr>
              <w:spacing w:line="300" w:lineRule="exact"/>
              <w:jc w:val="center"/>
              <w:rPr>
                <w:color w:val="auto"/>
                <w:szCs w:val="21"/>
              </w:rPr>
            </w:pPr>
            <w:r>
              <w:rPr>
                <w:color w:val="auto"/>
                <w:szCs w:val="21"/>
              </w:rPr>
              <w:t>检测项目</w:t>
            </w:r>
          </w:p>
          <w:p>
            <w:pPr>
              <w:spacing w:line="300" w:lineRule="exact"/>
              <w:jc w:val="center"/>
              <w:rPr>
                <w:color w:val="auto"/>
                <w:szCs w:val="21"/>
              </w:rPr>
            </w:pPr>
            <w:r>
              <w:rPr>
                <w:color w:val="auto"/>
                <w:szCs w:val="21"/>
              </w:rPr>
              <w:t>(Testing Items)</w:t>
            </w:r>
          </w:p>
        </w:tc>
        <w:tc>
          <w:tcPr>
            <w:tcW w:w="6154" w:type="dxa"/>
            <w:tcBorders>
              <w:left w:val="single" w:color="000000" w:sz="4" w:space="0"/>
              <w:bottom w:val="single" w:color="000000" w:sz="4" w:space="0"/>
              <w:right w:val="single" w:color="000000" w:sz="4" w:space="0"/>
            </w:tcBorders>
            <w:vAlign w:val="center"/>
          </w:tcPr>
          <w:p>
            <w:pPr>
              <w:spacing w:line="300" w:lineRule="exact"/>
              <w:jc w:val="center"/>
              <w:rPr>
                <w:color w:val="auto"/>
                <w:szCs w:val="21"/>
              </w:rPr>
            </w:pPr>
            <w:r>
              <w:rPr>
                <w:color w:val="auto"/>
                <w:szCs w:val="21"/>
              </w:rPr>
              <w:t>分析方法</w:t>
            </w:r>
          </w:p>
          <w:p>
            <w:pPr>
              <w:spacing w:line="300" w:lineRule="exact"/>
              <w:jc w:val="center"/>
              <w:rPr>
                <w:color w:val="auto"/>
                <w:szCs w:val="21"/>
              </w:rPr>
            </w:pPr>
            <w:r>
              <w:rPr>
                <w:color w:val="auto"/>
                <w:szCs w:val="21"/>
              </w:rPr>
              <w:t>(Analytical methods)</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2598" w:type="dxa"/>
            <w:tcBorders>
              <w:top w:val="single" w:color="000000" w:sz="4" w:space="0"/>
              <w:bottom w:val="single" w:color="000000" w:sz="4" w:space="0"/>
              <w:right w:val="single" w:color="000000" w:sz="4" w:space="0"/>
            </w:tcBorders>
            <w:vAlign w:val="center"/>
          </w:tcPr>
          <w:p>
            <w:pPr>
              <w:spacing w:line="300" w:lineRule="exact"/>
              <w:jc w:val="center"/>
              <w:rPr>
                <w:color w:val="auto"/>
                <w:szCs w:val="21"/>
              </w:rPr>
            </w:pPr>
            <w:r>
              <w:rPr>
                <w:color w:val="auto"/>
                <w:szCs w:val="21"/>
              </w:rPr>
              <w:t>非甲烷总烃</w:t>
            </w:r>
          </w:p>
        </w:tc>
        <w:tc>
          <w:tcPr>
            <w:tcW w:w="6154" w:type="dxa"/>
            <w:tcBorders>
              <w:top w:val="single" w:color="000000" w:sz="4" w:space="0"/>
              <w:left w:val="single" w:color="000000" w:sz="4" w:space="0"/>
              <w:bottom w:val="single" w:color="000000" w:sz="4" w:space="0"/>
              <w:right w:val="single" w:color="000000" w:sz="4" w:space="0"/>
            </w:tcBorders>
            <w:vAlign w:val="center"/>
          </w:tcPr>
          <w:p>
            <w:pPr>
              <w:spacing w:line="300" w:lineRule="exact"/>
              <w:jc w:val="center"/>
              <w:rPr>
                <w:color w:val="auto"/>
                <w:szCs w:val="21"/>
              </w:rPr>
            </w:pPr>
            <w:r>
              <w:rPr>
                <w:color w:val="auto"/>
                <w:szCs w:val="21"/>
              </w:rPr>
              <w:t>环境空气、总烃、甲烷和非甲烷总烃的测定</w:t>
            </w:r>
          </w:p>
          <w:p>
            <w:pPr>
              <w:spacing w:line="300" w:lineRule="exact"/>
              <w:jc w:val="center"/>
              <w:rPr>
                <w:color w:val="auto"/>
                <w:szCs w:val="21"/>
              </w:rPr>
            </w:pPr>
            <w:r>
              <w:rPr>
                <w:color w:val="auto"/>
                <w:szCs w:val="21"/>
              </w:rPr>
              <w:t>直接进样-气相色谱法 HJ604-2017</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2598" w:type="dxa"/>
            <w:tcBorders>
              <w:top w:val="single" w:color="000000" w:sz="4" w:space="0"/>
              <w:bottom w:val="single" w:color="000000" w:sz="4" w:space="0"/>
              <w:right w:val="single" w:color="000000" w:sz="4" w:space="0"/>
            </w:tcBorders>
            <w:vAlign w:val="center"/>
          </w:tcPr>
          <w:p>
            <w:pPr>
              <w:spacing w:line="300" w:lineRule="exact"/>
              <w:jc w:val="center"/>
              <w:rPr>
                <w:color w:val="auto"/>
                <w:szCs w:val="21"/>
              </w:rPr>
            </w:pPr>
            <w:r>
              <w:rPr>
                <w:color w:val="auto"/>
                <w:szCs w:val="21"/>
              </w:rPr>
              <w:t>硫化氢</w:t>
            </w:r>
          </w:p>
        </w:tc>
        <w:tc>
          <w:tcPr>
            <w:tcW w:w="6154" w:type="dxa"/>
            <w:tcBorders>
              <w:top w:val="single" w:color="000000" w:sz="4" w:space="0"/>
              <w:left w:val="single" w:color="000000" w:sz="4" w:space="0"/>
              <w:bottom w:val="single" w:color="000000" w:sz="4" w:space="0"/>
              <w:right w:val="single" w:color="000000" w:sz="4" w:space="0"/>
            </w:tcBorders>
            <w:vAlign w:val="center"/>
          </w:tcPr>
          <w:p>
            <w:pPr>
              <w:spacing w:line="300" w:lineRule="exact"/>
              <w:jc w:val="center"/>
              <w:rPr>
                <w:color w:val="auto"/>
                <w:szCs w:val="21"/>
              </w:rPr>
            </w:pPr>
            <w:r>
              <w:rPr>
                <w:rFonts w:hint="eastAsia"/>
                <w:color w:val="auto"/>
                <w:szCs w:val="21"/>
              </w:rPr>
              <w:t>亚甲基蓝分光光度法《空气和废气监测分析方法》（第四版增补版）国家环境保护总局（2003年）3.1.11（2）</w:t>
            </w:r>
          </w:p>
        </w:tc>
      </w:tr>
    </w:tbl>
    <w:p>
      <w:pPr>
        <w:spacing w:line="360" w:lineRule="auto"/>
        <w:ind w:firstLine="480" w:firstLineChars="200"/>
        <w:rPr>
          <w:color w:val="auto"/>
          <w:sz w:val="24"/>
        </w:rPr>
      </w:pPr>
      <w:r>
        <w:rPr>
          <w:color w:val="auto"/>
          <w:sz w:val="24"/>
        </w:rPr>
        <w:t>（3）环境空气质量现状评价</w:t>
      </w:r>
    </w:p>
    <w:p>
      <w:pPr>
        <w:spacing w:line="360" w:lineRule="auto"/>
        <w:ind w:firstLine="480" w:firstLineChars="200"/>
        <w:rPr>
          <w:color w:val="auto"/>
          <w:sz w:val="24"/>
        </w:rPr>
      </w:pPr>
      <w:r>
        <w:rPr>
          <w:color w:val="auto"/>
          <w:sz w:val="24"/>
        </w:rPr>
        <w:t>①评价标准</w:t>
      </w:r>
    </w:p>
    <w:p>
      <w:pPr>
        <w:spacing w:line="360" w:lineRule="auto"/>
        <w:ind w:firstLine="480" w:firstLineChars="200"/>
        <w:rPr>
          <w:b/>
          <w:bCs/>
          <w:color w:val="auto"/>
          <w:sz w:val="24"/>
        </w:rPr>
      </w:pPr>
      <w:r>
        <w:rPr>
          <w:color w:val="auto"/>
          <w:sz w:val="24"/>
        </w:rPr>
        <w:t>硫化氢参照执行《环境影响评价技术导则 大气环境》（HJ2.2-2018）附录D中</w:t>
      </w:r>
      <w:r>
        <w:rPr>
          <w:snapToGrid w:val="0"/>
          <w:color w:val="auto"/>
          <w:sz w:val="24"/>
        </w:rPr>
        <w:t>表D.1的规定标准；</w:t>
      </w:r>
      <w:r>
        <w:rPr>
          <w:color w:val="auto"/>
          <w:sz w:val="24"/>
        </w:rPr>
        <w:t>非甲烷总烃参照执行《大气污染物综合排放标准详解》中相关标准要求。本评价执行标准值见下表。</w:t>
      </w:r>
    </w:p>
    <w:p>
      <w:pPr>
        <w:spacing w:line="360" w:lineRule="auto"/>
        <w:jc w:val="center"/>
        <w:rPr>
          <w:b/>
          <w:bCs/>
          <w:color w:val="auto"/>
          <w:sz w:val="24"/>
          <w:vertAlign w:val="superscript"/>
        </w:rPr>
      </w:pPr>
      <w:r>
        <w:rPr>
          <w:rFonts w:hint="eastAsia"/>
          <w:b/>
          <w:bCs/>
          <w:color w:val="auto"/>
          <w:sz w:val="24"/>
        </w:rPr>
        <w:t>表5</w:t>
      </w:r>
      <w:r>
        <w:rPr>
          <w:b/>
          <w:bCs/>
          <w:color w:val="auto"/>
          <w:sz w:val="24"/>
        </w:rPr>
        <w:t>-9  环境空气质量现状评价标准  单位：mg/m</w:t>
      </w:r>
      <w:r>
        <w:rPr>
          <w:b/>
          <w:bCs/>
          <w:color w:val="auto"/>
          <w:sz w:val="24"/>
          <w:vertAlign w:val="superscript"/>
        </w:rPr>
        <w:t>3</w:t>
      </w:r>
    </w:p>
    <w:tbl>
      <w:tblPr>
        <w:tblStyle w:val="53"/>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61"/>
        <w:gridCol w:w="2426"/>
        <w:gridCol w:w="2493"/>
        <w:gridCol w:w="236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5" w:hRule="atLeast"/>
          <w:jc w:val="center"/>
        </w:trPr>
        <w:tc>
          <w:tcPr>
            <w:tcW w:w="928" w:type="pct"/>
            <w:vMerge w:val="restart"/>
            <w:vAlign w:val="center"/>
          </w:tcPr>
          <w:p>
            <w:pPr>
              <w:spacing w:line="300" w:lineRule="exact"/>
              <w:jc w:val="center"/>
              <w:rPr>
                <w:color w:val="auto"/>
                <w:szCs w:val="21"/>
              </w:rPr>
            </w:pPr>
            <w:r>
              <w:rPr>
                <w:color w:val="auto"/>
                <w:szCs w:val="21"/>
              </w:rPr>
              <w:t>大气</w:t>
            </w:r>
          </w:p>
        </w:tc>
        <w:tc>
          <w:tcPr>
            <w:tcW w:w="1355" w:type="pct"/>
            <w:vAlign w:val="center"/>
          </w:tcPr>
          <w:p>
            <w:pPr>
              <w:spacing w:line="300" w:lineRule="exact"/>
              <w:jc w:val="center"/>
              <w:rPr>
                <w:color w:val="auto"/>
                <w:szCs w:val="21"/>
              </w:rPr>
            </w:pPr>
            <w:r>
              <w:rPr>
                <w:color w:val="auto"/>
                <w:szCs w:val="21"/>
              </w:rPr>
              <w:t>标准类型</w:t>
            </w:r>
          </w:p>
        </w:tc>
        <w:tc>
          <w:tcPr>
            <w:tcW w:w="1392" w:type="pct"/>
            <w:vAlign w:val="center"/>
          </w:tcPr>
          <w:p>
            <w:pPr>
              <w:spacing w:line="300" w:lineRule="exact"/>
              <w:jc w:val="center"/>
              <w:rPr>
                <w:color w:val="auto"/>
                <w:szCs w:val="21"/>
              </w:rPr>
            </w:pPr>
            <w:r>
              <w:rPr>
                <w:bCs/>
                <w:color w:val="auto"/>
                <w:szCs w:val="21"/>
              </w:rPr>
              <w:t>非甲烷总烃</w:t>
            </w:r>
          </w:p>
        </w:tc>
        <w:tc>
          <w:tcPr>
            <w:tcW w:w="1323" w:type="pct"/>
            <w:vAlign w:val="center"/>
          </w:tcPr>
          <w:p>
            <w:pPr>
              <w:spacing w:line="300" w:lineRule="exact"/>
              <w:jc w:val="center"/>
              <w:rPr>
                <w:bCs/>
                <w:color w:val="auto"/>
                <w:szCs w:val="21"/>
              </w:rPr>
            </w:pPr>
            <w:r>
              <w:rPr>
                <w:bCs/>
                <w:color w:val="auto"/>
                <w:szCs w:val="21"/>
              </w:rPr>
              <w:t>硫化氢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928" w:type="pct"/>
            <w:vMerge w:val="continue"/>
            <w:vAlign w:val="center"/>
          </w:tcPr>
          <w:p>
            <w:pPr>
              <w:spacing w:line="300" w:lineRule="exact"/>
              <w:jc w:val="center"/>
              <w:rPr>
                <w:color w:val="auto"/>
                <w:szCs w:val="21"/>
              </w:rPr>
            </w:pPr>
          </w:p>
        </w:tc>
        <w:tc>
          <w:tcPr>
            <w:tcW w:w="1355" w:type="pct"/>
            <w:vAlign w:val="center"/>
          </w:tcPr>
          <w:p>
            <w:pPr>
              <w:spacing w:line="300" w:lineRule="exact"/>
              <w:jc w:val="center"/>
              <w:rPr>
                <w:color w:val="auto"/>
                <w:szCs w:val="21"/>
              </w:rPr>
            </w:pPr>
            <w:r>
              <w:rPr>
                <w:color w:val="auto"/>
                <w:szCs w:val="21"/>
              </w:rPr>
              <w:t>小时平均</w:t>
            </w:r>
          </w:p>
        </w:tc>
        <w:tc>
          <w:tcPr>
            <w:tcW w:w="1392" w:type="pct"/>
            <w:vAlign w:val="center"/>
          </w:tcPr>
          <w:p>
            <w:pPr>
              <w:spacing w:line="300" w:lineRule="exact"/>
              <w:jc w:val="center"/>
              <w:rPr>
                <w:color w:val="auto"/>
                <w:szCs w:val="21"/>
              </w:rPr>
            </w:pPr>
            <w:r>
              <w:rPr>
                <w:color w:val="auto"/>
                <w:szCs w:val="21"/>
              </w:rPr>
              <w:t>2.0</w:t>
            </w:r>
          </w:p>
        </w:tc>
        <w:tc>
          <w:tcPr>
            <w:tcW w:w="1323" w:type="pct"/>
            <w:vAlign w:val="center"/>
          </w:tcPr>
          <w:p>
            <w:pPr>
              <w:spacing w:line="300" w:lineRule="exact"/>
              <w:jc w:val="center"/>
              <w:rPr>
                <w:color w:val="auto"/>
                <w:szCs w:val="21"/>
              </w:rPr>
            </w:pPr>
            <w:r>
              <w:rPr>
                <w:color w:val="auto"/>
                <w:szCs w:val="21"/>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928" w:type="pct"/>
            <w:vMerge w:val="continue"/>
            <w:vAlign w:val="center"/>
          </w:tcPr>
          <w:p>
            <w:pPr>
              <w:spacing w:line="300" w:lineRule="exact"/>
              <w:jc w:val="center"/>
              <w:rPr>
                <w:color w:val="auto"/>
                <w:szCs w:val="21"/>
              </w:rPr>
            </w:pPr>
          </w:p>
        </w:tc>
        <w:tc>
          <w:tcPr>
            <w:tcW w:w="1355" w:type="pct"/>
            <w:vAlign w:val="center"/>
          </w:tcPr>
          <w:p>
            <w:pPr>
              <w:spacing w:line="300" w:lineRule="exact"/>
              <w:jc w:val="center"/>
              <w:rPr>
                <w:color w:val="auto"/>
                <w:szCs w:val="21"/>
              </w:rPr>
            </w:pPr>
            <w:r>
              <w:rPr>
                <w:color w:val="auto"/>
                <w:szCs w:val="21"/>
              </w:rPr>
              <w:t>日平均</w:t>
            </w:r>
          </w:p>
        </w:tc>
        <w:tc>
          <w:tcPr>
            <w:tcW w:w="1392" w:type="pct"/>
            <w:vAlign w:val="center"/>
          </w:tcPr>
          <w:p>
            <w:pPr>
              <w:spacing w:line="300" w:lineRule="exact"/>
              <w:jc w:val="center"/>
              <w:rPr>
                <w:color w:val="auto"/>
                <w:szCs w:val="21"/>
              </w:rPr>
            </w:pPr>
            <w:r>
              <w:rPr>
                <w:color w:val="auto"/>
                <w:szCs w:val="21"/>
              </w:rPr>
              <w:t>——</w:t>
            </w:r>
          </w:p>
        </w:tc>
        <w:tc>
          <w:tcPr>
            <w:tcW w:w="1323" w:type="pct"/>
            <w:vAlign w:val="center"/>
          </w:tcPr>
          <w:p>
            <w:pPr>
              <w:spacing w:line="300" w:lineRule="exact"/>
              <w:jc w:val="center"/>
              <w:rPr>
                <w:color w:val="auto"/>
                <w:szCs w:val="21"/>
              </w:rPr>
            </w:pPr>
            <w:r>
              <w:rPr>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928" w:type="pct"/>
            <w:vMerge w:val="continue"/>
            <w:vAlign w:val="center"/>
          </w:tcPr>
          <w:p>
            <w:pPr>
              <w:spacing w:line="300" w:lineRule="exact"/>
              <w:jc w:val="center"/>
              <w:rPr>
                <w:color w:val="auto"/>
                <w:szCs w:val="21"/>
              </w:rPr>
            </w:pPr>
          </w:p>
        </w:tc>
        <w:tc>
          <w:tcPr>
            <w:tcW w:w="1355" w:type="pct"/>
            <w:vAlign w:val="center"/>
          </w:tcPr>
          <w:p>
            <w:pPr>
              <w:spacing w:line="300" w:lineRule="exact"/>
              <w:jc w:val="center"/>
              <w:rPr>
                <w:color w:val="auto"/>
                <w:szCs w:val="21"/>
              </w:rPr>
            </w:pPr>
            <w:r>
              <w:rPr>
                <w:color w:val="auto"/>
                <w:szCs w:val="21"/>
              </w:rPr>
              <w:t>年平均</w:t>
            </w:r>
          </w:p>
        </w:tc>
        <w:tc>
          <w:tcPr>
            <w:tcW w:w="1392" w:type="pct"/>
            <w:vAlign w:val="center"/>
          </w:tcPr>
          <w:p>
            <w:pPr>
              <w:spacing w:line="300" w:lineRule="exact"/>
              <w:jc w:val="center"/>
              <w:rPr>
                <w:color w:val="auto"/>
                <w:szCs w:val="21"/>
              </w:rPr>
            </w:pPr>
            <w:r>
              <w:rPr>
                <w:color w:val="auto"/>
                <w:szCs w:val="21"/>
              </w:rPr>
              <w:t>——</w:t>
            </w:r>
          </w:p>
        </w:tc>
        <w:tc>
          <w:tcPr>
            <w:tcW w:w="1323" w:type="pct"/>
            <w:vAlign w:val="center"/>
          </w:tcPr>
          <w:p>
            <w:pPr>
              <w:spacing w:line="300" w:lineRule="exact"/>
              <w:jc w:val="center"/>
              <w:rPr>
                <w:color w:val="auto"/>
                <w:szCs w:val="21"/>
              </w:rPr>
            </w:pPr>
            <w:r>
              <w:rPr>
                <w:color w:val="auto"/>
                <w:szCs w:val="21"/>
              </w:rPr>
              <w:t>——</w:t>
            </w:r>
          </w:p>
        </w:tc>
      </w:tr>
    </w:tbl>
    <w:p>
      <w:pPr>
        <w:spacing w:line="360" w:lineRule="auto"/>
        <w:ind w:firstLine="556" w:firstLineChars="232"/>
        <w:rPr>
          <w:color w:val="auto"/>
          <w:sz w:val="24"/>
        </w:rPr>
      </w:pPr>
      <w:r>
        <w:rPr>
          <w:color w:val="auto"/>
          <w:sz w:val="24"/>
        </w:rPr>
        <w:t>②评价方法</w:t>
      </w:r>
    </w:p>
    <w:p>
      <w:pPr>
        <w:spacing w:line="360" w:lineRule="auto"/>
        <w:ind w:firstLine="480" w:firstLineChars="200"/>
        <w:rPr>
          <w:color w:val="auto"/>
          <w:sz w:val="24"/>
        </w:rPr>
      </w:pPr>
      <w:r>
        <w:rPr>
          <w:color w:val="auto"/>
          <w:sz w:val="24"/>
        </w:rPr>
        <w:t>环境空气质量采用单项指数评价法进行，评价方法叙述如下：</w:t>
      </w:r>
    </w:p>
    <w:p>
      <w:pPr>
        <w:pStyle w:val="304"/>
        <w:tabs>
          <w:tab w:val="left" w:pos="840"/>
        </w:tabs>
        <w:spacing w:line="360" w:lineRule="auto"/>
        <w:ind w:firstLine="480" w:firstLineChars="200"/>
        <w:rPr>
          <w:rFonts w:cs="Times New Roman"/>
          <w:color w:val="auto"/>
        </w:rPr>
      </w:pPr>
      <w:r>
        <w:rPr>
          <w:rFonts w:cs="Times New Roman"/>
          <w:color w:val="auto"/>
        </w:rPr>
        <w:t>单项指数法：</w:t>
      </w:r>
    </w:p>
    <w:p>
      <w:pPr>
        <w:spacing w:line="360" w:lineRule="auto"/>
        <w:ind w:firstLine="525" w:firstLineChars="250"/>
        <w:jc w:val="center"/>
        <w:rPr>
          <w:color w:val="auto"/>
        </w:rPr>
      </w:pPr>
      <w:r>
        <w:rPr>
          <w:color w:val="auto"/>
        </w:rPr>
        <w:object>
          <v:shape id="_x0000_i1028" o:spt="75" type="#_x0000_t75" style="height:34.2pt;width:42.6pt;" o:ole="t" fillcolor="#ACA899" filled="f" o:preferrelative="t" stroked="f" coordsize="21600,21600">
            <v:path/>
            <v:fill on="f" focussize="0,0"/>
            <v:stroke on="f" joinstyle="miter"/>
            <v:imagedata r:id="rId36" o:title=""/>
            <o:lock v:ext="edit" aspectratio="t"/>
            <w10:wrap type="none"/>
            <w10:anchorlock/>
          </v:shape>
          <o:OLEObject Type="Embed" ProgID="Equation.2" ShapeID="_x0000_i1028" DrawAspect="Content" ObjectID="_1468075737" r:id="rId35">
            <o:LockedField>false</o:LockedField>
          </o:OLEObject>
        </w:object>
      </w:r>
    </w:p>
    <w:p>
      <w:pPr>
        <w:pStyle w:val="304"/>
        <w:tabs>
          <w:tab w:val="left" w:pos="840"/>
        </w:tabs>
        <w:spacing w:line="360" w:lineRule="auto"/>
        <w:ind w:firstLine="480" w:firstLineChars="200"/>
        <w:rPr>
          <w:rFonts w:cs="Times New Roman"/>
          <w:color w:val="auto"/>
        </w:rPr>
      </w:pPr>
      <w:r>
        <w:rPr>
          <w:rFonts w:cs="Times New Roman"/>
          <w:color w:val="auto"/>
        </w:rPr>
        <w:t>式中：</w:t>
      </w:r>
      <w:r>
        <w:rPr>
          <w:rFonts w:cs="Times New Roman"/>
          <w:color w:val="auto"/>
          <w:position w:val="-12"/>
        </w:rPr>
        <w:object>
          <v:shape id="_x0000_i1029" o:spt="75" type="#_x0000_t75" style="height:18pt;width:13.8pt;" o:ole="t" filled="f" o:preferrelative="t" stroked="f" coordsize="21600,21600">
            <v:path/>
            <v:fill on="f" focussize="0,0"/>
            <v:stroke on="f" joinstyle="miter"/>
            <v:imagedata r:id="rId38" o:title=""/>
            <o:lock v:ext="edit" aspectratio="t"/>
            <w10:wrap type="none"/>
            <w10:anchorlock/>
          </v:shape>
          <o:OLEObject Type="Embed" ProgID="Equation.3" ShapeID="_x0000_i1029" DrawAspect="Content" ObjectID="_1468075738" r:id="rId37">
            <o:LockedField>false</o:LockedField>
          </o:OLEObject>
        </w:object>
      </w:r>
      <w:r>
        <w:rPr>
          <w:rFonts w:cs="Times New Roman"/>
          <w:color w:val="auto"/>
        </w:rPr>
        <w:t>—第</w:t>
      </w:r>
      <w:r>
        <w:rPr>
          <w:rFonts w:cs="Times New Roman"/>
          <w:color w:val="auto"/>
          <w:position w:val="-6"/>
        </w:rPr>
        <w:object>
          <v:shape id="_x0000_i1030" o:spt="75" type="#_x0000_t75" style="height:10.2pt;width:6.6pt;" o:ole="t" filled="f" o:preferrelative="t" stroked="f" coordsize="21600,21600">
            <v:path/>
            <v:fill on="f" focussize="0,0"/>
            <v:stroke on="f" joinstyle="miter"/>
            <v:imagedata r:id="rId40" o:title=""/>
            <o:lock v:ext="edit" aspectratio="t"/>
            <w10:wrap type="none"/>
            <w10:anchorlock/>
          </v:shape>
          <o:OLEObject Type="Embed" ProgID="Equation.3" ShapeID="_x0000_i1030" DrawAspect="Content" ObjectID="_1468075739" r:id="rId39">
            <o:LockedField>false</o:LockedField>
          </o:OLEObject>
        </w:object>
      </w:r>
      <w:r>
        <w:rPr>
          <w:rFonts w:cs="Times New Roman"/>
          <w:color w:val="auto"/>
        </w:rPr>
        <w:t>种污染物日均实测浓度，ug/m</w:t>
      </w:r>
      <w:r>
        <w:rPr>
          <w:rFonts w:cs="Times New Roman"/>
          <w:color w:val="auto"/>
          <w:vertAlign w:val="superscript"/>
        </w:rPr>
        <w:t>3</w:t>
      </w:r>
      <w:r>
        <w:rPr>
          <w:rFonts w:cs="Times New Roman"/>
          <w:color w:val="auto"/>
        </w:rPr>
        <w:t>；</w:t>
      </w:r>
    </w:p>
    <w:p>
      <w:pPr>
        <w:spacing w:line="360" w:lineRule="auto"/>
        <w:ind w:firstLine="1276" w:firstLineChars="532"/>
        <w:rPr>
          <w:color w:val="auto"/>
          <w:sz w:val="24"/>
        </w:rPr>
      </w:pPr>
      <w:r>
        <w:rPr>
          <w:color w:val="auto"/>
          <w:position w:val="-12"/>
          <w:sz w:val="24"/>
        </w:rPr>
        <w:object>
          <v:shape id="_x0000_i1031" o:spt="75" type="#_x0000_t75" style="height:18pt;width:13.2pt;" o:ole="t" filled="f" o:preferrelative="t" stroked="f" coordsize="21600,21600">
            <v:path/>
            <v:fill on="f" focussize="0,0"/>
            <v:stroke on="f" joinstyle="miter"/>
            <v:imagedata r:id="rId42" o:title=""/>
            <o:lock v:ext="edit" aspectratio="t"/>
            <w10:wrap type="none"/>
            <w10:anchorlock/>
          </v:shape>
          <o:OLEObject Type="Embed" ProgID="Equation.3" ShapeID="_x0000_i1031" DrawAspect="Content" ObjectID="_1468075740" r:id="rId41">
            <o:LockedField>false</o:LockedField>
          </o:OLEObject>
        </w:object>
      </w:r>
      <w:r>
        <w:rPr>
          <w:color w:val="auto"/>
          <w:sz w:val="24"/>
        </w:rPr>
        <w:t>—第</w:t>
      </w:r>
      <w:r>
        <w:rPr>
          <w:color w:val="auto"/>
          <w:position w:val="-6"/>
          <w:sz w:val="24"/>
        </w:rPr>
        <w:object>
          <v:shape id="_x0000_i1032" o:spt="75" type="#_x0000_t75" style="height:10.2pt;width:6.6pt;" o:ole="t" filled="f" o:preferrelative="t" stroked="f" coordsize="21600,21600">
            <v:path/>
            <v:fill on="f" focussize="0,0"/>
            <v:stroke on="f" joinstyle="miter"/>
            <v:imagedata r:id="rId40" o:title=""/>
            <o:lock v:ext="edit" aspectratio="t"/>
            <w10:wrap type="none"/>
            <w10:anchorlock/>
          </v:shape>
          <o:OLEObject Type="Embed" ProgID="Equation.3" ShapeID="_x0000_i1032" DrawAspect="Content" ObjectID="_1468075741" r:id="rId43">
            <o:LockedField>false</o:LockedField>
          </o:OLEObject>
        </w:object>
      </w:r>
      <w:r>
        <w:rPr>
          <w:color w:val="auto"/>
          <w:sz w:val="24"/>
        </w:rPr>
        <w:t>种污染物日均评价标准，ug/m</w:t>
      </w:r>
      <w:r>
        <w:rPr>
          <w:color w:val="auto"/>
          <w:sz w:val="24"/>
          <w:vertAlign w:val="superscript"/>
        </w:rPr>
        <w:t>3</w:t>
      </w:r>
      <w:r>
        <w:rPr>
          <w:color w:val="auto"/>
          <w:sz w:val="24"/>
        </w:rPr>
        <w:t>。</w:t>
      </w:r>
    </w:p>
    <w:p>
      <w:pPr>
        <w:spacing w:line="360" w:lineRule="auto"/>
        <w:ind w:firstLine="480" w:firstLineChars="200"/>
        <w:rPr>
          <w:color w:val="auto"/>
          <w:sz w:val="24"/>
        </w:rPr>
      </w:pPr>
      <w:r>
        <w:rPr>
          <w:color w:val="auto"/>
          <w:sz w:val="24"/>
        </w:rPr>
        <w:t>Ii≥1为超标，否则为未超标。对照评价标准计算各监测点污染物的单因子指数范围(按相关标准规定，当监测值低于检出限时，单因子指数按检出线的一半进行计算。</w:t>
      </w:r>
    </w:p>
    <w:p>
      <w:pPr>
        <w:spacing w:line="360" w:lineRule="auto"/>
        <w:ind w:firstLine="436" w:firstLineChars="182"/>
        <w:rPr>
          <w:color w:val="auto"/>
          <w:sz w:val="24"/>
        </w:rPr>
      </w:pPr>
      <w:r>
        <w:rPr>
          <w:color w:val="auto"/>
          <w:sz w:val="24"/>
        </w:rPr>
        <w:t>③监测结果</w:t>
      </w:r>
    </w:p>
    <w:p>
      <w:pPr>
        <w:spacing w:line="360" w:lineRule="auto"/>
        <w:ind w:firstLine="480" w:firstLineChars="200"/>
        <w:rPr>
          <w:b/>
          <w:bCs/>
          <w:color w:val="auto"/>
          <w:sz w:val="24"/>
        </w:rPr>
      </w:pPr>
      <w:r>
        <w:rPr>
          <w:color w:val="auto"/>
          <w:sz w:val="24"/>
        </w:rPr>
        <w:t>特殊因子补充监测结果详见下表。</w:t>
      </w:r>
    </w:p>
    <w:p>
      <w:pPr>
        <w:spacing w:line="360" w:lineRule="auto"/>
        <w:jc w:val="center"/>
        <w:rPr>
          <w:b/>
          <w:bCs/>
          <w:color w:val="auto"/>
          <w:sz w:val="24"/>
        </w:rPr>
      </w:pPr>
      <w:r>
        <w:rPr>
          <w:rFonts w:hint="eastAsia"/>
          <w:b/>
          <w:bCs/>
          <w:color w:val="auto"/>
          <w:sz w:val="24"/>
        </w:rPr>
        <w:t>表5</w:t>
      </w:r>
      <w:r>
        <w:rPr>
          <w:b/>
          <w:bCs/>
          <w:color w:val="auto"/>
          <w:sz w:val="24"/>
        </w:rPr>
        <w:t>-10  环境空气质量现状监测结果   单位：mg/m</w:t>
      </w:r>
      <w:r>
        <w:rPr>
          <w:b/>
          <w:bCs/>
          <w:color w:val="auto"/>
          <w:sz w:val="24"/>
          <w:vertAlign w:val="superscript"/>
        </w:rPr>
        <w:t>3</w:t>
      </w:r>
    </w:p>
    <w:tbl>
      <w:tblPr>
        <w:tblStyle w:val="53"/>
        <w:tblpPr w:leftFromText="180" w:rightFromText="180" w:vertAnchor="text" w:horzAnchor="margin" w:tblpXSpec="center" w:tblpY="158"/>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80"/>
        <w:gridCol w:w="1214"/>
        <w:gridCol w:w="1576"/>
        <w:gridCol w:w="1577"/>
        <w:gridCol w:w="1556"/>
        <w:gridCol w:w="15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atLeast"/>
          <w:jc w:val="center"/>
        </w:trPr>
        <w:tc>
          <w:tcPr>
            <w:tcW w:w="1505" w:type="pct"/>
            <w:gridSpan w:val="2"/>
            <w:vAlign w:val="center"/>
          </w:tcPr>
          <w:p>
            <w:pPr>
              <w:spacing w:line="300" w:lineRule="exact"/>
              <w:jc w:val="center"/>
              <w:rPr>
                <w:bCs/>
                <w:color w:val="auto"/>
                <w:szCs w:val="21"/>
              </w:rPr>
            </w:pPr>
            <w:r>
              <w:rPr>
                <w:bCs/>
                <w:color w:val="auto"/>
                <w:szCs w:val="21"/>
              </w:rPr>
              <w:t>检 测 点 位</w:t>
            </w:r>
          </w:p>
        </w:tc>
        <w:tc>
          <w:tcPr>
            <w:tcW w:w="1761" w:type="pct"/>
            <w:gridSpan w:val="2"/>
            <w:vAlign w:val="center"/>
          </w:tcPr>
          <w:p>
            <w:pPr>
              <w:spacing w:line="300" w:lineRule="exact"/>
              <w:jc w:val="center"/>
              <w:rPr>
                <w:bCs/>
                <w:color w:val="auto"/>
                <w:szCs w:val="21"/>
              </w:rPr>
            </w:pPr>
            <w:r>
              <w:rPr>
                <w:bCs/>
                <w:color w:val="auto"/>
                <w:szCs w:val="21"/>
              </w:rPr>
              <w:t xml:space="preserve">G1项目所在地 </w:t>
            </w:r>
          </w:p>
        </w:tc>
        <w:tc>
          <w:tcPr>
            <w:tcW w:w="1732" w:type="pct"/>
            <w:gridSpan w:val="2"/>
            <w:vAlign w:val="center"/>
          </w:tcPr>
          <w:p>
            <w:pPr>
              <w:spacing w:line="300" w:lineRule="exact"/>
              <w:jc w:val="center"/>
              <w:rPr>
                <w:bCs/>
                <w:color w:val="auto"/>
                <w:szCs w:val="21"/>
              </w:rPr>
            </w:pPr>
            <w:r>
              <w:rPr>
                <w:bCs/>
                <w:color w:val="auto"/>
                <w:szCs w:val="21"/>
              </w:rPr>
              <w:t>G2</w:t>
            </w:r>
            <w:r>
              <w:rPr>
                <w:rFonts w:hint="eastAsia" w:cs="Times New Roman"/>
                <w:color w:val="auto"/>
                <w:szCs w:val="21"/>
                <w:lang w:val="en-US" w:eastAsia="zh-CN"/>
              </w:rPr>
              <w:t>连塘冲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 w:hRule="atLeast"/>
          <w:jc w:val="center"/>
        </w:trPr>
        <w:tc>
          <w:tcPr>
            <w:tcW w:w="1505" w:type="pct"/>
            <w:gridSpan w:val="2"/>
            <w:vAlign w:val="center"/>
          </w:tcPr>
          <w:p>
            <w:pPr>
              <w:spacing w:line="300" w:lineRule="exact"/>
              <w:jc w:val="center"/>
              <w:rPr>
                <w:bCs/>
                <w:color w:val="auto"/>
                <w:szCs w:val="21"/>
              </w:rPr>
            </w:pPr>
            <w:r>
              <w:rPr>
                <w:bCs/>
                <w:color w:val="auto"/>
                <w:szCs w:val="21"/>
              </w:rPr>
              <w:t>采 样 日 期</w:t>
            </w:r>
          </w:p>
        </w:tc>
        <w:tc>
          <w:tcPr>
            <w:tcW w:w="880" w:type="pct"/>
            <w:vAlign w:val="center"/>
          </w:tcPr>
          <w:p>
            <w:pPr>
              <w:spacing w:line="300" w:lineRule="exact"/>
              <w:jc w:val="center"/>
              <w:rPr>
                <w:bCs/>
                <w:color w:val="auto"/>
                <w:szCs w:val="21"/>
              </w:rPr>
            </w:pPr>
            <w:r>
              <w:rPr>
                <w:bCs/>
                <w:color w:val="auto"/>
                <w:szCs w:val="21"/>
              </w:rPr>
              <w:t>硫化氢</w:t>
            </w:r>
          </w:p>
        </w:tc>
        <w:tc>
          <w:tcPr>
            <w:tcW w:w="881" w:type="pct"/>
            <w:vAlign w:val="center"/>
          </w:tcPr>
          <w:p>
            <w:pPr>
              <w:spacing w:line="300" w:lineRule="exact"/>
              <w:jc w:val="center"/>
              <w:rPr>
                <w:bCs/>
                <w:color w:val="auto"/>
                <w:szCs w:val="21"/>
              </w:rPr>
            </w:pPr>
            <w:r>
              <w:rPr>
                <w:bCs/>
                <w:color w:val="auto"/>
                <w:szCs w:val="21"/>
              </w:rPr>
              <w:t>非甲烷总烃</w:t>
            </w:r>
          </w:p>
        </w:tc>
        <w:tc>
          <w:tcPr>
            <w:tcW w:w="869" w:type="pct"/>
            <w:vAlign w:val="center"/>
          </w:tcPr>
          <w:p>
            <w:pPr>
              <w:spacing w:line="300" w:lineRule="exact"/>
              <w:jc w:val="center"/>
              <w:rPr>
                <w:bCs/>
                <w:color w:val="auto"/>
                <w:szCs w:val="21"/>
              </w:rPr>
            </w:pPr>
            <w:r>
              <w:rPr>
                <w:bCs/>
                <w:color w:val="auto"/>
                <w:szCs w:val="21"/>
              </w:rPr>
              <w:t>硫化氢</w:t>
            </w:r>
          </w:p>
        </w:tc>
        <w:tc>
          <w:tcPr>
            <w:tcW w:w="863" w:type="pct"/>
            <w:vAlign w:val="center"/>
          </w:tcPr>
          <w:p>
            <w:pPr>
              <w:spacing w:line="300" w:lineRule="exact"/>
              <w:jc w:val="center"/>
              <w:rPr>
                <w:bCs/>
                <w:color w:val="auto"/>
                <w:szCs w:val="21"/>
              </w:rPr>
            </w:pPr>
            <w:r>
              <w:rPr>
                <w:bCs/>
                <w:color w:val="auto"/>
                <w:szCs w:val="21"/>
              </w:rPr>
              <w:t>非甲烷总烃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 w:hRule="atLeast"/>
          <w:jc w:val="center"/>
        </w:trPr>
        <w:tc>
          <w:tcPr>
            <w:tcW w:w="827" w:type="pct"/>
            <w:vMerge w:val="restart"/>
            <w:vAlign w:val="center"/>
          </w:tcPr>
          <w:p>
            <w:pPr>
              <w:spacing w:line="300" w:lineRule="exact"/>
              <w:jc w:val="center"/>
              <w:rPr>
                <w:bCs/>
                <w:color w:val="auto"/>
                <w:szCs w:val="21"/>
              </w:rPr>
            </w:pPr>
            <w:r>
              <w:rPr>
                <w:rFonts w:hint="eastAsia"/>
                <w:bCs/>
                <w:color w:val="auto"/>
                <w:szCs w:val="21"/>
              </w:rPr>
              <w:t>2020.</w:t>
            </w:r>
            <w:r>
              <w:rPr>
                <w:rFonts w:hint="eastAsia"/>
                <w:bCs/>
                <w:color w:val="auto"/>
                <w:szCs w:val="21"/>
                <w:lang w:val="en-US" w:eastAsia="zh-CN"/>
              </w:rPr>
              <w:t>8</w:t>
            </w:r>
            <w:r>
              <w:rPr>
                <w:rFonts w:hint="eastAsia"/>
                <w:bCs/>
                <w:color w:val="auto"/>
                <w:szCs w:val="21"/>
              </w:rPr>
              <w:t>.14</w:t>
            </w:r>
          </w:p>
        </w:tc>
        <w:tc>
          <w:tcPr>
            <w:tcW w:w="678" w:type="pct"/>
            <w:vMerge w:val="restart"/>
            <w:vAlign w:val="center"/>
          </w:tcPr>
          <w:p>
            <w:pPr>
              <w:spacing w:line="300" w:lineRule="exact"/>
              <w:jc w:val="center"/>
              <w:rPr>
                <w:bCs/>
                <w:color w:val="auto"/>
                <w:szCs w:val="21"/>
              </w:rPr>
            </w:pPr>
            <w:r>
              <w:rPr>
                <w:bCs/>
                <w:color w:val="auto"/>
                <w:szCs w:val="21"/>
              </w:rPr>
              <w:t>小时平均</w:t>
            </w:r>
          </w:p>
        </w:tc>
        <w:tc>
          <w:tcPr>
            <w:tcW w:w="880" w:type="pct"/>
            <w:vAlign w:val="center"/>
          </w:tcPr>
          <w:p>
            <w:pPr>
              <w:spacing w:line="300" w:lineRule="exact"/>
              <w:jc w:val="center"/>
              <w:rPr>
                <w:bCs/>
                <w:color w:val="auto"/>
                <w:szCs w:val="21"/>
              </w:rPr>
            </w:pPr>
            <w:r>
              <w:rPr>
                <w:rFonts w:hint="eastAsia"/>
                <w:bCs/>
                <w:color w:val="auto"/>
                <w:szCs w:val="21"/>
              </w:rPr>
              <w:t>ND</w:t>
            </w:r>
          </w:p>
        </w:tc>
        <w:tc>
          <w:tcPr>
            <w:tcW w:w="881" w:type="pct"/>
            <w:vAlign w:val="center"/>
          </w:tcPr>
          <w:p>
            <w:pPr>
              <w:spacing w:line="300" w:lineRule="exact"/>
              <w:jc w:val="center"/>
              <w:rPr>
                <w:bCs/>
                <w:color w:val="auto"/>
                <w:szCs w:val="21"/>
              </w:rPr>
            </w:pPr>
            <w:r>
              <w:rPr>
                <w:rFonts w:hint="eastAsia"/>
                <w:bCs/>
                <w:color w:val="auto"/>
                <w:szCs w:val="21"/>
              </w:rPr>
              <w:t>1.54</w:t>
            </w:r>
          </w:p>
        </w:tc>
        <w:tc>
          <w:tcPr>
            <w:tcW w:w="869" w:type="pct"/>
            <w:vAlign w:val="center"/>
          </w:tcPr>
          <w:p>
            <w:pPr>
              <w:spacing w:line="300" w:lineRule="exact"/>
              <w:jc w:val="center"/>
              <w:rPr>
                <w:bCs/>
                <w:color w:val="auto"/>
                <w:szCs w:val="21"/>
              </w:rPr>
            </w:pPr>
            <w:r>
              <w:rPr>
                <w:rFonts w:hint="eastAsia"/>
                <w:bCs/>
                <w:color w:val="auto"/>
                <w:szCs w:val="21"/>
              </w:rPr>
              <w:t>0.001</w:t>
            </w:r>
          </w:p>
        </w:tc>
        <w:tc>
          <w:tcPr>
            <w:tcW w:w="863" w:type="pct"/>
            <w:vAlign w:val="center"/>
          </w:tcPr>
          <w:p>
            <w:pPr>
              <w:spacing w:line="300" w:lineRule="exact"/>
              <w:jc w:val="center"/>
              <w:rPr>
                <w:bCs/>
                <w:color w:val="auto"/>
                <w:szCs w:val="21"/>
              </w:rPr>
            </w:pPr>
            <w:r>
              <w:rPr>
                <w:rFonts w:hint="eastAsia"/>
                <w:bCs/>
                <w:color w:val="auto"/>
                <w:szCs w:val="21"/>
              </w:rPr>
              <w:t>0.95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 w:hRule="atLeast"/>
          <w:jc w:val="center"/>
        </w:trPr>
        <w:tc>
          <w:tcPr>
            <w:tcW w:w="827" w:type="pct"/>
            <w:vMerge w:val="continue"/>
            <w:vAlign w:val="center"/>
          </w:tcPr>
          <w:p>
            <w:pPr>
              <w:spacing w:line="300" w:lineRule="exact"/>
              <w:jc w:val="center"/>
              <w:rPr>
                <w:bCs/>
                <w:color w:val="auto"/>
                <w:szCs w:val="21"/>
              </w:rPr>
            </w:pPr>
          </w:p>
        </w:tc>
        <w:tc>
          <w:tcPr>
            <w:tcW w:w="678" w:type="pct"/>
            <w:vMerge w:val="continue"/>
            <w:vAlign w:val="center"/>
          </w:tcPr>
          <w:p>
            <w:pPr>
              <w:spacing w:line="300" w:lineRule="exact"/>
              <w:jc w:val="center"/>
              <w:rPr>
                <w:bCs/>
                <w:color w:val="auto"/>
                <w:szCs w:val="21"/>
              </w:rPr>
            </w:pPr>
          </w:p>
        </w:tc>
        <w:tc>
          <w:tcPr>
            <w:tcW w:w="880" w:type="pct"/>
            <w:vAlign w:val="center"/>
          </w:tcPr>
          <w:p>
            <w:pPr>
              <w:spacing w:line="300" w:lineRule="exact"/>
              <w:jc w:val="center"/>
              <w:rPr>
                <w:bCs/>
                <w:color w:val="auto"/>
                <w:szCs w:val="21"/>
              </w:rPr>
            </w:pPr>
            <w:r>
              <w:rPr>
                <w:rFonts w:hint="eastAsia"/>
                <w:bCs/>
                <w:color w:val="auto"/>
                <w:szCs w:val="21"/>
              </w:rPr>
              <w:t>ND</w:t>
            </w:r>
          </w:p>
        </w:tc>
        <w:tc>
          <w:tcPr>
            <w:tcW w:w="881" w:type="pct"/>
            <w:vAlign w:val="center"/>
          </w:tcPr>
          <w:p>
            <w:pPr>
              <w:spacing w:line="300" w:lineRule="exact"/>
              <w:jc w:val="center"/>
              <w:rPr>
                <w:bCs/>
                <w:color w:val="auto"/>
                <w:szCs w:val="21"/>
              </w:rPr>
            </w:pPr>
            <w:r>
              <w:rPr>
                <w:rFonts w:hint="eastAsia"/>
                <w:bCs/>
                <w:color w:val="auto"/>
                <w:szCs w:val="21"/>
              </w:rPr>
              <w:t>1.24</w:t>
            </w:r>
          </w:p>
        </w:tc>
        <w:tc>
          <w:tcPr>
            <w:tcW w:w="869" w:type="pct"/>
            <w:vAlign w:val="center"/>
          </w:tcPr>
          <w:p>
            <w:pPr>
              <w:spacing w:line="300" w:lineRule="exact"/>
              <w:jc w:val="center"/>
              <w:rPr>
                <w:bCs/>
                <w:color w:val="auto"/>
                <w:szCs w:val="21"/>
              </w:rPr>
            </w:pPr>
            <w:r>
              <w:rPr>
                <w:rFonts w:hint="eastAsia"/>
                <w:bCs/>
                <w:color w:val="auto"/>
                <w:szCs w:val="21"/>
              </w:rPr>
              <w:t>ND</w:t>
            </w:r>
          </w:p>
        </w:tc>
        <w:tc>
          <w:tcPr>
            <w:tcW w:w="863" w:type="pct"/>
            <w:vAlign w:val="center"/>
          </w:tcPr>
          <w:p>
            <w:pPr>
              <w:spacing w:line="300" w:lineRule="exact"/>
              <w:jc w:val="center"/>
              <w:rPr>
                <w:bCs/>
                <w:color w:val="auto"/>
                <w:szCs w:val="21"/>
              </w:rPr>
            </w:pPr>
            <w:r>
              <w:rPr>
                <w:rFonts w:hint="eastAsia"/>
                <w:bCs/>
                <w:color w:val="auto"/>
                <w:szCs w:val="21"/>
              </w:rPr>
              <w:t>0.77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 w:hRule="atLeast"/>
          <w:jc w:val="center"/>
        </w:trPr>
        <w:tc>
          <w:tcPr>
            <w:tcW w:w="827" w:type="pct"/>
            <w:vMerge w:val="continue"/>
            <w:vAlign w:val="center"/>
          </w:tcPr>
          <w:p>
            <w:pPr>
              <w:spacing w:line="300" w:lineRule="exact"/>
              <w:jc w:val="center"/>
              <w:rPr>
                <w:bCs/>
                <w:color w:val="auto"/>
                <w:szCs w:val="21"/>
              </w:rPr>
            </w:pPr>
          </w:p>
        </w:tc>
        <w:tc>
          <w:tcPr>
            <w:tcW w:w="678" w:type="pct"/>
            <w:vMerge w:val="continue"/>
            <w:vAlign w:val="center"/>
          </w:tcPr>
          <w:p>
            <w:pPr>
              <w:spacing w:line="300" w:lineRule="exact"/>
              <w:jc w:val="center"/>
              <w:rPr>
                <w:bCs/>
                <w:color w:val="auto"/>
                <w:szCs w:val="21"/>
              </w:rPr>
            </w:pPr>
          </w:p>
        </w:tc>
        <w:tc>
          <w:tcPr>
            <w:tcW w:w="880" w:type="pct"/>
            <w:vAlign w:val="center"/>
          </w:tcPr>
          <w:p>
            <w:pPr>
              <w:spacing w:line="300" w:lineRule="exact"/>
              <w:jc w:val="center"/>
              <w:rPr>
                <w:bCs/>
                <w:color w:val="auto"/>
                <w:szCs w:val="21"/>
              </w:rPr>
            </w:pPr>
            <w:r>
              <w:rPr>
                <w:rFonts w:hint="eastAsia"/>
                <w:bCs/>
                <w:color w:val="auto"/>
                <w:szCs w:val="21"/>
              </w:rPr>
              <w:t>0.001</w:t>
            </w:r>
          </w:p>
        </w:tc>
        <w:tc>
          <w:tcPr>
            <w:tcW w:w="881" w:type="pct"/>
            <w:vAlign w:val="center"/>
          </w:tcPr>
          <w:p>
            <w:pPr>
              <w:spacing w:line="300" w:lineRule="exact"/>
              <w:jc w:val="center"/>
              <w:rPr>
                <w:bCs/>
                <w:color w:val="auto"/>
                <w:szCs w:val="21"/>
              </w:rPr>
            </w:pPr>
            <w:r>
              <w:rPr>
                <w:rFonts w:hint="eastAsia"/>
                <w:bCs/>
                <w:color w:val="auto"/>
                <w:szCs w:val="21"/>
              </w:rPr>
              <w:t>1.61</w:t>
            </w:r>
          </w:p>
        </w:tc>
        <w:tc>
          <w:tcPr>
            <w:tcW w:w="869" w:type="pct"/>
            <w:vAlign w:val="center"/>
          </w:tcPr>
          <w:p>
            <w:pPr>
              <w:spacing w:line="300" w:lineRule="exact"/>
              <w:jc w:val="center"/>
              <w:rPr>
                <w:bCs/>
                <w:color w:val="auto"/>
                <w:szCs w:val="21"/>
              </w:rPr>
            </w:pPr>
            <w:r>
              <w:rPr>
                <w:rFonts w:hint="eastAsia"/>
                <w:bCs/>
                <w:color w:val="auto"/>
                <w:szCs w:val="21"/>
              </w:rPr>
              <w:t>ND</w:t>
            </w:r>
          </w:p>
        </w:tc>
        <w:tc>
          <w:tcPr>
            <w:tcW w:w="863" w:type="pct"/>
            <w:vAlign w:val="center"/>
          </w:tcPr>
          <w:p>
            <w:pPr>
              <w:spacing w:line="300" w:lineRule="exact"/>
              <w:jc w:val="center"/>
              <w:rPr>
                <w:bCs/>
                <w:color w:val="auto"/>
                <w:szCs w:val="21"/>
              </w:rPr>
            </w:pPr>
            <w:r>
              <w:rPr>
                <w:rFonts w:hint="eastAsia"/>
                <w:bCs/>
                <w:color w:val="auto"/>
                <w:szCs w:val="21"/>
              </w:rPr>
              <w:t>0.76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 w:hRule="atLeast"/>
          <w:jc w:val="center"/>
        </w:trPr>
        <w:tc>
          <w:tcPr>
            <w:tcW w:w="827" w:type="pct"/>
            <w:vMerge w:val="continue"/>
            <w:vAlign w:val="center"/>
          </w:tcPr>
          <w:p>
            <w:pPr>
              <w:spacing w:line="300" w:lineRule="exact"/>
              <w:jc w:val="center"/>
              <w:rPr>
                <w:bCs/>
                <w:color w:val="auto"/>
                <w:szCs w:val="21"/>
              </w:rPr>
            </w:pPr>
          </w:p>
        </w:tc>
        <w:tc>
          <w:tcPr>
            <w:tcW w:w="678" w:type="pct"/>
            <w:vMerge w:val="continue"/>
            <w:vAlign w:val="center"/>
          </w:tcPr>
          <w:p>
            <w:pPr>
              <w:spacing w:line="300" w:lineRule="exact"/>
              <w:jc w:val="center"/>
              <w:rPr>
                <w:bCs/>
                <w:color w:val="auto"/>
                <w:szCs w:val="21"/>
              </w:rPr>
            </w:pPr>
          </w:p>
        </w:tc>
        <w:tc>
          <w:tcPr>
            <w:tcW w:w="880" w:type="pct"/>
            <w:vAlign w:val="center"/>
          </w:tcPr>
          <w:p>
            <w:pPr>
              <w:spacing w:line="300" w:lineRule="exact"/>
              <w:jc w:val="center"/>
              <w:rPr>
                <w:bCs/>
                <w:color w:val="auto"/>
                <w:szCs w:val="21"/>
              </w:rPr>
            </w:pPr>
            <w:r>
              <w:rPr>
                <w:rFonts w:hint="eastAsia"/>
                <w:bCs/>
                <w:color w:val="auto"/>
                <w:szCs w:val="21"/>
              </w:rPr>
              <w:t>ND</w:t>
            </w:r>
          </w:p>
        </w:tc>
        <w:tc>
          <w:tcPr>
            <w:tcW w:w="881" w:type="pct"/>
            <w:vAlign w:val="center"/>
          </w:tcPr>
          <w:p>
            <w:pPr>
              <w:spacing w:line="300" w:lineRule="exact"/>
              <w:jc w:val="center"/>
              <w:rPr>
                <w:bCs/>
                <w:color w:val="auto"/>
                <w:szCs w:val="21"/>
              </w:rPr>
            </w:pPr>
            <w:r>
              <w:rPr>
                <w:rFonts w:hint="eastAsia"/>
                <w:bCs/>
                <w:color w:val="auto"/>
                <w:szCs w:val="21"/>
              </w:rPr>
              <w:t>1.40</w:t>
            </w:r>
          </w:p>
        </w:tc>
        <w:tc>
          <w:tcPr>
            <w:tcW w:w="869" w:type="pct"/>
            <w:vAlign w:val="center"/>
          </w:tcPr>
          <w:p>
            <w:pPr>
              <w:spacing w:line="300" w:lineRule="exact"/>
              <w:jc w:val="center"/>
              <w:rPr>
                <w:bCs/>
                <w:color w:val="auto"/>
                <w:szCs w:val="21"/>
              </w:rPr>
            </w:pPr>
            <w:r>
              <w:rPr>
                <w:rFonts w:hint="eastAsia"/>
                <w:bCs/>
                <w:color w:val="auto"/>
                <w:szCs w:val="21"/>
              </w:rPr>
              <w:t>ND</w:t>
            </w:r>
          </w:p>
        </w:tc>
        <w:tc>
          <w:tcPr>
            <w:tcW w:w="863" w:type="pct"/>
            <w:vAlign w:val="center"/>
          </w:tcPr>
          <w:p>
            <w:pPr>
              <w:spacing w:line="300" w:lineRule="exact"/>
              <w:jc w:val="center"/>
              <w:rPr>
                <w:bCs/>
                <w:color w:val="auto"/>
                <w:szCs w:val="21"/>
              </w:rPr>
            </w:pPr>
            <w:r>
              <w:rPr>
                <w:rFonts w:hint="eastAsia"/>
                <w:bCs/>
                <w:color w:val="auto"/>
                <w:szCs w:val="21"/>
              </w:rPr>
              <w:t>0.71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 w:hRule="atLeast"/>
          <w:jc w:val="center"/>
        </w:trPr>
        <w:tc>
          <w:tcPr>
            <w:tcW w:w="827" w:type="pct"/>
            <w:vMerge w:val="continue"/>
            <w:vAlign w:val="center"/>
          </w:tcPr>
          <w:p>
            <w:pPr>
              <w:spacing w:line="300" w:lineRule="exact"/>
              <w:jc w:val="center"/>
              <w:rPr>
                <w:bCs/>
                <w:color w:val="auto"/>
                <w:szCs w:val="21"/>
              </w:rPr>
            </w:pPr>
          </w:p>
        </w:tc>
        <w:tc>
          <w:tcPr>
            <w:tcW w:w="678" w:type="pct"/>
            <w:vAlign w:val="center"/>
          </w:tcPr>
          <w:p>
            <w:pPr>
              <w:spacing w:line="300" w:lineRule="exact"/>
              <w:jc w:val="center"/>
              <w:rPr>
                <w:bCs/>
                <w:color w:val="auto"/>
                <w:szCs w:val="21"/>
              </w:rPr>
            </w:pPr>
            <w:r>
              <w:rPr>
                <w:bCs/>
                <w:color w:val="auto"/>
                <w:szCs w:val="21"/>
              </w:rPr>
              <w:t>均</w:t>
            </w:r>
            <w:r>
              <w:rPr>
                <w:rFonts w:hint="eastAsia"/>
                <w:bCs/>
                <w:color w:val="auto"/>
                <w:szCs w:val="21"/>
              </w:rPr>
              <w:t>值</w:t>
            </w:r>
          </w:p>
        </w:tc>
        <w:tc>
          <w:tcPr>
            <w:tcW w:w="880" w:type="pct"/>
            <w:vAlign w:val="center"/>
          </w:tcPr>
          <w:p>
            <w:pPr>
              <w:spacing w:line="300" w:lineRule="exact"/>
              <w:jc w:val="center"/>
              <w:rPr>
                <w:bCs/>
                <w:color w:val="auto"/>
                <w:szCs w:val="21"/>
              </w:rPr>
            </w:pPr>
            <w:r>
              <w:rPr>
                <w:rFonts w:hint="eastAsia"/>
                <w:bCs/>
                <w:color w:val="auto"/>
                <w:szCs w:val="21"/>
              </w:rPr>
              <w:t>&lt;0.001</w:t>
            </w:r>
          </w:p>
        </w:tc>
        <w:tc>
          <w:tcPr>
            <w:tcW w:w="881" w:type="pct"/>
            <w:vAlign w:val="center"/>
          </w:tcPr>
          <w:p>
            <w:pPr>
              <w:spacing w:line="300" w:lineRule="exact"/>
              <w:jc w:val="center"/>
              <w:rPr>
                <w:bCs/>
                <w:color w:val="auto"/>
                <w:szCs w:val="21"/>
              </w:rPr>
            </w:pPr>
            <w:r>
              <w:rPr>
                <w:rFonts w:hint="eastAsia"/>
                <w:bCs/>
                <w:color w:val="auto"/>
                <w:szCs w:val="21"/>
              </w:rPr>
              <w:t>1.45</w:t>
            </w:r>
          </w:p>
        </w:tc>
        <w:tc>
          <w:tcPr>
            <w:tcW w:w="869" w:type="pct"/>
            <w:vAlign w:val="center"/>
          </w:tcPr>
          <w:p>
            <w:pPr>
              <w:spacing w:line="300" w:lineRule="exact"/>
              <w:jc w:val="center"/>
              <w:rPr>
                <w:bCs/>
                <w:color w:val="auto"/>
                <w:szCs w:val="21"/>
              </w:rPr>
            </w:pPr>
            <w:r>
              <w:rPr>
                <w:rFonts w:hint="eastAsia"/>
                <w:bCs/>
                <w:color w:val="auto"/>
                <w:szCs w:val="21"/>
              </w:rPr>
              <w:t>&lt;0.001</w:t>
            </w:r>
          </w:p>
        </w:tc>
        <w:tc>
          <w:tcPr>
            <w:tcW w:w="863" w:type="pct"/>
            <w:vAlign w:val="center"/>
          </w:tcPr>
          <w:p>
            <w:pPr>
              <w:spacing w:line="300" w:lineRule="exact"/>
              <w:jc w:val="center"/>
              <w:rPr>
                <w:bCs/>
                <w:color w:val="auto"/>
                <w:szCs w:val="21"/>
              </w:rPr>
            </w:pPr>
            <w:r>
              <w:rPr>
                <w:rFonts w:hint="eastAsia"/>
                <w:bCs/>
                <w:color w:val="auto"/>
                <w:szCs w:val="21"/>
              </w:rPr>
              <w:t>0.80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 w:hRule="atLeast"/>
          <w:jc w:val="center"/>
        </w:trPr>
        <w:tc>
          <w:tcPr>
            <w:tcW w:w="827" w:type="pct"/>
            <w:vMerge w:val="restart"/>
            <w:vAlign w:val="center"/>
          </w:tcPr>
          <w:p>
            <w:pPr>
              <w:spacing w:line="300" w:lineRule="exact"/>
              <w:jc w:val="center"/>
              <w:rPr>
                <w:bCs/>
                <w:color w:val="auto"/>
                <w:szCs w:val="21"/>
              </w:rPr>
            </w:pPr>
            <w:r>
              <w:rPr>
                <w:rFonts w:hint="eastAsia"/>
                <w:bCs/>
                <w:color w:val="auto"/>
                <w:szCs w:val="21"/>
              </w:rPr>
              <w:t>2020.</w:t>
            </w:r>
            <w:r>
              <w:rPr>
                <w:rFonts w:hint="eastAsia"/>
                <w:bCs/>
                <w:color w:val="auto"/>
                <w:szCs w:val="21"/>
                <w:lang w:val="en-US" w:eastAsia="zh-CN"/>
              </w:rPr>
              <w:t>8</w:t>
            </w:r>
            <w:r>
              <w:rPr>
                <w:rFonts w:hint="eastAsia"/>
                <w:bCs/>
                <w:color w:val="auto"/>
                <w:szCs w:val="21"/>
              </w:rPr>
              <w:t>.15</w:t>
            </w:r>
          </w:p>
        </w:tc>
        <w:tc>
          <w:tcPr>
            <w:tcW w:w="678" w:type="pct"/>
            <w:vMerge w:val="restart"/>
            <w:vAlign w:val="center"/>
          </w:tcPr>
          <w:p>
            <w:pPr>
              <w:spacing w:line="300" w:lineRule="exact"/>
              <w:jc w:val="center"/>
              <w:rPr>
                <w:bCs/>
                <w:color w:val="auto"/>
                <w:szCs w:val="21"/>
              </w:rPr>
            </w:pPr>
            <w:r>
              <w:rPr>
                <w:bCs/>
                <w:color w:val="auto"/>
                <w:szCs w:val="21"/>
              </w:rPr>
              <w:t>小时平均</w:t>
            </w:r>
          </w:p>
        </w:tc>
        <w:tc>
          <w:tcPr>
            <w:tcW w:w="880" w:type="pct"/>
            <w:vAlign w:val="center"/>
          </w:tcPr>
          <w:p>
            <w:pPr>
              <w:spacing w:line="300" w:lineRule="exact"/>
              <w:jc w:val="center"/>
              <w:rPr>
                <w:bCs/>
                <w:color w:val="auto"/>
                <w:szCs w:val="21"/>
              </w:rPr>
            </w:pPr>
            <w:r>
              <w:rPr>
                <w:rFonts w:hint="eastAsia"/>
                <w:bCs/>
                <w:color w:val="auto"/>
                <w:szCs w:val="21"/>
              </w:rPr>
              <w:t>ND</w:t>
            </w:r>
          </w:p>
        </w:tc>
        <w:tc>
          <w:tcPr>
            <w:tcW w:w="881" w:type="pct"/>
            <w:vAlign w:val="center"/>
          </w:tcPr>
          <w:p>
            <w:pPr>
              <w:spacing w:line="300" w:lineRule="exact"/>
              <w:jc w:val="center"/>
              <w:rPr>
                <w:bCs/>
                <w:color w:val="auto"/>
                <w:szCs w:val="21"/>
              </w:rPr>
            </w:pPr>
            <w:r>
              <w:rPr>
                <w:rFonts w:hint="eastAsia"/>
                <w:bCs/>
                <w:color w:val="auto"/>
                <w:szCs w:val="21"/>
              </w:rPr>
              <w:t>1.84</w:t>
            </w:r>
          </w:p>
        </w:tc>
        <w:tc>
          <w:tcPr>
            <w:tcW w:w="869" w:type="pct"/>
            <w:vAlign w:val="center"/>
          </w:tcPr>
          <w:p>
            <w:pPr>
              <w:spacing w:line="300" w:lineRule="exact"/>
              <w:jc w:val="center"/>
              <w:rPr>
                <w:bCs/>
                <w:color w:val="auto"/>
                <w:szCs w:val="21"/>
              </w:rPr>
            </w:pPr>
            <w:r>
              <w:rPr>
                <w:rFonts w:hint="eastAsia"/>
                <w:bCs/>
                <w:color w:val="auto"/>
                <w:szCs w:val="21"/>
              </w:rPr>
              <w:t>ND</w:t>
            </w:r>
          </w:p>
        </w:tc>
        <w:tc>
          <w:tcPr>
            <w:tcW w:w="863" w:type="pct"/>
            <w:vAlign w:val="center"/>
          </w:tcPr>
          <w:p>
            <w:pPr>
              <w:spacing w:line="300" w:lineRule="exact"/>
              <w:jc w:val="center"/>
              <w:rPr>
                <w:bCs/>
                <w:color w:val="auto"/>
                <w:szCs w:val="21"/>
              </w:rPr>
            </w:pPr>
            <w:r>
              <w:rPr>
                <w:rFonts w:hint="eastAsia"/>
                <w:bCs/>
                <w:color w:val="auto"/>
                <w:szCs w:val="21"/>
              </w:rPr>
              <w:t>0.65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 w:hRule="atLeast"/>
          <w:jc w:val="center"/>
        </w:trPr>
        <w:tc>
          <w:tcPr>
            <w:tcW w:w="827" w:type="pct"/>
            <w:vMerge w:val="continue"/>
            <w:vAlign w:val="center"/>
          </w:tcPr>
          <w:p>
            <w:pPr>
              <w:spacing w:line="300" w:lineRule="exact"/>
              <w:jc w:val="center"/>
              <w:rPr>
                <w:bCs/>
                <w:color w:val="auto"/>
                <w:szCs w:val="21"/>
              </w:rPr>
            </w:pPr>
          </w:p>
        </w:tc>
        <w:tc>
          <w:tcPr>
            <w:tcW w:w="678" w:type="pct"/>
            <w:vMerge w:val="continue"/>
            <w:vAlign w:val="center"/>
          </w:tcPr>
          <w:p>
            <w:pPr>
              <w:spacing w:line="300" w:lineRule="exact"/>
              <w:jc w:val="center"/>
              <w:rPr>
                <w:bCs/>
                <w:color w:val="auto"/>
                <w:szCs w:val="21"/>
              </w:rPr>
            </w:pPr>
          </w:p>
        </w:tc>
        <w:tc>
          <w:tcPr>
            <w:tcW w:w="880" w:type="pct"/>
            <w:vAlign w:val="center"/>
          </w:tcPr>
          <w:p>
            <w:pPr>
              <w:spacing w:line="300" w:lineRule="exact"/>
              <w:jc w:val="center"/>
              <w:rPr>
                <w:bCs/>
                <w:color w:val="auto"/>
                <w:szCs w:val="21"/>
              </w:rPr>
            </w:pPr>
            <w:r>
              <w:rPr>
                <w:rFonts w:hint="eastAsia"/>
                <w:bCs/>
                <w:color w:val="auto"/>
                <w:szCs w:val="21"/>
              </w:rPr>
              <w:t>ND</w:t>
            </w:r>
          </w:p>
        </w:tc>
        <w:tc>
          <w:tcPr>
            <w:tcW w:w="881" w:type="pct"/>
            <w:vAlign w:val="center"/>
          </w:tcPr>
          <w:p>
            <w:pPr>
              <w:spacing w:line="300" w:lineRule="exact"/>
              <w:jc w:val="center"/>
              <w:rPr>
                <w:bCs/>
                <w:color w:val="auto"/>
                <w:szCs w:val="21"/>
              </w:rPr>
            </w:pPr>
            <w:r>
              <w:rPr>
                <w:rFonts w:hint="eastAsia"/>
                <w:bCs/>
                <w:color w:val="auto"/>
                <w:szCs w:val="21"/>
              </w:rPr>
              <w:t>1.72</w:t>
            </w:r>
          </w:p>
        </w:tc>
        <w:tc>
          <w:tcPr>
            <w:tcW w:w="869" w:type="pct"/>
            <w:vAlign w:val="center"/>
          </w:tcPr>
          <w:p>
            <w:pPr>
              <w:spacing w:line="300" w:lineRule="exact"/>
              <w:jc w:val="center"/>
              <w:rPr>
                <w:bCs/>
                <w:color w:val="auto"/>
                <w:szCs w:val="21"/>
              </w:rPr>
            </w:pPr>
            <w:r>
              <w:rPr>
                <w:rFonts w:hint="eastAsia"/>
                <w:bCs/>
                <w:color w:val="auto"/>
                <w:szCs w:val="21"/>
              </w:rPr>
              <w:t>ND</w:t>
            </w:r>
          </w:p>
        </w:tc>
        <w:tc>
          <w:tcPr>
            <w:tcW w:w="863" w:type="pct"/>
            <w:vAlign w:val="center"/>
          </w:tcPr>
          <w:p>
            <w:pPr>
              <w:spacing w:line="300" w:lineRule="exact"/>
              <w:jc w:val="center"/>
              <w:rPr>
                <w:bCs/>
                <w:color w:val="auto"/>
                <w:szCs w:val="21"/>
              </w:rPr>
            </w:pPr>
            <w:r>
              <w:rPr>
                <w:rFonts w:hint="eastAsia"/>
                <w:bCs/>
                <w:color w:val="auto"/>
                <w:szCs w:val="21"/>
              </w:rPr>
              <w:t>0.71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 w:hRule="atLeast"/>
          <w:jc w:val="center"/>
        </w:trPr>
        <w:tc>
          <w:tcPr>
            <w:tcW w:w="827" w:type="pct"/>
            <w:vMerge w:val="continue"/>
            <w:vAlign w:val="center"/>
          </w:tcPr>
          <w:p>
            <w:pPr>
              <w:spacing w:line="300" w:lineRule="exact"/>
              <w:jc w:val="center"/>
              <w:rPr>
                <w:bCs/>
                <w:color w:val="auto"/>
                <w:szCs w:val="21"/>
              </w:rPr>
            </w:pPr>
          </w:p>
        </w:tc>
        <w:tc>
          <w:tcPr>
            <w:tcW w:w="678" w:type="pct"/>
            <w:vMerge w:val="continue"/>
            <w:vAlign w:val="center"/>
          </w:tcPr>
          <w:p>
            <w:pPr>
              <w:spacing w:line="300" w:lineRule="exact"/>
              <w:jc w:val="center"/>
              <w:rPr>
                <w:bCs/>
                <w:color w:val="auto"/>
                <w:szCs w:val="21"/>
              </w:rPr>
            </w:pPr>
          </w:p>
        </w:tc>
        <w:tc>
          <w:tcPr>
            <w:tcW w:w="880" w:type="pct"/>
            <w:vAlign w:val="center"/>
          </w:tcPr>
          <w:p>
            <w:pPr>
              <w:spacing w:line="300" w:lineRule="exact"/>
              <w:jc w:val="center"/>
              <w:rPr>
                <w:bCs/>
                <w:color w:val="auto"/>
                <w:szCs w:val="21"/>
              </w:rPr>
            </w:pPr>
            <w:r>
              <w:rPr>
                <w:rFonts w:hint="eastAsia"/>
                <w:bCs/>
                <w:color w:val="auto"/>
                <w:szCs w:val="21"/>
              </w:rPr>
              <w:t>ND</w:t>
            </w:r>
          </w:p>
        </w:tc>
        <w:tc>
          <w:tcPr>
            <w:tcW w:w="881" w:type="pct"/>
            <w:vAlign w:val="center"/>
          </w:tcPr>
          <w:p>
            <w:pPr>
              <w:spacing w:line="300" w:lineRule="exact"/>
              <w:jc w:val="center"/>
              <w:rPr>
                <w:bCs/>
                <w:color w:val="auto"/>
                <w:szCs w:val="21"/>
              </w:rPr>
            </w:pPr>
            <w:r>
              <w:rPr>
                <w:rFonts w:hint="eastAsia"/>
                <w:bCs/>
                <w:color w:val="auto"/>
                <w:szCs w:val="21"/>
              </w:rPr>
              <w:t>1.88</w:t>
            </w:r>
          </w:p>
        </w:tc>
        <w:tc>
          <w:tcPr>
            <w:tcW w:w="869" w:type="pct"/>
            <w:vAlign w:val="center"/>
          </w:tcPr>
          <w:p>
            <w:pPr>
              <w:spacing w:line="300" w:lineRule="exact"/>
              <w:jc w:val="center"/>
              <w:rPr>
                <w:bCs/>
                <w:color w:val="auto"/>
                <w:szCs w:val="21"/>
              </w:rPr>
            </w:pPr>
            <w:r>
              <w:rPr>
                <w:rFonts w:hint="eastAsia"/>
                <w:bCs/>
                <w:color w:val="auto"/>
                <w:szCs w:val="21"/>
              </w:rPr>
              <w:t>ND</w:t>
            </w:r>
          </w:p>
        </w:tc>
        <w:tc>
          <w:tcPr>
            <w:tcW w:w="863" w:type="pct"/>
            <w:vAlign w:val="center"/>
          </w:tcPr>
          <w:p>
            <w:pPr>
              <w:spacing w:line="300" w:lineRule="exact"/>
              <w:jc w:val="center"/>
              <w:rPr>
                <w:bCs/>
                <w:color w:val="auto"/>
                <w:szCs w:val="21"/>
              </w:rPr>
            </w:pPr>
            <w:r>
              <w:rPr>
                <w:rFonts w:hint="eastAsia"/>
                <w:bCs/>
                <w:color w:val="auto"/>
                <w:szCs w:val="21"/>
              </w:rPr>
              <w:t>0.69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 w:hRule="atLeast"/>
          <w:jc w:val="center"/>
        </w:trPr>
        <w:tc>
          <w:tcPr>
            <w:tcW w:w="827" w:type="pct"/>
            <w:vMerge w:val="continue"/>
            <w:vAlign w:val="center"/>
          </w:tcPr>
          <w:p>
            <w:pPr>
              <w:spacing w:line="300" w:lineRule="exact"/>
              <w:jc w:val="center"/>
              <w:rPr>
                <w:bCs/>
                <w:color w:val="auto"/>
                <w:szCs w:val="21"/>
              </w:rPr>
            </w:pPr>
          </w:p>
        </w:tc>
        <w:tc>
          <w:tcPr>
            <w:tcW w:w="678" w:type="pct"/>
            <w:vMerge w:val="continue"/>
            <w:vAlign w:val="center"/>
          </w:tcPr>
          <w:p>
            <w:pPr>
              <w:spacing w:line="300" w:lineRule="exact"/>
              <w:jc w:val="center"/>
              <w:rPr>
                <w:bCs/>
                <w:color w:val="auto"/>
                <w:szCs w:val="21"/>
              </w:rPr>
            </w:pPr>
          </w:p>
        </w:tc>
        <w:tc>
          <w:tcPr>
            <w:tcW w:w="880" w:type="pct"/>
            <w:vAlign w:val="center"/>
          </w:tcPr>
          <w:p>
            <w:pPr>
              <w:spacing w:line="300" w:lineRule="exact"/>
              <w:jc w:val="center"/>
              <w:rPr>
                <w:bCs/>
                <w:color w:val="auto"/>
                <w:szCs w:val="21"/>
              </w:rPr>
            </w:pPr>
            <w:r>
              <w:rPr>
                <w:rFonts w:hint="eastAsia"/>
                <w:bCs/>
                <w:color w:val="auto"/>
                <w:szCs w:val="21"/>
              </w:rPr>
              <w:t>ND</w:t>
            </w:r>
          </w:p>
        </w:tc>
        <w:tc>
          <w:tcPr>
            <w:tcW w:w="881" w:type="pct"/>
            <w:vAlign w:val="center"/>
          </w:tcPr>
          <w:p>
            <w:pPr>
              <w:spacing w:line="300" w:lineRule="exact"/>
              <w:jc w:val="center"/>
              <w:rPr>
                <w:bCs/>
                <w:color w:val="auto"/>
                <w:szCs w:val="21"/>
              </w:rPr>
            </w:pPr>
            <w:r>
              <w:rPr>
                <w:rFonts w:hint="eastAsia"/>
                <w:bCs/>
                <w:color w:val="auto"/>
                <w:szCs w:val="21"/>
              </w:rPr>
              <w:t>1.83</w:t>
            </w:r>
          </w:p>
        </w:tc>
        <w:tc>
          <w:tcPr>
            <w:tcW w:w="869" w:type="pct"/>
            <w:vAlign w:val="center"/>
          </w:tcPr>
          <w:p>
            <w:pPr>
              <w:spacing w:line="300" w:lineRule="exact"/>
              <w:jc w:val="center"/>
              <w:rPr>
                <w:bCs/>
                <w:color w:val="auto"/>
                <w:szCs w:val="21"/>
              </w:rPr>
            </w:pPr>
            <w:r>
              <w:rPr>
                <w:rFonts w:hint="eastAsia"/>
                <w:bCs/>
                <w:color w:val="auto"/>
                <w:szCs w:val="21"/>
              </w:rPr>
              <w:t>ND</w:t>
            </w:r>
          </w:p>
        </w:tc>
        <w:tc>
          <w:tcPr>
            <w:tcW w:w="863" w:type="pct"/>
            <w:vAlign w:val="center"/>
          </w:tcPr>
          <w:p>
            <w:pPr>
              <w:spacing w:line="300" w:lineRule="exact"/>
              <w:jc w:val="center"/>
              <w:rPr>
                <w:bCs/>
                <w:color w:val="auto"/>
                <w:szCs w:val="21"/>
              </w:rPr>
            </w:pPr>
            <w:r>
              <w:rPr>
                <w:rFonts w:hint="eastAsia"/>
                <w:bCs/>
                <w:color w:val="auto"/>
                <w:szCs w:val="21"/>
              </w:rPr>
              <w:t>0.60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 w:hRule="atLeast"/>
          <w:jc w:val="center"/>
        </w:trPr>
        <w:tc>
          <w:tcPr>
            <w:tcW w:w="827" w:type="pct"/>
            <w:vMerge w:val="continue"/>
            <w:vAlign w:val="center"/>
          </w:tcPr>
          <w:p>
            <w:pPr>
              <w:spacing w:line="300" w:lineRule="exact"/>
              <w:jc w:val="center"/>
              <w:rPr>
                <w:bCs/>
                <w:color w:val="auto"/>
                <w:szCs w:val="21"/>
              </w:rPr>
            </w:pPr>
          </w:p>
        </w:tc>
        <w:tc>
          <w:tcPr>
            <w:tcW w:w="678" w:type="pct"/>
            <w:vAlign w:val="center"/>
          </w:tcPr>
          <w:p>
            <w:pPr>
              <w:spacing w:line="300" w:lineRule="exact"/>
              <w:jc w:val="center"/>
              <w:rPr>
                <w:bCs/>
                <w:color w:val="auto"/>
                <w:szCs w:val="21"/>
              </w:rPr>
            </w:pPr>
            <w:r>
              <w:rPr>
                <w:bCs/>
                <w:color w:val="auto"/>
                <w:szCs w:val="21"/>
              </w:rPr>
              <w:t>均</w:t>
            </w:r>
            <w:r>
              <w:rPr>
                <w:rFonts w:hint="eastAsia"/>
                <w:bCs/>
                <w:color w:val="auto"/>
                <w:szCs w:val="21"/>
              </w:rPr>
              <w:t>值</w:t>
            </w:r>
          </w:p>
        </w:tc>
        <w:tc>
          <w:tcPr>
            <w:tcW w:w="880" w:type="pct"/>
            <w:vAlign w:val="center"/>
          </w:tcPr>
          <w:p>
            <w:pPr>
              <w:spacing w:line="300" w:lineRule="exact"/>
              <w:jc w:val="center"/>
              <w:rPr>
                <w:bCs/>
                <w:color w:val="auto"/>
                <w:szCs w:val="21"/>
              </w:rPr>
            </w:pPr>
            <w:r>
              <w:rPr>
                <w:rFonts w:hint="eastAsia"/>
                <w:bCs/>
                <w:color w:val="auto"/>
                <w:szCs w:val="21"/>
              </w:rPr>
              <w:t>&lt;0.001</w:t>
            </w:r>
          </w:p>
        </w:tc>
        <w:tc>
          <w:tcPr>
            <w:tcW w:w="881" w:type="pct"/>
            <w:vAlign w:val="center"/>
          </w:tcPr>
          <w:p>
            <w:pPr>
              <w:spacing w:line="300" w:lineRule="exact"/>
              <w:jc w:val="center"/>
              <w:rPr>
                <w:bCs/>
                <w:color w:val="auto"/>
                <w:szCs w:val="21"/>
              </w:rPr>
            </w:pPr>
            <w:r>
              <w:rPr>
                <w:rFonts w:hint="eastAsia"/>
                <w:bCs/>
                <w:color w:val="auto"/>
                <w:szCs w:val="21"/>
              </w:rPr>
              <w:t>1.82</w:t>
            </w:r>
          </w:p>
        </w:tc>
        <w:tc>
          <w:tcPr>
            <w:tcW w:w="869" w:type="pct"/>
            <w:vAlign w:val="center"/>
          </w:tcPr>
          <w:p>
            <w:pPr>
              <w:spacing w:line="300" w:lineRule="exact"/>
              <w:jc w:val="center"/>
              <w:rPr>
                <w:bCs/>
                <w:color w:val="auto"/>
                <w:szCs w:val="21"/>
              </w:rPr>
            </w:pPr>
            <w:r>
              <w:rPr>
                <w:rFonts w:hint="eastAsia"/>
                <w:bCs/>
                <w:color w:val="auto"/>
                <w:szCs w:val="21"/>
              </w:rPr>
              <w:t>&lt;0.001</w:t>
            </w:r>
          </w:p>
        </w:tc>
        <w:tc>
          <w:tcPr>
            <w:tcW w:w="863" w:type="pct"/>
            <w:vAlign w:val="center"/>
          </w:tcPr>
          <w:p>
            <w:pPr>
              <w:spacing w:line="300" w:lineRule="exact"/>
              <w:jc w:val="center"/>
              <w:rPr>
                <w:bCs/>
                <w:color w:val="auto"/>
                <w:szCs w:val="21"/>
              </w:rPr>
            </w:pPr>
            <w:r>
              <w:rPr>
                <w:rFonts w:hint="eastAsia"/>
                <w:bCs/>
                <w:color w:val="auto"/>
                <w:szCs w:val="21"/>
              </w:rPr>
              <w:t>0.66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 w:hRule="atLeast"/>
          <w:jc w:val="center"/>
        </w:trPr>
        <w:tc>
          <w:tcPr>
            <w:tcW w:w="827" w:type="pct"/>
            <w:vMerge w:val="restart"/>
            <w:vAlign w:val="center"/>
          </w:tcPr>
          <w:p>
            <w:pPr>
              <w:spacing w:line="300" w:lineRule="exact"/>
              <w:jc w:val="center"/>
              <w:rPr>
                <w:bCs/>
                <w:color w:val="auto"/>
                <w:szCs w:val="21"/>
              </w:rPr>
            </w:pPr>
            <w:r>
              <w:rPr>
                <w:rFonts w:hint="eastAsia"/>
                <w:bCs/>
                <w:color w:val="auto"/>
                <w:szCs w:val="21"/>
              </w:rPr>
              <w:t>2020.</w:t>
            </w:r>
            <w:r>
              <w:rPr>
                <w:rFonts w:hint="eastAsia"/>
                <w:bCs/>
                <w:color w:val="auto"/>
                <w:szCs w:val="21"/>
                <w:lang w:val="en-US" w:eastAsia="zh-CN"/>
              </w:rPr>
              <w:t>8</w:t>
            </w:r>
            <w:r>
              <w:rPr>
                <w:rFonts w:hint="eastAsia"/>
                <w:bCs/>
                <w:color w:val="auto"/>
                <w:szCs w:val="21"/>
              </w:rPr>
              <w:t>.16</w:t>
            </w:r>
          </w:p>
        </w:tc>
        <w:tc>
          <w:tcPr>
            <w:tcW w:w="678" w:type="pct"/>
            <w:vMerge w:val="restart"/>
            <w:vAlign w:val="center"/>
          </w:tcPr>
          <w:p>
            <w:pPr>
              <w:spacing w:line="300" w:lineRule="exact"/>
              <w:jc w:val="center"/>
              <w:rPr>
                <w:bCs/>
                <w:color w:val="auto"/>
                <w:szCs w:val="21"/>
              </w:rPr>
            </w:pPr>
            <w:r>
              <w:rPr>
                <w:bCs/>
                <w:color w:val="auto"/>
                <w:szCs w:val="21"/>
              </w:rPr>
              <w:t>小时平均</w:t>
            </w:r>
          </w:p>
        </w:tc>
        <w:tc>
          <w:tcPr>
            <w:tcW w:w="880" w:type="pct"/>
            <w:vAlign w:val="center"/>
          </w:tcPr>
          <w:p>
            <w:pPr>
              <w:spacing w:line="300" w:lineRule="exact"/>
              <w:jc w:val="center"/>
              <w:rPr>
                <w:bCs/>
                <w:color w:val="auto"/>
                <w:szCs w:val="21"/>
              </w:rPr>
            </w:pPr>
            <w:r>
              <w:rPr>
                <w:rFonts w:hint="eastAsia"/>
                <w:bCs/>
                <w:color w:val="auto"/>
                <w:szCs w:val="21"/>
              </w:rPr>
              <w:t>ND</w:t>
            </w:r>
          </w:p>
        </w:tc>
        <w:tc>
          <w:tcPr>
            <w:tcW w:w="881" w:type="pct"/>
            <w:vAlign w:val="center"/>
          </w:tcPr>
          <w:p>
            <w:pPr>
              <w:spacing w:line="300" w:lineRule="exact"/>
              <w:jc w:val="center"/>
              <w:rPr>
                <w:bCs/>
                <w:color w:val="auto"/>
                <w:szCs w:val="21"/>
              </w:rPr>
            </w:pPr>
            <w:r>
              <w:rPr>
                <w:rFonts w:hint="eastAsia"/>
                <w:bCs/>
                <w:color w:val="auto"/>
                <w:szCs w:val="21"/>
              </w:rPr>
              <w:t>1.18</w:t>
            </w:r>
          </w:p>
        </w:tc>
        <w:tc>
          <w:tcPr>
            <w:tcW w:w="869" w:type="pct"/>
            <w:vAlign w:val="center"/>
          </w:tcPr>
          <w:p>
            <w:pPr>
              <w:spacing w:line="300" w:lineRule="exact"/>
              <w:jc w:val="center"/>
              <w:rPr>
                <w:bCs/>
                <w:color w:val="auto"/>
                <w:szCs w:val="21"/>
              </w:rPr>
            </w:pPr>
            <w:r>
              <w:rPr>
                <w:rFonts w:hint="eastAsia"/>
                <w:bCs/>
                <w:color w:val="auto"/>
                <w:szCs w:val="21"/>
              </w:rPr>
              <w:t>ND</w:t>
            </w:r>
          </w:p>
        </w:tc>
        <w:tc>
          <w:tcPr>
            <w:tcW w:w="863" w:type="pct"/>
            <w:vAlign w:val="center"/>
          </w:tcPr>
          <w:p>
            <w:pPr>
              <w:spacing w:line="300" w:lineRule="exact"/>
              <w:jc w:val="center"/>
              <w:rPr>
                <w:bCs/>
                <w:color w:val="auto"/>
                <w:szCs w:val="21"/>
              </w:rPr>
            </w:pPr>
            <w:r>
              <w:rPr>
                <w:rFonts w:hint="eastAsia"/>
                <w:bCs/>
                <w:color w:val="auto"/>
                <w:szCs w:val="21"/>
              </w:rPr>
              <w:t>0.49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 w:hRule="atLeast"/>
          <w:jc w:val="center"/>
        </w:trPr>
        <w:tc>
          <w:tcPr>
            <w:tcW w:w="827" w:type="pct"/>
            <w:vMerge w:val="continue"/>
            <w:vAlign w:val="center"/>
          </w:tcPr>
          <w:p>
            <w:pPr>
              <w:spacing w:line="300" w:lineRule="exact"/>
              <w:jc w:val="center"/>
              <w:rPr>
                <w:bCs/>
                <w:color w:val="auto"/>
                <w:szCs w:val="21"/>
              </w:rPr>
            </w:pPr>
          </w:p>
        </w:tc>
        <w:tc>
          <w:tcPr>
            <w:tcW w:w="678" w:type="pct"/>
            <w:vMerge w:val="continue"/>
            <w:vAlign w:val="center"/>
          </w:tcPr>
          <w:p>
            <w:pPr>
              <w:spacing w:line="300" w:lineRule="exact"/>
              <w:jc w:val="center"/>
              <w:rPr>
                <w:bCs/>
                <w:color w:val="auto"/>
                <w:szCs w:val="21"/>
              </w:rPr>
            </w:pPr>
          </w:p>
        </w:tc>
        <w:tc>
          <w:tcPr>
            <w:tcW w:w="880" w:type="pct"/>
            <w:vAlign w:val="center"/>
          </w:tcPr>
          <w:p>
            <w:pPr>
              <w:spacing w:line="300" w:lineRule="exact"/>
              <w:jc w:val="center"/>
              <w:rPr>
                <w:bCs/>
                <w:color w:val="auto"/>
                <w:szCs w:val="21"/>
              </w:rPr>
            </w:pPr>
            <w:r>
              <w:rPr>
                <w:rFonts w:hint="eastAsia"/>
                <w:bCs/>
                <w:color w:val="auto"/>
                <w:szCs w:val="21"/>
              </w:rPr>
              <w:t>ND</w:t>
            </w:r>
          </w:p>
        </w:tc>
        <w:tc>
          <w:tcPr>
            <w:tcW w:w="881" w:type="pct"/>
            <w:vAlign w:val="center"/>
          </w:tcPr>
          <w:p>
            <w:pPr>
              <w:spacing w:line="300" w:lineRule="exact"/>
              <w:jc w:val="center"/>
              <w:rPr>
                <w:bCs/>
                <w:color w:val="auto"/>
                <w:szCs w:val="21"/>
              </w:rPr>
            </w:pPr>
            <w:r>
              <w:rPr>
                <w:rFonts w:hint="eastAsia"/>
                <w:bCs/>
                <w:color w:val="auto"/>
                <w:szCs w:val="21"/>
              </w:rPr>
              <w:t>1.21</w:t>
            </w:r>
          </w:p>
        </w:tc>
        <w:tc>
          <w:tcPr>
            <w:tcW w:w="869" w:type="pct"/>
            <w:vAlign w:val="center"/>
          </w:tcPr>
          <w:p>
            <w:pPr>
              <w:spacing w:line="300" w:lineRule="exact"/>
              <w:jc w:val="center"/>
              <w:rPr>
                <w:bCs/>
                <w:color w:val="auto"/>
                <w:szCs w:val="21"/>
              </w:rPr>
            </w:pPr>
            <w:r>
              <w:rPr>
                <w:rFonts w:hint="eastAsia"/>
                <w:bCs/>
                <w:color w:val="auto"/>
                <w:szCs w:val="21"/>
              </w:rPr>
              <w:t>ND</w:t>
            </w:r>
          </w:p>
        </w:tc>
        <w:tc>
          <w:tcPr>
            <w:tcW w:w="863" w:type="pct"/>
            <w:vAlign w:val="center"/>
          </w:tcPr>
          <w:p>
            <w:pPr>
              <w:spacing w:line="300" w:lineRule="exact"/>
              <w:jc w:val="center"/>
              <w:rPr>
                <w:bCs/>
                <w:color w:val="auto"/>
                <w:szCs w:val="21"/>
              </w:rPr>
            </w:pPr>
            <w:r>
              <w:rPr>
                <w:rFonts w:hint="eastAsia"/>
                <w:bCs/>
                <w:color w:val="auto"/>
                <w:szCs w:val="21"/>
              </w:rPr>
              <w:t>0.42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 w:hRule="atLeast"/>
          <w:jc w:val="center"/>
        </w:trPr>
        <w:tc>
          <w:tcPr>
            <w:tcW w:w="827" w:type="pct"/>
            <w:vMerge w:val="continue"/>
            <w:vAlign w:val="center"/>
          </w:tcPr>
          <w:p>
            <w:pPr>
              <w:spacing w:line="300" w:lineRule="exact"/>
              <w:jc w:val="center"/>
              <w:rPr>
                <w:bCs/>
                <w:color w:val="auto"/>
                <w:szCs w:val="21"/>
              </w:rPr>
            </w:pPr>
          </w:p>
        </w:tc>
        <w:tc>
          <w:tcPr>
            <w:tcW w:w="678" w:type="pct"/>
            <w:vMerge w:val="continue"/>
            <w:vAlign w:val="center"/>
          </w:tcPr>
          <w:p>
            <w:pPr>
              <w:spacing w:line="300" w:lineRule="exact"/>
              <w:jc w:val="center"/>
              <w:rPr>
                <w:bCs/>
                <w:color w:val="auto"/>
                <w:szCs w:val="21"/>
              </w:rPr>
            </w:pPr>
          </w:p>
        </w:tc>
        <w:tc>
          <w:tcPr>
            <w:tcW w:w="880" w:type="pct"/>
            <w:vAlign w:val="center"/>
          </w:tcPr>
          <w:p>
            <w:pPr>
              <w:spacing w:line="300" w:lineRule="exact"/>
              <w:jc w:val="center"/>
              <w:rPr>
                <w:bCs/>
                <w:color w:val="auto"/>
                <w:szCs w:val="21"/>
              </w:rPr>
            </w:pPr>
            <w:r>
              <w:rPr>
                <w:rFonts w:hint="eastAsia"/>
                <w:bCs/>
                <w:color w:val="auto"/>
                <w:szCs w:val="21"/>
              </w:rPr>
              <w:t>ND</w:t>
            </w:r>
          </w:p>
        </w:tc>
        <w:tc>
          <w:tcPr>
            <w:tcW w:w="881" w:type="pct"/>
            <w:vAlign w:val="center"/>
          </w:tcPr>
          <w:p>
            <w:pPr>
              <w:spacing w:line="300" w:lineRule="exact"/>
              <w:jc w:val="center"/>
              <w:rPr>
                <w:bCs/>
                <w:color w:val="auto"/>
                <w:szCs w:val="21"/>
              </w:rPr>
            </w:pPr>
            <w:r>
              <w:rPr>
                <w:rFonts w:hint="eastAsia"/>
                <w:bCs/>
                <w:color w:val="auto"/>
                <w:szCs w:val="21"/>
              </w:rPr>
              <w:t>1.35</w:t>
            </w:r>
          </w:p>
        </w:tc>
        <w:tc>
          <w:tcPr>
            <w:tcW w:w="869" w:type="pct"/>
            <w:vAlign w:val="center"/>
          </w:tcPr>
          <w:p>
            <w:pPr>
              <w:spacing w:line="300" w:lineRule="exact"/>
              <w:jc w:val="center"/>
              <w:rPr>
                <w:bCs/>
                <w:color w:val="auto"/>
                <w:szCs w:val="21"/>
              </w:rPr>
            </w:pPr>
            <w:r>
              <w:rPr>
                <w:rFonts w:hint="eastAsia"/>
                <w:bCs/>
                <w:color w:val="auto"/>
                <w:szCs w:val="21"/>
              </w:rPr>
              <w:t>ND</w:t>
            </w:r>
          </w:p>
        </w:tc>
        <w:tc>
          <w:tcPr>
            <w:tcW w:w="863" w:type="pct"/>
            <w:vAlign w:val="center"/>
          </w:tcPr>
          <w:p>
            <w:pPr>
              <w:spacing w:line="300" w:lineRule="exact"/>
              <w:jc w:val="center"/>
              <w:rPr>
                <w:bCs/>
                <w:color w:val="auto"/>
                <w:szCs w:val="21"/>
              </w:rPr>
            </w:pPr>
            <w:r>
              <w:rPr>
                <w:rFonts w:hint="eastAsia"/>
                <w:bCs/>
                <w:color w:val="auto"/>
                <w:szCs w:val="21"/>
              </w:rPr>
              <w:t>0.63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 w:hRule="atLeast"/>
          <w:jc w:val="center"/>
        </w:trPr>
        <w:tc>
          <w:tcPr>
            <w:tcW w:w="827" w:type="pct"/>
            <w:vMerge w:val="continue"/>
            <w:vAlign w:val="center"/>
          </w:tcPr>
          <w:p>
            <w:pPr>
              <w:spacing w:line="300" w:lineRule="exact"/>
              <w:jc w:val="center"/>
              <w:rPr>
                <w:bCs/>
                <w:color w:val="auto"/>
                <w:szCs w:val="21"/>
              </w:rPr>
            </w:pPr>
          </w:p>
        </w:tc>
        <w:tc>
          <w:tcPr>
            <w:tcW w:w="678" w:type="pct"/>
            <w:vMerge w:val="continue"/>
            <w:vAlign w:val="center"/>
          </w:tcPr>
          <w:p>
            <w:pPr>
              <w:spacing w:line="300" w:lineRule="exact"/>
              <w:jc w:val="center"/>
              <w:rPr>
                <w:bCs/>
                <w:color w:val="auto"/>
                <w:szCs w:val="21"/>
              </w:rPr>
            </w:pPr>
          </w:p>
        </w:tc>
        <w:tc>
          <w:tcPr>
            <w:tcW w:w="880" w:type="pct"/>
            <w:vAlign w:val="center"/>
          </w:tcPr>
          <w:p>
            <w:pPr>
              <w:spacing w:line="300" w:lineRule="exact"/>
              <w:jc w:val="center"/>
              <w:rPr>
                <w:bCs/>
                <w:color w:val="auto"/>
                <w:szCs w:val="21"/>
              </w:rPr>
            </w:pPr>
            <w:r>
              <w:rPr>
                <w:rFonts w:hint="eastAsia"/>
                <w:bCs/>
                <w:color w:val="auto"/>
                <w:szCs w:val="21"/>
              </w:rPr>
              <w:t>ND</w:t>
            </w:r>
          </w:p>
        </w:tc>
        <w:tc>
          <w:tcPr>
            <w:tcW w:w="881" w:type="pct"/>
            <w:vAlign w:val="center"/>
          </w:tcPr>
          <w:p>
            <w:pPr>
              <w:spacing w:line="300" w:lineRule="exact"/>
              <w:jc w:val="center"/>
              <w:rPr>
                <w:bCs/>
                <w:color w:val="auto"/>
                <w:szCs w:val="21"/>
              </w:rPr>
            </w:pPr>
            <w:r>
              <w:rPr>
                <w:rFonts w:hint="eastAsia"/>
                <w:bCs/>
                <w:color w:val="auto"/>
                <w:szCs w:val="21"/>
              </w:rPr>
              <w:t>1.43</w:t>
            </w:r>
          </w:p>
        </w:tc>
        <w:tc>
          <w:tcPr>
            <w:tcW w:w="869" w:type="pct"/>
            <w:vAlign w:val="center"/>
          </w:tcPr>
          <w:p>
            <w:pPr>
              <w:spacing w:line="300" w:lineRule="exact"/>
              <w:jc w:val="center"/>
              <w:rPr>
                <w:bCs/>
                <w:color w:val="auto"/>
                <w:szCs w:val="21"/>
              </w:rPr>
            </w:pPr>
            <w:r>
              <w:rPr>
                <w:rFonts w:hint="eastAsia"/>
                <w:bCs/>
                <w:color w:val="auto"/>
                <w:szCs w:val="21"/>
              </w:rPr>
              <w:t>ND</w:t>
            </w:r>
          </w:p>
        </w:tc>
        <w:tc>
          <w:tcPr>
            <w:tcW w:w="863" w:type="pct"/>
            <w:vAlign w:val="center"/>
          </w:tcPr>
          <w:p>
            <w:pPr>
              <w:spacing w:line="300" w:lineRule="exact"/>
              <w:jc w:val="center"/>
              <w:rPr>
                <w:bCs/>
                <w:color w:val="auto"/>
                <w:szCs w:val="21"/>
              </w:rPr>
            </w:pPr>
            <w:r>
              <w:rPr>
                <w:rFonts w:hint="eastAsia"/>
                <w:bCs/>
                <w:color w:val="auto"/>
                <w:szCs w:val="21"/>
              </w:rPr>
              <w:t>0.59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 w:hRule="atLeast"/>
          <w:jc w:val="center"/>
        </w:trPr>
        <w:tc>
          <w:tcPr>
            <w:tcW w:w="827" w:type="pct"/>
            <w:vMerge w:val="continue"/>
            <w:vAlign w:val="center"/>
          </w:tcPr>
          <w:p>
            <w:pPr>
              <w:spacing w:line="300" w:lineRule="exact"/>
              <w:jc w:val="center"/>
              <w:rPr>
                <w:bCs/>
                <w:color w:val="auto"/>
                <w:szCs w:val="21"/>
              </w:rPr>
            </w:pPr>
          </w:p>
        </w:tc>
        <w:tc>
          <w:tcPr>
            <w:tcW w:w="678" w:type="pct"/>
            <w:vAlign w:val="center"/>
          </w:tcPr>
          <w:p>
            <w:pPr>
              <w:spacing w:line="300" w:lineRule="exact"/>
              <w:jc w:val="center"/>
              <w:rPr>
                <w:bCs/>
                <w:color w:val="auto"/>
                <w:szCs w:val="21"/>
              </w:rPr>
            </w:pPr>
            <w:r>
              <w:rPr>
                <w:bCs/>
                <w:color w:val="auto"/>
                <w:szCs w:val="21"/>
              </w:rPr>
              <w:t>均</w:t>
            </w:r>
            <w:r>
              <w:rPr>
                <w:rFonts w:hint="eastAsia"/>
                <w:bCs/>
                <w:color w:val="auto"/>
                <w:szCs w:val="21"/>
              </w:rPr>
              <w:t>值</w:t>
            </w:r>
          </w:p>
        </w:tc>
        <w:tc>
          <w:tcPr>
            <w:tcW w:w="880" w:type="pct"/>
            <w:vAlign w:val="center"/>
          </w:tcPr>
          <w:p>
            <w:pPr>
              <w:spacing w:line="300" w:lineRule="exact"/>
              <w:jc w:val="center"/>
              <w:rPr>
                <w:bCs/>
                <w:color w:val="auto"/>
                <w:szCs w:val="21"/>
              </w:rPr>
            </w:pPr>
            <w:r>
              <w:rPr>
                <w:rFonts w:hint="eastAsia"/>
                <w:bCs/>
                <w:color w:val="auto"/>
                <w:szCs w:val="21"/>
              </w:rPr>
              <w:t>&lt;0.001</w:t>
            </w:r>
          </w:p>
        </w:tc>
        <w:tc>
          <w:tcPr>
            <w:tcW w:w="881" w:type="pct"/>
            <w:vAlign w:val="center"/>
          </w:tcPr>
          <w:p>
            <w:pPr>
              <w:spacing w:line="300" w:lineRule="exact"/>
              <w:jc w:val="center"/>
              <w:rPr>
                <w:bCs/>
                <w:color w:val="auto"/>
                <w:szCs w:val="21"/>
              </w:rPr>
            </w:pPr>
            <w:r>
              <w:rPr>
                <w:rFonts w:hint="eastAsia"/>
                <w:bCs/>
                <w:color w:val="auto"/>
                <w:szCs w:val="21"/>
              </w:rPr>
              <w:t>1.29</w:t>
            </w:r>
          </w:p>
        </w:tc>
        <w:tc>
          <w:tcPr>
            <w:tcW w:w="869" w:type="pct"/>
            <w:vAlign w:val="center"/>
          </w:tcPr>
          <w:p>
            <w:pPr>
              <w:spacing w:line="300" w:lineRule="exact"/>
              <w:jc w:val="center"/>
              <w:rPr>
                <w:bCs/>
                <w:color w:val="auto"/>
                <w:szCs w:val="21"/>
              </w:rPr>
            </w:pPr>
            <w:r>
              <w:rPr>
                <w:rFonts w:hint="eastAsia"/>
                <w:bCs/>
                <w:color w:val="auto"/>
                <w:szCs w:val="21"/>
              </w:rPr>
              <w:t>&lt;0.001</w:t>
            </w:r>
          </w:p>
        </w:tc>
        <w:tc>
          <w:tcPr>
            <w:tcW w:w="863" w:type="pct"/>
            <w:vAlign w:val="center"/>
          </w:tcPr>
          <w:p>
            <w:pPr>
              <w:spacing w:line="300" w:lineRule="exact"/>
              <w:jc w:val="center"/>
              <w:rPr>
                <w:bCs/>
                <w:color w:val="auto"/>
                <w:szCs w:val="21"/>
              </w:rPr>
            </w:pPr>
            <w:r>
              <w:rPr>
                <w:rFonts w:hint="eastAsia"/>
                <w:bCs/>
                <w:color w:val="auto"/>
                <w:szCs w:val="21"/>
              </w:rPr>
              <w:t>0.53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 w:hRule="atLeast"/>
          <w:jc w:val="center"/>
        </w:trPr>
        <w:tc>
          <w:tcPr>
            <w:tcW w:w="827" w:type="pct"/>
            <w:vMerge w:val="restart"/>
            <w:vAlign w:val="center"/>
          </w:tcPr>
          <w:p>
            <w:pPr>
              <w:spacing w:line="300" w:lineRule="exact"/>
              <w:jc w:val="center"/>
              <w:rPr>
                <w:bCs/>
                <w:color w:val="auto"/>
                <w:szCs w:val="21"/>
              </w:rPr>
            </w:pPr>
            <w:r>
              <w:rPr>
                <w:rFonts w:hint="eastAsia"/>
                <w:bCs/>
                <w:color w:val="auto"/>
                <w:szCs w:val="21"/>
              </w:rPr>
              <w:t>2020.</w:t>
            </w:r>
            <w:r>
              <w:rPr>
                <w:rFonts w:hint="eastAsia"/>
                <w:bCs/>
                <w:color w:val="auto"/>
                <w:szCs w:val="21"/>
                <w:lang w:val="en-US" w:eastAsia="zh-CN"/>
              </w:rPr>
              <w:t>8</w:t>
            </w:r>
            <w:r>
              <w:rPr>
                <w:rFonts w:hint="eastAsia"/>
                <w:bCs/>
                <w:color w:val="auto"/>
                <w:szCs w:val="21"/>
              </w:rPr>
              <w:t>.17</w:t>
            </w:r>
          </w:p>
        </w:tc>
        <w:tc>
          <w:tcPr>
            <w:tcW w:w="678" w:type="pct"/>
            <w:vMerge w:val="restart"/>
            <w:vAlign w:val="center"/>
          </w:tcPr>
          <w:p>
            <w:pPr>
              <w:spacing w:line="300" w:lineRule="exact"/>
              <w:jc w:val="center"/>
              <w:rPr>
                <w:bCs/>
                <w:color w:val="auto"/>
                <w:szCs w:val="21"/>
              </w:rPr>
            </w:pPr>
            <w:r>
              <w:rPr>
                <w:bCs/>
                <w:color w:val="auto"/>
                <w:szCs w:val="21"/>
              </w:rPr>
              <w:t>小时平均</w:t>
            </w:r>
          </w:p>
        </w:tc>
        <w:tc>
          <w:tcPr>
            <w:tcW w:w="880" w:type="pct"/>
            <w:vAlign w:val="center"/>
          </w:tcPr>
          <w:p>
            <w:pPr>
              <w:spacing w:line="300" w:lineRule="exact"/>
              <w:jc w:val="center"/>
              <w:rPr>
                <w:bCs/>
                <w:color w:val="auto"/>
                <w:szCs w:val="21"/>
              </w:rPr>
            </w:pPr>
            <w:r>
              <w:rPr>
                <w:rFonts w:hint="eastAsia"/>
                <w:bCs/>
                <w:color w:val="auto"/>
                <w:szCs w:val="21"/>
              </w:rPr>
              <w:t>ND</w:t>
            </w:r>
          </w:p>
        </w:tc>
        <w:tc>
          <w:tcPr>
            <w:tcW w:w="881" w:type="pct"/>
            <w:vAlign w:val="center"/>
          </w:tcPr>
          <w:p>
            <w:pPr>
              <w:spacing w:line="300" w:lineRule="exact"/>
              <w:jc w:val="center"/>
              <w:rPr>
                <w:bCs/>
                <w:color w:val="auto"/>
                <w:szCs w:val="21"/>
              </w:rPr>
            </w:pPr>
            <w:r>
              <w:rPr>
                <w:rFonts w:hint="eastAsia"/>
                <w:bCs/>
                <w:color w:val="auto"/>
                <w:szCs w:val="21"/>
              </w:rPr>
              <w:t>1.06</w:t>
            </w:r>
          </w:p>
        </w:tc>
        <w:tc>
          <w:tcPr>
            <w:tcW w:w="869" w:type="pct"/>
            <w:vAlign w:val="center"/>
          </w:tcPr>
          <w:p>
            <w:pPr>
              <w:spacing w:line="300" w:lineRule="exact"/>
              <w:jc w:val="center"/>
              <w:rPr>
                <w:bCs/>
                <w:color w:val="auto"/>
                <w:szCs w:val="21"/>
              </w:rPr>
            </w:pPr>
            <w:r>
              <w:rPr>
                <w:rFonts w:hint="eastAsia"/>
                <w:bCs/>
                <w:color w:val="auto"/>
                <w:szCs w:val="21"/>
              </w:rPr>
              <w:t>0.03</w:t>
            </w:r>
          </w:p>
        </w:tc>
        <w:tc>
          <w:tcPr>
            <w:tcW w:w="863" w:type="pct"/>
            <w:vAlign w:val="center"/>
          </w:tcPr>
          <w:p>
            <w:pPr>
              <w:spacing w:line="300" w:lineRule="exact"/>
              <w:jc w:val="center"/>
              <w:rPr>
                <w:bCs/>
                <w:color w:val="auto"/>
                <w:szCs w:val="21"/>
              </w:rPr>
            </w:pPr>
            <w:r>
              <w:rPr>
                <w:rFonts w:hint="eastAsia"/>
                <w:bCs/>
                <w:color w:val="auto"/>
                <w:szCs w:val="21"/>
              </w:rPr>
              <w:t>0.94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 w:hRule="atLeast"/>
          <w:jc w:val="center"/>
        </w:trPr>
        <w:tc>
          <w:tcPr>
            <w:tcW w:w="827" w:type="pct"/>
            <w:vMerge w:val="continue"/>
            <w:vAlign w:val="center"/>
          </w:tcPr>
          <w:p>
            <w:pPr>
              <w:spacing w:line="300" w:lineRule="exact"/>
              <w:jc w:val="center"/>
              <w:rPr>
                <w:bCs/>
                <w:color w:val="auto"/>
                <w:szCs w:val="21"/>
              </w:rPr>
            </w:pPr>
          </w:p>
        </w:tc>
        <w:tc>
          <w:tcPr>
            <w:tcW w:w="678" w:type="pct"/>
            <w:vMerge w:val="continue"/>
            <w:vAlign w:val="center"/>
          </w:tcPr>
          <w:p>
            <w:pPr>
              <w:spacing w:line="300" w:lineRule="exact"/>
              <w:jc w:val="center"/>
              <w:rPr>
                <w:bCs/>
                <w:color w:val="auto"/>
                <w:szCs w:val="21"/>
              </w:rPr>
            </w:pPr>
          </w:p>
        </w:tc>
        <w:tc>
          <w:tcPr>
            <w:tcW w:w="880" w:type="pct"/>
            <w:vAlign w:val="center"/>
          </w:tcPr>
          <w:p>
            <w:pPr>
              <w:spacing w:line="300" w:lineRule="exact"/>
              <w:jc w:val="center"/>
              <w:rPr>
                <w:bCs/>
                <w:color w:val="auto"/>
                <w:szCs w:val="21"/>
              </w:rPr>
            </w:pPr>
            <w:r>
              <w:rPr>
                <w:rFonts w:hint="eastAsia"/>
                <w:bCs/>
                <w:color w:val="auto"/>
                <w:szCs w:val="21"/>
              </w:rPr>
              <w:t>ND</w:t>
            </w:r>
          </w:p>
        </w:tc>
        <w:tc>
          <w:tcPr>
            <w:tcW w:w="881" w:type="pct"/>
            <w:vAlign w:val="center"/>
          </w:tcPr>
          <w:p>
            <w:pPr>
              <w:spacing w:line="300" w:lineRule="exact"/>
              <w:jc w:val="center"/>
              <w:rPr>
                <w:bCs/>
                <w:color w:val="auto"/>
                <w:szCs w:val="21"/>
              </w:rPr>
            </w:pPr>
            <w:r>
              <w:rPr>
                <w:rFonts w:hint="eastAsia"/>
                <w:bCs/>
                <w:color w:val="auto"/>
                <w:szCs w:val="21"/>
              </w:rPr>
              <w:t>0.95</w:t>
            </w:r>
          </w:p>
        </w:tc>
        <w:tc>
          <w:tcPr>
            <w:tcW w:w="869" w:type="pct"/>
            <w:vAlign w:val="center"/>
          </w:tcPr>
          <w:p>
            <w:pPr>
              <w:spacing w:line="300" w:lineRule="exact"/>
              <w:jc w:val="center"/>
              <w:rPr>
                <w:bCs/>
                <w:color w:val="auto"/>
                <w:szCs w:val="21"/>
              </w:rPr>
            </w:pPr>
            <w:r>
              <w:rPr>
                <w:rFonts w:hint="eastAsia"/>
                <w:bCs/>
                <w:color w:val="auto"/>
                <w:szCs w:val="21"/>
              </w:rPr>
              <w:t>0.04</w:t>
            </w:r>
          </w:p>
        </w:tc>
        <w:tc>
          <w:tcPr>
            <w:tcW w:w="863" w:type="pct"/>
            <w:vAlign w:val="center"/>
          </w:tcPr>
          <w:p>
            <w:pPr>
              <w:spacing w:line="300" w:lineRule="exact"/>
              <w:jc w:val="center"/>
              <w:rPr>
                <w:bCs/>
                <w:color w:val="auto"/>
                <w:szCs w:val="21"/>
              </w:rPr>
            </w:pPr>
            <w:r>
              <w:rPr>
                <w:rFonts w:hint="eastAsia"/>
                <w:bCs/>
                <w:color w:val="auto"/>
                <w:szCs w:val="21"/>
              </w:rPr>
              <w:t>0.88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 w:hRule="atLeast"/>
          <w:jc w:val="center"/>
        </w:trPr>
        <w:tc>
          <w:tcPr>
            <w:tcW w:w="827" w:type="pct"/>
            <w:vMerge w:val="continue"/>
            <w:vAlign w:val="center"/>
          </w:tcPr>
          <w:p>
            <w:pPr>
              <w:spacing w:line="300" w:lineRule="exact"/>
              <w:jc w:val="center"/>
              <w:rPr>
                <w:bCs/>
                <w:color w:val="auto"/>
                <w:szCs w:val="21"/>
              </w:rPr>
            </w:pPr>
          </w:p>
        </w:tc>
        <w:tc>
          <w:tcPr>
            <w:tcW w:w="678" w:type="pct"/>
            <w:vMerge w:val="continue"/>
            <w:vAlign w:val="center"/>
          </w:tcPr>
          <w:p>
            <w:pPr>
              <w:spacing w:line="300" w:lineRule="exact"/>
              <w:jc w:val="center"/>
              <w:rPr>
                <w:bCs/>
                <w:color w:val="auto"/>
                <w:szCs w:val="21"/>
              </w:rPr>
            </w:pPr>
          </w:p>
        </w:tc>
        <w:tc>
          <w:tcPr>
            <w:tcW w:w="880" w:type="pct"/>
            <w:vAlign w:val="center"/>
          </w:tcPr>
          <w:p>
            <w:pPr>
              <w:spacing w:line="300" w:lineRule="exact"/>
              <w:jc w:val="center"/>
              <w:rPr>
                <w:bCs/>
                <w:color w:val="auto"/>
                <w:szCs w:val="21"/>
              </w:rPr>
            </w:pPr>
            <w:r>
              <w:rPr>
                <w:rFonts w:hint="eastAsia"/>
                <w:bCs/>
                <w:color w:val="auto"/>
                <w:szCs w:val="21"/>
              </w:rPr>
              <w:t>ND</w:t>
            </w:r>
          </w:p>
        </w:tc>
        <w:tc>
          <w:tcPr>
            <w:tcW w:w="881" w:type="pct"/>
            <w:vAlign w:val="center"/>
          </w:tcPr>
          <w:p>
            <w:pPr>
              <w:spacing w:line="300" w:lineRule="exact"/>
              <w:jc w:val="center"/>
              <w:rPr>
                <w:bCs/>
                <w:color w:val="auto"/>
                <w:szCs w:val="21"/>
              </w:rPr>
            </w:pPr>
            <w:r>
              <w:rPr>
                <w:rFonts w:hint="eastAsia"/>
                <w:bCs/>
                <w:color w:val="auto"/>
                <w:szCs w:val="21"/>
              </w:rPr>
              <w:t>1.06</w:t>
            </w:r>
          </w:p>
        </w:tc>
        <w:tc>
          <w:tcPr>
            <w:tcW w:w="869" w:type="pct"/>
            <w:vAlign w:val="center"/>
          </w:tcPr>
          <w:p>
            <w:pPr>
              <w:spacing w:line="300" w:lineRule="exact"/>
              <w:jc w:val="center"/>
              <w:rPr>
                <w:bCs/>
                <w:color w:val="auto"/>
                <w:szCs w:val="21"/>
              </w:rPr>
            </w:pPr>
            <w:r>
              <w:rPr>
                <w:rFonts w:hint="eastAsia"/>
                <w:bCs/>
                <w:color w:val="auto"/>
                <w:szCs w:val="21"/>
              </w:rPr>
              <w:t>0.07</w:t>
            </w:r>
          </w:p>
        </w:tc>
        <w:tc>
          <w:tcPr>
            <w:tcW w:w="863" w:type="pct"/>
            <w:vAlign w:val="center"/>
          </w:tcPr>
          <w:p>
            <w:pPr>
              <w:spacing w:line="300" w:lineRule="exact"/>
              <w:jc w:val="center"/>
              <w:rPr>
                <w:bCs/>
                <w:color w:val="auto"/>
                <w:szCs w:val="21"/>
              </w:rPr>
            </w:pPr>
            <w:r>
              <w:rPr>
                <w:rFonts w:hint="eastAsia"/>
                <w:bCs/>
                <w:color w:val="auto"/>
                <w:szCs w:val="21"/>
              </w:rPr>
              <w:t>0.80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 w:hRule="atLeast"/>
          <w:jc w:val="center"/>
        </w:trPr>
        <w:tc>
          <w:tcPr>
            <w:tcW w:w="827" w:type="pct"/>
            <w:vMerge w:val="continue"/>
            <w:vAlign w:val="center"/>
          </w:tcPr>
          <w:p>
            <w:pPr>
              <w:spacing w:line="300" w:lineRule="exact"/>
              <w:jc w:val="center"/>
              <w:rPr>
                <w:bCs/>
                <w:color w:val="auto"/>
                <w:szCs w:val="21"/>
              </w:rPr>
            </w:pPr>
          </w:p>
        </w:tc>
        <w:tc>
          <w:tcPr>
            <w:tcW w:w="678" w:type="pct"/>
            <w:vMerge w:val="continue"/>
            <w:vAlign w:val="center"/>
          </w:tcPr>
          <w:p>
            <w:pPr>
              <w:spacing w:line="300" w:lineRule="exact"/>
              <w:jc w:val="center"/>
              <w:rPr>
                <w:bCs/>
                <w:color w:val="auto"/>
                <w:szCs w:val="21"/>
              </w:rPr>
            </w:pPr>
          </w:p>
        </w:tc>
        <w:tc>
          <w:tcPr>
            <w:tcW w:w="880" w:type="pct"/>
            <w:vAlign w:val="center"/>
          </w:tcPr>
          <w:p>
            <w:pPr>
              <w:spacing w:line="300" w:lineRule="exact"/>
              <w:jc w:val="center"/>
              <w:rPr>
                <w:bCs/>
                <w:color w:val="auto"/>
                <w:szCs w:val="21"/>
              </w:rPr>
            </w:pPr>
            <w:r>
              <w:rPr>
                <w:rFonts w:hint="eastAsia"/>
                <w:bCs/>
                <w:color w:val="auto"/>
                <w:szCs w:val="21"/>
              </w:rPr>
              <w:t>ND</w:t>
            </w:r>
          </w:p>
        </w:tc>
        <w:tc>
          <w:tcPr>
            <w:tcW w:w="881" w:type="pct"/>
            <w:vAlign w:val="center"/>
          </w:tcPr>
          <w:p>
            <w:pPr>
              <w:spacing w:line="300" w:lineRule="exact"/>
              <w:jc w:val="center"/>
              <w:rPr>
                <w:bCs/>
                <w:color w:val="auto"/>
                <w:szCs w:val="21"/>
              </w:rPr>
            </w:pPr>
            <w:r>
              <w:rPr>
                <w:rFonts w:hint="eastAsia"/>
                <w:bCs/>
                <w:color w:val="auto"/>
                <w:szCs w:val="21"/>
              </w:rPr>
              <w:t>0.92</w:t>
            </w:r>
          </w:p>
        </w:tc>
        <w:tc>
          <w:tcPr>
            <w:tcW w:w="869" w:type="pct"/>
            <w:vAlign w:val="center"/>
          </w:tcPr>
          <w:p>
            <w:pPr>
              <w:spacing w:line="300" w:lineRule="exact"/>
              <w:jc w:val="center"/>
              <w:rPr>
                <w:bCs/>
                <w:color w:val="auto"/>
                <w:szCs w:val="21"/>
              </w:rPr>
            </w:pPr>
            <w:r>
              <w:rPr>
                <w:rFonts w:hint="eastAsia"/>
                <w:bCs/>
                <w:color w:val="auto"/>
                <w:szCs w:val="21"/>
              </w:rPr>
              <w:t>0.05</w:t>
            </w:r>
          </w:p>
        </w:tc>
        <w:tc>
          <w:tcPr>
            <w:tcW w:w="863" w:type="pct"/>
            <w:vAlign w:val="center"/>
          </w:tcPr>
          <w:p>
            <w:pPr>
              <w:spacing w:line="300" w:lineRule="exact"/>
              <w:jc w:val="center"/>
              <w:rPr>
                <w:bCs/>
                <w:color w:val="auto"/>
                <w:szCs w:val="21"/>
              </w:rPr>
            </w:pPr>
            <w:r>
              <w:rPr>
                <w:rFonts w:hint="eastAsia"/>
                <w:bCs/>
                <w:color w:val="auto"/>
                <w:szCs w:val="21"/>
              </w:rPr>
              <w:t>0.76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 w:hRule="atLeast"/>
          <w:jc w:val="center"/>
        </w:trPr>
        <w:tc>
          <w:tcPr>
            <w:tcW w:w="827" w:type="pct"/>
            <w:vMerge w:val="continue"/>
            <w:vAlign w:val="center"/>
          </w:tcPr>
          <w:p>
            <w:pPr>
              <w:spacing w:line="300" w:lineRule="exact"/>
              <w:jc w:val="center"/>
              <w:rPr>
                <w:bCs/>
                <w:color w:val="auto"/>
                <w:szCs w:val="21"/>
              </w:rPr>
            </w:pPr>
          </w:p>
        </w:tc>
        <w:tc>
          <w:tcPr>
            <w:tcW w:w="678" w:type="pct"/>
            <w:vAlign w:val="center"/>
          </w:tcPr>
          <w:p>
            <w:pPr>
              <w:spacing w:line="300" w:lineRule="exact"/>
              <w:jc w:val="center"/>
              <w:rPr>
                <w:bCs/>
                <w:color w:val="auto"/>
                <w:szCs w:val="21"/>
              </w:rPr>
            </w:pPr>
            <w:r>
              <w:rPr>
                <w:bCs/>
                <w:color w:val="auto"/>
                <w:szCs w:val="21"/>
              </w:rPr>
              <w:t>均</w:t>
            </w:r>
            <w:r>
              <w:rPr>
                <w:rFonts w:hint="eastAsia"/>
                <w:bCs/>
                <w:color w:val="auto"/>
                <w:szCs w:val="21"/>
              </w:rPr>
              <w:t>值</w:t>
            </w:r>
          </w:p>
        </w:tc>
        <w:tc>
          <w:tcPr>
            <w:tcW w:w="880" w:type="pct"/>
            <w:vAlign w:val="center"/>
          </w:tcPr>
          <w:p>
            <w:pPr>
              <w:spacing w:line="300" w:lineRule="exact"/>
              <w:jc w:val="center"/>
              <w:rPr>
                <w:bCs/>
                <w:color w:val="auto"/>
                <w:szCs w:val="21"/>
              </w:rPr>
            </w:pPr>
            <w:r>
              <w:rPr>
                <w:rFonts w:hint="eastAsia"/>
                <w:bCs/>
                <w:color w:val="auto"/>
                <w:szCs w:val="21"/>
              </w:rPr>
              <w:t>&lt;0.001</w:t>
            </w:r>
          </w:p>
        </w:tc>
        <w:tc>
          <w:tcPr>
            <w:tcW w:w="881" w:type="pct"/>
            <w:vAlign w:val="center"/>
          </w:tcPr>
          <w:p>
            <w:pPr>
              <w:spacing w:line="300" w:lineRule="exact"/>
              <w:jc w:val="center"/>
              <w:rPr>
                <w:bCs/>
                <w:color w:val="auto"/>
                <w:szCs w:val="21"/>
              </w:rPr>
            </w:pPr>
            <w:r>
              <w:rPr>
                <w:rFonts w:hint="eastAsia"/>
                <w:bCs/>
                <w:color w:val="auto"/>
                <w:szCs w:val="21"/>
              </w:rPr>
              <w:t>1.00</w:t>
            </w:r>
          </w:p>
        </w:tc>
        <w:tc>
          <w:tcPr>
            <w:tcW w:w="869" w:type="pct"/>
            <w:vAlign w:val="center"/>
          </w:tcPr>
          <w:p>
            <w:pPr>
              <w:spacing w:line="300" w:lineRule="exact"/>
              <w:jc w:val="center"/>
              <w:rPr>
                <w:bCs/>
                <w:color w:val="auto"/>
                <w:szCs w:val="21"/>
              </w:rPr>
            </w:pPr>
            <w:r>
              <w:rPr>
                <w:rFonts w:hint="eastAsia"/>
                <w:bCs/>
                <w:color w:val="auto"/>
                <w:szCs w:val="21"/>
              </w:rPr>
              <w:t>0.05</w:t>
            </w:r>
          </w:p>
        </w:tc>
        <w:tc>
          <w:tcPr>
            <w:tcW w:w="863" w:type="pct"/>
            <w:vAlign w:val="center"/>
          </w:tcPr>
          <w:p>
            <w:pPr>
              <w:spacing w:line="300" w:lineRule="exact"/>
              <w:jc w:val="center"/>
              <w:rPr>
                <w:bCs/>
                <w:color w:val="auto"/>
                <w:szCs w:val="21"/>
              </w:rPr>
            </w:pPr>
            <w:r>
              <w:rPr>
                <w:rFonts w:hint="eastAsia"/>
                <w:bCs/>
                <w:color w:val="auto"/>
                <w:szCs w:val="21"/>
              </w:rPr>
              <w:t>0.84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 w:hRule="atLeast"/>
          <w:jc w:val="center"/>
        </w:trPr>
        <w:tc>
          <w:tcPr>
            <w:tcW w:w="827" w:type="pct"/>
            <w:vMerge w:val="restart"/>
            <w:vAlign w:val="center"/>
          </w:tcPr>
          <w:p>
            <w:pPr>
              <w:spacing w:line="300" w:lineRule="exact"/>
              <w:jc w:val="center"/>
              <w:rPr>
                <w:bCs/>
                <w:color w:val="auto"/>
                <w:szCs w:val="21"/>
              </w:rPr>
            </w:pPr>
            <w:r>
              <w:rPr>
                <w:rFonts w:hint="eastAsia"/>
                <w:bCs/>
                <w:color w:val="auto"/>
                <w:szCs w:val="21"/>
              </w:rPr>
              <w:t>2020.</w:t>
            </w:r>
            <w:r>
              <w:rPr>
                <w:rFonts w:hint="eastAsia"/>
                <w:bCs/>
                <w:color w:val="auto"/>
                <w:szCs w:val="21"/>
                <w:lang w:val="en-US" w:eastAsia="zh-CN"/>
              </w:rPr>
              <w:t>8</w:t>
            </w:r>
            <w:r>
              <w:rPr>
                <w:rFonts w:hint="eastAsia"/>
                <w:bCs/>
                <w:color w:val="auto"/>
                <w:szCs w:val="21"/>
              </w:rPr>
              <w:t>.18</w:t>
            </w:r>
          </w:p>
        </w:tc>
        <w:tc>
          <w:tcPr>
            <w:tcW w:w="678" w:type="pct"/>
            <w:vMerge w:val="restart"/>
            <w:vAlign w:val="center"/>
          </w:tcPr>
          <w:p>
            <w:pPr>
              <w:spacing w:line="300" w:lineRule="exact"/>
              <w:jc w:val="center"/>
              <w:rPr>
                <w:bCs/>
                <w:color w:val="auto"/>
                <w:szCs w:val="21"/>
              </w:rPr>
            </w:pPr>
            <w:r>
              <w:rPr>
                <w:bCs/>
                <w:color w:val="auto"/>
                <w:szCs w:val="21"/>
              </w:rPr>
              <w:t>小时平均</w:t>
            </w:r>
          </w:p>
        </w:tc>
        <w:tc>
          <w:tcPr>
            <w:tcW w:w="880" w:type="pct"/>
            <w:vAlign w:val="center"/>
          </w:tcPr>
          <w:p>
            <w:pPr>
              <w:spacing w:line="300" w:lineRule="exact"/>
              <w:jc w:val="center"/>
              <w:rPr>
                <w:bCs/>
                <w:color w:val="auto"/>
                <w:szCs w:val="21"/>
              </w:rPr>
            </w:pPr>
            <w:r>
              <w:rPr>
                <w:rFonts w:hint="eastAsia"/>
                <w:bCs/>
                <w:color w:val="auto"/>
                <w:szCs w:val="21"/>
              </w:rPr>
              <w:t>ND</w:t>
            </w:r>
          </w:p>
        </w:tc>
        <w:tc>
          <w:tcPr>
            <w:tcW w:w="881" w:type="pct"/>
            <w:vAlign w:val="center"/>
          </w:tcPr>
          <w:p>
            <w:pPr>
              <w:spacing w:line="300" w:lineRule="exact"/>
              <w:jc w:val="center"/>
              <w:rPr>
                <w:bCs/>
                <w:color w:val="auto"/>
                <w:szCs w:val="21"/>
              </w:rPr>
            </w:pPr>
            <w:r>
              <w:rPr>
                <w:rFonts w:hint="eastAsia"/>
                <w:bCs/>
                <w:color w:val="auto"/>
                <w:szCs w:val="21"/>
              </w:rPr>
              <w:t>1.18</w:t>
            </w:r>
          </w:p>
        </w:tc>
        <w:tc>
          <w:tcPr>
            <w:tcW w:w="869" w:type="pct"/>
            <w:vAlign w:val="center"/>
          </w:tcPr>
          <w:p>
            <w:pPr>
              <w:spacing w:line="300" w:lineRule="exact"/>
              <w:jc w:val="center"/>
              <w:rPr>
                <w:bCs/>
                <w:color w:val="auto"/>
                <w:szCs w:val="21"/>
              </w:rPr>
            </w:pPr>
            <w:r>
              <w:rPr>
                <w:rFonts w:hint="eastAsia"/>
                <w:bCs/>
                <w:color w:val="auto"/>
                <w:szCs w:val="21"/>
              </w:rPr>
              <w:t>ND</w:t>
            </w:r>
          </w:p>
        </w:tc>
        <w:tc>
          <w:tcPr>
            <w:tcW w:w="863" w:type="pct"/>
            <w:vAlign w:val="center"/>
          </w:tcPr>
          <w:p>
            <w:pPr>
              <w:spacing w:line="300" w:lineRule="exact"/>
              <w:jc w:val="center"/>
              <w:rPr>
                <w:bCs/>
                <w:color w:val="auto"/>
                <w:szCs w:val="21"/>
              </w:rPr>
            </w:pPr>
            <w:r>
              <w:rPr>
                <w:rFonts w:hint="eastAsia"/>
                <w:bCs/>
                <w:color w:val="auto"/>
                <w:szCs w:val="21"/>
              </w:rPr>
              <w:t>0.84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 w:hRule="atLeast"/>
          <w:jc w:val="center"/>
        </w:trPr>
        <w:tc>
          <w:tcPr>
            <w:tcW w:w="827" w:type="pct"/>
            <w:vMerge w:val="continue"/>
            <w:vAlign w:val="center"/>
          </w:tcPr>
          <w:p>
            <w:pPr>
              <w:spacing w:line="300" w:lineRule="exact"/>
              <w:jc w:val="center"/>
              <w:rPr>
                <w:bCs/>
                <w:color w:val="auto"/>
                <w:szCs w:val="21"/>
              </w:rPr>
            </w:pPr>
          </w:p>
        </w:tc>
        <w:tc>
          <w:tcPr>
            <w:tcW w:w="678" w:type="pct"/>
            <w:vMerge w:val="continue"/>
            <w:vAlign w:val="center"/>
          </w:tcPr>
          <w:p>
            <w:pPr>
              <w:spacing w:line="300" w:lineRule="exact"/>
              <w:jc w:val="center"/>
              <w:rPr>
                <w:bCs/>
                <w:color w:val="auto"/>
                <w:szCs w:val="21"/>
              </w:rPr>
            </w:pPr>
          </w:p>
        </w:tc>
        <w:tc>
          <w:tcPr>
            <w:tcW w:w="880" w:type="pct"/>
            <w:vAlign w:val="center"/>
          </w:tcPr>
          <w:p>
            <w:pPr>
              <w:spacing w:line="300" w:lineRule="exact"/>
              <w:jc w:val="center"/>
              <w:rPr>
                <w:bCs/>
                <w:color w:val="auto"/>
                <w:szCs w:val="21"/>
              </w:rPr>
            </w:pPr>
            <w:r>
              <w:rPr>
                <w:rFonts w:hint="eastAsia"/>
                <w:bCs/>
                <w:color w:val="auto"/>
                <w:szCs w:val="21"/>
              </w:rPr>
              <w:t>ND</w:t>
            </w:r>
          </w:p>
        </w:tc>
        <w:tc>
          <w:tcPr>
            <w:tcW w:w="881" w:type="pct"/>
            <w:vAlign w:val="center"/>
          </w:tcPr>
          <w:p>
            <w:pPr>
              <w:spacing w:line="300" w:lineRule="exact"/>
              <w:jc w:val="center"/>
              <w:rPr>
                <w:bCs/>
                <w:color w:val="auto"/>
                <w:szCs w:val="21"/>
              </w:rPr>
            </w:pPr>
            <w:r>
              <w:rPr>
                <w:rFonts w:hint="eastAsia"/>
                <w:bCs/>
                <w:color w:val="auto"/>
                <w:szCs w:val="21"/>
              </w:rPr>
              <w:t>1.01</w:t>
            </w:r>
          </w:p>
        </w:tc>
        <w:tc>
          <w:tcPr>
            <w:tcW w:w="869" w:type="pct"/>
            <w:vAlign w:val="center"/>
          </w:tcPr>
          <w:p>
            <w:pPr>
              <w:spacing w:line="300" w:lineRule="exact"/>
              <w:jc w:val="center"/>
              <w:rPr>
                <w:bCs/>
                <w:color w:val="auto"/>
                <w:szCs w:val="21"/>
              </w:rPr>
            </w:pPr>
            <w:r>
              <w:rPr>
                <w:rFonts w:hint="eastAsia"/>
                <w:bCs/>
                <w:color w:val="auto"/>
                <w:szCs w:val="21"/>
              </w:rPr>
              <w:t>ND</w:t>
            </w:r>
          </w:p>
        </w:tc>
        <w:tc>
          <w:tcPr>
            <w:tcW w:w="863" w:type="pct"/>
            <w:vAlign w:val="center"/>
          </w:tcPr>
          <w:p>
            <w:pPr>
              <w:spacing w:line="300" w:lineRule="exact"/>
              <w:jc w:val="center"/>
              <w:rPr>
                <w:bCs/>
                <w:color w:val="auto"/>
                <w:szCs w:val="21"/>
              </w:rPr>
            </w:pPr>
            <w:r>
              <w:rPr>
                <w:rFonts w:hint="eastAsia"/>
                <w:bCs/>
                <w:color w:val="auto"/>
                <w:szCs w:val="21"/>
              </w:rPr>
              <w:t>0.84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 w:hRule="atLeast"/>
          <w:jc w:val="center"/>
        </w:trPr>
        <w:tc>
          <w:tcPr>
            <w:tcW w:w="827" w:type="pct"/>
            <w:vMerge w:val="continue"/>
            <w:vAlign w:val="center"/>
          </w:tcPr>
          <w:p>
            <w:pPr>
              <w:spacing w:line="300" w:lineRule="exact"/>
              <w:jc w:val="center"/>
              <w:rPr>
                <w:bCs/>
                <w:color w:val="auto"/>
                <w:szCs w:val="21"/>
              </w:rPr>
            </w:pPr>
          </w:p>
        </w:tc>
        <w:tc>
          <w:tcPr>
            <w:tcW w:w="678" w:type="pct"/>
            <w:vMerge w:val="continue"/>
            <w:vAlign w:val="center"/>
          </w:tcPr>
          <w:p>
            <w:pPr>
              <w:spacing w:line="300" w:lineRule="exact"/>
              <w:jc w:val="center"/>
              <w:rPr>
                <w:bCs/>
                <w:color w:val="auto"/>
                <w:szCs w:val="21"/>
              </w:rPr>
            </w:pPr>
          </w:p>
        </w:tc>
        <w:tc>
          <w:tcPr>
            <w:tcW w:w="880" w:type="pct"/>
            <w:vAlign w:val="center"/>
          </w:tcPr>
          <w:p>
            <w:pPr>
              <w:spacing w:line="300" w:lineRule="exact"/>
              <w:jc w:val="center"/>
              <w:rPr>
                <w:bCs/>
                <w:color w:val="auto"/>
                <w:szCs w:val="21"/>
              </w:rPr>
            </w:pPr>
            <w:r>
              <w:rPr>
                <w:rFonts w:hint="eastAsia"/>
                <w:bCs/>
                <w:color w:val="auto"/>
                <w:szCs w:val="21"/>
              </w:rPr>
              <w:t>ND</w:t>
            </w:r>
          </w:p>
        </w:tc>
        <w:tc>
          <w:tcPr>
            <w:tcW w:w="881" w:type="pct"/>
            <w:vAlign w:val="center"/>
          </w:tcPr>
          <w:p>
            <w:pPr>
              <w:spacing w:line="300" w:lineRule="exact"/>
              <w:jc w:val="center"/>
              <w:rPr>
                <w:bCs/>
                <w:color w:val="auto"/>
                <w:szCs w:val="21"/>
              </w:rPr>
            </w:pPr>
            <w:r>
              <w:rPr>
                <w:rFonts w:hint="eastAsia"/>
                <w:bCs/>
                <w:color w:val="auto"/>
                <w:szCs w:val="21"/>
              </w:rPr>
              <w:t>1.06</w:t>
            </w:r>
          </w:p>
        </w:tc>
        <w:tc>
          <w:tcPr>
            <w:tcW w:w="869" w:type="pct"/>
            <w:vAlign w:val="center"/>
          </w:tcPr>
          <w:p>
            <w:pPr>
              <w:spacing w:line="300" w:lineRule="exact"/>
              <w:jc w:val="center"/>
              <w:rPr>
                <w:bCs/>
                <w:color w:val="auto"/>
                <w:szCs w:val="21"/>
              </w:rPr>
            </w:pPr>
            <w:r>
              <w:rPr>
                <w:rFonts w:hint="eastAsia"/>
                <w:bCs/>
                <w:color w:val="auto"/>
                <w:szCs w:val="21"/>
              </w:rPr>
              <w:t>ND</w:t>
            </w:r>
          </w:p>
        </w:tc>
        <w:tc>
          <w:tcPr>
            <w:tcW w:w="863" w:type="pct"/>
            <w:vAlign w:val="center"/>
          </w:tcPr>
          <w:p>
            <w:pPr>
              <w:spacing w:line="300" w:lineRule="exact"/>
              <w:jc w:val="center"/>
              <w:rPr>
                <w:bCs/>
                <w:color w:val="auto"/>
                <w:szCs w:val="21"/>
              </w:rPr>
            </w:pPr>
            <w:r>
              <w:rPr>
                <w:rFonts w:hint="eastAsia"/>
                <w:bCs/>
                <w:color w:val="auto"/>
                <w:szCs w:val="21"/>
              </w:rPr>
              <w:t>0.79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 w:hRule="atLeast"/>
          <w:jc w:val="center"/>
        </w:trPr>
        <w:tc>
          <w:tcPr>
            <w:tcW w:w="827" w:type="pct"/>
            <w:vMerge w:val="continue"/>
            <w:vAlign w:val="center"/>
          </w:tcPr>
          <w:p>
            <w:pPr>
              <w:spacing w:line="300" w:lineRule="exact"/>
              <w:jc w:val="center"/>
              <w:rPr>
                <w:bCs/>
                <w:color w:val="auto"/>
                <w:szCs w:val="21"/>
              </w:rPr>
            </w:pPr>
          </w:p>
        </w:tc>
        <w:tc>
          <w:tcPr>
            <w:tcW w:w="678" w:type="pct"/>
            <w:vMerge w:val="continue"/>
            <w:vAlign w:val="center"/>
          </w:tcPr>
          <w:p>
            <w:pPr>
              <w:spacing w:line="300" w:lineRule="exact"/>
              <w:jc w:val="center"/>
              <w:rPr>
                <w:bCs/>
                <w:color w:val="auto"/>
                <w:szCs w:val="21"/>
              </w:rPr>
            </w:pPr>
          </w:p>
        </w:tc>
        <w:tc>
          <w:tcPr>
            <w:tcW w:w="880" w:type="pct"/>
            <w:vAlign w:val="center"/>
          </w:tcPr>
          <w:p>
            <w:pPr>
              <w:spacing w:line="300" w:lineRule="exact"/>
              <w:jc w:val="center"/>
              <w:rPr>
                <w:bCs/>
                <w:color w:val="auto"/>
                <w:szCs w:val="21"/>
              </w:rPr>
            </w:pPr>
            <w:r>
              <w:rPr>
                <w:rFonts w:hint="eastAsia"/>
                <w:bCs/>
                <w:color w:val="auto"/>
                <w:szCs w:val="21"/>
              </w:rPr>
              <w:t>ND</w:t>
            </w:r>
          </w:p>
        </w:tc>
        <w:tc>
          <w:tcPr>
            <w:tcW w:w="881" w:type="pct"/>
            <w:vAlign w:val="center"/>
          </w:tcPr>
          <w:p>
            <w:pPr>
              <w:spacing w:line="300" w:lineRule="exact"/>
              <w:jc w:val="center"/>
              <w:rPr>
                <w:bCs/>
                <w:color w:val="auto"/>
                <w:szCs w:val="21"/>
              </w:rPr>
            </w:pPr>
            <w:r>
              <w:rPr>
                <w:rFonts w:hint="eastAsia"/>
                <w:bCs/>
                <w:color w:val="auto"/>
                <w:szCs w:val="21"/>
              </w:rPr>
              <w:t>1.24</w:t>
            </w:r>
          </w:p>
        </w:tc>
        <w:tc>
          <w:tcPr>
            <w:tcW w:w="869" w:type="pct"/>
            <w:vAlign w:val="center"/>
          </w:tcPr>
          <w:p>
            <w:pPr>
              <w:spacing w:line="300" w:lineRule="exact"/>
              <w:jc w:val="center"/>
              <w:rPr>
                <w:bCs/>
                <w:color w:val="auto"/>
                <w:szCs w:val="21"/>
              </w:rPr>
            </w:pPr>
            <w:r>
              <w:rPr>
                <w:rFonts w:hint="eastAsia"/>
                <w:bCs/>
                <w:color w:val="auto"/>
                <w:szCs w:val="21"/>
              </w:rPr>
              <w:t>ND</w:t>
            </w:r>
          </w:p>
        </w:tc>
        <w:tc>
          <w:tcPr>
            <w:tcW w:w="863" w:type="pct"/>
            <w:vAlign w:val="center"/>
          </w:tcPr>
          <w:p>
            <w:pPr>
              <w:spacing w:line="300" w:lineRule="exact"/>
              <w:jc w:val="center"/>
              <w:rPr>
                <w:bCs/>
                <w:color w:val="auto"/>
                <w:szCs w:val="21"/>
              </w:rPr>
            </w:pPr>
            <w:r>
              <w:rPr>
                <w:rFonts w:hint="eastAsia"/>
                <w:bCs/>
                <w:color w:val="auto"/>
                <w:szCs w:val="21"/>
              </w:rPr>
              <w:t>0.89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 w:hRule="atLeast"/>
          <w:jc w:val="center"/>
        </w:trPr>
        <w:tc>
          <w:tcPr>
            <w:tcW w:w="827" w:type="pct"/>
            <w:vMerge w:val="continue"/>
            <w:vAlign w:val="center"/>
          </w:tcPr>
          <w:p>
            <w:pPr>
              <w:spacing w:line="300" w:lineRule="exact"/>
              <w:jc w:val="center"/>
              <w:rPr>
                <w:bCs/>
                <w:color w:val="auto"/>
                <w:szCs w:val="21"/>
              </w:rPr>
            </w:pPr>
          </w:p>
        </w:tc>
        <w:tc>
          <w:tcPr>
            <w:tcW w:w="678" w:type="pct"/>
            <w:vAlign w:val="center"/>
          </w:tcPr>
          <w:p>
            <w:pPr>
              <w:spacing w:line="300" w:lineRule="exact"/>
              <w:jc w:val="center"/>
              <w:rPr>
                <w:bCs/>
                <w:color w:val="auto"/>
                <w:szCs w:val="21"/>
              </w:rPr>
            </w:pPr>
            <w:r>
              <w:rPr>
                <w:bCs/>
                <w:color w:val="auto"/>
                <w:szCs w:val="21"/>
              </w:rPr>
              <w:t>均</w:t>
            </w:r>
            <w:r>
              <w:rPr>
                <w:rFonts w:hint="eastAsia"/>
                <w:bCs/>
                <w:color w:val="auto"/>
                <w:szCs w:val="21"/>
              </w:rPr>
              <w:t>值</w:t>
            </w:r>
          </w:p>
        </w:tc>
        <w:tc>
          <w:tcPr>
            <w:tcW w:w="880" w:type="pct"/>
            <w:vAlign w:val="center"/>
          </w:tcPr>
          <w:p>
            <w:pPr>
              <w:spacing w:line="300" w:lineRule="exact"/>
              <w:jc w:val="center"/>
              <w:rPr>
                <w:bCs/>
                <w:color w:val="auto"/>
                <w:szCs w:val="21"/>
              </w:rPr>
            </w:pPr>
            <w:r>
              <w:rPr>
                <w:rFonts w:hint="eastAsia"/>
                <w:bCs/>
                <w:color w:val="auto"/>
                <w:szCs w:val="21"/>
              </w:rPr>
              <w:t>&lt;0.001</w:t>
            </w:r>
          </w:p>
        </w:tc>
        <w:tc>
          <w:tcPr>
            <w:tcW w:w="881" w:type="pct"/>
            <w:vAlign w:val="center"/>
          </w:tcPr>
          <w:p>
            <w:pPr>
              <w:spacing w:line="300" w:lineRule="exact"/>
              <w:jc w:val="center"/>
              <w:rPr>
                <w:bCs/>
                <w:color w:val="auto"/>
                <w:szCs w:val="21"/>
              </w:rPr>
            </w:pPr>
            <w:r>
              <w:rPr>
                <w:rFonts w:hint="eastAsia"/>
                <w:bCs/>
                <w:color w:val="auto"/>
                <w:szCs w:val="21"/>
              </w:rPr>
              <w:t>1.12</w:t>
            </w:r>
          </w:p>
        </w:tc>
        <w:tc>
          <w:tcPr>
            <w:tcW w:w="869" w:type="pct"/>
            <w:vAlign w:val="center"/>
          </w:tcPr>
          <w:p>
            <w:pPr>
              <w:spacing w:line="300" w:lineRule="exact"/>
              <w:jc w:val="center"/>
              <w:rPr>
                <w:bCs/>
                <w:color w:val="auto"/>
                <w:szCs w:val="21"/>
              </w:rPr>
            </w:pPr>
            <w:r>
              <w:rPr>
                <w:rFonts w:hint="eastAsia"/>
                <w:bCs/>
                <w:color w:val="auto"/>
                <w:szCs w:val="21"/>
              </w:rPr>
              <w:t>&lt;0.001</w:t>
            </w:r>
          </w:p>
        </w:tc>
        <w:tc>
          <w:tcPr>
            <w:tcW w:w="863" w:type="pct"/>
            <w:vAlign w:val="center"/>
          </w:tcPr>
          <w:p>
            <w:pPr>
              <w:spacing w:line="300" w:lineRule="exact"/>
              <w:jc w:val="center"/>
              <w:rPr>
                <w:bCs/>
                <w:color w:val="auto"/>
                <w:szCs w:val="21"/>
              </w:rPr>
            </w:pPr>
            <w:r>
              <w:rPr>
                <w:rFonts w:hint="eastAsia"/>
                <w:bCs/>
                <w:color w:val="auto"/>
                <w:szCs w:val="21"/>
              </w:rPr>
              <w:t>0.84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 w:hRule="atLeast"/>
          <w:jc w:val="center"/>
        </w:trPr>
        <w:tc>
          <w:tcPr>
            <w:tcW w:w="827" w:type="pct"/>
            <w:vMerge w:val="restart"/>
            <w:vAlign w:val="center"/>
          </w:tcPr>
          <w:p>
            <w:pPr>
              <w:spacing w:line="300" w:lineRule="exact"/>
              <w:jc w:val="center"/>
              <w:rPr>
                <w:bCs/>
                <w:color w:val="auto"/>
                <w:szCs w:val="21"/>
              </w:rPr>
            </w:pPr>
            <w:r>
              <w:rPr>
                <w:rFonts w:hint="eastAsia"/>
                <w:bCs/>
                <w:color w:val="auto"/>
                <w:szCs w:val="21"/>
              </w:rPr>
              <w:t>2020.</w:t>
            </w:r>
            <w:r>
              <w:rPr>
                <w:rFonts w:hint="eastAsia"/>
                <w:bCs/>
                <w:color w:val="auto"/>
                <w:szCs w:val="21"/>
                <w:lang w:val="en-US" w:eastAsia="zh-CN"/>
              </w:rPr>
              <w:t>8</w:t>
            </w:r>
            <w:r>
              <w:rPr>
                <w:rFonts w:hint="eastAsia"/>
                <w:bCs/>
                <w:color w:val="auto"/>
                <w:szCs w:val="21"/>
              </w:rPr>
              <w:t>.19</w:t>
            </w:r>
          </w:p>
        </w:tc>
        <w:tc>
          <w:tcPr>
            <w:tcW w:w="678" w:type="pct"/>
            <w:vMerge w:val="restart"/>
            <w:vAlign w:val="center"/>
          </w:tcPr>
          <w:p>
            <w:pPr>
              <w:spacing w:line="300" w:lineRule="exact"/>
              <w:jc w:val="center"/>
              <w:rPr>
                <w:bCs/>
                <w:color w:val="auto"/>
                <w:szCs w:val="21"/>
              </w:rPr>
            </w:pPr>
            <w:r>
              <w:rPr>
                <w:bCs/>
                <w:color w:val="auto"/>
                <w:szCs w:val="21"/>
              </w:rPr>
              <w:t>小时平均</w:t>
            </w:r>
          </w:p>
        </w:tc>
        <w:tc>
          <w:tcPr>
            <w:tcW w:w="880" w:type="pct"/>
            <w:vAlign w:val="center"/>
          </w:tcPr>
          <w:p>
            <w:pPr>
              <w:spacing w:line="300" w:lineRule="exact"/>
              <w:jc w:val="center"/>
              <w:rPr>
                <w:bCs/>
                <w:color w:val="auto"/>
                <w:szCs w:val="21"/>
              </w:rPr>
            </w:pPr>
            <w:r>
              <w:rPr>
                <w:rFonts w:hint="eastAsia"/>
                <w:bCs/>
                <w:color w:val="auto"/>
                <w:szCs w:val="21"/>
              </w:rPr>
              <w:t>ND</w:t>
            </w:r>
          </w:p>
        </w:tc>
        <w:tc>
          <w:tcPr>
            <w:tcW w:w="881" w:type="pct"/>
            <w:vAlign w:val="center"/>
          </w:tcPr>
          <w:p>
            <w:pPr>
              <w:spacing w:line="300" w:lineRule="exact"/>
              <w:jc w:val="center"/>
              <w:rPr>
                <w:bCs/>
                <w:color w:val="auto"/>
                <w:szCs w:val="21"/>
              </w:rPr>
            </w:pPr>
            <w:r>
              <w:rPr>
                <w:rFonts w:hint="eastAsia"/>
                <w:bCs/>
                <w:color w:val="auto"/>
                <w:szCs w:val="21"/>
              </w:rPr>
              <w:t>0.94</w:t>
            </w:r>
          </w:p>
        </w:tc>
        <w:tc>
          <w:tcPr>
            <w:tcW w:w="869" w:type="pct"/>
            <w:vAlign w:val="center"/>
          </w:tcPr>
          <w:p>
            <w:pPr>
              <w:spacing w:line="300" w:lineRule="exact"/>
              <w:jc w:val="center"/>
              <w:rPr>
                <w:bCs/>
                <w:color w:val="auto"/>
                <w:szCs w:val="21"/>
              </w:rPr>
            </w:pPr>
            <w:r>
              <w:rPr>
                <w:rFonts w:hint="eastAsia"/>
                <w:bCs/>
                <w:color w:val="auto"/>
                <w:szCs w:val="21"/>
              </w:rPr>
              <w:t>ND</w:t>
            </w:r>
          </w:p>
        </w:tc>
        <w:tc>
          <w:tcPr>
            <w:tcW w:w="863" w:type="pct"/>
            <w:vAlign w:val="center"/>
          </w:tcPr>
          <w:p>
            <w:pPr>
              <w:spacing w:line="300" w:lineRule="exact"/>
              <w:jc w:val="center"/>
              <w:rPr>
                <w:bCs/>
                <w:color w:val="auto"/>
                <w:szCs w:val="21"/>
              </w:rPr>
            </w:pPr>
            <w:r>
              <w:rPr>
                <w:rFonts w:hint="eastAsia"/>
                <w:bCs/>
                <w:color w:val="auto"/>
                <w:szCs w:val="21"/>
              </w:rPr>
              <w:t>0.72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 w:hRule="atLeast"/>
          <w:jc w:val="center"/>
        </w:trPr>
        <w:tc>
          <w:tcPr>
            <w:tcW w:w="827" w:type="pct"/>
            <w:vMerge w:val="continue"/>
            <w:vAlign w:val="center"/>
          </w:tcPr>
          <w:p>
            <w:pPr>
              <w:spacing w:line="300" w:lineRule="exact"/>
              <w:jc w:val="center"/>
              <w:rPr>
                <w:bCs/>
                <w:color w:val="auto"/>
                <w:szCs w:val="21"/>
              </w:rPr>
            </w:pPr>
          </w:p>
        </w:tc>
        <w:tc>
          <w:tcPr>
            <w:tcW w:w="678" w:type="pct"/>
            <w:vMerge w:val="continue"/>
            <w:vAlign w:val="center"/>
          </w:tcPr>
          <w:p>
            <w:pPr>
              <w:spacing w:line="300" w:lineRule="exact"/>
              <w:jc w:val="center"/>
              <w:rPr>
                <w:bCs/>
                <w:color w:val="auto"/>
                <w:szCs w:val="21"/>
              </w:rPr>
            </w:pPr>
          </w:p>
        </w:tc>
        <w:tc>
          <w:tcPr>
            <w:tcW w:w="880" w:type="pct"/>
            <w:vAlign w:val="center"/>
          </w:tcPr>
          <w:p>
            <w:pPr>
              <w:spacing w:line="300" w:lineRule="exact"/>
              <w:jc w:val="center"/>
              <w:rPr>
                <w:bCs/>
                <w:color w:val="auto"/>
                <w:szCs w:val="21"/>
              </w:rPr>
            </w:pPr>
            <w:r>
              <w:rPr>
                <w:rFonts w:hint="eastAsia"/>
                <w:bCs/>
                <w:color w:val="auto"/>
                <w:szCs w:val="21"/>
              </w:rPr>
              <w:t>ND</w:t>
            </w:r>
          </w:p>
        </w:tc>
        <w:tc>
          <w:tcPr>
            <w:tcW w:w="881" w:type="pct"/>
            <w:vAlign w:val="center"/>
          </w:tcPr>
          <w:p>
            <w:pPr>
              <w:spacing w:line="300" w:lineRule="exact"/>
              <w:jc w:val="center"/>
              <w:rPr>
                <w:bCs/>
                <w:color w:val="auto"/>
                <w:szCs w:val="21"/>
              </w:rPr>
            </w:pPr>
            <w:r>
              <w:rPr>
                <w:rFonts w:hint="eastAsia"/>
                <w:bCs/>
                <w:color w:val="auto"/>
                <w:szCs w:val="21"/>
              </w:rPr>
              <w:t>1.09</w:t>
            </w:r>
          </w:p>
        </w:tc>
        <w:tc>
          <w:tcPr>
            <w:tcW w:w="869" w:type="pct"/>
            <w:vAlign w:val="center"/>
          </w:tcPr>
          <w:p>
            <w:pPr>
              <w:spacing w:line="300" w:lineRule="exact"/>
              <w:jc w:val="center"/>
              <w:rPr>
                <w:bCs/>
                <w:color w:val="auto"/>
                <w:szCs w:val="21"/>
              </w:rPr>
            </w:pPr>
            <w:r>
              <w:rPr>
                <w:rFonts w:hint="eastAsia"/>
                <w:bCs/>
                <w:color w:val="auto"/>
                <w:szCs w:val="21"/>
              </w:rPr>
              <w:t>ND</w:t>
            </w:r>
          </w:p>
        </w:tc>
        <w:tc>
          <w:tcPr>
            <w:tcW w:w="863" w:type="pct"/>
            <w:vAlign w:val="center"/>
          </w:tcPr>
          <w:p>
            <w:pPr>
              <w:spacing w:line="300" w:lineRule="exact"/>
              <w:jc w:val="center"/>
              <w:rPr>
                <w:bCs/>
                <w:color w:val="auto"/>
                <w:szCs w:val="21"/>
              </w:rPr>
            </w:pPr>
            <w:r>
              <w:rPr>
                <w:rFonts w:hint="eastAsia"/>
                <w:bCs/>
                <w:color w:val="auto"/>
                <w:szCs w:val="21"/>
              </w:rPr>
              <w:t>0.64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 w:hRule="atLeast"/>
          <w:jc w:val="center"/>
        </w:trPr>
        <w:tc>
          <w:tcPr>
            <w:tcW w:w="827" w:type="pct"/>
            <w:vMerge w:val="continue"/>
            <w:vAlign w:val="center"/>
          </w:tcPr>
          <w:p>
            <w:pPr>
              <w:spacing w:line="300" w:lineRule="exact"/>
              <w:jc w:val="center"/>
              <w:rPr>
                <w:bCs/>
                <w:color w:val="auto"/>
                <w:szCs w:val="21"/>
              </w:rPr>
            </w:pPr>
          </w:p>
        </w:tc>
        <w:tc>
          <w:tcPr>
            <w:tcW w:w="678" w:type="pct"/>
            <w:vMerge w:val="continue"/>
            <w:vAlign w:val="center"/>
          </w:tcPr>
          <w:p>
            <w:pPr>
              <w:spacing w:line="300" w:lineRule="exact"/>
              <w:jc w:val="center"/>
              <w:rPr>
                <w:bCs/>
                <w:color w:val="auto"/>
                <w:szCs w:val="21"/>
              </w:rPr>
            </w:pPr>
          </w:p>
        </w:tc>
        <w:tc>
          <w:tcPr>
            <w:tcW w:w="880" w:type="pct"/>
            <w:vAlign w:val="center"/>
          </w:tcPr>
          <w:p>
            <w:pPr>
              <w:spacing w:line="300" w:lineRule="exact"/>
              <w:jc w:val="center"/>
              <w:rPr>
                <w:bCs/>
                <w:color w:val="auto"/>
                <w:szCs w:val="21"/>
              </w:rPr>
            </w:pPr>
            <w:r>
              <w:rPr>
                <w:rFonts w:hint="eastAsia"/>
                <w:bCs/>
                <w:color w:val="auto"/>
                <w:szCs w:val="21"/>
              </w:rPr>
              <w:t>ND</w:t>
            </w:r>
          </w:p>
        </w:tc>
        <w:tc>
          <w:tcPr>
            <w:tcW w:w="881" w:type="pct"/>
            <w:vAlign w:val="center"/>
          </w:tcPr>
          <w:p>
            <w:pPr>
              <w:spacing w:line="300" w:lineRule="exact"/>
              <w:jc w:val="center"/>
              <w:rPr>
                <w:bCs/>
                <w:color w:val="auto"/>
                <w:szCs w:val="21"/>
              </w:rPr>
            </w:pPr>
            <w:r>
              <w:rPr>
                <w:rFonts w:hint="eastAsia"/>
                <w:bCs/>
                <w:color w:val="auto"/>
                <w:szCs w:val="21"/>
              </w:rPr>
              <w:t>1.01</w:t>
            </w:r>
          </w:p>
        </w:tc>
        <w:tc>
          <w:tcPr>
            <w:tcW w:w="869" w:type="pct"/>
            <w:vAlign w:val="center"/>
          </w:tcPr>
          <w:p>
            <w:pPr>
              <w:spacing w:line="300" w:lineRule="exact"/>
              <w:jc w:val="center"/>
              <w:rPr>
                <w:bCs/>
                <w:color w:val="auto"/>
                <w:szCs w:val="21"/>
              </w:rPr>
            </w:pPr>
            <w:r>
              <w:rPr>
                <w:rFonts w:hint="eastAsia"/>
                <w:bCs/>
                <w:color w:val="auto"/>
                <w:szCs w:val="21"/>
              </w:rPr>
              <w:t>ND</w:t>
            </w:r>
          </w:p>
        </w:tc>
        <w:tc>
          <w:tcPr>
            <w:tcW w:w="863" w:type="pct"/>
            <w:vAlign w:val="center"/>
          </w:tcPr>
          <w:p>
            <w:pPr>
              <w:spacing w:line="300" w:lineRule="exact"/>
              <w:jc w:val="center"/>
              <w:rPr>
                <w:bCs/>
                <w:color w:val="auto"/>
                <w:szCs w:val="21"/>
              </w:rPr>
            </w:pPr>
            <w:r>
              <w:rPr>
                <w:rFonts w:hint="eastAsia"/>
                <w:bCs/>
                <w:color w:val="auto"/>
                <w:szCs w:val="21"/>
              </w:rPr>
              <w:t>0.70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 w:hRule="atLeast"/>
          <w:jc w:val="center"/>
        </w:trPr>
        <w:tc>
          <w:tcPr>
            <w:tcW w:w="827" w:type="pct"/>
            <w:vMerge w:val="continue"/>
            <w:vAlign w:val="center"/>
          </w:tcPr>
          <w:p>
            <w:pPr>
              <w:spacing w:line="300" w:lineRule="exact"/>
              <w:jc w:val="center"/>
              <w:rPr>
                <w:bCs/>
                <w:color w:val="auto"/>
                <w:szCs w:val="21"/>
              </w:rPr>
            </w:pPr>
          </w:p>
        </w:tc>
        <w:tc>
          <w:tcPr>
            <w:tcW w:w="678" w:type="pct"/>
            <w:vMerge w:val="continue"/>
            <w:vAlign w:val="center"/>
          </w:tcPr>
          <w:p>
            <w:pPr>
              <w:spacing w:line="300" w:lineRule="exact"/>
              <w:jc w:val="center"/>
              <w:rPr>
                <w:bCs/>
                <w:color w:val="auto"/>
                <w:szCs w:val="21"/>
              </w:rPr>
            </w:pPr>
          </w:p>
        </w:tc>
        <w:tc>
          <w:tcPr>
            <w:tcW w:w="880" w:type="pct"/>
            <w:vAlign w:val="center"/>
          </w:tcPr>
          <w:p>
            <w:pPr>
              <w:spacing w:line="300" w:lineRule="exact"/>
              <w:jc w:val="center"/>
              <w:rPr>
                <w:bCs/>
                <w:color w:val="auto"/>
                <w:szCs w:val="21"/>
              </w:rPr>
            </w:pPr>
            <w:r>
              <w:rPr>
                <w:rFonts w:hint="eastAsia"/>
                <w:bCs/>
                <w:color w:val="auto"/>
                <w:szCs w:val="21"/>
              </w:rPr>
              <w:t>ND</w:t>
            </w:r>
          </w:p>
        </w:tc>
        <w:tc>
          <w:tcPr>
            <w:tcW w:w="881" w:type="pct"/>
            <w:vAlign w:val="center"/>
          </w:tcPr>
          <w:p>
            <w:pPr>
              <w:spacing w:line="300" w:lineRule="exact"/>
              <w:jc w:val="center"/>
              <w:rPr>
                <w:bCs/>
                <w:color w:val="auto"/>
                <w:szCs w:val="21"/>
              </w:rPr>
            </w:pPr>
            <w:r>
              <w:rPr>
                <w:rFonts w:hint="eastAsia"/>
                <w:bCs/>
                <w:color w:val="auto"/>
                <w:szCs w:val="21"/>
              </w:rPr>
              <w:t>1.11</w:t>
            </w:r>
          </w:p>
        </w:tc>
        <w:tc>
          <w:tcPr>
            <w:tcW w:w="869" w:type="pct"/>
            <w:vAlign w:val="center"/>
          </w:tcPr>
          <w:p>
            <w:pPr>
              <w:spacing w:line="300" w:lineRule="exact"/>
              <w:jc w:val="center"/>
              <w:rPr>
                <w:bCs/>
                <w:color w:val="auto"/>
                <w:szCs w:val="21"/>
              </w:rPr>
            </w:pPr>
            <w:r>
              <w:rPr>
                <w:rFonts w:hint="eastAsia"/>
                <w:bCs/>
                <w:color w:val="auto"/>
                <w:szCs w:val="21"/>
              </w:rPr>
              <w:t>ND</w:t>
            </w:r>
          </w:p>
        </w:tc>
        <w:tc>
          <w:tcPr>
            <w:tcW w:w="863" w:type="pct"/>
            <w:vAlign w:val="center"/>
          </w:tcPr>
          <w:p>
            <w:pPr>
              <w:spacing w:line="300" w:lineRule="exact"/>
              <w:jc w:val="center"/>
              <w:rPr>
                <w:bCs/>
                <w:color w:val="auto"/>
                <w:szCs w:val="21"/>
              </w:rPr>
            </w:pPr>
            <w:r>
              <w:rPr>
                <w:rFonts w:hint="eastAsia"/>
                <w:bCs/>
                <w:color w:val="auto"/>
                <w:szCs w:val="21"/>
              </w:rPr>
              <w:t>0.63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 w:hRule="atLeast"/>
          <w:jc w:val="center"/>
        </w:trPr>
        <w:tc>
          <w:tcPr>
            <w:tcW w:w="827" w:type="pct"/>
            <w:vMerge w:val="continue"/>
            <w:vAlign w:val="center"/>
          </w:tcPr>
          <w:p>
            <w:pPr>
              <w:spacing w:line="300" w:lineRule="exact"/>
              <w:jc w:val="center"/>
              <w:rPr>
                <w:bCs/>
                <w:color w:val="auto"/>
                <w:szCs w:val="21"/>
              </w:rPr>
            </w:pPr>
          </w:p>
        </w:tc>
        <w:tc>
          <w:tcPr>
            <w:tcW w:w="678" w:type="pct"/>
            <w:vAlign w:val="center"/>
          </w:tcPr>
          <w:p>
            <w:pPr>
              <w:spacing w:line="300" w:lineRule="exact"/>
              <w:jc w:val="center"/>
              <w:rPr>
                <w:bCs/>
                <w:color w:val="auto"/>
                <w:szCs w:val="21"/>
              </w:rPr>
            </w:pPr>
            <w:r>
              <w:rPr>
                <w:bCs/>
                <w:color w:val="auto"/>
                <w:szCs w:val="21"/>
              </w:rPr>
              <w:t>均</w:t>
            </w:r>
            <w:r>
              <w:rPr>
                <w:rFonts w:hint="eastAsia"/>
                <w:bCs/>
                <w:color w:val="auto"/>
                <w:szCs w:val="21"/>
              </w:rPr>
              <w:t>值</w:t>
            </w:r>
          </w:p>
        </w:tc>
        <w:tc>
          <w:tcPr>
            <w:tcW w:w="880" w:type="pct"/>
            <w:vAlign w:val="center"/>
          </w:tcPr>
          <w:p>
            <w:pPr>
              <w:spacing w:line="300" w:lineRule="exact"/>
              <w:jc w:val="center"/>
              <w:rPr>
                <w:bCs/>
                <w:color w:val="auto"/>
                <w:szCs w:val="21"/>
              </w:rPr>
            </w:pPr>
            <w:r>
              <w:rPr>
                <w:rFonts w:hint="eastAsia"/>
                <w:bCs/>
                <w:color w:val="auto"/>
                <w:szCs w:val="21"/>
              </w:rPr>
              <w:t>&lt;0.001</w:t>
            </w:r>
          </w:p>
        </w:tc>
        <w:tc>
          <w:tcPr>
            <w:tcW w:w="881" w:type="pct"/>
            <w:vAlign w:val="center"/>
          </w:tcPr>
          <w:p>
            <w:pPr>
              <w:spacing w:line="300" w:lineRule="exact"/>
              <w:jc w:val="center"/>
              <w:rPr>
                <w:bCs/>
                <w:color w:val="auto"/>
                <w:szCs w:val="21"/>
              </w:rPr>
            </w:pPr>
            <w:r>
              <w:rPr>
                <w:rFonts w:hint="eastAsia"/>
                <w:bCs/>
                <w:color w:val="auto"/>
                <w:szCs w:val="21"/>
              </w:rPr>
              <w:t>1.04</w:t>
            </w:r>
          </w:p>
        </w:tc>
        <w:tc>
          <w:tcPr>
            <w:tcW w:w="869" w:type="pct"/>
            <w:vAlign w:val="center"/>
          </w:tcPr>
          <w:p>
            <w:pPr>
              <w:spacing w:line="300" w:lineRule="exact"/>
              <w:jc w:val="center"/>
              <w:rPr>
                <w:bCs/>
                <w:color w:val="auto"/>
                <w:szCs w:val="21"/>
              </w:rPr>
            </w:pPr>
            <w:r>
              <w:rPr>
                <w:rFonts w:hint="eastAsia"/>
                <w:bCs/>
                <w:color w:val="auto"/>
                <w:szCs w:val="21"/>
              </w:rPr>
              <w:t>&lt;0.001</w:t>
            </w:r>
          </w:p>
        </w:tc>
        <w:tc>
          <w:tcPr>
            <w:tcW w:w="863" w:type="pct"/>
            <w:vAlign w:val="center"/>
          </w:tcPr>
          <w:p>
            <w:pPr>
              <w:spacing w:line="300" w:lineRule="exact"/>
              <w:jc w:val="center"/>
              <w:rPr>
                <w:bCs/>
                <w:color w:val="auto"/>
                <w:szCs w:val="21"/>
              </w:rPr>
            </w:pPr>
            <w:r>
              <w:rPr>
                <w:rFonts w:hint="eastAsia"/>
                <w:bCs/>
                <w:color w:val="auto"/>
                <w:szCs w:val="21"/>
              </w:rPr>
              <w:t>0.67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 w:hRule="atLeast"/>
          <w:jc w:val="center"/>
        </w:trPr>
        <w:tc>
          <w:tcPr>
            <w:tcW w:w="827" w:type="pct"/>
            <w:vMerge w:val="restart"/>
            <w:vAlign w:val="center"/>
          </w:tcPr>
          <w:p>
            <w:pPr>
              <w:spacing w:line="300" w:lineRule="exact"/>
              <w:jc w:val="center"/>
              <w:rPr>
                <w:bCs/>
                <w:color w:val="auto"/>
                <w:szCs w:val="21"/>
              </w:rPr>
            </w:pPr>
            <w:r>
              <w:rPr>
                <w:rFonts w:hint="eastAsia"/>
                <w:bCs/>
                <w:color w:val="auto"/>
                <w:szCs w:val="21"/>
              </w:rPr>
              <w:t>2020.</w:t>
            </w:r>
            <w:r>
              <w:rPr>
                <w:rFonts w:hint="eastAsia"/>
                <w:bCs/>
                <w:color w:val="auto"/>
                <w:szCs w:val="21"/>
                <w:lang w:val="en-US" w:eastAsia="zh-CN"/>
              </w:rPr>
              <w:t>8</w:t>
            </w:r>
            <w:r>
              <w:rPr>
                <w:rFonts w:hint="eastAsia"/>
                <w:bCs/>
                <w:color w:val="auto"/>
                <w:szCs w:val="21"/>
              </w:rPr>
              <w:t>.20</w:t>
            </w:r>
          </w:p>
        </w:tc>
        <w:tc>
          <w:tcPr>
            <w:tcW w:w="678" w:type="pct"/>
            <w:vMerge w:val="restart"/>
            <w:vAlign w:val="center"/>
          </w:tcPr>
          <w:p>
            <w:pPr>
              <w:spacing w:line="300" w:lineRule="exact"/>
              <w:jc w:val="center"/>
              <w:rPr>
                <w:bCs/>
                <w:color w:val="auto"/>
                <w:szCs w:val="21"/>
              </w:rPr>
            </w:pPr>
            <w:r>
              <w:rPr>
                <w:bCs/>
                <w:color w:val="auto"/>
                <w:szCs w:val="21"/>
              </w:rPr>
              <w:t>小时平均</w:t>
            </w:r>
          </w:p>
        </w:tc>
        <w:tc>
          <w:tcPr>
            <w:tcW w:w="880" w:type="pct"/>
            <w:vAlign w:val="center"/>
          </w:tcPr>
          <w:p>
            <w:pPr>
              <w:spacing w:line="300" w:lineRule="exact"/>
              <w:jc w:val="center"/>
              <w:rPr>
                <w:bCs/>
                <w:color w:val="auto"/>
                <w:szCs w:val="21"/>
              </w:rPr>
            </w:pPr>
            <w:r>
              <w:rPr>
                <w:rFonts w:hint="eastAsia"/>
                <w:bCs/>
                <w:color w:val="auto"/>
                <w:szCs w:val="21"/>
              </w:rPr>
              <w:t>ND</w:t>
            </w:r>
          </w:p>
        </w:tc>
        <w:tc>
          <w:tcPr>
            <w:tcW w:w="881" w:type="pct"/>
            <w:vAlign w:val="center"/>
          </w:tcPr>
          <w:p>
            <w:pPr>
              <w:spacing w:line="300" w:lineRule="exact"/>
              <w:jc w:val="center"/>
              <w:rPr>
                <w:bCs/>
                <w:color w:val="auto"/>
                <w:szCs w:val="21"/>
              </w:rPr>
            </w:pPr>
            <w:r>
              <w:rPr>
                <w:rFonts w:hint="eastAsia"/>
                <w:bCs/>
                <w:color w:val="auto"/>
                <w:szCs w:val="21"/>
              </w:rPr>
              <w:t>1.12</w:t>
            </w:r>
          </w:p>
        </w:tc>
        <w:tc>
          <w:tcPr>
            <w:tcW w:w="869" w:type="pct"/>
            <w:vAlign w:val="center"/>
          </w:tcPr>
          <w:p>
            <w:pPr>
              <w:spacing w:line="300" w:lineRule="exact"/>
              <w:jc w:val="center"/>
              <w:rPr>
                <w:bCs/>
                <w:color w:val="auto"/>
                <w:szCs w:val="21"/>
              </w:rPr>
            </w:pPr>
            <w:r>
              <w:rPr>
                <w:rFonts w:hint="eastAsia"/>
                <w:bCs/>
                <w:color w:val="auto"/>
                <w:szCs w:val="21"/>
              </w:rPr>
              <w:t>ND</w:t>
            </w:r>
          </w:p>
        </w:tc>
        <w:tc>
          <w:tcPr>
            <w:tcW w:w="863" w:type="pct"/>
            <w:vAlign w:val="center"/>
          </w:tcPr>
          <w:p>
            <w:pPr>
              <w:spacing w:line="300" w:lineRule="exact"/>
              <w:jc w:val="center"/>
              <w:rPr>
                <w:bCs/>
                <w:color w:val="auto"/>
                <w:szCs w:val="21"/>
              </w:rPr>
            </w:pPr>
            <w:r>
              <w:rPr>
                <w:rFonts w:hint="eastAsia"/>
                <w:bCs/>
                <w:color w:val="auto"/>
                <w:szCs w:val="21"/>
              </w:rPr>
              <w:t>0.79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 w:hRule="atLeast"/>
          <w:jc w:val="center"/>
        </w:trPr>
        <w:tc>
          <w:tcPr>
            <w:tcW w:w="827" w:type="pct"/>
            <w:vMerge w:val="continue"/>
            <w:vAlign w:val="center"/>
          </w:tcPr>
          <w:p>
            <w:pPr>
              <w:spacing w:line="300" w:lineRule="exact"/>
              <w:jc w:val="center"/>
              <w:rPr>
                <w:bCs/>
                <w:color w:val="auto"/>
                <w:szCs w:val="21"/>
              </w:rPr>
            </w:pPr>
          </w:p>
        </w:tc>
        <w:tc>
          <w:tcPr>
            <w:tcW w:w="678" w:type="pct"/>
            <w:vMerge w:val="continue"/>
            <w:vAlign w:val="center"/>
          </w:tcPr>
          <w:p>
            <w:pPr>
              <w:spacing w:line="300" w:lineRule="exact"/>
              <w:jc w:val="center"/>
              <w:rPr>
                <w:bCs/>
                <w:color w:val="auto"/>
                <w:szCs w:val="21"/>
              </w:rPr>
            </w:pPr>
          </w:p>
        </w:tc>
        <w:tc>
          <w:tcPr>
            <w:tcW w:w="880" w:type="pct"/>
            <w:vAlign w:val="center"/>
          </w:tcPr>
          <w:p>
            <w:pPr>
              <w:spacing w:line="300" w:lineRule="exact"/>
              <w:jc w:val="center"/>
              <w:rPr>
                <w:bCs/>
                <w:color w:val="auto"/>
                <w:szCs w:val="21"/>
              </w:rPr>
            </w:pPr>
            <w:r>
              <w:rPr>
                <w:rFonts w:hint="eastAsia"/>
                <w:bCs/>
                <w:color w:val="auto"/>
                <w:szCs w:val="21"/>
              </w:rPr>
              <w:t>ND</w:t>
            </w:r>
          </w:p>
        </w:tc>
        <w:tc>
          <w:tcPr>
            <w:tcW w:w="881" w:type="pct"/>
            <w:vAlign w:val="center"/>
          </w:tcPr>
          <w:p>
            <w:pPr>
              <w:spacing w:line="300" w:lineRule="exact"/>
              <w:jc w:val="center"/>
              <w:rPr>
                <w:bCs/>
                <w:color w:val="auto"/>
                <w:szCs w:val="21"/>
              </w:rPr>
            </w:pPr>
            <w:r>
              <w:rPr>
                <w:rFonts w:hint="eastAsia"/>
                <w:bCs/>
                <w:color w:val="auto"/>
                <w:szCs w:val="21"/>
              </w:rPr>
              <w:t>1.22</w:t>
            </w:r>
          </w:p>
        </w:tc>
        <w:tc>
          <w:tcPr>
            <w:tcW w:w="869" w:type="pct"/>
            <w:vAlign w:val="center"/>
          </w:tcPr>
          <w:p>
            <w:pPr>
              <w:spacing w:line="300" w:lineRule="exact"/>
              <w:jc w:val="center"/>
              <w:rPr>
                <w:bCs/>
                <w:color w:val="auto"/>
                <w:szCs w:val="21"/>
              </w:rPr>
            </w:pPr>
            <w:r>
              <w:rPr>
                <w:rFonts w:hint="eastAsia"/>
                <w:bCs/>
                <w:color w:val="auto"/>
                <w:szCs w:val="21"/>
              </w:rPr>
              <w:t>ND</w:t>
            </w:r>
          </w:p>
        </w:tc>
        <w:tc>
          <w:tcPr>
            <w:tcW w:w="863" w:type="pct"/>
            <w:vAlign w:val="center"/>
          </w:tcPr>
          <w:p>
            <w:pPr>
              <w:spacing w:line="300" w:lineRule="exact"/>
              <w:jc w:val="center"/>
              <w:rPr>
                <w:bCs/>
                <w:color w:val="auto"/>
                <w:szCs w:val="21"/>
              </w:rPr>
            </w:pPr>
            <w:r>
              <w:rPr>
                <w:rFonts w:hint="eastAsia"/>
                <w:bCs/>
                <w:color w:val="auto"/>
                <w:szCs w:val="21"/>
              </w:rPr>
              <w:t>0.84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 w:hRule="atLeast"/>
          <w:jc w:val="center"/>
        </w:trPr>
        <w:tc>
          <w:tcPr>
            <w:tcW w:w="827" w:type="pct"/>
            <w:vMerge w:val="continue"/>
            <w:vAlign w:val="center"/>
          </w:tcPr>
          <w:p>
            <w:pPr>
              <w:spacing w:line="300" w:lineRule="exact"/>
              <w:jc w:val="center"/>
              <w:rPr>
                <w:bCs/>
                <w:color w:val="auto"/>
                <w:szCs w:val="21"/>
              </w:rPr>
            </w:pPr>
          </w:p>
        </w:tc>
        <w:tc>
          <w:tcPr>
            <w:tcW w:w="678" w:type="pct"/>
            <w:vMerge w:val="continue"/>
            <w:vAlign w:val="center"/>
          </w:tcPr>
          <w:p>
            <w:pPr>
              <w:spacing w:line="300" w:lineRule="exact"/>
              <w:jc w:val="center"/>
              <w:rPr>
                <w:bCs/>
                <w:color w:val="auto"/>
                <w:szCs w:val="21"/>
              </w:rPr>
            </w:pPr>
          </w:p>
        </w:tc>
        <w:tc>
          <w:tcPr>
            <w:tcW w:w="880" w:type="pct"/>
            <w:vAlign w:val="center"/>
          </w:tcPr>
          <w:p>
            <w:pPr>
              <w:spacing w:line="300" w:lineRule="exact"/>
              <w:jc w:val="center"/>
              <w:rPr>
                <w:bCs/>
                <w:color w:val="auto"/>
                <w:szCs w:val="21"/>
              </w:rPr>
            </w:pPr>
            <w:r>
              <w:rPr>
                <w:rFonts w:hint="eastAsia"/>
                <w:bCs/>
                <w:color w:val="auto"/>
                <w:szCs w:val="21"/>
              </w:rPr>
              <w:t>ND</w:t>
            </w:r>
          </w:p>
        </w:tc>
        <w:tc>
          <w:tcPr>
            <w:tcW w:w="881" w:type="pct"/>
            <w:vAlign w:val="center"/>
          </w:tcPr>
          <w:p>
            <w:pPr>
              <w:spacing w:line="300" w:lineRule="exact"/>
              <w:jc w:val="center"/>
              <w:rPr>
                <w:bCs/>
                <w:color w:val="auto"/>
                <w:szCs w:val="21"/>
              </w:rPr>
            </w:pPr>
            <w:r>
              <w:rPr>
                <w:rFonts w:hint="eastAsia"/>
                <w:bCs/>
                <w:color w:val="auto"/>
                <w:szCs w:val="21"/>
              </w:rPr>
              <w:t>1.20</w:t>
            </w:r>
          </w:p>
        </w:tc>
        <w:tc>
          <w:tcPr>
            <w:tcW w:w="869" w:type="pct"/>
            <w:vAlign w:val="center"/>
          </w:tcPr>
          <w:p>
            <w:pPr>
              <w:spacing w:line="300" w:lineRule="exact"/>
              <w:jc w:val="center"/>
              <w:rPr>
                <w:bCs/>
                <w:color w:val="auto"/>
                <w:szCs w:val="21"/>
              </w:rPr>
            </w:pPr>
            <w:r>
              <w:rPr>
                <w:rFonts w:hint="eastAsia"/>
                <w:bCs/>
                <w:color w:val="auto"/>
                <w:szCs w:val="21"/>
              </w:rPr>
              <w:t>ND</w:t>
            </w:r>
          </w:p>
        </w:tc>
        <w:tc>
          <w:tcPr>
            <w:tcW w:w="863" w:type="pct"/>
            <w:vAlign w:val="center"/>
          </w:tcPr>
          <w:p>
            <w:pPr>
              <w:spacing w:line="300" w:lineRule="exact"/>
              <w:jc w:val="center"/>
              <w:rPr>
                <w:bCs/>
                <w:color w:val="auto"/>
                <w:szCs w:val="21"/>
              </w:rPr>
            </w:pPr>
            <w:r>
              <w:rPr>
                <w:rFonts w:hint="eastAsia"/>
                <w:bCs/>
                <w:color w:val="auto"/>
                <w:szCs w:val="21"/>
              </w:rPr>
              <w:t>0.77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 w:hRule="atLeast"/>
          <w:jc w:val="center"/>
        </w:trPr>
        <w:tc>
          <w:tcPr>
            <w:tcW w:w="827" w:type="pct"/>
            <w:vMerge w:val="continue"/>
            <w:vAlign w:val="center"/>
          </w:tcPr>
          <w:p>
            <w:pPr>
              <w:spacing w:line="300" w:lineRule="exact"/>
              <w:jc w:val="center"/>
              <w:rPr>
                <w:bCs/>
                <w:color w:val="auto"/>
                <w:szCs w:val="21"/>
              </w:rPr>
            </w:pPr>
          </w:p>
        </w:tc>
        <w:tc>
          <w:tcPr>
            <w:tcW w:w="678" w:type="pct"/>
            <w:vMerge w:val="continue"/>
            <w:vAlign w:val="center"/>
          </w:tcPr>
          <w:p>
            <w:pPr>
              <w:spacing w:line="300" w:lineRule="exact"/>
              <w:jc w:val="center"/>
              <w:rPr>
                <w:bCs/>
                <w:color w:val="auto"/>
                <w:szCs w:val="21"/>
              </w:rPr>
            </w:pPr>
          </w:p>
        </w:tc>
        <w:tc>
          <w:tcPr>
            <w:tcW w:w="880" w:type="pct"/>
            <w:vAlign w:val="center"/>
          </w:tcPr>
          <w:p>
            <w:pPr>
              <w:spacing w:line="300" w:lineRule="exact"/>
              <w:jc w:val="center"/>
              <w:rPr>
                <w:bCs/>
                <w:color w:val="auto"/>
                <w:szCs w:val="21"/>
              </w:rPr>
            </w:pPr>
            <w:r>
              <w:rPr>
                <w:rFonts w:hint="eastAsia"/>
                <w:bCs/>
                <w:color w:val="auto"/>
                <w:szCs w:val="21"/>
              </w:rPr>
              <w:t>ND</w:t>
            </w:r>
          </w:p>
        </w:tc>
        <w:tc>
          <w:tcPr>
            <w:tcW w:w="881" w:type="pct"/>
            <w:vAlign w:val="center"/>
          </w:tcPr>
          <w:p>
            <w:pPr>
              <w:spacing w:line="300" w:lineRule="exact"/>
              <w:jc w:val="center"/>
              <w:rPr>
                <w:bCs/>
                <w:color w:val="auto"/>
                <w:szCs w:val="21"/>
              </w:rPr>
            </w:pPr>
            <w:r>
              <w:rPr>
                <w:rFonts w:hint="eastAsia"/>
                <w:bCs/>
                <w:color w:val="auto"/>
                <w:szCs w:val="21"/>
              </w:rPr>
              <w:t>1.18</w:t>
            </w:r>
          </w:p>
        </w:tc>
        <w:tc>
          <w:tcPr>
            <w:tcW w:w="869" w:type="pct"/>
            <w:vAlign w:val="center"/>
          </w:tcPr>
          <w:p>
            <w:pPr>
              <w:spacing w:line="300" w:lineRule="exact"/>
              <w:jc w:val="center"/>
              <w:rPr>
                <w:bCs/>
                <w:color w:val="auto"/>
                <w:szCs w:val="21"/>
              </w:rPr>
            </w:pPr>
            <w:r>
              <w:rPr>
                <w:rFonts w:hint="eastAsia"/>
                <w:bCs/>
                <w:color w:val="auto"/>
                <w:szCs w:val="21"/>
              </w:rPr>
              <w:t>ND</w:t>
            </w:r>
          </w:p>
        </w:tc>
        <w:tc>
          <w:tcPr>
            <w:tcW w:w="863" w:type="pct"/>
            <w:vAlign w:val="center"/>
          </w:tcPr>
          <w:p>
            <w:pPr>
              <w:spacing w:line="300" w:lineRule="exact"/>
              <w:jc w:val="center"/>
              <w:rPr>
                <w:bCs/>
                <w:color w:val="auto"/>
                <w:szCs w:val="21"/>
              </w:rPr>
            </w:pPr>
            <w:r>
              <w:rPr>
                <w:rFonts w:hint="eastAsia"/>
                <w:bCs/>
                <w:color w:val="auto"/>
                <w:szCs w:val="21"/>
              </w:rPr>
              <w:t>0.75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 w:hRule="atLeast"/>
          <w:jc w:val="center"/>
        </w:trPr>
        <w:tc>
          <w:tcPr>
            <w:tcW w:w="827" w:type="pct"/>
            <w:vMerge w:val="continue"/>
            <w:vAlign w:val="center"/>
          </w:tcPr>
          <w:p>
            <w:pPr>
              <w:spacing w:line="300" w:lineRule="exact"/>
              <w:jc w:val="center"/>
              <w:rPr>
                <w:bCs/>
                <w:color w:val="auto"/>
                <w:szCs w:val="21"/>
              </w:rPr>
            </w:pPr>
          </w:p>
        </w:tc>
        <w:tc>
          <w:tcPr>
            <w:tcW w:w="678" w:type="pct"/>
            <w:vAlign w:val="center"/>
          </w:tcPr>
          <w:p>
            <w:pPr>
              <w:spacing w:line="300" w:lineRule="exact"/>
              <w:jc w:val="center"/>
              <w:rPr>
                <w:bCs/>
                <w:color w:val="auto"/>
                <w:szCs w:val="21"/>
              </w:rPr>
            </w:pPr>
            <w:r>
              <w:rPr>
                <w:bCs/>
                <w:color w:val="auto"/>
                <w:szCs w:val="21"/>
              </w:rPr>
              <w:t>日平均</w:t>
            </w:r>
          </w:p>
        </w:tc>
        <w:tc>
          <w:tcPr>
            <w:tcW w:w="880" w:type="pct"/>
            <w:vAlign w:val="center"/>
          </w:tcPr>
          <w:p>
            <w:pPr>
              <w:spacing w:line="300" w:lineRule="exact"/>
              <w:jc w:val="center"/>
              <w:rPr>
                <w:bCs/>
                <w:color w:val="auto"/>
                <w:szCs w:val="21"/>
              </w:rPr>
            </w:pPr>
            <w:r>
              <w:rPr>
                <w:rFonts w:hint="eastAsia"/>
                <w:bCs/>
                <w:color w:val="auto"/>
                <w:szCs w:val="21"/>
              </w:rPr>
              <w:t>&lt;0.001</w:t>
            </w:r>
          </w:p>
        </w:tc>
        <w:tc>
          <w:tcPr>
            <w:tcW w:w="881" w:type="pct"/>
            <w:vAlign w:val="center"/>
          </w:tcPr>
          <w:p>
            <w:pPr>
              <w:spacing w:line="300" w:lineRule="exact"/>
              <w:jc w:val="center"/>
              <w:rPr>
                <w:bCs/>
                <w:color w:val="auto"/>
                <w:szCs w:val="21"/>
              </w:rPr>
            </w:pPr>
            <w:r>
              <w:rPr>
                <w:rFonts w:hint="eastAsia"/>
                <w:bCs/>
                <w:color w:val="auto"/>
                <w:szCs w:val="21"/>
              </w:rPr>
              <w:t>1.18</w:t>
            </w:r>
          </w:p>
        </w:tc>
        <w:tc>
          <w:tcPr>
            <w:tcW w:w="869" w:type="pct"/>
            <w:vAlign w:val="center"/>
          </w:tcPr>
          <w:p>
            <w:pPr>
              <w:spacing w:line="300" w:lineRule="exact"/>
              <w:jc w:val="center"/>
              <w:rPr>
                <w:bCs/>
                <w:color w:val="auto"/>
                <w:szCs w:val="21"/>
              </w:rPr>
            </w:pPr>
            <w:r>
              <w:rPr>
                <w:rFonts w:hint="eastAsia"/>
                <w:bCs/>
                <w:color w:val="auto"/>
                <w:szCs w:val="21"/>
              </w:rPr>
              <w:t>&lt;0.001</w:t>
            </w:r>
          </w:p>
        </w:tc>
        <w:tc>
          <w:tcPr>
            <w:tcW w:w="863" w:type="pct"/>
            <w:vAlign w:val="center"/>
          </w:tcPr>
          <w:p>
            <w:pPr>
              <w:spacing w:line="300" w:lineRule="exact"/>
              <w:jc w:val="center"/>
              <w:rPr>
                <w:bCs/>
                <w:color w:val="auto"/>
                <w:szCs w:val="21"/>
              </w:rPr>
            </w:pPr>
            <w:r>
              <w:rPr>
                <w:rFonts w:hint="eastAsia"/>
                <w:bCs/>
                <w:color w:val="auto"/>
                <w:szCs w:val="21"/>
              </w:rPr>
              <w:t>0.79</w:t>
            </w:r>
          </w:p>
        </w:tc>
      </w:tr>
    </w:tbl>
    <w:p>
      <w:pPr>
        <w:spacing w:line="360" w:lineRule="auto"/>
        <w:ind w:firstLine="360" w:firstLineChars="182"/>
        <w:rPr>
          <w:color w:val="auto"/>
          <w:spacing w:val="-6"/>
          <w:szCs w:val="21"/>
        </w:rPr>
      </w:pPr>
      <w:r>
        <w:rPr>
          <w:color w:val="auto"/>
          <w:spacing w:val="-6"/>
          <w:szCs w:val="21"/>
        </w:rPr>
        <w:t>“ND”表示未检出，硫化氢方法检出限为0.001</w:t>
      </w:r>
      <w:r>
        <w:rPr>
          <w:color w:val="auto"/>
          <w:szCs w:val="21"/>
        </w:rPr>
        <w:t xml:space="preserve"> mg/m</w:t>
      </w:r>
      <w:r>
        <w:rPr>
          <w:color w:val="auto"/>
          <w:szCs w:val="21"/>
          <w:vertAlign w:val="superscript"/>
        </w:rPr>
        <w:t>3</w:t>
      </w:r>
      <w:r>
        <w:rPr>
          <w:color w:val="auto"/>
          <w:spacing w:val="-6"/>
          <w:szCs w:val="21"/>
        </w:rPr>
        <w:t>，氨方法检出限为0.</w:t>
      </w:r>
      <w:r>
        <w:rPr>
          <w:rFonts w:hint="eastAsia"/>
          <w:color w:val="auto"/>
          <w:spacing w:val="-6"/>
          <w:szCs w:val="21"/>
        </w:rPr>
        <w:t>01</w:t>
      </w:r>
      <w:r>
        <w:rPr>
          <w:color w:val="auto"/>
          <w:szCs w:val="21"/>
        </w:rPr>
        <w:t xml:space="preserve"> mg/m</w:t>
      </w:r>
      <w:r>
        <w:rPr>
          <w:color w:val="auto"/>
          <w:szCs w:val="21"/>
          <w:vertAlign w:val="superscript"/>
        </w:rPr>
        <w:t>3</w:t>
      </w:r>
      <w:r>
        <w:rPr>
          <w:color w:val="auto"/>
          <w:spacing w:val="-6"/>
          <w:szCs w:val="21"/>
        </w:rPr>
        <w:t>。</w:t>
      </w:r>
    </w:p>
    <w:p>
      <w:pPr>
        <w:spacing w:line="360" w:lineRule="auto"/>
        <w:ind w:firstLine="436" w:firstLineChars="182"/>
        <w:rPr>
          <w:color w:val="auto"/>
          <w:sz w:val="24"/>
        </w:rPr>
      </w:pPr>
      <w:r>
        <w:rPr>
          <w:color w:val="auto"/>
          <w:sz w:val="24"/>
        </w:rPr>
        <w:t>④评价结果</w:t>
      </w:r>
    </w:p>
    <w:p>
      <w:pPr>
        <w:spacing w:line="360" w:lineRule="auto"/>
        <w:ind w:firstLine="480" w:firstLineChars="200"/>
        <w:rPr>
          <w:b/>
          <w:bCs/>
          <w:color w:val="auto"/>
          <w:sz w:val="24"/>
        </w:rPr>
      </w:pPr>
      <w:r>
        <w:rPr>
          <w:color w:val="auto"/>
          <w:sz w:val="24"/>
        </w:rPr>
        <w:t>统计出大气环境质量评价结果见下表。</w:t>
      </w:r>
    </w:p>
    <w:p>
      <w:pPr>
        <w:spacing w:line="360" w:lineRule="auto"/>
        <w:jc w:val="center"/>
        <w:rPr>
          <w:b/>
          <w:bCs/>
          <w:color w:val="auto"/>
          <w:sz w:val="24"/>
        </w:rPr>
      </w:pPr>
      <w:r>
        <w:rPr>
          <w:rFonts w:hint="eastAsia"/>
          <w:b/>
          <w:bCs/>
          <w:color w:val="auto"/>
          <w:sz w:val="24"/>
        </w:rPr>
        <w:t>表5</w:t>
      </w:r>
      <w:r>
        <w:rPr>
          <w:b/>
          <w:bCs/>
          <w:color w:val="auto"/>
          <w:sz w:val="24"/>
        </w:rPr>
        <w:t>-11  单因子浓度监测结果表</w:t>
      </w:r>
    </w:p>
    <w:tbl>
      <w:tblPr>
        <w:tblStyle w:val="5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12"/>
        <w:gridCol w:w="1461"/>
        <w:gridCol w:w="1688"/>
        <w:gridCol w:w="1365"/>
        <w:gridCol w:w="1393"/>
        <w:gridCol w:w="15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1512" w:type="dxa"/>
            <w:vMerge w:val="restart"/>
            <w:vAlign w:val="center"/>
          </w:tcPr>
          <w:p>
            <w:pPr>
              <w:spacing w:line="300" w:lineRule="exact"/>
              <w:jc w:val="center"/>
              <w:rPr>
                <w:bCs/>
                <w:color w:val="auto"/>
                <w:szCs w:val="21"/>
              </w:rPr>
            </w:pPr>
            <w:r>
              <w:rPr>
                <w:bCs/>
                <w:color w:val="auto"/>
                <w:szCs w:val="21"/>
              </w:rPr>
              <w:t>点 位</w:t>
            </w:r>
          </w:p>
        </w:tc>
        <w:tc>
          <w:tcPr>
            <w:tcW w:w="1461" w:type="dxa"/>
            <w:vMerge w:val="restart"/>
            <w:vAlign w:val="center"/>
          </w:tcPr>
          <w:p>
            <w:pPr>
              <w:spacing w:line="300" w:lineRule="exact"/>
              <w:jc w:val="center"/>
              <w:rPr>
                <w:bCs/>
                <w:color w:val="auto"/>
                <w:szCs w:val="21"/>
              </w:rPr>
            </w:pPr>
            <w:r>
              <w:rPr>
                <w:bCs/>
                <w:color w:val="auto"/>
                <w:szCs w:val="21"/>
              </w:rPr>
              <w:t>项 目</w:t>
            </w:r>
          </w:p>
        </w:tc>
        <w:tc>
          <w:tcPr>
            <w:tcW w:w="5980" w:type="dxa"/>
            <w:gridSpan w:val="4"/>
            <w:vAlign w:val="center"/>
          </w:tcPr>
          <w:p>
            <w:pPr>
              <w:spacing w:line="300" w:lineRule="exact"/>
              <w:jc w:val="center"/>
              <w:rPr>
                <w:bCs/>
                <w:color w:val="auto"/>
                <w:szCs w:val="21"/>
              </w:rPr>
            </w:pPr>
            <w:r>
              <w:rPr>
                <w:bCs/>
                <w:color w:val="auto"/>
                <w:szCs w:val="21"/>
              </w:rPr>
              <w:t>日均浓度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1512" w:type="dxa"/>
            <w:vMerge w:val="continue"/>
            <w:vAlign w:val="center"/>
          </w:tcPr>
          <w:p>
            <w:pPr>
              <w:spacing w:line="300" w:lineRule="exact"/>
              <w:jc w:val="center"/>
              <w:rPr>
                <w:bCs/>
                <w:color w:val="auto"/>
                <w:szCs w:val="21"/>
              </w:rPr>
            </w:pPr>
          </w:p>
        </w:tc>
        <w:tc>
          <w:tcPr>
            <w:tcW w:w="1461" w:type="dxa"/>
            <w:vMerge w:val="continue"/>
            <w:vAlign w:val="center"/>
          </w:tcPr>
          <w:p>
            <w:pPr>
              <w:spacing w:line="300" w:lineRule="exact"/>
              <w:jc w:val="center"/>
              <w:rPr>
                <w:bCs/>
                <w:color w:val="auto"/>
                <w:szCs w:val="21"/>
              </w:rPr>
            </w:pPr>
          </w:p>
        </w:tc>
        <w:tc>
          <w:tcPr>
            <w:tcW w:w="1688" w:type="dxa"/>
            <w:vAlign w:val="center"/>
          </w:tcPr>
          <w:p>
            <w:pPr>
              <w:spacing w:line="300" w:lineRule="exact"/>
              <w:jc w:val="center"/>
              <w:rPr>
                <w:bCs/>
                <w:color w:val="auto"/>
                <w:szCs w:val="21"/>
              </w:rPr>
            </w:pPr>
            <w:r>
              <w:rPr>
                <w:bCs/>
                <w:color w:val="auto"/>
                <w:szCs w:val="21"/>
              </w:rPr>
              <w:t>浓度范围 ug/m</w:t>
            </w:r>
            <w:r>
              <w:rPr>
                <w:bCs/>
                <w:color w:val="auto"/>
                <w:szCs w:val="21"/>
                <w:vertAlign w:val="superscript"/>
              </w:rPr>
              <w:t>3</w:t>
            </w:r>
          </w:p>
        </w:tc>
        <w:tc>
          <w:tcPr>
            <w:tcW w:w="1365" w:type="dxa"/>
            <w:vAlign w:val="center"/>
          </w:tcPr>
          <w:p>
            <w:pPr>
              <w:spacing w:line="300" w:lineRule="exact"/>
              <w:jc w:val="center"/>
              <w:rPr>
                <w:bCs/>
                <w:color w:val="auto"/>
                <w:szCs w:val="21"/>
              </w:rPr>
            </w:pPr>
            <w:r>
              <w:rPr>
                <w:bCs/>
                <w:color w:val="auto"/>
                <w:szCs w:val="21"/>
              </w:rPr>
              <w:t>标准指数</w:t>
            </w:r>
          </w:p>
        </w:tc>
        <w:tc>
          <w:tcPr>
            <w:tcW w:w="1393" w:type="dxa"/>
            <w:vAlign w:val="center"/>
          </w:tcPr>
          <w:p>
            <w:pPr>
              <w:spacing w:line="300" w:lineRule="exact"/>
              <w:jc w:val="center"/>
              <w:rPr>
                <w:bCs/>
                <w:color w:val="auto"/>
                <w:szCs w:val="21"/>
              </w:rPr>
            </w:pPr>
            <w:r>
              <w:rPr>
                <w:bCs/>
                <w:color w:val="auto"/>
                <w:szCs w:val="21"/>
              </w:rPr>
              <w:t>超标率 (%)</w:t>
            </w:r>
          </w:p>
        </w:tc>
        <w:tc>
          <w:tcPr>
            <w:tcW w:w="1534" w:type="dxa"/>
            <w:vAlign w:val="center"/>
          </w:tcPr>
          <w:p>
            <w:pPr>
              <w:spacing w:line="300" w:lineRule="exact"/>
              <w:jc w:val="center"/>
              <w:rPr>
                <w:bCs/>
                <w:color w:val="auto"/>
                <w:szCs w:val="21"/>
              </w:rPr>
            </w:pPr>
            <w:r>
              <w:rPr>
                <w:bCs/>
                <w:color w:val="auto"/>
                <w:szCs w:val="21"/>
              </w:rPr>
              <w:t>最大超标倍数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1512" w:type="dxa"/>
            <w:vMerge w:val="restart"/>
            <w:vAlign w:val="center"/>
          </w:tcPr>
          <w:p>
            <w:pPr>
              <w:jc w:val="center"/>
              <w:rPr>
                <w:bCs/>
                <w:color w:val="auto"/>
                <w:szCs w:val="21"/>
              </w:rPr>
            </w:pPr>
            <w:r>
              <w:rPr>
                <w:bCs/>
                <w:color w:val="auto"/>
                <w:szCs w:val="21"/>
              </w:rPr>
              <w:t>项目所在地</w:t>
            </w:r>
          </w:p>
        </w:tc>
        <w:tc>
          <w:tcPr>
            <w:tcW w:w="1461" w:type="dxa"/>
            <w:vAlign w:val="center"/>
          </w:tcPr>
          <w:p>
            <w:pPr>
              <w:spacing w:line="300" w:lineRule="exact"/>
              <w:jc w:val="center"/>
              <w:rPr>
                <w:bCs/>
                <w:color w:val="auto"/>
                <w:szCs w:val="21"/>
              </w:rPr>
            </w:pPr>
            <w:r>
              <w:rPr>
                <w:bCs/>
                <w:color w:val="auto"/>
                <w:szCs w:val="21"/>
              </w:rPr>
              <w:t>非甲烷总烃</w:t>
            </w:r>
          </w:p>
        </w:tc>
        <w:tc>
          <w:tcPr>
            <w:tcW w:w="1688" w:type="dxa"/>
            <w:vAlign w:val="center"/>
          </w:tcPr>
          <w:p>
            <w:pPr>
              <w:spacing w:line="300" w:lineRule="exact"/>
              <w:jc w:val="center"/>
              <w:rPr>
                <w:bCs/>
                <w:color w:val="auto"/>
                <w:szCs w:val="21"/>
              </w:rPr>
            </w:pPr>
            <w:r>
              <w:rPr>
                <w:rFonts w:hint="eastAsia"/>
                <w:bCs/>
                <w:color w:val="auto"/>
                <w:szCs w:val="21"/>
              </w:rPr>
              <w:t>0.92-1.88</w:t>
            </w:r>
          </w:p>
        </w:tc>
        <w:tc>
          <w:tcPr>
            <w:tcW w:w="1365" w:type="dxa"/>
            <w:vAlign w:val="center"/>
          </w:tcPr>
          <w:p>
            <w:pPr>
              <w:spacing w:line="300" w:lineRule="exact"/>
              <w:jc w:val="center"/>
              <w:rPr>
                <w:bCs/>
                <w:color w:val="auto"/>
                <w:szCs w:val="21"/>
              </w:rPr>
            </w:pPr>
            <w:r>
              <w:rPr>
                <w:rFonts w:hint="eastAsia"/>
                <w:bCs/>
                <w:color w:val="auto"/>
                <w:szCs w:val="21"/>
              </w:rPr>
              <w:t>0.46-0.94</w:t>
            </w:r>
          </w:p>
        </w:tc>
        <w:tc>
          <w:tcPr>
            <w:tcW w:w="1393" w:type="dxa"/>
            <w:vAlign w:val="center"/>
          </w:tcPr>
          <w:p>
            <w:pPr>
              <w:spacing w:line="300" w:lineRule="exact"/>
              <w:jc w:val="center"/>
              <w:rPr>
                <w:bCs/>
                <w:color w:val="auto"/>
                <w:szCs w:val="21"/>
              </w:rPr>
            </w:pPr>
            <w:r>
              <w:rPr>
                <w:bCs/>
                <w:color w:val="auto"/>
                <w:szCs w:val="21"/>
              </w:rPr>
              <w:t>0</w:t>
            </w:r>
          </w:p>
        </w:tc>
        <w:tc>
          <w:tcPr>
            <w:tcW w:w="1534" w:type="dxa"/>
            <w:vAlign w:val="center"/>
          </w:tcPr>
          <w:p>
            <w:pPr>
              <w:spacing w:line="300" w:lineRule="exact"/>
              <w:jc w:val="center"/>
              <w:rPr>
                <w:bCs/>
                <w:color w:val="auto"/>
                <w:szCs w:val="21"/>
              </w:rPr>
            </w:pPr>
            <w:r>
              <w:rPr>
                <w:bCs/>
                <w:color w:val="auto"/>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512" w:type="dxa"/>
            <w:vMerge w:val="continue"/>
            <w:vAlign w:val="center"/>
          </w:tcPr>
          <w:p>
            <w:pPr>
              <w:spacing w:line="300" w:lineRule="exact"/>
              <w:jc w:val="center"/>
              <w:rPr>
                <w:bCs/>
                <w:color w:val="auto"/>
                <w:szCs w:val="21"/>
              </w:rPr>
            </w:pPr>
          </w:p>
        </w:tc>
        <w:tc>
          <w:tcPr>
            <w:tcW w:w="1461" w:type="dxa"/>
            <w:vAlign w:val="center"/>
          </w:tcPr>
          <w:p>
            <w:pPr>
              <w:spacing w:line="300" w:lineRule="exact"/>
              <w:jc w:val="center"/>
              <w:rPr>
                <w:color w:val="auto"/>
                <w:szCs w:val="21"/>
              </w:rPr>
            </w:pPr>
            <w:r>
              <w:rPr>
                <w:color w:val="auto"/>
                <w:szCs w:val="21"/>
              </w:rPr>
              <w:t>硫化氢</w:t>
            </w:r>
          </w:p>
        </w:tc>
        <w:tc>
          <w:tcPr>
            <w:tcW w:w="1688" w:type="dxa"/>
            <w:vAlign w:val="center"/>
          </w:tcPr>
          <w:p>
            <w:pPr>
              <w:spacing w:line="300" w:lineRule="exact"/>
              <w:jc w:val="center"/>
              <w:rPr>
                <w:bCs/>
                <w:color w:val="auto"/>
                <w:szCs w:val="21"/>
              </w:rPr>
            </w:pPr>
            <w:r>
              <w:rPr>
                <w:bCs/>
                <w:color w:val="auto"/>
                <w:szCs w:val="21"/>
              </w:rPr>
              <w:t>0.</w:t>
            </w:r>
            <w:r>
              <w:rPr>
                <w:rFonts w:hint="eastAsia"/>
                <w:bCs/>
                <w:color w:val="auto"/>
                <w:szCs w:val="21"/>
              </w:rPr>
              <w:t>02-0.13</w:t>
            </w:r>
          </w:p>
        </w:tc>
        <w:tc>
          <w:tcPr>
            <w:tcW w:w="1365" w:type="dxa"/>
            <w:vAlign w:val="center"/>
          </w:tcPr>
          <w:p>
            <w:pPr>
              <w:spacing w:line="300" w:lineRule="exact"/>
              <w:jc w:val="center"/>
              <w:rPr>
                <w:bCs/>
                <w:color w:val="auto"/>
                <w:szCs w:val="21"/>
              </w:rPr>
            </w:pPr>
            <w:r>
              <w:rPr>
                <w:rFonts w:hint="eastAsia"/>
                <w:bCs/>
                <w:color w:val="auto"/>
                <w:szCs w:val="21"/>
              </w:rPr>
              <w:t>0.01-0.09</w:t>
            </w:r>
          </w:p>
        </w:tc>
        <w:tc>
          <w:tcPr>
            <w:tcW w:w="1393" w:type="dxa"/>
            <w:vAlign w:val="center"/>
          </w:tcPr>
          <w:p>
            <w:pPr>
              <w:spacing w:line="300" w:lineRule="exact"/>
              <w:jc w:val="center"/>
              <w:rPr>
                <w:bCs/>
                <w:color w:val="auto"/>
                <w:szCs w:val="21"/>
              </w:rPr>
            </w:pPr>
            <w:r>
              <w:rPr>
                <w:bCs/>
                <w:color w:val="auto"/>
                <w:szCs w:val="21"/>
              </w:rPr>
              <w:t>/</w:t>
            </w:r>
          </w:p>
        </w:tc>
        <w:tc>
          <w:tcPr>
            <w:tcW w:w="1534" w:type="dxa"/>
            <w:vAlign w:val="center"/>
          </w:tcPr>
          <w:p>
            <w:pPr>
              <w:spacing w:line="300" w:lineRule="exact"/>
              <w:jc w:val="center"/>
              <w:rPr>
                <w:bCs/>
                <w:color w:val="auto"/>
                <w:szCs w:val="21"/>
              </w:rPr>
            </w:pPr>
            <w:r>
              <w:rPr>
                <w:bCs/>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512" w:type="dxa"/>
            <w:vMerge w:val="restart"/>
            <w:vAlign w:val="center"/>
          </w:tcPr>
          <w:p>
            <w:pPr>
              <w:spacing w:line="300" w:lineRule="exact"/>
              <w:jc w:val="center"/>
              <w:rPr>
                <w:rFonts w:hint="eastAsia" w:eastAsia="宋体"/>
                <w:bCs/>
                <w:color w:val="auto"/>
                <w:szCs w:val="21"/>
                <w:lang w:eastAsia="zh-CN"/>
              </w:rPr>
            </w:pPr>
            <w:r>
              <w:rPr>
                <w:rFonts w:hint="eastAsia"/>
                <w:bCs/>
                <w:color w:val="auto"/>
                <w:szCs w:val="21"/>
                <w:lang w:eastAsia="zh-CN"/>
              </w:rPr>
              <w:t>连塘冲</w:t>
            </w:r>
          </w:p>
        </w:tc>
        <w:tc>
          <w:tcPr>
            <w:tcW w:w="1461" w:type="dxa"/>
            <w:vAlign w:val="center"/>
          </w:tcPr>
          <w:p>
            <w:pPr>
              <w:spacing w:line="300" w:lineRule="exact"/>
              <w:jc w:val="center"/>
              <w:rPr>
                <w:color w:val="auto"/>
                <w:szCs w:val="21"/>
              </w:rPr>
            </w:pPr>
            <w:r>
              <w:rPr>
                <w:bCs/>
                <w:color w:val="auto"/>
                <w:szCs w:val="21"/>
              </w:rPr>
              <w:t>非甲烷总烃</w:t>
            </w:r>
          </w:p>
        </w:tc>
        <w:tc>
          <w:tcPr>
            <w:tcW w:w="1688" w:type="dxa"/>
            <w:vAlign w:val="center"/>
          </w:tcPr>
          <w:p>
            <w:pPr>
              <w:spacing w:line="300" w:lineRule="exact"/>
              <w:jc w:val="center"/>
              <w:rPr>
                <w:bCs/>
                <w:color w:val="auto"/>
                <w:szCs w:val="21"/>
              </w:rPr>
            </w:pPr>
            <w:r>
              <w:rPr>
                <w:rFonts w:hint="eastAsia"/>
                <w:bCs/>
                <w:color w:val="auto"/>
                <w:szCs w:val="21"/>
              </w:rPr>
              <w:t>0.42-0.95</w:t>
            </w:r>
          </w:p>
        </w:tc>
        <w:tc>
          <w:tcPr>
            <w:tcW w:w="1365" w:type="dxa"/>
            <w:vAlign w:val="center"/>
          </w:tcPr>
          <w:p>
            <w:pPr>
              <w:spacing w:line="300" w:lineRule="exact"/>
              <w:jc w:val="center"/>
              <w:rPr>
                <w:bCs/>
                <w:color w:val="auto"/>
                <w:szCs w:val="21"/>
              </w:rPr>
            </w:pPr>
            <w:r>
              <w:rPr>
                <w:rFonts w:hint="eastAsia"/>
                <w:bCs/>
                <w:color w:val="auto"/>
                <w:szCs w:val="21"/>
              </w:rPr>
              <w:t>0.21-0.475</w:t>
            </w:r>
          </w:p>
        </w:tc>
        <w:tc>
          <w:tcPr>
            <w:tcW w:w="1393" w:type="dxa"/>
            <w:vAlign w:val="center"/>
          </w:tcPr>
          <w:p>
            <w:pPr>
              <w:spacing w:line="300" w:lineRule="exact"/>
              <w:jc w:val="center"/>
              <w:rPr>
                <w:bCs/>
                <w:color w:val="auto"/>
                <w:szCs w:val="21"/>
              </w:rPr>
            </w:pPr>
            <w:r>
              <w:rPr>
                <w:bCs/>
                <w:color w:val="auto"/>
                <w:szCs w:val="21"/>
              </w:rPr>
              <w:t>0</w:t>
            </w:r>
          </w:p>
        </w:tc>
        <w:tc>
          <w:tcPr>
            <w:tcW w:w="1534" w:type="dxa"/>
            <w:vAlign w:val="center"/>
          </w:tcPr>
          <w:p>
            <w:pPr>
              <w:spacing w:line="300" w:lineRule="exact"/>
              <w:jc w:val="center"/>
              <w:rPr>
                <w:bCs/>
                <w:color w:val="auto"/>
                <w:szCs w:val="21"/>
              </w:rPr>
            </w:pPr>
            <w:r>
              <w:rPr>
                <w:bCs/>
                <w:color w:val="auto"/>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512" w:type="dxa"/>
            <w:vMerge w:val="continue"/>
            <w:vAlign w:val="center"/>
          </w:tcPr>
          <w:p>
            <w:pPr>
              <w:spacing w:line="300" w:lineRule="exact"/>
              <w:jc w:val="center"/>
              <w:rPr>
                <w:bCs/>
                <w:color w:val="auto"/>
                <w:szCs w:val="21"/>
              </w:rPr>
            </w:pPr>
          </w:p>
        </w:tc>
        <w:tc>
          <w:tcPr>
            <w:tcW w:w="1461" w:type="dxa"/>
            <w:vAlign w:val="center"/>
          </w:tcPr>
          <w:p>
            <w:pPr>
              <w:spacing w:line="300" w:lineRule="exact"/>
              <w:jc w:val="center"/>
              <w:rPr>
                <w:color w:val="auto"/>
                <w:szCs w:val="21"/>
              </w:rPr>
            </w:pPr>
            <w:r>
              <w:rPr>
                <w:color w:val="auto"/>
                <w:szCs w:val="21"/>
              </w:rPr>
              <w:t>硫化氢</w:t>
            </w:r>
          </w:p>
        </w:tc>
        <w:tc>
          <w:tcPr>
            <w:tcW w:w="1688" w:type="dxa"/>
            <w:vAlign w:val="center"/>
          </w:tcPr>
          <w:p>
            <w:pPr>
              <w:spacing w:line="300" w:lineRule="exact"/>
              <w:jc w:val="center"/>
              <w:rPr>
                <w:bCs/>
                <w:color w:val="auto"/>
                <w:szCs w:val="21"/>
              </w:rPr>
            </w:pPr>
            <w:r>
              <w:rPr>
                <w:bCs/>
                <w:color w:val="auto"/>
                <w:szCs w:val="21"/>
              </w:rPr>
              <w:t>0.</w:t>
            </w:r>
            <w:r>
              <w:rPr>
                <w:rFonts w:hint="eastAsia"/>
                <w:bCs/>
                <w:color w:val="auto"/>
                <w:szCs w:val="21"/>
              </w:rPr>
              <w:t>02-0.16</w:t>
            </w:r>
          </w:p>
        </w:tc>
        <w:tc>
          <w:tcPr>
            <w:tcW w:w="1365" w:type="dxa"/>
            <w:vAlign w:val="center"/>
          </w:tcPr>
          <w:p>
            <w:pPr>
              <w:spacing w:line="300" w:lineRule="exact"/>
              <w:jc w:val="center"/>
              <w:rPr>
                <w:bCs/>
                <w:color w:val="auto"/>
                <w:szCs w:val="21"/>
              </w:rPr>
            </w:pPr>
            <w:r>
              <w:rPr>
                <w:rFonts w:hint="eastAsia"/>
                <w:bCs/>
                <w:color w:val="auto"/>
                <w:szCs w:val="21"/>
              </w:rPr>
              <w:t>0.01-0.11</w:t>
            </w:r>
          </w:p>
        </w:tc>
        <w:tc>
          <w:tcPr>
            <w:tcW w:w="1393" w:type="dxa"/>
            <w:vAlign w:val="center"/>
          </w:tcPr>
          <w:p>
            <w:pPr>
              <w:spacing w:line="300" w:lineRule="exact"/>
              <w:jc w:val="center"/>
              <w:rPr>
                <w:bCs/>
                <w:color w:val="auto"/>
                <w:szCs w:val="21"/>
              </w:rPr>
            </w:pPr>
            <w:r>
              <w:rPr>
                <w:bCs/>
                <w:color w:val="auto"/>
                <w:szCs w:val="21"/>
              </w:rPr>
              <w:t>/</w:t>
            </w:r>
          </w:p>
        </w:tc>
        <w:tc>
          <w:tcPr>
            <w:tcW w:w="1534" w:type="dxa"/>
            <w:vAlign w:val="center"/>
          </w:tcPr>
          <w:p>
            <w:pPr>
              <w:spacing w:line="300" w:lineRule="exact"/>
              <w:jc w:val="center"/>
              <w:rPr>
                <w:bCs/>
                <w:color w:val="auto"/>
                <w:szCs w:val="21"/>
              </w:rPr>
            </w:pPr>
            <w:r>
              <w:rPr>
                <w:bCs/>
                <w:color w:val="auto"/>
                <w:szCs w:val="21"/>
              </w:rPr>
              <w:t>/</w:t>
            </w:r>
          </w:p>
        </w:tc>
      </w:tr>
    </w:tbl>
    <w:p>
      <w:pPr>
        <w:spacing w:line="360" w:lineRule="auto"/>
        <w:ind w:firstLine="588" w:firstLineChars="245"/>
        <w:rPr>
          <w:color w:val="auto"/>
          <w:sz w:val="24"/>
        </w:rPr>
      </w:pPr>
      <w:r>
        <w:rPr>
          <w:color w:val="auto"/>
          <w:sz w:val="24"/>
        </w:rPr>
        <w:t>由上表可知，各监测点非甲烷总烃满足《大气污染物综合排放标准详解》中相关标准要求。硫化氢满足《环境影响评价技术导则 大气环境》（HJ2.2-2018）附录D</w:t>
      </w:r>
      <w:r>
        <w:rPr>
          <w:rFonts w:hint="eastAsia"/>
          <w:color w:val="auto"/>
          <w:sz w:val="24"/>
        </w:rPr>
        <w:t>标准要求，</w:t>
      </w:r>
      <w:r>
        <w:rPr>
          <w:color w:val="auto"/>
          <w:sz w:val="24"/>
        </w:rPr>
        <w:t>说明项目区域大气环境质量现状较好。</w:t>
      </w:r>
    </w:p>
    <w:p>
      <w:pPr>
        <w:pStyle w:val="5"/>
        <w:spacing w:before="0" w:after="0" w:line="520" w:lineRule="exact"/>
        <w:rPr>
          <w:color w:val="auto"/>
          <w:sz w:val="24"/>
          <w:szCs w:val="24"/>
        </w:rPr>
      </w:pPr>
      <w:bookmarkStart w:id="230" w:name="_Toc367091869"/>
      <w:bookmarkStart w:id="231" w:name="_Toc333177992"/>
      <w:bookmarkStart w:id="232" w:name="_Toc366874110"/>
      <w:bookmarkStart w:id="233" w:name="_Toc333178555"/>
      <w:bookmarkStart w:id="234" w:name="_Toc335291757"/>
      <w:bookmarkStart w:id="235" w:name="_Toc388691352"/>
      <w:bookmarkStart w:id="236" w:name="_Toc333388597"/>
      <w:bookmarkStart w:id="237" w:name="_Toc287813392"/>
      <w:bookmarkStart w:id="238" w:name="_Toc390247938"/>
      <w:bookmarkStart w:id="239" w:name="_Toc388556577"/>
      <w:r>
        <w:rPr>
          <w:rFonts w:hint="eastAsia"/>
          <w:color w:val="auto"/>
          <w:sz w:val="24"/>
          <w:szCs w:val="24"/>
        </w:rPr>
        <w:t>5</w:t>
      </w:r>
      <w:r>
        <w:rPr>
          <w:color w:val="auto"/>
          <w:sz w:val="24"/>
          <w:szCs w:val="24"/>
        </w:rPr>
        <w:t>.2.3声环境质量现状</w:t>
      </w:r>
      <w:bookmarkEnd w:id="229"/>
      <w:bookmarkEnd w:id="230"/>
      <w:bookmarkEnd w:id="231"/>
      <w:bookmarkEnd w:id="232"/>
      <w:bookmarkEnd w:id="233"/>
      <w:bookmarkEnd w:id="234"/>
      <w:bookmarkEnd w:id="235"/>
      <w:bookmarkEnd w:id="236"/>
      <w:bookmarkEnd w:id="237"/>
      <w:bookmarkEnd w:id="238"/>
      <w:bookmarkEnd w:id="239"/>
    </w:p>
    <w:p>
      <w:pPr>
        <w:widowControl/>
        <w:spacing w:line="520" w:lineRule="exact"/>
        <w:ind w:firstLine="480" w:firstLineChars="200"/>
        <w:outlineLvl w:val="3"/>
        <w:rPr>
          <w:bCs/>
          <w:color w:val="auto"/>
          <w:sz w:val="24"/>
        </w:rPr>
      </w:pPr>
      <w:bookmarkStart w:id="240" w:name="_Toc206896737"/>
      <w:bookmarkStart w:id="241" w:name="_Toc333177993"/>
      <w:r>
        <w:rPr>
          <w:bCs/>
          <w:color w:val="auto"/>
          <w:sz w:val="24"/>
        </w:rPr>
        <w:t>（1）监测布点</w:t>
      </w:r>
      <w:bookmarkEnd w:id="240"/>
      <w:bookmarkEnd w:id="241"/>
    </w:p>
    <w:p>
      <w:pPr>
        <w:spacing w:line="520" w:lineRule="exact"/>
        <w:ind w:firstLine="480" w:firstLineChars="200"/>
        <w:rPr>
          <w:color w:val="auto"/>
        </w:rPr>
      </w:pPr>
      <w:r>
        <w:rPr>
          <w:color w:val="auto"/>
          <w:sz w:val="24"/>
        </w:rPr>
        <w:t>本次声环境质量现状监测共设置4个监测点位，本项目噪声现状监测布点如下表所示：</w:t>
      </w:r>
    </w:p>
    <w:p>
      <w:pPr>
        <w:adjustRightInd w:val="0"/>
        <w:snapToGrid w:val="0"/>
        <w:spacing w:line="520" w:lineRule="exact"/>
        <w:jc w:val="center"/>
        <w:rPr>
          <w:b/>
          <w:color w:val="auto"/>
          <w:sz w:val="24"/>
        </w:rPr>
      </w:pPr>
      <w:r>
        <w:rPr>
          <w:rFonts w:hint="eastAsia"/>
          <w:b/>
          <w:color w:val="auto"/>
          <w:sz w:val="24"/>
        </w:rPr>
        <w:t>表5</w:t>
      </w:r>
      <w:r>
        <w:rPr>
          <w:b/>
          <w:color w:val="auto"/>
          <w:sz w:val="24"/>
        </w:rPr>
        <w:t>-12  噪声现状监测布点</w:t>
      </w:r>
    </w:p>
    <w:tbl>
      <w:tblPr>
        <w:tblStyle w:val="5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15"/>
        <w:gridCol w:w="3821"/>
        <w:gridCol w:w="28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915" w:type="dxa"/>
            <w:vAlign w:val="center"/>
          </w:tcPr>
          <w:p>
            <w:pPr>
              <w:jc w:val="center"/>
              <w:rPr>
                <w:color w:val="auto"/>
                <w:szCs w:val="21"/>
              </w:rPr>
            </w:pPr>
            <w:r>
              <w:rPr>
                <w:color w:val="auto"/>
                <w:szCs w:val="21"/>
              </w:rPr>
              <w:t>监测点</w:t>
            </w:r>
          </w:p>
        </w:tc>
        <w:tc>
          <w:tcPr>
            <w:tcW w:w="3821" w:type="dxa"/>
            <w:vAlign w:val="center"/>
          </w:tcPr>
          <w:p>
            <w:pPr>
              <w:jc w:val="center"/>
              <w:rPr>
                <w:color w:val="auto"/>
                <w:szCs w:val="21"/>
              </w:rPr>
            </w:pPr>
            <w:r>
              <w:rPr>
                <w:color w:val="auto"/>
                <w:szCs w:val="21"/>
              </w:rPr>
              <w:t>名称</w:t>
            </w:r>
          </w:p>
        </w:tc>
        <w:tc>
          <w:tcPr>
            <w:tcW w:w="2841" w:type="dxa"/>
            <w:vAlign w:val="center"/>
          </w:tcPr>
          <w:p>
            <w:pPr>
              <w:jc w:val="center"/>
              <w:rPr>
                <w:color w:val="auto"/>
                <w:szCs w:val="21"/>
              </w:rPr>
            </w:pPr>
            <w:r>
              <w:rPr>
                <w:color w:val="auto"/>
                <w:szCs w:val="21"/>
              </w:rPr>
              <w:t>监测点位置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915" w:type="dxa"/>
            <w:vAlign w:val="center"/>
          </w:tcPr>
          <w:p>
            <w:pPr>
              <w:jc w:val="center"/>
              <w:rPr>
                <w:color w:val="auto"/>
                <w:szCs w:val="21"/>
              </w:rPr>
            </w:pPr>
            <w:r>
              <w:rPr>
                <w:color w:val="auto"/>
                <w:szCs w:val="21"/>
              </w:rPr>
              <w:t>1#</w:t>
            </w:r>
          </w:p>
        </w:tc>
        <w:tc>
          <w:tcPr>
            <w:tcW w:w="3821" w:type="dxa"/>
            <w:vAlign w:val="center"/>
          </w:tcPr>
          <w:p>
            <w:pPr>
              <w:ind w:left="-111" w:leftChars="-53" w:right="-105" w:rightChars="-50"/>
              <w:jc w:val="center"/>
              <w:rPr>
                <w:color w:val="auto"/>
                <w:szCs w:val="21"/>
              </w:rPr>
            </w:pPr>
            <w:r>
              <w:rPr>
                <w:color w:val="auto"/>
                <w:szCs w:val="21"/>
              </w:rPr>
              <w:t>N1项目地东侧</w:t>
            </w:r>
          </w:p>
        </w:tc>
        <w:tc>
          <w:tcPr>
            <w:tcW w:w="2841" w:type="dxa"/>
            <w:vAlign w:val="center"/>
          </w:tcPr>
          <w:p>
            <w:pPr>
              <w:jc w:val="center"/>
              <w:rPr>
                <w:color w:val="auto"/>
                <w:szCs w:val="21"/>
              </w:rPr>
            </w:pPr>
            <w:r>
              <w:rPr>
                <w:color w:val="auto"/>
                <w:szCs w:val="21"/>
              </w:rPr>
              <w:t>边界外1m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915" w:type="dxa"/>
            <w:vAlign w:val="center"/>
          </w:tcPr>
          <w:p>
            <w:pPr>
              <w:jc w:val="center"/>
              <w:rPr>
                <w:color w:val="auto"/>
                <w:szCs w:val="21"/>
              </w:rPr>
            </w:pPr>
            <w:r>
              <w:rPr>
                <w:color w:val="auto"/>
                <w:szCs w:val="21"/>
              </w:rPr>
              <w:t>2#</w:t>
            </w:r>
          </w:p>
        </w:tc>
        <w:tc>
          <w:tcPr>
            <w:tcW w:w="3821" w:type="dxa"/>
            <w:vAlign w:val="center"/>
          </w:tcPr>
          <w:p>
            <w:pPr>
              <w:ind w:left="-111" w:leftChars="-53" w:right="-105" w:rightChars="-50"/>
              <w:jc w:val="center"/>
              <w:rPr>
                <w:color w:val="auto"/>
                <w:szCs w:val="21"/>
              </w:rPr>
            </w:pPr>
            <w:r>
              <w:rPr>
                <w:color w:val="auto"/>
                <w:szCs w:val="21"/>
              </w:rPr>
              <w:t>N2项目地南侧</w:t>
            </w:r>
          </w:p>
        </w:tc>
        <w:tc>
          <w:tcPr>
            <w:tcW w:w="2841" w:type="dxa"/>
            <w:vAlign w:val="center"/>
          </w:tcPr>
          <w:p>
            <w:pPr>
              <w:jc w:val="center"/>
              <w:rPr>
                <w:color w:val="auto"/>
                <w:szCs w:val="21"/>
              </w:rPr>
            </w:pPr>
            <w:r>
              <w:rPr>
                <w:color w:val="auto"/>
                <w:szCs w:val="21"/>
              </w:rPr>
              <w:t>边界外1m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915" w:type="dxa"/>
            <w:vAlign w:val="center"/>
          </w:tcPr>
          <w:p>
            <w:pPr>
              <w:jc w:val="center"/>
              <w:rPr>
                <w:color w:val="auto"/>
                <w:szCs w:val="21"/>
              </w:rPr>
            </w:pPr>
            <w:r>
              <w:rPr>
                <w:color w:val="auto"/>
                <w:szCs w:val="21"/>
              </w:rPr>
              <w:t>3#</w:t>
            </w:r>
          </w:p>
        </w:tc>
        <w:tc>
          <w:tcPr>
            <w:tcW w:w="3821" w:type="dxa"/>
            <w:vAlign w:val="center"/>
          </w:tcPr>
          <w:p>
            <w:pPr>
              <w:ind w:left="-111" w:leftChars="-53" w:right="-105" w:rightChars="-50"/>
              <w:jc w:val="center"/>
              <w:rPr>
                <w:color w:val="auto"/>
                <w:szCs w:val="21"/>
              </w:rPr>
            </w:pPr>
            <w:r>
              <w:rPr>
                <w:color w:val="auto"/>
                <w:szCs w:val="21"/>
              </w:rPr>
              <w:t>N3项目地西侧</w:t>
            </w:r>
          </w:p>
        </w:tc>
        <w:tc>
          <w:tcPr>
            <w:tcW w:w="2841" w:type="dxa"/>
            <w:vAlign w:val="center"/>
          </w:tcPr>
          <w:p>
            <w:pPr>
              <w:jc w:val="center"/>
              <w:rPr>
                <w:color w:val="auto"/>
                <w:szCs w:val="21"/>
              </w:rPr>
            </w:pPr>
            <w:r>
              <w:rPr>
                <w:color w:val="auto"/>
                <w:szCs w:val="21"/>
              </w:rPr>
              <w:t>边界外1m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915" w:type="dxa"/>
            <w:vAlign w:val="center"/>
          </w:tcPr>
          <w:p>
            <w:pPr>
              <w:jc w:val="center"/>
              <w:rPr>
                <w:color w:val="auto"/>
                <w:szCs w:val="21"/>
              </w:rPr>
            </w:pPr>
            <w:r>
              <w:rPr>
                <w:color w:val="auto"/>
                <w:szCs w:val="21"/>
              </w:rPr>
              <w:t>4#</w:t>
            </w:r>
          </w:p>
        </w:tc>
        <w:tc>
          <w:tcPr>
            <w:tcW w:w="3821" w:type="dxa"/>
            <w:vAlign w:val="center"/>
          </w:tcPr>
          <w:p>
            <w:pPr>
              <w:ind w:left="-111" w:leftChars="-53" w:right="-105" w:rightChars="-50"/>
              <w:jc w:val="center"/>
              <w:rPr>
                <w:color w:val="auto"/>
                <w:szCs w:val="21"/>
              </w:rPr>
            </w:pPr>
            <w:r>
              <w:rPr>
                <w:color w:val="auto"/>
                <w:szCs w:val="21"/>
              </w:rPr>
              <w:t>N4项目地北侧</w:t>
            </w:r>
          </w:p>
        </w:tc>
        <w:tc>
          <w:tcPr>
            <w:tcW w:w="2841" w:type="dxa"/>
            <w:vAlign w:val="center"/>
          </w:tcPr>
          <w:p>
            <w:pPr>
              <w:jc w:val="center"/>
              <w:rPr>
                <w:color w:val="auto"/>
                <w:szCs w:val="21"/>
              </w:rPr>
            </w:pPr>
            <w:r>
              <w:rPr>
                <w:color w:val="auto"/>
                <w:szCs w:val="21"/>
              </w:rPr>
              <w:t>边界外1m</w:t>
            </w:r>
          </w:p>
        </w:tc>
      </w:tr>
      <w:bookmarkEnd w:id="225"/>
    </w:tbl>
    <w:p>
      <w:pPr>
        <w:widowControl/>
        <w:spacing w:line="520" w:lineRule="exact"/>
        <w:ind w:firstLine="480" w:firstLineChars="200"/>
        <w:outlineLvl w:val="3"/>
        <w:rPr>
          <w:bCs/>
          <w:color w:val="auto"/>
        </w:rPr>
      </w:pPr>
      <w:r>
        <w:rPr>
          <w:bCs/>
          <w:color w:val="auto"/>
          <w:sz w:val="24"/>
        </w:rPr>
        <w:t>（2）监测项目</w:t>
      </w:r>
    </w:p>
    <w:p>
      <w:pPr>
        <w:spacing w:line="520" w:lineRule="exact"/>
        <w:ind w:firstLine="480" w:firstLineChars="200"/>
        <w:rPr>
          <w:b/>
          <w:color w:val="auto"/>
          <w:szCs w:val="21"/>
        </w:rPr>
      </w:pPr>
      <w:r>
        <w:rPr>
          <w:color w:val="auto"/>
          <w:sz w:val="24"/>
        </w:rPr>
        <w:t>等效连续A声级。</w:t>
      </w:r>
    </w:p>
    <w:p>
      <w:pPr>
        <w:widowControl/>
        <w:spacing w:line="520" w:lineRule="exact"/>
        <w:ind w:firstLine="480" w:firstLineChars="200"/>
        <w:outlineLvl w:val="3"/>
        <w:rPr>
          <w:bCs/>
          <w:color w:val="auto"/>
          <w:sz w:val="24"/>
        </w:rPr>
      </w:pPr>
      <w:bookmarkStart w:id="242" w:name="_Toc333177994"/>
      <w:bookmarkStart w:id="243" w:name="_Toc206896738"/>
      <w:r>
        <w:rPr>
          <w:bCs/>
          <w:color w:val="auto"/>
          <w:sz w:val="24"/>
        </w:rPr>
        <w:t>（3）监测时间和频</w:t>
      </w:r>
      <w:bookmarkEnd w:id="242"/>
      <w:bookmarkEnd w:id="243"/>
      <w:r>
        <w:rPr>
          <w:bCs/>
          <w:color w:val="auto"/>
          <w:sz w:val="24"/>
        </w:rPr>
        <w:t>次</w:t>
      </w:r>
    </w:p>
    <w:p>
      <w:pPr>
        <w:spacing w:line="520" w:lineRule="exact"/>
        <w:ind w:firstLine="480" w:firstLineChars="200"/>
        <w:rPr>
          <w:color w:val="auto"/>
        </w:rPr>
      </w:pPr>
      <w:r>
        <w:rPr>
          <w:color w:val="auto"/>
          <w:sz w:val="24"/>
        </w:rPr>
        <w:t>监测时间：</w:t>
      </w:r>
      <w:r>
        <w:rPr>
          <w:rFonts w:hint="eastAsia"/>
          <w:color w:val="auto"/>
          <w:sz w:val="24"/>
        </w:rPr>
        <w:t>2020.</w:t>
      </w:r>
      <w:r>
        <w:rPr>
          <w:rFonts w:hint="eastAsia"/>
          <w:color w:val="auto"/>
          <w:sz w:val="24"/>
          <w:lang w:val="en-US" w:eastAsia="zh-CN"/>
        </w:rPr>
        <w:t>8</w:t>
      </w:r>
      <w:r>
        <w:rPr>
          <w:rFonts w:hint="eastAsia"/>
          <w:color w:val="auto"/>
          <w:sz w:val="24"/>
        </w:rPr>
        <w:t>.14--2020.</w:t>
      </w:r>
      <w:r>
        <w:rPr>
          <w:rFonts w:hint="eastAsia"/>
          <w:color w:val="auto"/>
          <w:sz w:val="24"/>
          <w:lang w:val="en-US" w:eastAsia="zh-CN"/>
        </w:rPr>
        <w:t>8</w:t>
      </w:r>
      <w:r>
        <w:rPr>
          <w:rFonts w:hint="eastAsia"/>
          <w:color w:val="auto"/>
          <w:sz w:val="24"/>
        </w:rPr>
        <w:t>.15</w:t>
      </w:r>
    </w:p>
    <w:p>
      <w:pPr>
        <w:tabs>
          <w:tab w:val="left" w:pos="5910"/>
        </w:tabs>
        <w:spacing w:line="480" w:lineRule="exact"/>
        <w:ind w:firstLine="480" w:firstLineChars="200"/>
        <w:rPr>
          <w:color w:val="auto"/>
          <w:sz w:val="24"/>
        </w:rPr>
      </w:pPr>
      <w:r>
        <w:rPr>
          <w:color w:val="auto"/>
          <w:sz w:val="24"/>
        </w:rPr>
        <w:t>监测频次：昼间、夜间各监测一次。</w:t>
      </w:r>
    </w:p>
    <w:p>
      <w:pPr>
        <w:widowControl/>
        <w:spacing w:line="520" w:lineRule="exact"/>
        <w:ind w:firstLine="480" w:firstLineChars="200"/>
        <w:outlineLvl w:val="3"/>
        <w:rPr>
          <w:bCs/>
          <w:color w:val="auto"/>
          <w:sz w:val="24"/>
        </w:rPr>
      </w:pPr>
      <w:bookmarkStart w:id="244" w:name="_Toc333177995"/>
      <w:bookmarkStart w:id="245" w:name="_Toc206896739"/>
      <w:r>
        <w:rPr>
          <w:bCs/>
          <w:color w:val="auto"/>
          <w:sz w:val="24"/>
        </w:rPr>
        <w:t>（4）监测方法</w:t>
      </w:r>
      <w:bookmarkEnd w:id="244"/>
      <w:bookmarkEnd w:id="245"/>
    </w:p>
    <w:p>
      <w:pPr>
        <w:spacing w:line="480" w:lineRule="exact"/>
        <w:ind w:firstLine="480" w:firstLineChars="200"/>
        <w:rPr>
          <w:color w:val="auto"/>
          <w:sz w:val="24"/>
        </w:rPr>
      </w:pPr>
      <w:r>
        <w:rPr>
          <w:color w:val="auto"/>
          <w:sz w:val="24"/>
        </w:rPr>
        <w:t>监测按</w:t>
      </w:r>
      <w:r>
        <w:rPr>
          <w:color w:val="auto"/>
          <w:kern w:val="0"/>
          <w:sz w:val="24"/>
        </w:rPr>
        <w:t>《声环境质量标准》（GB3096-2008）</w:t>
      </w:r>
      <w:r>
        <w:rPr>
          <w:color w:val="auto"/>
          <w:sz w:val="24"/>
        </w:rPr>
        <w:t>要求进行，噪声监测使用HS6288E型噪声统计分析仪。</w:t>
      </w:r>
    </w:p>
    <w:p>
      <w:pPr>
        <w:widowControl/>
        <w:spacing w:line="520" w:lineRule="exact"/>
        <w:ind w:firstLine="480" w:firstLineChars="200"/>
        <w:outlineLvl w:val="3"/>
        <w:rPr>
          <w:b/>
          <w:bCs/>
          <w:color w:val="auto"/>
          <w:sz w:val="24"/>
        </w:rPr>
      </w:pPr>
      <w:bookmarkStart w:id="246" w:name="_Toc333177996"/>
      <w:bookmarkStart w:id="247" w:name="_Toc206896740"/>
      <w:r>
        <w:rPr>
          <w:bCs/>
          <w:color w:val="auto"/>
          <w:sz w:val="24"/>
        </w:rPr>
        <w:t>（5）监测结果</w:t>
      </w:r>
      <w:bookmarkEnd w:id="246"/>
      <w:bookmarkEnd w:id="247"/>
    </w:p>
    <w:p>
      <w:pPr>
        <w:spacing w:line="520" w:lineRule="exact"/>
        <w:jc w:val="center"/>
        <w:rPr>
          <w:b/>
          <w:bCs/>
          <w:color w:val="auto"/>
          <w:sz w:val="24"/>
        </w:rPr>
      </w:pPr>
      <w:r>
        <w:rPr>
          <w:rFonts w:hint="eastAsia"/>
          <w:b/>
          <w:bCs/>
          <w:color w:val="auto"/>
          <w:sz w:val="24"/>
        </w:rPr>
        <w:t>表5</w:t>
      </w:r>
      <w:r>
        <w:rPr>
          <w:b/>
          <w:bCs/>
          <w:color w:val="auto"/>
          <w:sz w:val="24"/>
        </w:rPr>
        <w:t>-13  噪声监测结果   单位：dB(A)</w:t>
      </w:r>
      <w:bookmarkStart w:id="248" w:name="_Toc206896741"/>
    </w:p>
    <w:tbl>
      <w:tblPr>
        <w:tblStyle w:val="53"/>
        <w:tblpPr w:leftFromText="180" w:rightFromText="180" w:vertAnchor="text" w:horzAnchor="page" w:tblpX="1357" w:tblpY="304"/>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251"/>
        <w:gridCol w:w="1411"/>
        <w:gridCol w:w="1363"/>
        <w:gridCol w:w="1513"/>
        <w:gridCol w:w="14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 w:hRule="atLeast"/>
        </w:trPr>
        <w:tc>
          <w:tcPr>
            <w:tcW w:w="3251" w:type="dxa"/>
            <w:vMerge w:val="restart"/>
            <w:vAlign w:val="center"/>
          </w:tcPr>
          <w:p>
            <w:pPr>
              <w:spacing w:line="360" w:lineRule="exact"/>
              <w:jc w:val="center"/>
              <w:rPr>
                <w:color w:val="auto"/>
                <w:szCs w:val="21"/>
              </w:rPr>
            </w:pPr>
            <w:bookmarkStart w:id="249" w:name="_Toc333177997"/>
            <w:r>
              <w:rPr>
                <w:color w:val="auto"/>
                <w:szCs w:val="21"/>
              </w:rPr>
              <w:t>检 测</w:t>
            </w:r>
          </w:p>
          <w:p>
            <w:pPr>
              <w:spacing w:line="360" w:lineRule="exact"/>
              <w:jc w:val="center"/>
              <w:rPr>
                <w:color w:val="auto"/>
                <w:szCs w:val="21"/>
              </w:rPr>
            </w:pPr>
          </w:p>
          <w:p>
            <w:pPr>
              <w:spacing w:line="360" w:lineRule="exact"/>
              <w:jc w:val="center"/>
              <w:rPr>
                <w:color w:val="auto"/>
                <w:szCs w:val="21"/>
              </w:rPr>
            </w:pPr>
            <w:r>
              <w:rPr>
                <w:color w:val="auto"/>
                <w:szCs w:val="21"/>
              </w:rPr>
              <w:t>点 位</w:t>
            </w:r>
          </w:p>
        </w:tc>
        <w:tc>
          <w:tcPr>
            <w:tcW w:w="5702" w:type="dxa"/>
            <w:gridSpan w:val="4"/>
            <w:vAlign w:val="center"/>
          </w:tcPr>
          <w:p>
            <w:pPr>
              <w:spacing w:line="360" w:lineRule="exact"/>
              <w:jc w:val="center"/>
              <w:rPr>
                <w:color w:val="auto"/>
                <w:szCs w:val="21"/>
              </w:rPr>
            </w:pPr>
            <w:r>
              <w:rPr>
                <w:color w:val="auto"/>
                <w:szCs w:val="21"/>
              </w:rPr>
              <w:t>测量值（连续等效声级）（单位：dB(A)）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 w:hRule="atLeast"/>
        </w:trPr>
        <w:tc>
          <w:tcPr>
            <w:tcW w:w="3251" w:type="dxa"/>
            <w:vMerge w:val="continue"/>
            <w:vAlign w:val="center"/>
          </w:tcPr>
          <w:p>
            <w:pPr>
              <w:spacing w:line="360" w:lineRule="exact"/>
              <w:jc w:val="center"/>
              <w:rPr>
                <w:color w:val="auto"/>
                <w:szCs w:val="21"/>
              </w:rPr>
            </w:pPr>
          </w:p>
        </w:tc>
        <w:tc>
          <w:tcPr>
            <w:tcW w:w="2774" w:type="dxa"/>
            <w:gridSpan w:val="2"/>
            <w:vAlign w:val="center"/>
          </w:tcPr>
          <w:p>
            <w:pPr>
              <w:spacing w:line="360" w:lineRule="exact"/>
              <w:jc w:val="center"/>
              <w:rPr>
                <w:color w:val="auto"/>
                <w:szCs w:val="21"/>
              </w:rPr>
            </w:pPr>
            <w:r>
              <w:rPr>
                <w:color w:val="auto"/>
                <w:szCs w:val="21"/>
                <w:lang w:eastAsia="en-US"/>
              </w:rPr>
              <w:t>2020.04.</w:t>
            </w:r>
            <w:r>
              <w:rPr>
                <w:color w:val="auto"/>
                <w:szCs w:val="21"/>
                <w:lang w:val="zh-TW" w:eastAsia="zh-TW"/>
              </w:rPr>
              <w:t>14</w:t>
            </w:r>
          </w:p>
        </w:tc>
        <w:tc>
          <w:tcPr>
            <w:tcW w:w="2928" w:type="dxa"/>
            <w:gridSpan w:val="2"/>
            <w:vAlign w:val="center"/>
          </w:tcPr>
          <w:p>
            <w:pPr>
              <w:spacing w:line="360" w:lineRule="exact"/>
              <w:jc w:val="center"/>
              <w:rPr>
                <w:color w:val="auto"/>
                <w:szCs w:val="21"/>
              </w:rPr>
            </w:pPr>
            <w:r>
              <w:rPr>
                <w:color w:val="auto"/>
                <w:szCs w:val="21"/>
                <w:lang w:eastAsia="en-US"/>
              </w:rPr>
              <w:t>2020.04.</w:t>
            </w:r>
            <w:r>
              <w:rPr>
                <w:color w:val="auto"/>
                <w:szCs w:val="21"/>
                <w:lang w:val="zh-TW" w:eastAsia="zh-TW"/>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 w:hRule="atLeast"/>
        </w:trPr>
        <w:tc>
          <w:tcPr>
            <w:tcW w:w="3251" w:type="dxa"/>
            <w:vMerge w:val="continue"/>
            <w:vAlign w:val="center"/>
          </w:tcPr>
          <w:p>
            <w:pPr>
              <w:spacing w:line="360" w:lineRule="exact"/>
              <w:jc w:val="center"/>
              <w:rPr>
                <w:color w:val="auto"/>
                <w:szCs w:val="21"/>
              </w:rPr>
            </w:pPr>
          </w:p>
        </w:tc>
        <w:tc>
          <w:tcPr>
            <w:tcW w:w="1411" w:type="dxa"/>
            <w:vAlign w:val="center"/>
          </w:tcPr>
          <w:p>
            <w:pPr>
              <w:spacing w:line="360" w:lineRule="exact"/>
              <w:jc w:val="center"/>
              <w:rPr>
                <w:color w:val="auto"/>
                <w:szCs w:val="21"/>
              </w:rPr>
            </w:pPr>
            <w:r>
              <w:rPr>
                <w:color w:val="auto"/>
                <w:szCs w:val="21"/>
                <w:lang w:val="zh-TW" w:eastAsia="zh-TW"/>
              </w:rPr>
              <w:t>昼</w:t>
            </w:r>
          </w:p>
        </w:tc>
        <w:tc>
          <w:tcPr>
            <w:tcW w:w="1363" w:type="dxa"/>
            <w:vAlign w:val="center"/>
          </w:tcPr>
          <w:p>
            <w:pPr>
              <w:spacing w:line="360" w:lineRule="exact"/>
              <w:jc w:val="center"/>
              <w:rPr>
                <w:color w:val="auto"/>
                <w:szCs w:val="21"/>
              </w:rPr>
            </w:pPr>
            <w:r>
              <w:rPr>
                <w:color w:val="auto"/>
                <w:szCs w:val="21"/>
                <w:lang w:val="zh-TW" w:eastAsia="zh-TW"/>
              </w:rPr>
              <w:t>夜</w:t>
            </w:r>
          </w:p>
        </w:tc>
        <w:tc>
          <w:tcPr>
            <w:tcW w:w="1513" w:type="dxa"/>
            <w:vAlign w:val="center"/>
          </w:tcPr>
          <w:p>
            <w:pPr>
              <w:spacing w:line="360" w:lineRule="exact"/>
              <w:jc w:val="center"/>
              <w:rPr>
                <w:color w:val="auto"/>
                <w:szCs w:val="21"/>
              </w:rPr>
            </w:pPr>
            <w:r>
              <w:rPr>
                <w:color w:val="auto"/>
                <w:szCs w:val="21"/>
                <w:lang w:val="zh-TW" w:eastAsia="zh-TW"/>
              </w:rPr>
              <w:t>昼</w:t>
            </w:r>
          </w:p>
        </w:tc>
        <w:tc>
          <w:tcPr>
            <w:tcW w:w="1415" w:type="dxa"/>
            <w:vAlign w:val="center"/>
          </w:tcPr>
          <w:p>
            <w:pPr>
              <w:spacing w:line="360" w:lineRule="exact"/>
              <w:jc w:val="center"/>
              <w:rPr>
                <w:color w:val="auto"/>
                <w:szCs w:val="21"/>
              </w:rPr>
            </w:pPr>
            <w:r>
              <w:rPr>
                <w:color w:val="auto"/>
                <w:szCs w:val="21"/>
                <w:lang w:val="zh-TW" w:eastAsia="zh-TW"/>
              </w:rPr>
              <w:t>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 w:hRule="atLeast"/>
        </w:trPr>
        <w:tc>
          <w:tcPr>
            <w:tcW w:w="3251" w:type="dxa"/>
            <w:vAlign w:val="center"/>
          </w:tcPr>
          <w:p>
            <w:pPr>
              <w:spacing w:line="360" w:lineRule="exact"/>
              <w:jc w:val="center"/>
              <w:rPr>
                <w:color w:val="auto"/>
                <w:szCs w:val="21"/>
              </w:rPr>
            </w:pPr>
            <w:r>
              <w:rPr>
                <w:color w:val="auto"/>
                <w:szCs w:val="21"/>
              </w:rPr>
              <w:t>N1项目地东侧外1米</w:t>
            </w:r>
          </w:p>
        </w:tc>
        <w:tc>
          <w:tcPr>
            <w:tcW w:w="1411" w:type="dxa"/>
            <w:vAlign w:val="center"/>
          </w:tcPr>
          <w:p>
            <w:pPr>
              <w:spacing w:line="360" w:lineRule="exact"/>
              <w:jc w:val="center"/>
              <w:rPr>
                <w:color w:val="auto"/>
                <w:szCs w:val="21"/>
              </w:rPr>
            </w:pPr>
            <w:r>
              <w:rPr>
                <w:color w:val="auto"/>
                <w:szCs w:val="21"/>
                <w:lang w:eastAsia="en-US"/>
              </w:rPr>
              <w:t>55.</w:t>
            </w:r>
            <w:r>
              <w:rPr>
                <w:color w:val="auto"/>
                <w:szCs w:val="21"/>
                <w:lang w:val="zh-TW" w:eastAsia="zh-TW"/>
              </w:rPr>
              <w:t>3</w:t>
            </w:r>
          </w:p>
        </w:tc>
        <w:tc>
          <w:tcPr>
            <w:tcW w:w="1363" w:type="dxa"/>
            <w:vAlign w:val="center"/>
          </w:tcPr>
          <w:p>
            <w:pPr>
              <w:spacing w:line="360" w:lineRule="exact"/>
              <w:jc w:val="center"/>
              <w:rPr>
                <w:color w:val="auto"/>
                <w:szCs w:val="21"/>
              </w:rPr>
            </w:pPr>
            <w:r>
              <w:rPr>
                <w:color w:val="auto"/>
                <w:szCs w:val="21"/>
                <w:lang w:eastAsia="en-US"/>
              </w:rPr>
              <w:t>40.0</w:t>
            </w:r>
          </w:p>
        </w:tc>
        <w:tc>
          <w:tcPr>
            <w:tcW w:w="1513" w:type="dxa"/>
            <w:vAlign w:val="center"/>
          </w:tcPr>
          <w:p>
            <w:pPr>
              <w:spacing w:line="360" w:lineRule="exact"/>
              <w:jc w:val="center"/>
              <w:rPr>
                <w:color w:val="auto"/>
                <w:szCs w:val="21"/>
              </w:rPr>
            </w:pPr>
            <w:r>
              <w:rPr>
                <w:color w:val="auto"/>
                <w:szCs w:val="21"/>
                <w:lang w:eastAsia="en-US"/>
              </w:rPr>
              <w:t>55.0</w:t>
            </w:r>
          </w:p>
        </w:tc>
        <w:tc>
          <w:tcPr>
            <w:tcW w:w="1415" w:type="dxa"/>
            <w:vAlign w:val="center"/>
          </w:tcPr>
          <w:p>
            <w:pPr>
              <w:spacing w:line="360" w:lineRule="exact"/>
              <w:jc w:val="center"/>
              <w:rPr>
                <w:color w:val="auto"/>
                <w:szCs w:val="21"/>
              </w:rPr>
            </w:pPr>
            <w:r>
              <w:rPr>
                <w:color w:val="auto"/>
                <w:szCs w:val="21"/>
                <w:lang w:eastAsia="en-US"/>
              </w:rPr>
              <w:t>41.</w:t>
            </w:r>
            <w:r>
              <w:rPr>
                <w:color w:val="auto"/>
                <w:szCs w:val="21"/>
                <w:lang w:val="zh-TW" w:eastAsia="zh-TW"/>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 w:hRule="atLeast"/>
        </w:trPr>
        <w:tc>
          <w:tcPr>
            <w:tcW w:w="3251" w:type="dxa"/>
            <w:vAlign w:val="center"/>
          </w:tcPr>
          <w:p>
            <w:pPr>
              <w:spacing w:line="360" w:lineRule="exact"/>
              <w:jc w:val="center"/>
              <w:rPr>
                <w:color w:val="auto"/>
                <w:szCs w:val="21"/>
              </w:rPr>
            </w:pPr>
            <w:r>
              <w:rPr>
                <w:color w:val="auto"/>
                <w:szCs w:val="21"/>
              </w:rPr>
              <w:t>N2项目地南侧外1米</w:t>
            </w:r>
          </w:p>
        </w:tc>
        <w:tc>
          <w:tcPr>
            <w:tcW w:w="1411" w:type="dxa"/>
            <w:vAlign w:val="center"/>
          </w:tcPr>
          <w:p>
            <w:pPr>
              <w:spacing w:line="360" w:lineRule="exact"/>
              <w:jc w:val="center"/>
              <w:rPr>
                <w:color w:val="auto"/>
                <w:szCs w:val="21"/>
              </w:rPr>
            </w:pPr>
            <w:r>
              <w:rPr>
                <w:color w:val="auto"/>
                <w:szCs w:val="21"/>
                <w:lang w:eastAsia="en-US"/>
              </w:rPr>
              <w:t>52.</w:t>
            </w:r>
            <w:r>
              <w:rPr>
                <w:color w:val="auto"/>
                <w:szCs w:val="21"/>
                <w:lang w:val="zh-TW" w:eastAsia="zh-TW"/>
              </w:rPr>
              <w:t>7</w:t>
            </w:r>
          </w:p>
        </w:tc>
        <w:tc>
          <w:tcPr>
            <w:tcW w:w="1363" w:type="dxa"/>
            <w:vAlign w:val="center"/>
          </w:tcPr>
          <w:p>
            <w:pPr>
              <w:spacing w:line="360" w:lineRule="exact"/>
              <w:jc w:val="center"/>
              <w:rPr>
                <w:color w:val="auto"/>
                <w:szCs w:val="21"/>
              </w:rPr>
            </w:pPr>
            <w:r>
              <w:rPr>
                <w:color w:val="auto"/>
                <w:szCs w:val="21"/>
                <w:lang w:eastAsia="en-US"/>
              </w:rPr>
              <w:t>41.</w:t>
            </w:r>
            <w:r>
              <w:rPr>
                <w:color w:val="auto"/>
                <w:szCs w:val="21"/>
                <w:lang w:val="zh-TW" w:eastAsia="zh-TW"/>
              </w:rPr>
              <w:t>6</w:t>
            </w:r>
          </w:p>
        </w:tc>
        <w:tc>
          <w:tcPr>
            <w:tcW w:w="1513" w:type="dxa"/>
            <w:vAlign w:val="center"/>
          </w:tcPr>
          <w:p>
            <w:pPr>
              <w:spacing w:line="360" w:lineRule="exact"/>
              <w:jc w:val="center"/>
              <w:rPr>
                <w:color w:val="auto"/>
                <w:szCs w:val="21"/>
              </w:rPr>
            </w:pPr>
            <w:r>
              <w:rPr>
                <w:color w:val="auto"/>
                <w:szCs w:val="21"/>
                <w:lang w:eastAsia="en-US"/>
              </w:rPr>
              <w:t>49.</w:t>
            </w:r>
            <w:r>
              <w:rPr>
                <w:color w:val="auto"/>
                <w:szCs w:val="21"/>
                <w:lang w:val="zh-TW" w:eastAsia="zh-TW"/>
              </w:rPr>
              <w:t>5</w:t>
            </w:r>
          </w:p>
        </w:tc>
        <w:tc>
          <w:tcPr>
            <w:tcW w:w="1415" w:type="dxa"/>
            <w:vAlign w:val="center"/>
          </w:tcPr>
          <w:p>
            <w:pPr>
              <w:spacing w:line="360" w:lineRule="exact"/>
              <w:jc w:val="center"/>
              <w:rPr>
                <w:color w:val="auto"/>
                <w:szCs w:val="21"/>
              </w:rPr>
            </w:pPr>
            <w:r>
              <w:rPr>
                <w:color w:val="auto"/>
                <w:szCs w:val="21"/>
                <w:lang w:eastAsia="en-US"/>
              </w:rPr>
              <w:t>41.4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 w:hRule="atLeast"/>
        </w:trPr>
        <w:tc>
          <w:tcPr>
            <w:tcW w:w="3251" w:type="dxa"/>
            <w:vAlign w:val="center"/>
          </w:tcPr>
          <w:p>
            <w:pPr>
              <w:spacing w:line="360" w:lineRule="exact"/>
              <w:jc w:val="center"/>
              <w:rPr>
                <w:color w:val="auto"/>
                <w:szCs w:val="21"/>
              </w:rPr>
            </w:pPr>
            <w:r>
              <w:rPr>
                <w:color w:val="auto"/>
                <w:szCs w:val="21"/>
              </w:rPr>
              <w:t>N3项目地西侧外1米</w:t>
            </w:r>
          </w:p>
        </w:tc>
        <w:tc>
          <w:tcPr>
            <w:tcW w:w="1411" w:type="dxa"/>
            <w:vAlign w:val="center"/>
          </w:tcPr>
          <w:p>
            <w:pPr>
              <w:spacing w:line="360" w:lineRule="exact"/>
              <w:jc w:val="center"/>
              <w:rPr>
                <w:color w:val="auto"/>
                <w:szCs w:val="21"/>
              </w:rPr>
            </w:pPr>
            <w:r>
              <w:rPr>
                <w:color w:val="auto"/>
                <w:szCs w:val="21"/>
                <w:lang w:eastAsia="en-US"/>
              </w:rPr>
              <w:t>56.7</w:t>
            </w:r>
          </w:p>
        </w:tc>
        <w:tc>
          <w:tcPr>
            <w:tcW w:w="1363" w:type="dxa"/>
            <w:vAlign w:val="center"/>
          </w:tcPr>
          <w:p>
            <w:pPr>
              <w:spacing w:line="360" w:lineRule="exact"/>
              <w:jc w:val="center"/>
              <w:rPr>
                <w:color w:val="auto"/>
                <w:szCs w:val="21"/>
              </w:rPr>
            </w:pPr>
            <w:r>
              <w:rPr>
                <w:color w:val="auto"/>
                <w:szCs w:val="21"/>
                <w:lang w:eastAsia="en-US"/>
              </w:rPr>
              <w:t>43.7</w:t>
            </w:r>
          </w:p>
        </w:tc>
        <w:tc>
          <w:tcPr>
            <w:tcW w:w="1513" w:type="dxa"/>
            <w:vAlign w:val="center"/>
          </w:tcPr>
          <w:p>
            <w:pPr>
              <w:spacing w:line="360" w:lineRule="exact"/>
              <w:jc w:val="center"/>
              <w:rPr>
                <w:color w:val="auto"/>
                <w:szCs w:val="21"/>
              </w:rPr>
            </w:pPr>
            <w:r>
              <w:rPr>
                <w:color w:val="auto"/>
                <w:szCs w:val="21"/>
                <w:lang w:eastAsia="en-US"/>
              </w:rPr>
              <w:t>55.4</w:t>
            </w:r>
          </w:p>
        </w:tc>
        <w:tc>
          <w:tcPr>
            <w:tcW w:w="1415" w:type="dxa"/>
            <w:vAlign w:val="center"/>
          </w:tcPr>
          <w:p>
            <w:pPr>
              <w:spacing w:line="360" w:lineRule="exact"/>
              <w:jc w:val="center"/>
              <w:rPr>
                <w:color w:val="auto"/>
                <w:szCs w:val="21"/>
              </w:rPr>
            </w:pPr>
            <w:r>
              <w:rPr>
                <w:color w:val="auto"/>
                <w:szCs w:val="21"/>
                <w:lang w:eastAsia="en-US"/>
              </w:rPr>
              <w:t>42.</w:t>
            </w:r>
            <w:r>
              <w:rPr>
                <w:color w:val="auto"/>
                <w:szCs w:val="21"/>
                <w:lang w:val="zh-TW" w:eastAsia="zh-TW"/>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 w:hRule="atLeast"/>
        </w:trPr>
        <w:tc>
          <w:tcPr>
            <w:tcW w:w="3251" w:type="dxa"/>
            <w:vAlign w:val="center"/>
          </w:tcPr>
          <w:p>
            <w:pPr>
              <w:spacing w:line="360" w:lineRule="exact"/>
              <w:jc w:val="center"/>
              <w:rPr>
                <w:color w:val="auto"/>
                <w:szCs w:val="21"/>
              </w:rPr>
            </w:pPr>
            <w:r>
              <w:rPr>
                <w:color w:val="auto"/>
                <w:szCs w:val="21"/>
              </w:rPr>
              <w:t>N4项目地北侧外1米</w:t>
            </w:r>
          </w:p>
        </w:tc>
        <w:tc>
          <w:tcPr>
            <w:tcW w:w="1411" w:type="dxa"/>
            <w:vAlign w:val="center"/>
          </w:tcPr>
          <w:p>
            <w:pPr>
              <w:spacing w:line="360" w:lineRule="exact"/>
              <w:jc w:val="center"/>
              <w:rPr>
                <w:color w:val="auto"/>
                <w:szCs w:val="21"/>
              </w:rPr>
            </w:pPr>
            <w:r>
              <w:rPr>
                <w:color w:val="auto"/>
                <w:szCs w:val="21"/>
                <w:lang w:eastAsia="en-US"/>
              </w:rPr>
              <w:t>50.</w:t>
            </w:r>
            <w:r>
              <w:rPr>
                <w:color w:val="auto"/>
                <w:szCs w:val="21"/>
                <w:lang w:val="zh-TW" w:eastAsia="zh-TW"/>
              </w:rPr>
              <w:t>1</w:t>
            </w:r>
          </w:p>
        </w:tc>
        <w:tc>
          <w:tcPr>
            <w:tcW w:w="1363" w:type="dxa"/>
            <w:vAlign w:val="center"/>
          </w:tcPr>
          <w:p>
            <w:pPr>
              <w:spacing w:line="360" w:lineRule="exact"/>
              <w:jc w:val="center"/>
              <w:rPr>
                <w:color w:val="auto"/>
                <w:szCs w:val="21"/>
              </w:rPr>
            </w:pPr>
            <w:r>
              <w:rPr>
                <w:color w:val="auto"/>
                <w:szCs w:val="21"/>
                <w:lang w:eastAsia="en-US"/>
              </w:rPr>
              <w:t>41.</w:t>
            </w:r>
            <w:r>
              <w:rPr>
                <w:color w:val="auto"/>
                <w:szCs w:val="21"/>
                <w:lang w:val="zh-TW" w:eastAsia="zh-TW"/>
              </w:rPr>
              <w:t>3</w:t>
            </w:r>
          </w:p>
        </w:tc>
        <w:tc>
          <w:tcPr>
            <w:tcW w:w="1513" w:type="dxa"/>
            <w:vAlign w:val="center"/>
          </w:tcPr>
          <w:p>
            <w:pPr>
              <w:spacing w:line="360" w:lineRule="exact"/>
              <w:jc w:val="center"/>
              <w:rPr>
                <w:color w:val="auto"/>
                <w:szCs w:val="21"/>
              </w:rPr>
            </w:pPr>
            <w:r>
              <w:rPr>
                <w:color w:val="auto"/>
                <w:szCs w:val="21"/>
                <w:lang w:eastAsia="en-US"/>
              </w:rPr>
              <w:t>54.8</w:t>
            </w:r>
          </w:p>
        </w:tc>
        <w:tc>
          <w:tcPr>
            <w:tcW w:w="1415" w:type="dxa"/>
            <w:vAlign w:val="center"/>
          </w:tcPr>
          <w:p>
            <w:pPr>
              <w:spacing w:line="360" w:lineRule="exact"/>
              <w:jc w:val="center"/>
              <w:rPr>
                <w:color w:val="auto"/>
                <w:szCs w:val="21"/>
              </w:rPr>
            </w:pPr>
            <w:r>
              <w:rPr>
                <w:color w:val="auto"/>
                <w:szCs w:val="21"/>
                <w:lang w:eastAsia="en-US"/>
              </w:rPr>
              <w:t>40.</w:t>
            </w:r>
            <w:r>
              <w:rPr>
                <w:color w:val="auto"/>
                <w:szCs w:val="21"/>
                <w:lang w:val="zh-TW" w:eastAsia="zh-TW"/>
              </w:rPr>
              <w:t>5</w:t>
            </w:r>
          </w:p>
        </w:tc>
      </w:tr>
    </w:tbl>
    <w:p>
      <w:pPr>
        <w:widowControl/>
        <w:spacing w:line="520" w:lineRule="exact"/>
        <w:ind w:firstLine="480" w:firstLineChars="200"/>
        <w:outlineLvl w:val="3"/>
        <w:rPr>
          <w:bCs/>
          <w:color w:val="auto"/>
          <w:sz w:val="24"/>
        </w:rPr>
      </w:pPr>
      <w:r>
        <w:rPr>
          <w:bCs/>
          <w:color w:val="auto"/>
          <w:sz w:val="24"/>
        </w:rPr>
        <w:t>（6）评价标准</w:t>
      </w:r>
      <w:bookmarkEnd w:id="249"/>
    </w:p>
    <w:p>
      <w:pPr>
        <w:spacing w:line="520" w:lineRule="exact"/>
        <w:jc w:val="center"/>
        <w:rPr>
          <w:b/>
          <w:bCs/>
          <w:color w:val="auto"/>
          <w:sz w:val="24"/>
        </w:rPr>
      </w:pPr>
      <w:r>
        <w:rPr>
          <w:rFonts w:hint="eastAsia"/>
          <w:b/>
          <w:bCs/>
          <w:color w:val="auto"/>
          <w:sz w:val="24"/>
        </w:rPr>
        <w:t>表5</w:t>
      </w:r>
      <w:r>
        <w:rPr>
          <w:b/>
          <w:bCs/>
          <w:color w:val="auto"/>
          <w:sz w:val="24"/>
        </w:rPr>
        <w:t>-14   评价标准具体值     单位:dB（A）</w:t>
      </w:r>
    </w:p>
    <w:tbl>
      <w:tblPr>
        <w:tblStyle w:val="53"/>
        <w:tblW w:w="0" w:type="auto"/>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1591"/>
        <w:gridCol w:w="1209"/>
        <w:gridCol w:w="1209"/>
        <w:gridCol w:w="4944"/>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04" w:hRule="atLeast"/>
          <w:jc w:val="center"/>
        </w:trPr>
        <w:tc>
          <w:tcPr>
            <w:tcW w:w="1591" w:type="dxa"/>
            <w:vMerge w:val="restart"/>
            <w:vAlign w:val="center"/>
          </w:tcPr>
          <w:p>
            <w:pPr>
              <w:pBdr>
                <w:top w:val="none" w:color="auto" w:sz="0" w:space="0"/>
                <w:left w:val="none" w:color="auto" w:sz="0" w:space="0"/>
                <w:bottom w:val="none" w:color="auto" w:sz="0" w:space="0"/>
                <w:right w:val="none" w:color="auto" w:sz="0" w:space="0"/>
                <w:between w:val="none" w:color="auto" w:sz="0" w:space="0"/>
              </w:pBdr>
              <w:spacing w:line="360" w:lineRule="exact"/>
              <w:jc w:val="center"/>
              <w:rPr>
                <w:color w:val="auto"/>
                <w:szCs w:val="21"/>
              </w:rPr>
            </w:pPr>
            <w:r>
              <w:rPr>
                <w:color w:val="auto"/>
                <w:szCs w:val="21"/>
              </w:rPr>
              <w:t>评价对象</w:t>
            </w:r>
          </w:p>
        </w:tc>
        <w:tc>
          <w:tcPr>
            <w:tcW w:w="2418" w:type="dxa"/>
            <w:gridSpan w:val="2"/>
            <w:vAlign w:val="center"/>
          </w:tcPr>
          <w:p>
            <w:pPr>
              <w:pBdr>
                <w:top w:val="none" w:color="auto" w:sz="0" w:space="0"/>
                <w:left w:val="none" w:color="auto" w:sz="0" w:space="0"/>
                <w:bottom w:val="none" w:color="auto" w:sz="0" w:space="0"/>
                <w:right w:val="none" w:color="auto" w:sz="0" w:space="0"/>
                <w:between w:val="none" w:color="auto" w:sz="0" w:space="0"/>
              </w:pBdr>
              <w:spacing w:line="360" w:lineRule="exact"/>
              <w:jc w:val="center"/>
              <w:rPr>
                <w:color w:val="auto"/>
                <w:szCs w:val="21"/>
              </w:rPr>
            </w:pPr>
            <w:r>
              <w:rPr>
                <w:color w:val="auto"/>
                <w:szCs w:val="21"/>
              </w:rPr>
              <w:t>评价标准值</w:t>
            </w:r>
          </w:p>
        </w:tc>
        <w:tc>
          <w:tcPr>
            <w:tcW w:w="4944" w:type="dxa"/>
            <w:vMerge w:val="restart"/>
            <w:vAlign w:val="center"/>
          </w:tcPr>
          <w:p>
            <w:pPr>
              <w:pBdr>
                <w:top w:val="none" w:color="auto" w:sz="0" w:space="0"/>
                <w:left w:val="none" w:color="auto" w:sz="0" w:space="0"/>
                <w:bottom w:val="none" w:color="auto" w:sz="0" w:space="0"/>
                <w:right w:val="none" w:color="auto" w:sz="0" w:space="0"/>
                <w:between w:val="none" w:color="auto" w:sz="0" w:space="0"/>
              </w:pBdr>
              <w:spacing w:line="360" w:lineRule="exact"/>
              <w:jc w:val="center"/>
              <w:rPr>
                <w:color w:val="auto"/>
                <w:szCs w:val="21"/>
              </w:rPr>
            </w:pPr>
            <w:r>
              <w:rPr>
                <w:color w:val="auto"/>
                <w:szCs w:val="21"/>
              </w:rPr>
              <w:t>备注</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04" w:hRule="atLeast"/>
          <w:jc w:val="center"/>
        </w:trPr>
        <w:tc>
          <w:tcPr>
            <w:tcW w:w="1591" w:type="dxa"/>
            <w:vMerge w:val="continue"/>
            <w:vAlign w:val="center"/>
          </w:tcPr>
          <w:p>
            <w:pPr>
              <w:pBdr>
                <w:top w:val="none" w:color="auto" w:sz="0" w:space="0"/>
                <w:left w:val="none" w:color="auto" w:sz="0" w:space="0"/>
                <w:bottom w:val="none" w:color="auto" w:sz="0" w:space="0"/>
                <w:right w:val="none" w:color="auto" w:sz="0" w:space="0"/>
                <w:between w:val="none" w:color="auto" w:sz="0" w:space="0"/>
              </w:pBdr>
              <w:spacing w:line="360" w:lineRule="exact"/>
              <w:jc w:val="center"/>
              <w:rPr>
                <w:color w:val="auto"/>
                <w:szCs w:val="21"/>
              </w:rPr>
            </w:pPr>
          </w:p>
        </w:tc>
        <w:tc>
          <w:tcPr>
            <w:tcW w:w="1209" w:type="dxa"/>
            <w:vAlign w:val="center"/>
          </w:tcPr>
          <w:p>
            <w:pPr>
              <w:pBdr>
                <w:top w:val="none" w:color="auto" w:sz="0" w:space="0"/>
                <w:left w:val="none" w:color="auto" w:sz="0" w:space="0"/>
                <w:bottom w:val="none" w:color="auto" w:sz="0" w:space="0"/>
                <w:right w:val="none" w:color="auto" w:sz="0" w:space="0"/>
                <w:between w:val="none" w:color="auto" w:sz="0" w:space="0"/>
              </w:pBdr>
              <w:spacing w:line="360" w:lineRule="exact"/>
              <w:jc w:val="center"/>
              <w:rPr>
                <w:color w:val="auto"/>
                <w:szCs w:val="21"/>
              </w:rPr>
            </w:pPr>
            <w:r>
              <w:rPr>
                <w:color w:val="auto"/>
                <w:szCs w:val="21"/>
              </w:rPr>
              <w:t>昼间</w:t>
            </w:r>
          </w:p>
        </w:tc>
        <w:tc>
          <w:tcPr>
            <w:tcW w:w="1209" w:type="dxa"/>
            <w:vAlign w:val="center"/>
          </w:tcPr>
          <w:p>
            <w:pPr>
              <w:pBdr>
                <w:top w:val="none" w:color="auto" w:sz="0" w:space="0"/>
                <w:left w:val="none" w:color="auto" w:sz="0" w:space="0"/>
                <w:bottom w:val="none" w:color="auto" w:sz="0" w:space="0"/>
                <w:right w:val="none" w:color="auto" w:sz="0" w:space="0"/>
                <w:between w:val="none" w:color="auto" w:sz="0" w:space="0"/>
              </w:pBdr>
              <w:spacing w:line="360" w:lineRule="exact"/>
              <w:jc w:val="center"/>
              <w:rPr>
                <w:color w:val="auto"/>
                <w:szCs w:val="21"/>
              </w:rPr>
            </w:pPr>
            <w:r>
              <w:rPr>
                <w:color w:val="auto"/>
                <w:szCs w:val="21"/>
              </w:rPr>
              <w:t>夜间</w:t>
            </w:r>
          </w:p>
        </w:tc>
        <w:tc>
          <w:tcPr>
            <w:tcW w:w="4944" w:type="dxa"/>
            <w:vMerge w:val="continue"/>
            <w:vAlign w:val="center"/>
          </w:tcPr>
          <w:p>
            <w:pPr>
              <w:pBdr>
                <w:top w:val="none" w:color="auto" w:sz="0" w:space="0"/>
                <w:left w:val="none" w:color="auto" w:sz="0" w:space="0"/>
                <w:bottom w:val="none" w:color="auto" w:sz="0" w:space="0"/>
                <w:right w:val="none" w:color="auto" w:sz="0" w:space="0"/>
                <w:between w:val="none" w:color="auto" w:sz="0" w:space="0"/>
              </w:pBdr>
              <w:spacing w:line="360" w:lineRule="exact"/>
              <w:jc w:val="center"/>
              <w:rPr>
                <w:color w:val="auto"/>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04" w:hRule="atLeast"/>
          <w:jc w:val="center"/>
        </w:trPr>
        <w:tc>
          <w:tcPr>
            <w:tcW w:w="1591" w:type="dxa"/>
            <w:vAlign w:val="center"/>
          </w:tcPr>
          <w:p>
            <w:pPr>
              <w:pBdr>
                <w:top w:val="none" w:color="auto" w:sz="0" w:space="0"/>
                <w:left w:val="none" w:color="auto" w:sz="0" w:space="0"/>
                <w:bottom w:val="none" w:color="auto" w:sz="0" w:space="0"/>
                <w:right w:val="none" w:color="auto" w:sz="0" w:space="0"/>
                <w:between w:val="none" w:color="auto" w:sz="0" w:space="0"/>
              </w:pBdr>
              <w:spacing w:line="360" w:lineRule="exact"/>
              <w:jc w:val="center"/>
              <w:rPr>
                <w:color w:val="auto"/>
                <w:szCs w:val="21"/>
              </w:rPr>
            </w:pPr>
            <w:r>
              <w:rPr>
                <w:color w:val="auto"/>
                <w:szCs w:val="21"/>
              </w:rPr>
              <w:t>监测点</w:t>
            </w:r>
          </w:p>
        </w:tc>
        <w:tc>
          <w:tcPr>
            <w:tcW w:w="1209" w:type="dxa"/>
            <w:vAlign w:val="center"/>
          </w:tcPr>
          <w:p>
            <w:pPr>
              <w:pBdr>
                <w:top w:val="none" w:color="auto" w:sz="0" w:space="0"/>
                <w:left w:val="none" w:color="auto" w:sz="0" w:space="0"/>
                <w:bottom w:val="none" w:color="auto" w:sz="0" w:space="0"/>
                <w:right w:val="none" w:color="auto" w:sz="0" w:space="0"/>
                <w:between w:val="none" w:color="auto" w:sz="0" w:space="0"/>
              </w:pBdr>
              <w:spacing w:line="360" w:lineRule="exact"/>
              <w:jc w:val="center"/>
              <w:rPr>
                <w:color w:val="auto"/>
                <w:szCs w:val="21"/>
              </w:rPr>
            </w:pPr>
            <w:r>
              <w:rPr>
                <w:color w:val="auto"/>
                <w:szCs w:val="21"/>
              </w:rPr>
              <w:t>65</w:t>
            </w:r>
          </w:p>
        </w:tc>
        <w:tc>
          <w:tcPr>
            <w:tcW w:w="1209" w:type="dxa"/>
            <w:vAlign w:val="center"/>
          </w:tcPr>
          <w:p>
            <w:pPr>
              <w:pBdr>
                <w:top w:val="none" w:color="auto" w:sz="0" w:space="0"/>
                <w:left w:val="none" w:color="auto" w:sz="0" w:space="0"/>
                <w:bottom w:val="none" w:color="auto" w:sz="0" w:space="0"/>
                <w:right w:val="none" w:color="auto" w:sz="0" w:space="0"/>
                <w:between w:val="none" w:color="auto" w:sz="0" w:space="0"/>
              </w:pBdr>
              <w:spacing w:line="360" w:lineRule="exact"/>
              <w:jc w:val="center"/>
              <w:rPr>
                <w:color w:val="auto"/>
                <w:szCs w:val="21"/>
              </w:rPr>
            </w:pPr>
            <w:r>
              <w:rPr>
                <w:color w:val="auto"/>
                <w:szCs w:val="21"/>
              </w:rPr>
              <w:t>55</w:t>
            </w:r>
          </w:p>
        </w:tc>
        <w:tc>
          <w:tcPr>
            <w:tcW w:w="4944" w:type="dxa"/>
            <w:vAlign w:val="center"/>
          </w:tcPr>
          <w:p>
            <w:pPr>
              <w:pBdr>
                <w:top w:val="none" w:color="auto" w:sz="0" w:space="0"/>
                <w:left w:val="none" w:color="auto" w:sz="0" w:space="0"/>
                <w:bottom w:val="none" w:color="auto" w:sz="0" w:space="0"/>
                <w:right w:val="none" w:color="auto" w:sz="0" w:space="0"/>
                <w:between w:val="none" w:color="auto" w:sz="0" w:space="0"/>
              </w:pBdr>
              <w:spacing w:line="360" w:lineRule="exact"/>
              <w:jc w:val="center"/>
              <w:rPr>
                <w:color w:val="auto"/>
                <w:szCs w:val="21"/>
              </w:rPr>
            </w:pPr>
            <w:r>
              <w:rPr>
                <w:color w:val="auto"/>
                <w:szCs w:val="21"/>
              </w:rPr>
              <w:t>GB3096-2008《声环境质量标准》3类标准</w:t>
            </w:r>
          </w:p>
        </w:tc>
      </w:tr>
    </w:tbl>
    <w:p>
      <w:pPr>
        <w:widowControl/>
        <w:spacing w:line="520" w:lineRule="exact"/>
        <w:ind w:firstLine="480" w:firstLineChars="200"/>
        <w:outlineLvl w:val="3"/>
        <w:rPr>
          <w:bCs/>
          <w:color w:val="auto"/>
          <w:sz w:val="24"/>
        </w:rPr>
      </w:pPr>
      <w:bookmarkStart w:id="250" w:name="_Toc333177998"/>
      <w:r>
        <w:rPr>
          <w:bCs/>
          <w:color w:val="auto"/>
          <w:sz w:val="24"/>
        </w:rPr>
        <w:t>（7）评价</w:t>
      </w:r>
      <w:bookmarkEnd w:id="248"/>
      <w:bookmarkEnd w:id="250"/>
      <w:r>
        <w:rPr>
          <w:bCs/>
          <w:color w:val="auto"/>
          <w:sz w:val="24"/>
        </w:rPr>
        <w:t>结果</w:t>
      </w:r>
    </w:p>
    <w:p>
      <w:pPr>
        <w:spacing w:line="500" w:lineRule="exact"/>
        <w:ind w:firstLine="480" w:firstLineChars="200"/>
        <w:rPr>
          <w:color w:val="auto"/>
          <w:kern w:val="0"/>
          <w:sz w:val="24"/>
        </w:rPr>
      </w:pPr>
      <w:r>
        <w:rPr>
          <w:color w:val="auto"/>
          <w:sz w:val="24"/>
        </w:rPr>
        <w:t>项目场址四周声环境噪声等效连续A声级值昼间、夜间均低于所执行的标准限值，</w:t>
      </w:r>
      <w:r>
        <w:rPr>
          <w:rFonts w:eastAsia="长城黑体"/>
          <w:color w:val="auto"/>
          <w:sz w:val="24"/>
        </w:rPr>
        <w:t>项目区域声环境质量均能满足</w:t>
      </w:r>
      <w:r>
        <w:rPr>
          <w:color w:val="auto"/>
          <w:kern w:val="0"/>
          <w:sz w:val="24"/>
        </w:rPr>
        <w:t>《声环境质量标准》（</w:t>
      </w:r>
      <w:r>
        <w:rPr>
          <w:rFonts w:eastAsia="长城黑体"/>
          <w:color w:val="auto"/>
          <w:sz w:val="24"/>
        </w:rPr>
        <w:t>GB3096-2008</w:t>
      </w:r>
      <w:r>
        <w:rPr>
          <w:color w:val="auto"/>
          <w:kern w:val="0"/>
          <w:sz w:val="24"/>
        </w:rPr>
        <w:t>）中3类标准。</w:t>
      </w:r>
    </w:p>
    <w:p>
      <w:pPr>
        <w:pStyle w:val="5"/>
        <w:spacing w:before="0" w:after="0" w:line="520" w:lineRule="exact"/>
        <w:rPr>
          <w:color w:val="auto"/>
          <w:sz w:val="24"/>
          <w:szCs w:val="24"/>
        </w:rPr>
      </w:pPr>
      <w:r>
        <w:rPr>
          <w:rFonts w:hint="eastAsia"/>
          <w:color w:val="auto"/>
          <w:sz w:val="24"/>
          <w:szCs w:val="24"/>
        </w:rPr>
        <w:t>5</w:t>
      </w:r>
      <w:r>
        <w:rPr>
          <w:color w:val="auto"/>
          <w:sz w:val="24"/>
          <w:szCs w:val="24"/>
        </w:rPr>
        <w:t>.2.4地下水环境质量现状</w:t>
      </w:r>
    </w:p>
    <w:bookmarkEnd w:id="7"/>
    <w:bookmarkEnd w:id="8"/>
    <w:bookmarkEnd w:id="9"/>
    <w:bookmarkEnd w:id="10"/>
    <w:bookmarkEnd w:id="11"/>
    <w:bookmarkEnd w:id="12"/>
    <w:bookmarkEnd w:id="13"/>
    <w:bookmarkEnd w:id="14"/>
    <w:bookmarkEnd w:id="15"/>
    <w:p>
      <w:pPr>
        <w:spacing w:line="500" w:lineRule="exact"/>
        <w:ind w:firstLine="480" w:firstLineChars="200"/>
        <w:rPr>
          <w:color w:val="auto"/>
          <w:sz w:val="24"/>
        </w:rPr>
      </w:pPr>
      <w:r>
        <w:rPr>
          <w:color w:val="auto"/>
          <w:sz w:val="24"/>
        </w:rPr>
        <w:t>（1）地下水现状监测</w:t>
      </w:r>
    </w:p>
    <w:p>
      <w:pPr>
        <w:spacing w:line="360" w:lineRule="auto"/>
        <w:ind w:firstLine="480" w:firstLineChars="200"/>
        <w:rPr>
          <w:b/>
          <w:bCs/>
          <w:color w:val="auto"/>
        </w:rPr>
      </w:pPr>
      <w:r>
        <w:rPr>
          <w:color w:val="auto"/>
          <w:sz w:val="24"/>
        </w:rPr>
        <w:t>①监测点位</w:t>
      </w:r>
    </w:p>
    <w:p>
      <w:pPr>
        <w:pStyle w:val="195"/>
        <w:ind w:firstLine="0" w:firstLineChars="0"/>
        <w:jc w:val="center"/>
        <w:rPr>
          <w:b/>
          <w:bCs/>
          <w:snapToGrid/>
          <w:color w:val="auto"/>
        </w:rPr>
      </w:pPr>
      <w:r>
        <w:rPr>
          <w:rFonts w:hint="eastAsia"/>
          <w:b/>
          <w:bCs/>
          <w:snapToGrid/>
          <w:color w:val="auto"/>
        </w:rPr>
        <w:t>表5</w:t>
      </w:r>
      <w:r>
        <w:rPr>
          <w:b/>
          <w:bCs/>
          <w:snapToGrid/>
          <w:color w:val="auto"/>
        </w:rPr>
        <w:t>-15   地下水水质现状监测布点位置一览表</w:t>
      </w:r>
    </w:p>
    <w:tbl>
      <w:tblPr>
        <w:tblStyle w:val="5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29"/>
        <w:gridCol w:w="707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29" w:type="dxa"/>
            <w:vAlign w:val="center"/>
          </w:tcPr>
          <w:p>
            <w:pPr>
              <w:spacing w:line="300" w:lineRule="exact"/>
              <w:jc w:val="center"/>
              <w:rPr>
                <w:bCs/>
                <w:color w:val="auto"/>
                <w:szCs w:val="21"/>
              </w:rPr>
            </w:pPr>
            <w:r>
              <w:rPr>
                <w:bCs/>
                <w:color w:val="auto"/>
                <w:szCs w:val="21"/>
              </w:rPr>
              <w:t>测点编号</w:t>
            </w:r>
          </w:p>
        </w:tc>
        <w:tc>
          <w:tcPr>
            <w:tcW w:w="7079" w:type="dxa"/>
            <w:vAlign w:val="center"/>
          </w:tcPr>
          <w:p>
            <w:pPr>
              <w:spacing w:line="300" w:lineRule="exact"/>
              <w:jc w:val="center"/>
              <w:rPr>
                <w:bCs/>
                <w:color w:val="auto"/>
                <w:szCs w:val="21"/>
              </w:rPr>
            </w:pPr>
            <w:r>
              <w:rPr>
                <w:bCs/>
                <w:color w:val="auto"/>
                <w:szCs w:val="21"/>
              </w:rPr>
              <w:t>测  点  位  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529" w:type="dxa"/>
            <w:vAlign w:val="center"/>
          </w:tcPr>
          <w:p>
            <w:pPr>
              <w:spacing w:line="300" w:lineRule="exact"/>
              <w:jc w:val="center"/>
              <w:rPr>
                <w:bCs/>
                <w:color w:val="auto"/>
                <w:szCs w:val="21"/>
              </w:rPr>
            </w:pPr>
            <w:r>
              <w:rPr>
                <w:bCs/>
                <w:color w:val="auto"/>
                <w:szCs w:val="21"/>
              </w:rPr>
              <w:t>1#</w:t>
            </w:r>
          </w:p>
        </w:tc>
        <w:tc>
          <w:tcPr>
            <w:tcW w:w="7079" w:type="dxa"/>
            <w:vAlign w:val="center"/>
          </w:tcPr>
          <w:p>
            <w:pPr>
              <w:jc w:val="center"/>
              <w:rPr>
                <w:rFonts w:hint="eastAsia" w:eastAsia="宋体"/>
                <w:color w:val="auto"/>
                <w:szCs w:val="21"/>
                <w:lang w:eastAsia="zh-CN"/>
              </w:rPr>
            </w:pPr>
            <w:r>
              <w:rPr>
                <w:rFonts w:hint="eastAsia"/>
                <w:color w:val="auto"/>
                <w:szCs w:val="21"/>
                <w:lang w:eastAsia="zh-CN"/>
              </w:rPr>
              <w:t>连塘冲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529" w:type="dxa"/>
            <w:vAlign w:val="center"/>
          </w:tcPr>
          <w:p>
            <w:pPr>
              <w:spacing w:line="300" w:lineRule="exact"/>
              <w:jc w:val="center"/>
              <w:rPr>
                <w:bCs/>
                <w:color w:val="auto"/>
                <w:szCs w:val="21"/>
              </w:rPr>
            </w:pPr>
            <w:r>
              <w:rPr>
                <w:bCs/>
                <w:color w:val="auto"/>
                <w:szCs w:val="21"/>
              </w:rPr>
              <w:t>2#</w:t>
            </w:r>
          </w:p>
        </w:tc>
        <w:tc>
          <w:tcPr>
            <w:tcW w:w="7079" w:type="dxa"/>
            <w:vAlign w:val="center"/>
          </w:tcPr>
          <w:p>
            <w:pPr>
              <w:jc w:val="center"/>
              <w:rPr>
                <w:color w:val="auto"/>
                <w:szCs w:val="21"/>
              </w:rPr>
            </w:pPr>
            <w:r>
              <w:rPr>
                <w:rFonts w:hint="eastAsia"/>
                <w:color w:val="auto"/>
                <w:szCs w:val="21"/>
              </w:rPr>
              <w:t>本项目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529" w:type="dxa"/>
            <w:vAlign w:val="center"/>
          </w:tcPr>
          <w:p>
            <w:pPr>
              <w:spacing w:line="300" w:lineRule="exact"/>
              <w:jc w:val="center"/>
              <w:rPr>
                <w:bCs/>
                <w:color w:val="auto"/>
                <w:szCs w:val="21"/>
              </w:rPr>
            </w:pPr>
            <w:r>
              <w:rPr>
                <w:bCs/>
                <w:color w:val="auto"/>
                <w:szCs w:val="21"/>
              </w:rPr>
              <w:t>3#</w:t>
            </w:r>
          </w:p>
        </w:tc>
        <w:tc>
          <w:tcPr>
            <w:tcW w:w="7079" w:type="dxa"/>
            <w:vAlign w:val="center"/>
          </w:tcPr>
          <w:p>
            <w:pPr>
              <w:pStyle w:val="15"/>
              <w:tabs>
                <w:tab w:val="left" w:pos="7560"/>
              </w:tabs>
              <w:spacing w:line="0" w:lineRule="atLeast"/>
              <w:ind w:firstLine="0" w:firstLineChars="0"/>
              <w:jc w:val="center"/>
              <w:rPr>
                <w:bCs/>
                <w:color w:val="auto"/>
                <w:sz w:val="21"/>
                <w:szCs w:val="21"/>
              </w:rPr>
            </w:pPr>
            <w:r>
              <w:rPr>
                <w:rFonts w:hint="eastAsia" w:cs="Times New Roman"/>
                <w:bCs/>
                <w:color w:val="auto"/>
                <w:sz w:val="21"/>
                <w:szCs w:val="21"/>
                <w:lang w:val="en-US" w:eastAsia="zh-CN"/>
              </w:rPr>
              <w:t>上杨村</w:t>
            </w:r>
          </w:p>
        </w:tc>
      </w:tr>
    </w:tbl>
    <w:p>
      <w:pPr>
        <w:spacing w:line="360" w:lineRule="auto"/>
        <w:ind w:firstLine="480" w:firstLineChars="200"/>
        <w:rPr>
          <w:b/>
          <w:bCs/>
          <w:color w:val="auto"/>
        </w:rPr>
      </w:pPr>
      <w:r>
        <w:rPr>
          <w:color w:val="auto"/>
          <w:sz w:val="24"/>
        </w:rPr>
        <w:t>②分析方法</w:t>
      </w:r>
    </w:p>
    <w:p>
      <w:pPr>
        <w:pStyle w:val="195"/>
        <w:ind w:firstLine="0" w:firstLineChars="0"/>
        <w:jc w:val="center"/>
        <w:rPr>
          <w:b/>
          <w:bCs/>
          <w:snapToGrid/>
          <w:color w:val="auto"/>
        </w:rPr>
      </w:pPr>
      <w:r>
        <w:rPr>
          <w:rFonts w:hint="eastAsia"/>
          <w:b/>
          <w:bCs/>
          <w:snapToGrid/>
          <w:color w:val="auto"/>
        </w:rPr>
        <w:t>表5</w:t>
      </w:r>
      <w:r>
        <w:rPr>
          <w:b/>
          <w:bCs/>
          <w:snapToGrid/>
          <w:color w:val="auto"/>
        </w:rPr>
        <w:t>-16  地下水质量监测分析方法</w:t>
      </w:r>
    </w:p>
    <w:tbl>
      <w:tblPr>
        <w:tblStyle w:val="53"/>
        <w:tblW w:w="0" w:type="auto"/>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520"/>
        <w:gridCol w:w="4834"/>
        <w:gridCol w:w="204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520" w:type="dxa"/>
            <w:tcBorders>
              <w:tl2br w:val="nil"/>
              <w:tr2bl w:val="nil"/>
            </w:tcBorders>
          </w:tcPr>
          <w:p>
            <w:pPr>
              <w:spacing w:line="280" w:lineRule="exact"/>
              <w:jc w:val="center"/>
              <w:rPr>
                <w:bCs/>
                <w:color w:val="auto"/>
                <w:szCs w:val="21"/>
              </w:rPr>
            </w:pPr>
            <w:r>
              <w:rPr>
                <w:bCs/>
                <w:color w:val="auto"/>
                <w:szCs w:val="21"/>
              </w:rPr>
              <w:t>检测项目</w:t>
            </w:r>
          </w:p>
          <w:p>
            <w:pPr>
              <w:spacing w:line="280" w:lineRule="exact"/>
              <w:jc w:val="center"/>
              <w:rPr>
                <w:bCs/>
                <w:color w:val="auto"/>
                <w:szCs w:val="21"/>
              </w:rPr>
            </w:pPr>
            <w:r>
              <w:rPr>
                <w:bCs/>
                <w:color w:val="auto"/>
                <w:szCs w:val="21"/>
              </w:rPr>
              <w:t>(Testing Items)</w:t>
            </w:r>
          </w:p>
        </w:tc>
        <w:tc>
          <w:tcPr>
            <w:tcW w:w="4834" w:type="dxa"/>
            <w:tcBorders>
              <w:tl2br w:val="nil"/>
              <w:tr2bl w:val="nil"/>
            </w:tcBorders>
          </w:tcPr>
          <w:p>
            <w:pPr>
              <w:spacing w:line="280" w:lineRule="exact"/>
              <w:jc w:val="center"/>
              <w:rPr>
                <w:bCs/>
                <w:color w:val="auto"/>
                <w:szCs w:val="21"/>
              </w:rPr>
            </w:pPr>
            <w:r>
              <w:rPr>
                <w:bCs/>
                <w:color w:val="auto"/>
                <w:szCs w:val="21"/>
              </w:rPr>
              <w:t>分析方法</w:t>
            </w:r>
          </w:p>
          <w:p>
            <w:pPr>
              <w:spacing w:line="280" w:lineRule="exact"/>
              <w:jc w:val="center"/>
              <w:rPr>
                <w:bCs/>
                <w:color w:val="auto"/>
                <w:szCs w:val="21"/>
              </w:rPr>
            </w:pPr>
            <w:r>
              <w:rPr>
                <w:bCs/>
                <w:color w:val="auto"/>
                <w:szCs w:val="21"/>
              </w:rPr>
              <w:t>(Analytical methods)</w:t>
            </w:r>
          </w:p>
        </w:tc>
        <w:tc>
          <w:tcPr>
            <w:tcW w:w="2048" w:type="dxa"/>
            <w:tcBorders>
              <w:tl2br w:val="nil"/>
              <w:tr2bl w:val="nil"/>
            </w:tcBorders>
          </w:tcPr>
          <w:p>
            <w:pPr>
              <w:spacing w:line="280" w:lineRule="exact"/>
              <w:jc w:val="center"/>
              <w:rPr>
                <w:bCs/>
                <w:color w:val="auto"/>
                <w:szCs w:val="21"/>
              </w:rPr>
            </w:pPr>
            <w:r>
              <w:rPr>
                <w:bCs/>
                <w:color w:val="auto"/>
                <w:szCs w:val="21"/>
              </w:rPr>
              <w:t>检测仪器</w:t>
            </w:r>
          </w:p>
          <w:p>
            <w:pPr>
              <w:spacing w:line="280" w:lineRule="exact"/>
              <w:jc w:val="center"/>
              <w:rPr>
                <w:bCs/>
                <w:color w:val="auto"/>
                <w:szCs w:val="21"/>
              </w:rPr>
            </w:pPr>
            <w:r>
              <w:rPr>
                <w:bCs/>
                <w:color w:val="auto"/>
                <w:szCs w:val="21"/>
              </w:rPr>
              <w:t>(Testing Instruments)</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520" w:type="dxa"/>
            <w:tcBorders>
              <w:tl2br w:val="nil"/>
              <w:tr2bl w:val="nil"/>
            </w:tcBorders>
          </w:tcPr>
          <w:p>
            <w:pPr>
              <w:spacing w:line="280" w:lineRule="exact"/>
              <w:jc w:val="center"/>
              <w:rPr>
                <w:bCs/>
                <w:color w:val="auto"/>
                <w:szCs w:val="21"/>
              </w:rPr>
            </w:pPr>
            <w:r>
              <w:rPr>
                <w:bCs/>
                <w:color w:val="auto"/>
                <w:szCs w:val="21"/>
              </w:rPr>
              <w:t>pH</w:t>
            </w:r>
          </w:p>
        </w:tc>
        <w:tc>
          <w:tcPr>
            <w:tcW w:w="4834" w:type="dxa"/>
            <w:tcBorders>
              <w:tl2br w:val="nil"/>
              <w:tr2bl w:val="nil"/>
            </w:tcBorders>
          </w:tcPr>
          <w:p>
            <w:pPr>
              <w:spacing w:line="280" w:lineRule="exact"/>
              <w:jc w:val="center"/>
              <w:rPr>
                <w:bCs/>
                <w:color w:val="auto"/>
                <w:szCs w:val="21"/>
              </w:rPr>
            </w:pPr>
            <w:r>
              <w:rPr>
                <w:bCs/>
                <w:color w:val="auto"/>
                <w:szCs w:val="21"/>
              </w:rPr>
              <w:t>生活饮用水标准检验方法 感官性状和物理指标玻璃</w:t>
            </w:r>
          </w:p>
          <w:p>
            <w:pPr>
              <w:spacing w:line="280" w:lineRule="exact"/>
              <w:jc w:val="center"/>
              <w:rPr>
                <w:bCs/>
                <w:color w:val="auto"/>
                <w:szCs w:val="21"/>
              </w:rPr>
            </w:pPr>
            <w:r>
              <w:rPr>
                <w:bCs/>
                <w:color w:val="auto"/>
                <w:szCs w:val="21"/>
              </w:rPr>
              <w:t>电极法 GB/T 5750.4-2006</w:t>
            </w:r>
          </w:p>
        </w:tc>
        <w:tc>
          <w:tcPr>
            <w:tcW w:w="2048" w:type="dxa"/>
            <w:tcBorders>
              <w:tl2br w:val="nil"/>
              <w:tr2bl w:val="nil"/>
            </w:tcBorders>
          </w:tcPr>
          <w:p>
            <w:pPr>
              <w:spacing w:line="280" w:lineRule="exact"/>
              <w:jc w:val="center"/>
              <w:rPr>
                <w:bCs/>
                <w:color w:val="auto"/>
                <w:szCs w:val="21"/>
              </w:rPr>
            </w:pPr>
            <w:r>
              <w:rPr>
                <w:bCs/>
                <w:color w:val="auto"/>
                <w:szCs w:val="21"/>
              </w:rPr>
              <w:t>pH 计 PHS-3C</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520" w:type="dxa"/>
            <w:tcBorders>
              <w:tl2br w:val="nil"/>
              <w:tr2bl w:val="nil"/>
            </w:tcBorders>
          </w:tcPr>
          <w:p>
            <w:pPr>
              <w:spacing w:line="280" w:lineRule="exact"/>
              <w:jc w:val="center"/>
              <w:rPr>
                <w:bCs/>
                <w:color w:val="auto"/>
                <w:szCs w:val="21"/>
              </w:rPr>
            </w:pPr>
            <w:r>
              <w:rPr>
                <w:bCs/>
                <w:color w:val="auto"/>
                <w:szCs w:val="21"/>
              </w:rPr>
              <w:t>氟化物</w:t>
            </w:r>
          </w:p>
        </w:tc>
        <w:tc>
          <w:tcPr>
            <w:tcW w:w="4834" w:type="dxa"/>
            <w:tcBorders>
              <w:tl2br w:val="nil"/>
              <w:tr2bl w:val="nil"/>
            </w:tcBorders>
          </w:tcPr>
          <w:p>
            <w:pPr>
              <w:spacing w:line="280" w:lineRule="exact"/>
              <w:jc w:val="center"/>
              <w:rPr>
                <w:bCs/>
                <w:color w:val="auto"/>
                <w:szCs w:val="21"/>
              </w:rPr>
            </w:pPr>
            <w:r>
              <w:rPr>
                <w:bCs/>
                <w:color w:val="auto"/>
                <w:szCs w:val="21"/>
              </w:rPr>
              <w:t>生活饮用水标准检验方法 无机非金属指标 离子选择电极法GB/T 5750.5-2006</w:t>
            </w:r>
          </w:p>
        </w:tc>
        <w:tc>
          <w:tcPr>
            <w:tcW w:w="2048" w:type="dxa"/>
            <w:tcBorders>
              <w:tl2br w:val="nil"/>
              <w:tr2bl w:val="nil"/>
            </w:tcBorders>
          </w:tcPr>
          <w:p>
            <w:pPr>
              <w:spacing w:line="280" w:lineRule="exact"/>
              <w:jc w:val="center"/>
              <w:rPr>
                <w:bCs/>
                <w:color w:val="auto"/>
                <w:szCs w:val="21"/>
              </w:rPr>
            </w:pPr>
            <w:r>
              <w:rPr>
                <w:bCs/>
                <w:color w:val="auto"/>
                <w:szCs w:val="21"/>
              </w:rPr>
              <w:t>氟离子选择电极</w:t>
            </w:r>
          </w:p>
          <w:p>
            <w:pPr>
              <w:spacing w:line="280" w:lineRule="exact"/>
              <w:jc w:val="center"/>
              <w:rPr>
                <w:bCs/>
                <w:color w:val="auto"/>
                <w:szCs w:val="21"/>
              </w:rPr>
            </w:pPr>
            <w:r>
              <w:rPr>
                <w:bCs/>
                <w:color w:val="auto"/>
                <w:szCs w:val="21"/>
              </w:rPr>
              <w:t>PHS-3C</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520" w:type="dxa"/>
            <w:tcBorders>
              <w:tl2br w:val="nil"/>
              <w:tr2bl w:val="nil"/>
            </w:tcBorders>
          </w:tcPr>
          <w:p>
            <w:pPr>
              <w:spacing w:line="280" w:lineRule="exact"/>
              <w:jc w:val="center"/>
              <w:rPr>
                <w:bCs/>
                <w:color w:val="auto"/>
                <w:szCs w:val="21"/>
              </w:rPr>
            </w:pPr>
            <w:r>
              <w:rPr>
                <w:bCs/>
                <w:color w:val="auto"/>
                <w:szCs w:val="21"/>
              </w:rPr>
              <w:t>氨氮</w:t>
            </w:r>
          </w:p>
        </w:tc>
        <w:tc>
          <w:tcPr>
            <w:tcW w:w="4834" w:type="dxa"/>
            <w:tcBorders>
              <w:tl2br w:val="nil"/>
              <w:tr2bl w:val="nil"/>
            </w:tcBorders>
          </w:tcPr>
          <w:p>
            <w:pPr>
              <w:spacing w:line="280" w:lineRule="exact"/>
              <w:jc w:val="center"/>
              <w:rPr>
                <w:bCs/>
                <w:color w:val="auto"/>
                <w:szCs w:val="21"/>
              </w:rPr>
            </w:pPr>
            <w:r>
              <w:rPr>
                <w:bCs/>
                <w:color w:val="auto"/>
                <w:szCs w:val="21"/>
              </w:rPr>
              <w:t>生活饮用水标准检验方法 无机非金属指标</w:t>
            </w:r>
          </w:p>
          <w:p>
            <w:pPr>
              <w:spacing w:line="280" w:lineRule="exact"/>
              <w:jc w:val="center"/>
              <w:rPr>
                <w:bCs/>
                <w:color w:val="auto"/>
                <w:szCs w:val="21"/>
              </w:rPr>
            </w:pPr>
            <w:r>
              <w:rPr>
                <w:bCs/>
                <w:color w:val="auto"/>
                <w:szCs w:val="21"/>
              </w:rPr>
              <w:t>纳氏试剂分光光度法GB/T 5750.5-2006</w:t>
            </w:r>
          </w:p>
        </w:tc>
        <w:tc>
          <w:tcPr>
            <w:tcW w:w="2048" w:type="dxa"/>
            <w:vMerge w:val="restart"/>
            <w:tcBorders>
              <w:tl2br w:val="nil"/>
              <w:tr2bl w:val="nil"/>
            </w:tcBorders>
          </w:tcPr>
          <w:p>
            <w:pPr>
              <w:spacing w:line="280" w:lineRule="exact"/>
              <w:jc w:val="center"/>
              <w:rPr>
                <w:bCs/>
                <w:color w:val="auto"/>
                <w:szCs w:val="21"/>
              </w:rPr>
            </w:pPr>
          </w:p>
          <w:p>
            <w:pPr>
              <w:spacing w:line="280" w:lineRule="exact"/>
              <w:jc w:val="center"/>
              <w:rPr>
                <w:bCs/>
                <w:color w:val="auto"/>
                <w:szCs w:val="21"/>
              </w:rPr>
            </w:pPr>
          </w:p>
          <w:p>
            <w:pPr>
              <w:spacing w:line="280" w:lineRule="exact"/>
              <w:jc w:val="center"/>
              <w:rPr>
                <w:bCs/>
                <w:color w:val="auto"/>
                <w:szCs w:val="21"/>
              </w:rPr>
            </w:pPr>
          </w:p>
          <w:p>
            <w:pPr>
              <w:spacing w:line="280" w:lineRule="exact"/>
              <w:jc w:val="center"/>
              <w:rPr>
                <w:bCs/>
                <w:color w:val="auto"/>
                <w:szCs w:val="21"/>
              </w:rPr>
            </w:pPr>
          </w:p>
          <w:p>
            <w:pPr>
              <w:spacing w:line="280" w:lineRule="exact"/>
              <w:jc w:val="center"/>
              <w:rPr>
                <w:bCs/>
                <w:color w:val="auto"/>
                <w:szCs w:val="21"/>
              </w:rPr>
            </w:pPr>
          </w:p>
          <w:p>
            <w:pPr>
              <w:spacing w:line="280" w:lineRule="exact"/>
              <w:jc w:val="center"/>
              <w:rPr>
                <w:bCs/>
                <w:color w:val="auto"/>
                <w:szCs w:val="21"/>
              </w:rPr>
            </w:pPr>
          </w:p>
          <w:p>
            <w:pPr>
              <w:spacing w:line="280" w:lineRule="exact"/>
              <w:jc w:val="center"/>
              <w:rPr>
                <w:bCs/>
                <w:color w:val="auto"/>
                <w:szCs w:val="21"/>
              </w:rPr>
            </w:pPr>
            <w:r>
              <w:rPr>
                <w:bCs/>
                <w:color w:val="auto"/>
                <w:szCs w:val="21"/>
              </w:rPr>
              <w:t>紫外可见分光光度计</w:t>
            </w:r>
          </w:p>
          <w:p>
            <w:pPr>
              <w:spacing w:line="280" w:lineRule="exact"/>
              <w:jc w:val="center"/>
              <w:rPr>
                <w:bCs/>
                <w:color w:val="auto"/>
                <w:szCs w:val="21"/>
              </w:rPr>
            </w:pPr>
            <w:r>
              <w:rPr>
                <w:bCs/>
                <w:color w:val="auto"/>
                <w:szCs w:val="21"/>
              </w:rPr>
              <w:t>752N</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520" w:type="dxa"/>
            <w:tcBorders>
              <w:tl2br w:val="nil"/>
              <w:tr2bl w:val="nil"/>
            </w:tcBorders>
          </w:tcPr>
          <w:p>
            <w:pPr>
              <w:spacing w:line="280" w:lineRule="exact"/>
              <w:jc w:val="center"/>
              <w:rPr>
                <w:bCs/>
                <w:color w:val="auto"/>
                <w:szCs w:val="21"/>
              </w:rPr>
            </w:pPr>
            <w:r>
              <w:rPr>
                <w:bCs/>
                <w:color w:val="auto"/>
                <w:szCs w:val="21"/>
              </w:rPr>
              <w:t>硝酸盐</w:t>
            </w:r>
          </w:p>
        </w:tc>
        <w:tc>
          <w:tcPr>
            <w:tcW w:w="4834" w:type="dxa"/>
            <w:tcBorders>
              <w:tl2br w:val="nil"/>
              <w:tr2bl w:val="nil"/>
            </w:tcBorders>
          </w:tcPr>
          <w:p>
            <w:pPr>
              <w:spacing w:line="280" w:lineRule="exact"/>
              <w:jc w:val="center"/>
              <w:rPr>
                <w:bCs/>
                <w:color w:val="auto"/>
                <w:szCs w:val="21"/>
              </w:rPr>
            </w:pPr>
            <w:r>
              <w:rPr>
                <w:bCs/>
                <w:color w:val="auto"/>
                <w:szCs w:val="21"/>
              </w:rPr>
              <w:t>生活饮用水标准检验方法 无机非金属指标</w:t>
            </w:r>
          </w:p>
          <w:p>
            <w:pPr>
              <w:spacing w:line="280" w:lineRule="exact"/>
              <w:jc w:val="center"/>
              <w:rPr>
                <w:bCs/>
                <w:color w:val="auto"/>
                <w:szCs w:val="21"/>
              </w:rPr>
            </w:pPr>
            <w:r>
              <w:rPr>
                <w:bCs/>
                <w:color w:val="auto"/>
                <w:szCs w:val="21"/>
              </w:rPr>
              <w:t>紫外分光光度法 GB/T 5750.5-2006</w:t>
            </w:r>
          </w:p>
        </w:tc>
        <w:tc>
          <w:tcPr>
            <w:tcW w:w="2048" w:type="dxa"/>
            <w:vMerge w:val="continue"/>
            <w:tcBorders>
              <w:tl2br w:val="nil"/>
              <w:tr2bl w:val="nil"/>
            </w:tcBorders>
          </w:tcPr>
          <w:p>
            <w:pPr>
              <w:spacing w:line="280" w:lineRule="exact"/>
              <w:jc w:val="center"/>
              <w:rPr>
                <w:bCs/>
                <w:color w:val="auto"/>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520" w:type="dxa"/>
            <w:tcBorders>
              <w:tl2br w:val="nil"/>
              <w:tr2bl w:val="nil"/>
            </w:tcBorders>
          </w:tcPr>
          <w:p>
            <w:pPr>
              <w:spacing w:line="280" w:lineRule="exact"/>
              <w:jc w:val="center"/>
              <w:rPr>
                <w:bCs/>
                <w:color w:val="auto"/>
                <w:szCs w:val="21"/>
              </w:rPr>
            </w:pPr>
            <w:r>
              <w:rPr>
                <w:bCs/>
                <w:color w:val="auto"/>
                <w:szCs w:val="21"/>
              </w:rPr>
              <w:t>亚硝酸盐</w:t>
            </w:r>
          </w:p>
        </w:tc>
        <w:tc>
          <w:tcPr>
            <w:tcW w:w="4834" w:type="dxa"/>
            <w:tcBorders>
              <w:tl2br w:val="nil"/>
              <w:tr2bl w:val="nil"/>
            </w:tcBorders>
          </w:tcPr>
          <w:p>
            <w:pPr>
              <w:spacing w:line="280" w:lineRule="exact"/>
              <w:jc w:val="center"/>
              <w:rPr>
                <w:bCs/>
                <w:color w:val="auto"/>
                <w:szCs w:val="21"/>
              </w:rPr>
            </w:pPr>
            <w:r>
              <w:rPr>
                <w:bCs/>
                <w:color w:val="auto"/>
                <w:szCs w:val="21"/>
              </w:rPr>
              <w:t>生活饮用水标准检验方法 无机非金属指标</w:t>
            </w:r>
          </w:p>
          <w:p>
            <w:pPr>
              <w:spacing w:line="280" w:lineRule="exact"/>
              <w:jc w:val="center"/>
              <w:rPr>
                <w:bCs/>
                <w:color w:val="auto"/>
                <w:szCs w:val="21"/>
              </w:rPr>
            </w:pPr>
            <w:r>
              <w:rPr>
                <w:bCs/>
                <w:color w:val="auto"/>
                <w:szCs w:val="21"/>
              </w:rPr>
              <w:t>重氮偶合分光光度法GB/T 5750.5-2006</w:t>
            </w:r>
          </w:p>
        </w:tc>
        <w:tc>
          <w:tcPr>
            <w:tcW w:w="2048" w:type="dxa"/>
            <w:vMerge w:val="continue"/>
            <w:tcBorders>
              <w:tl2br w:val="nil"/>
              <w:tr2bl w:val="nil"/>
            </w:tcBorders>
          </w:tcPr>
          <w:p>
            <w:pPr>
              <w:spacing w:line="280" w:lineRule="exact"/>
              <w:jc w:val="center"/>
              <w:rPr>
                <w:bCs/>
                <w:color w:val="auto"/>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520" w:type="dxa"/>
            <w:tcBorders>
              <w:tl2br w:val="nil"/>
              <w:tr2bl w:val="nil"/>
            </w:tcBorders>
          </w:tcPr>
          <w:p>
            <w:pPr>
              <w:spacing w:line="280" w:lineRule="exact"/>
              <w:jc w:val="center"/>
              <w:rPr>
                <w:bCs/>
                <w:color w:val="auto"/>
                <w:szCs w:val="21"/>
              </w:rPr>
            </w:pPr>
            <w:r>
              <w:rPr>
                <w:bCs/>
                <w:color w:val="auto"/>
                <w:szCs w:val="21"/>
              </w:rPr>
              <w:t>硫酸盐</w:t>
            </w:r>
          </w:p>
        </w:tc>
        <w:tc>
          <w:tcPr>
            <w:tcW w:w="4834" w:type="dxa"/>
            <w:tcBorders>
              <w:tl2br w:val="nil"/>
              <w:tr2bl w:val="nil"/>
            </w:tcBorders>
          </w:tcPr>
          <w:p>
            <w:pPr>
              <w:spacing w:line="280" w:lineRule="exact"/>
              <w:jc w:val="center"/>
              <w:rPr>
                <w:bCs/>
                <w:color w:val="auto"/>
                <w:szCs w:val="21"/>
              </w:rPr>
            </w:pPr>
            <w:r>
              <w:rPr>
                <w:bCs/>
                <w:color w:val="auto"/>
                <w:szCs w:val="21"/>
              </w:rPr>
              <w:t>生活饮用水标准检验方法 无机非金属指标</w:t>
            </w:r>
          </w:p>
          <w:p>
            <w:pPr>
              <w:spacing w:line="280" w:lineRule="exact"/>
              <w:jc w:val="center"/>
              <w:rPr>
                <w:bCs/>
                <w:color w:val="auto"/>
                <w:szCs w:val="21"/>
              </w:rPr>
            </w:pPr>
            <w:r>
              <w:rPr>
                <w:bCs/>
                <w:color w:val="auto"/>
                <w:szCs w:val="21"/>
              </w:rPr>
              <w:t>铬酸钡分光光度法(热法)GB/T 5750.5-2006</w:t>
            </w:r>
          </w:p>
        </w:tc>
        <w:tc>
          <w:tcPr>
            <w:tcW w:w="2048" w:type="dxa"/>
            <w:vMerge w:val="continue"/>
            <w:tcBorders>
              <w:tl2br w:val="nil"/>
              <w:tr2bl w:val="nil"/>
            </w:tcBorders>
          </w:tcPr>
          <w:p>
            <w:pPr>
              <w:spacing w:line="280" w:lineRule="exact"/>
              <w:jc w:val="center"/>
              <w:rPr>
                <w:bCs/>
                <w:color w:val="auto"/>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520" w:type="dxa"/>
            <w:tcBorders>
              <w:tl2br w:val="nil"/>
              <w:tr2bl w:val="nil"/>
            </w:tcBorders>
          </w:tcPr>
          <w:p>
            <w:pPr>
              <w:spacing w:line="280" w:lineRule="exact"/>
              <w:jc w:val="center"/>
              <w:rPr>
                <w:bCs/>
                <w:color w:val="auto"/>
                <w:szCs w:val="21"/>
              </w:rPr>
            </w:pPr>
            <w:r>
              <w:rPr>
                <w:bCs/>
                <w:color w:val="auto"/>
                <w:szCs w:val="21"/>
              </w:rPr>
              <w:t>氰化物</w:t>
            </w:r>
          </w:p>
        </w:tc>
        <w:tc>
          <w:tcPr>
            <w:tcW w:w="4834" w:type="dxa"/>
            <w:tcBorders>
              <w:tl2br w:val="nil"/>
              <w:tr2bl w:val="nil"/>
            </w:tcBorders>
          </w:tcPr>
          <w:p>
            <w:pPr>
              <w:spacing w:line="280" w:lineRule="exact"/>
              <w:jc w:val="center"/>
              <w:rPr>
                <w:bCs/>
                <w:color w:val="auto"/>
                <w:szCs w:val="21"/>
              </w:rPr>
            </w:pPr>
            <w:r>
              <w:rPr>
                <w:bCs/>
                <w:color w:val="auto"/>
                <w:szCs w:val="21"/>
              </w:rPr>
              <w:t>生活饮用水标准检验方法 无机非金属指标 异烟酸-</w:t>
            </w:r>
          </w:p>
          <w:p>
            <w:pPr>
              <w:spacing w:line="280" w:lineRule="exact"/>
              <w:jc w:val="center"/>
              <w:rPr>
                <w:bCs/>
                <w:color w:val="auto"/>
                <w:szCs w:val="21"/>
              </w:rPr>
            </w:pPr>
            <w:r>
              <w:rPr>
                <w:bCs/>
                <w:color w:val="auto"/>
                <w:szCs w:val="21"/>
              </w:rPr>
              <w:t>吡唑啉酮分光光度法GB/T 5750.5-2006</w:t>
            </w:r>
          </w:p>
        </w:tc>
        <w:tc>
          <w:tcPr>
            <w:tcW w:w="2048" w:type="dxa"/>
            <w:vMerge w:val="continue"/>
            <w:tcBorders>
              <w:tl2br w:val="nil"/>
              <w:tr2bl w:val="nil"/>
            </w:tcBorders>
          </w:tcPr>
          <w:p>
            <w:pPr>
              <w:spacing w:line="280" w:lineRule="exact"/>
              <w:jc w:val="center"/>
              <w:rPr>
                <w:bCs/>
                <w:color w:val="auto"/>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520" w:type="dxa"/>
            <w:tcBorders>
              <w:tl2br w:val="nil"/>
              <w:tr2bl w:val="nil"/>
            </w:tcBorders>
          </w:tcPr>
          <w:p>
            <w:pPr>
              <w:spacing w:line="280" w:lineRule="exact"/>
              <w:jc w:val="center"/>
              <w:rPr>
                <w:bCs/>
                <w:color w:val="auto"/>
                <w:szCs w:val="21"/>
              </w:rPr>
            </w:pPr>
          </w:p>
          <w:p>
            <w:pPr>
              <w:spacing w:line="280" w:lineRule="exact"/>
              <w:jc w:val="center"/>
              <w:rPr>
                <w:bCs/>
                <w:color w:val="auto"/>
                <w:szCs w:val="21"/>
              </w:rPr>
            </w:pPr>
            <w:r>
              <w:rPr>
                <w:bCs/>
                <w:color w:val="auto"/>
                <w:szCs w:val="21"/>
              </w:rPr>
              <w:t>挥发性酚类</w:t>
            </w:r>
          </w:p>
        </w:tc>
        <w:tc>
          <w:tcPr>
            <w:tcW w:w="4834" w:type="dxa"/>
            <w:tcBorders>
              <w:tl2br w:val="nil"/>
              <w:tr2bl w:val="nil"/>
            </w:tcBorders>
          </w:tcPr>
          <w:p>
            <w:pPr>
              <w:spacing w:line="280" w:lineRule="exact"/>
              <w:jc w:val="center"/>
              <w:rPr>
                <w:bCs/>
                <w:color w:val="auto"/>
                <w:szCs w:val="21"/>
              </w:rPr>
            </w:pPr>
            <w:r>
              <w:rPr>
                <w:bCs/>
                <w:color w:val="auto"/>
                <w:szCs w:val="21"/>
              </w:rPr>
              <w:t>生活饮用水标准检验方法 感官性状和物理指标 4-氨基安替吡啉三氯甲烷萃取分光光度法</w:t>
            </w:r>
          </w:p>
          <w:p>
            <w:pPr>
              <w:spacing w:line="280" w:lineRule="exact"/>
              <w:jc w:val="center"/>
              <w:rPr>
                <w:bCs/>
                <w:color w:val="auto"/>
                <w:szCs w:val="21"/>
              </w:rPr>
            </w:pPr>
            <w:r>
              <w:rPr>
                <w:bCs/>
                <w:color w:val="auto"/>
                <w:szCs w:val="21"/>
              </w:rPr>
              <w:t>GB/T 5750.4-2006 (9.2)</w:t>
            </w:r>
          </w:p>
        </w:tc>
        <w:tc>
          <w:tcPr>
            <w:tcW w:w="2048" w:type="dxa"/>
            <w:vMerge w:val="continue"/>
            <w:tcBorders>
              <w:tl2br w:val="nil"/>
              <w:tr2bl w:val="nil"/>
            </w:tcBorders>
          </w:tcPr>
          <w:p>
            <w:pPr>
              <w:spacing w:line="280" w:lineRule="exact"/>
              <w:jc w:val="center"/>
              <w:rPr>
                <w:bCs/>
                <w:color w:val="auto"/>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520" w:type="dxa"/>
            <w:tcBorders>
              <w:tl2br w:val="nil"/>
              <w:tr2bl w:val="nil"/>
            </w:tcBorders>
          </w:tcPr>
          <w:p>
            <w:pPr>
              <w:spacing w:line="280" w:lineRule="exact"/>
              <w:jc w:val="center"/>
              <w:rPr>
                <w:bCs/>
                <w:color w:val="auto"/>
                <w:szCs w:val="21"/>
              </w:rPr>
            </w:pPr>
            <w:r>
              <w:rPr>
                <w:bCs/>
                <w:color w:val="auto"/>
                <w:szCs w:val="21"/>
              </w:rPr>
              <w:t>总硬度</w:t>
            </w:r>
          </w:p>
        </w:tc>
        <w:tc>
          <w:tcPr>
            <w:tcW w:w="4834" w:type="dxa"/>
            <w:tcBorders>
              <w:tl2br w:val="nil"/>
              <w:tr2bl w:val="nil"/>
            </w:tcBorders>
          </w:tcPr>
          <w:p>
            <w:pPr>
              <w:spacing w:line="280" w:lineRule="exact"/>
              <w:jc w:val="center"/>
              <w:rPr>
                <w:bCs/>
                <w:color w:val="auto"/>
                <w:szCs w:val="21"/>
              </w:rPr>
            </w:pPr>
            <w:r>
              <w:rPr>
                <w:bCs/>
                <w:color w:val="auto"/>
                <w:szCs w:val="21"/>
              </w:rPr>
              <w:t>生活饮用水标准检验方法 感官性状和物理指标乙二</w:t>
            </w:r>
          </w:p>
          <w:p>
            <w:pPr>
              <w:spacing w:line="280" w:lineRule="exact"/>
              <w:jc w:val="center"/>
              <w:rPr>
                <w:bCs/>
                <w:color w:val="auto"/>
                <w:szCs w:val="21"/>
              </w:rPr>
            </w:pPr>
            <w:r>
              <w:rPr>
                <w:bCs/>
                <w:color w:val="auto"/>
                <w:szCs w:val="21"/>
              </w:rPr>
              <w:t>胺四乙酸二钠滴定法GB/T 5750.4-2006</w:t>
            </w:r>
          </w:p>
        </w:tc>
        <w:tc>
          <w:tcPr>
            <w:tcW w:w="2048" w:type="dxa"/>
            <w:vMerge w:val="restart"/>
            <w:tcBorders>
              <w:tl2br w:val="nil"/>
              <w:tr2bl w:val="nil"/>
            </w:tcBorders>
          </w:tcPr>
          <w:p>
            <w:pPr>
              <w:spacing w:line="280" w:lineRule="exact"/>
              <w:jc w:val="center"/>
              <w:rPr>
                <w:bCs/>
                <w:color w:val="auto"/>
                <w:szCs w:val="21"/>
              </w:rPr>
            </w:pPr>
          </w:p>
          <w:p>
            <w:pPr>
              <w:spacing w:line="280" w:lineRule="exact"/>
              <w:jc w:val="center"/>
              <w:rPr>
                <w:bCs/>
                <w:color w:val="auto"/>
                <w:szCs w:val="21"/>
              </w:rPr>
            </w:pPr>
          </w:p>
          <w:p>
            <w:pPr>
              <w:spacing w:line="280" w:lineRule="exact"/>
              <w:jc w:val="center"/>
              <w:rPr>
                <w:bCs/>
                <w:color w:val="auto"/>
                <w:szCs w:val="21"/>
              </w:rPr>
            </w:pPr>
          </w:p>
          <w:p>
            <w:pPr>
              <w:spacing w:line="280" w:lineRule="exact"/>
              <w:jc w:val="center"/>
              <w:rPr>
                <w:bCs/>
                <w:color w:val="auto"/>
                <w:szCs w:val="21"/>
              </w:rPr>
            </w:pPr>
            <w:r>
              <w:rPr>
                <w:bCs/>
                <w:color w:val="auto"/>
                <w:szCs w:val="21"/>
              </w:rPr>
              <w:t>酸式滴定管 50mL</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520" w:type="dxa"/>
            <w:tcBorders>
              <w:tl2br w:val="nil"/>
              <w:tr2bl w:val="nil"/>
            </w:tcBorders>
          </w:tcPr>
          <w:p>
            <w:pPr>
              <w:spacing w:line="280" w:lineRule="exact"/>
              <w:jc w:val="center"/>
              <w:rPr>
                <w:bCs/>
                <w:color w:val="auto"/>
                <w:szCs w:val="21"/>
              </w:rPr>
            </w:pPr>
            <w:r>
              <w:rPr>
                <w:bCs/>
                <w:color w:val="auto"/>
                <w:szCs w:val="21"/>
              </w:rPr>
              <w:t>碳酸盐</w:t>
            </w:r>
          </w:p>
        </w:tc>
        <w:tc>
          <w:tcPr>
            <w:tcW w:w="4834" w:type="dxa"/>
            <w:vMerge w:val="restart"/>
            <w:tcBorders>
              <w:tl2br w:val="nil"/>
              <w:tr2bl w:val="nil"/>
            </w:tcBorders>
          </w:tcPr>
          <w:p>
            <w:pPr>
              <w:spacing w:line="280" w:lineRule="exact"/>
              <w:jc w:val="center"/>
              <w:rPr>
                <w:bCs/>
                <w:color w:val="auto"/>
                <w:szCs w:val="21"/>
              </w:rPr>
            </w:pPr>
            <w:r>
              <w:rPr>
                <w:bCs/>
                <w:color w:val="auto"/>
                <w:szCs w:val="21"/>
              </w:rPr>
              <w:t>酸碱指示剂滴定法《水和废水监测分析方法》(第四版) 国家环保局保护法(2002 年)</w:t>
            </w:r>
          </w:p>
        </w:tc>
        <w:tc>
          <w:tcPr>
            <w:tcW w:w="2048" w:type="dxa"/>
            <w:vMerge w:val="continue"/>
            <w:tcBorders>
              <w:tl2br w:val="nil"/>
              <w:tr2bl w:val="nil"/>
            </w:tcBorders>
          </w:tcPr>
          <w:p>
            <w:pPr>
              <w:spacing w:line="280" w:lineRule="exact"/>
              <w:jc w:val="center"/>
              <w:rPr>
                <w:bCs/>
                <w:color w:val="auto"/>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520" w:type="dxa"/>
            <w:tcBorders>
              <w:tl2br w:val="nil"/>
              <w:tr2bl w:val="nil"/>
            </w:tcBorders>
          </w:tcPr>
          <w:p>
            <w:pPr>
              <w:spacing w:line="280" w:lineRule="exact"/>
              <w:jc w:val="center"/>
              <w:rPr>
                <w:bCs/>
                <w:color w:val="auto"/>
                <w:szCs w:val="21"/>
              </w:rPr>
            </w:pPr>
            <w:r>
              <w:rPr>
                <w:bCs/>
                <w:color w:val="auto"/>
                <w:szCs w:val="21"/>
              </w:rPr>
              <w:t>重碳酸盐</w:t>
            </w:r>
          </w:p>
        </w:tc>
        <w:tc>
          <w:tcPr>
            <w:tcW w:w="4834" w:type="dxa"/>
            <w:vMerge w:val="continue"/>
            <w:tcBorders>
              <w:tl2br w:val="nil"/>
              <w:tr2bl w:val="nil"/>
            </w:tcBorders>
          </w:tcPr>
          <w:p>
            <w:pPr>
              <w:spacing w:line="280" w:lineRule="exact"/>
              <w:jc w:val="center"/>
              <w:rPr>
                <w:bCs/>
                <w:color w:val="auto"/>
                <w:szCs w:val="21"/>
              </w:rPr>
            </w:pPr>
          </w:p>
        </w:tc>
        <w:tc>
          <w:tcPr>
            <w:tcW w:w="2048" w:type="dxa"/>
            <w:vMerge w:val="continue"/>
            <w:tcBorders>
              <w:tl2br w:val="nil"/>
              <w:tr2bl w:val="nil"/>
            </w:tcBorders>
          </w:tcPr>
          <w:p>
            <w:pPr>
              <w:spacing w:line="280" w:lineRule="exact"/>
              <w:jc w:val="center"/>
              <w:rPr>
                <w:bCs/>
                <w:color w:val="auto"/>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520" w:type="dxa"/>
            <w:tcBorders>
              <w:tl2br w:val="nil"/>
              <w:tr2bl w:val="nil"/>
            </w:tcBorders>
          </w:tcPr>
          <w:p>
            <w:pPr>
              <w:spacing w:line="280" w:lineRule="exact"/>
              <w:jc w:val="center"/>
              <w:rPr>
                <w:bCs/>
                <w:color w:val="auto"/>
                <w:szCs w:val="21"/>
              </w:rPr>
            </w:pPr>
            <w:r>
              <w:rPr>
                <w:bCs/>
                <w:color w:val="auto"/>
                <w:szCs w:val="21"/>
              </w:rPr>
              <w:t>氯化物</w:t>
            </w:r>
          </w:p>
        </w:tc>
        <w:tc>
          <w:tcPr>
            <w:tcW w:w="4834" w:type="dxa"/>
            <w:tcBorders>
              <w:tl2br w:val="nil"/>
              <w:tr2bl w:val="nil"/>
            </w:tcBorders>
          </w:tcPr>
          <w:p>
            <w:pPr>
              <w:spacing w:line="280" w:lineRule="exact"/>
              <w:jc w:val="center"/>
              <w:rPr>
                <w:bCs/>
                <w:color w:val="auto"/>
                <w:szCs w:val="21"/>
              </w:rPr>
            </w:pPr>
            <w:r>
              <w:rPr>
                <w:bCs/>
                <w:color w:val="auto"/>
                <w:szCs w:val="21"/>
              </w:rPr>
              <w:t>生活饮用水标准检验方法 无机非金属指标</w:t>
            </w:r>
          </w:p>
          <w:p>
            <w:pPr>
              <w:spacing w:line="280" w:lineRule="exact"/>
              <w:jc w:val="center"/>
              <w:rPr>
                <w:bCs/>
                <w:color w:val="auto"/>
                <w:szCs w:val="21"/>
              </w:rPr>
            </w:pPr>
            <w:r>
              <w:rPr>
                <w:bCs/>
                <w:color w:val="auto"/>
                <w:szCs w:val="21"/>
              </w:rPr>
              <w:t>硝酸银容量法 GB/T 5750.5-2006</w:t>
            </w:r>
          </w:p>
        </w:tc>
        <w:tc>
          <w:tcPr>
            <w:tcW w:w="2048" w:type="dxa"/>
            <w:vMerge w:val="continue"/>
            <w:tcBorders>
              <w:tl2br w:val="nil"/>
              <w:tr2bl w:val="nil"/>
            </w:tcBorders>
          </w:tcPr>
          <w:p>
            <w:pPr>
              <w:spacing w:line="280" w:lineRule="exact"/>
              <w:jc w:val="center"/>
              <w:rPr>
                <w:bCs/>
                <w:color w:val="auto"/>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520" w:type="dxa"/>
            <w:tcBorders>
              <w:tl2br w:val="nil"/>
              <w:tr2bl w:val="nil"/>
            </w:tcBorders>
          </w:tcPr>
          <w:p>
            <w:pPr>
              <w:spacing w:line="280" w:lineRule="exact"/>
              <w:jc w:val="center"/>
              <w:rPr>
                <w:bCs/>
                <w:color w:val="auto"/>
                <w:szCs w:val="21"/>
              </w:rPr>
            </w:pPr>
          </w:p>
          <w:p>
            <w:pPr>
              <w:spacing w:line="280" w:lineRule="exact"/>
              <w:jc w:val="center"/>
              <w:rPr>
                <w:bCs/>
                <w:color w:val="auto"/>
                <w:szCs w:val="21"/>
              </w:rPr>
            </w:pPr>
            <w:r>
              <w:rPr>
                <w:bCs/>
                <w:color w:val="auto"/>
                <w:szCs w:val="21"/>
              </w:rPr>
              <w:t>溶解性总固体</w:t>
            </w:r>
          </w:p>
        </w:tc>
        <w:tc>
          <w:tcPr>
            <w:tcW w:w="4834" w:type="dxa"/>
            <w:tcBorders>
              <w:tl2br w:val="nil"/>
              <w:tr2bl w:val="nil"/>
            </w:tcBorders>
          </w:tcPr>
          <w:p>
            <w:pPr>
              <w:spacing w:line="280" w:lineRule="exact"/>
              <w:jc w:val="center"/>
              <w:rPr>
                <w:bCs/>
                <w:color w:val="auto"/>
                <w:szCs w:val="21"/>
              </w:rPr>
            </w:pPr>
            <w:r>
              <w:rPr>
                <w:bCs/>
                <w:color w:val="auto"/>
                <w:szCs w:val="21"/>
              </w:rPr>
              <w:t>生活饮用水标准检验方法 感官性状和物理指标 称量法 GB/T 5750.4-2006</w:t>
            </w:r>
          </w:p>
        </w:tc>
        <w:tc>
          <w:tcPr>
            <w:tcW w:w="2048" w:type="dxa"/>
            <w:tcBorders>
              <w:tl2br w:val="nil"/>
              <w:tr2bl w:val="nil"/>
            </w:tcBorders>
          </w:tcPr>
          <w:p>
            <w:pPr>
              <w:spacing w:line="280" w:lineRule="exact"/>
              <w:jc w:val="center"/>
              <w:rPr>
                <w:bCs/>
                <w:color w:val="auto"/>
                <w:szCs w:val="21"/>
              </w:rPr>
            </w:pPr>
            <w:r>
              <w:rPr>
                <w:bCs/>
                <w:color w:val="auto"/>
                <w:szCs w:val="21"/>
              </w:rPr>
              <w:t>真空干燥箱DZF-6020、电子天平</w:t>
            </w:r>
          </w:p>
          <w:p>
            <w:pPr>
              <w:spacing w:line="280" w:lineRule="exact"/>
              <w:jc w:val="center"/>
              <w:rPr>
                <w:bCs/>
                <w:color w:val="auto"/>
                <w:szCs w:val="21"/>
              </w:rPr>
            </w:pPr>
            <w:r>
              <w:rPr>
                <w:bCs/>
                <w:color w:val="auto"/>
                <w:szCs w:val="21"/>
              </w:rPr>
              <w:t>PWN125DZH</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520" w:type="dxa"/>
            <w:tcBorders>
              <w:tl2br w:val="nil"/>
              <w:tr2bl w:val="nil"/>
            </w:tcBorders>
          </w:tcPr>
          <w:p>
            <w:pPr>
              <w:spacing w:line="280" w:lineRule="exact"/>
              <w:jc w:val="center"/>
              <w:rPr>
                <w:bCs/>
                <w:color w:val="auto"/>
                <w:szCs w:val="21"/>
              </w:rPr>
            </w:pPr>
            <w:r>
              <w:rPr>
                <w:bCs/>
                <w:color w:val="auto"/>
                <w:szCs w:val="21"/>
              </w:rPr>
              <w:t>高锰酸盐指数</w:t>
            </w:r>
          </w:p>
        </w:tc>
        <w:tc>
          <w:tcPr>
            <w:tcW w:w="4834" w:type="dxa"/>
            <w:tcBorders>
              <w:tl2br w:val="nil"/>
              <w:tr2bl w:val="nil"/>
            </w:tcBorders>
          </w:tcPr>
          <w:p>
            <w:pPr>
              <w:spacing w:line="280" w:lineRule="exact"/>
              <w:jc w:val="center"/>
              <w:rPr>
                <w:bCs/>
                <w:color w:val="auto"/>
                <w:szCs w:val="21"/>
              </w:rPr>
            </w:pPr>
            <w:r>
              <w:rPr>
                <w:bCs/>
                <w:color w:val="auto"/>
                <w:szCs w:val="21"/>
              </w:rPr>
              <w:t>生活饮用水标准检验方法 有机物综合指标</w:t>
            </w:r>
          </w:p>
          <w:p>
            <w:pPr>
              <w:spacing w:line="280" w:lineRule="exact"/>
              <w:jc w:val="center"/>
              <w:rPr>
                <w:bCs/>
                <w:color w:val="auto"/>
                <w:szCs w:val="21"/>
              </w:rPr>
            </w:pPr>
            <w:r>
              <w:rPr>
                <w:bCs/>
                <w:color w:val="auto"/>
                <w:szCs w:val="21"/>
              </w:rPr>
              <w:t>高锰酸钾滴定法 GB/T5750.7-2006</w:t>
            </w:r>
          </w:p>
        </w:tc>
        <w:tc>
          <w:tcPr>
            <w:tcW w:w="2048" w:type="dxa"/>
            <w:tcBorders>
              <w:tl2br w:val="nil"/>
              <w:tr2bl w:val="nil"/>
            </w:tcBorders>
          </w:tcPr>
          <w:p>
            <w:pPr>
              <w:spacing w:line="280" w:lineRule="exact"/>
              <w:jc w:val="center"/>
              <w:rPr>
                <w:bCs/>
                <w:color w:val="auto"/>
                <w:szCs w:val="21"/>
              </w:rPr>
            </w:pPr>
            <w:r>
              <w:rPr>
                <w:bCs/>
                <w:color w:val="auto"/>
                <w:szCs w:val="21"/>
              </w:rPr>
              <w:t>酸式滴定管 50mL、</w:t>
            </w:r>
          </w:p>
          <w:p>
            <w:pPr>
              <w:spacing w:line="280" w:lineRule="exact"/>
              <w:jc w:val="center"/>
              <w:rPr>
                <w:bCs/>
                <w:color w:val="auto"/>
                <w:szCs w:val="21"/>
              </w:rPr>
            </w:pPr>
            <w:r>
              <w:rPr>
                <w:bCs/>
                <w:color w:val="auto"/>
                <w:szCs w:val="21"/>
              </w:rPr>
              <w:t>水浴锅 HH-8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520" w:type="dxa"/>
            <w:tcBorders>
              <w:tl2br w:val="nil"/>
              <w:tr2bl w:val="nil"/>
            </w:tcBorders>
          </w:tcPr>
          <w:p>
            <w:pPr>
              <w:spacing w:line="280" w:lineRule="exact"/>
              <w:jc w:val="center"/>
              <w:rPr>
                <w:bCs/>
                <w:color w:val="auto"/>
                <w:szCs w:val="21"/>
              </w:rPr>
            </w:pPr>
            <w:r>
              <w:rPr>
                <w:bCs/>
                <w:color w:val="auto"/>
                <w:szCs w:val="21"/>
              </w:rPr>
              <w:t>钾※</w:t>
            </w:r>
          </w:p>
        </w:tc>
        <w:tc>
          <w:tcPr>
            <w:tcW w:w="4834" w:type="dxa"/>
            <w:vMerge w:val="restart"/>
            <w:tcBorders>
              <w:tl2br w:val="nil"/>
              <w:tr2bl w:val="nil"/>
            </w:tcBorders>
          </w:tcPr>
          <w:p>
            <w:pPr>
              <w:spacing w:line="280" w:lineRule="exact"/>
              <w:jc w:val="center"/>
              <w:rPr>
                <w:bCs/>
                <w:color w:val="auto"/>
                <w:szCs w:val="21"/>
              </w:rPr>
            </w:pPr>
            <w:r>
              <w:rPr>
                <w:bCs/>
                <w:color w:val="auto"/>
                <w:szCs w:val="21"/>
              </w:rPr>
              <w:t>生活饮用水标准检验方法 金属指标</w:t>
            </w:r>
          </w:p>
          <w:p>
            <w:pPr>
              <w:spacing w:line="280" w:lineRule="exact"/>
              <w:jc w:val="center"/>
              <w:rPr>
                <w:bCs/>
                <w:color w:val="auto"/>
                <w:szCs w:val="21"/>
              </w:rPr>
            </w:pPr>
            <w:r>
              <w:rPr>
                <w:bCs/>
                <w:color w:val="auto"/>
                <w:szCs w:val="21"/>
              </w:rPr>
              <w:t>GB/T 5750.6-2006（1.4）</w:t>
            </w:r>
          </w:p>
        </w:tc>
        <w:tc>
          <w:tcPr>
            <w:tcW w:w="2048" w:type="dxa"/>
            <w:vMerge w:val="restart"/>
            <w:tcBorders>
              <w:tl2br w:val="nil"/>
              <w:tr2bl w:val="nil"/>
            </w:tcBorders>
          </w:tcPr>
          <w:p>
            <w:pPr>
              <w:spacing w:line="280" w:lineRule="exact"/>
              <w:jc w:val="center"/>
              <w:rPr>
                <w:bCs/>
                <w:color w:val="auto"/>
                <w:szCs w:val="21"/>
              </w:rPr>
            </w:pPr>
          </w:p>
          <w:p>
            <w:pPr>
              <w:spacing w:line="280" w:lineRule="exact"/>
              <w:jc w:val="center"/>
              <w:rPr>
                <w:bCs/>
                <w:color w:val="auto"/>
                <w:szCs w:val="21"/>
              </w:rPr>
            </w:pPr>
          </w:p>
          <w:p>
            <w:pPr>
              <w:spacing w:line="280" w:lineRule="exact"/>
              <w:jc w:val="center"/>
              <w:rPr>
                <w:bCs/>
                <w:color w:val="auto"/>
                <w:szCs w:val="21"/>
              </w:rPr>
            </w:pPr>
          </w:p>
          <w:p>
            <w:pPr>
              <w:spacing w:line="280" w:lineRule="exact"/>
              <w:jc w:val="center"/>
              <w:rPr>
                <w:bCs/>
                <w:color w:val="auto"/>
                <w:szCs w:val="21"/>
              </w:rPr>
            </w:pPr>
          </w:p>
          <w:p>
            <w:pPr>
              <w:spacing w:line="280" w:lineRule="exact"/>
              <w:jc w:val="center"/>
              <w:rPr>
                <w:bCs/>
                <w:color w:val="auto"/>
                <w:szCs w:val="21"/>
              </w:rPr>
            </w:pPr>
            <w:r>
              <w:rPr>
                <w:bCs/>
                <w:color w:val="auto"/>
                <w:szCs w:val="21"/>
              </w:rPr>
              <w:t>电感耦合等离子体发射光谱仪 Optima8000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520" w:type="dxa"/>
            <w:tcBorders>
              <w:tl2br w:val="nil"/>
              <w:tr2bl w:val="nil"/>
            </w:tcBorders>
          </w:tcPr>
          <w:p>
            <w:pPr>
              <w:spacing w:line="280" w:lineRule="exact"/>
              <w:jc w:val="center"/>
              <w:rPr>
                <w:bCs/>
                <w:color w:val="auto"/>
                <w:szCs w:val="21"/>
              </w:rPr>
            </w:pPr>
            <w:r>
              <w:rPr>
                <w:bCs/>
                <w:color w:val="auto"/>
                <w:szCs w:val="21"/>
              </w:rPr>
              <w:t>钠※</w:t>
            </w:r>
          </w:p>
        </w:tc>
        <w:tc>
          <w:tcPr>
            <w:tcW w:w="4834" w:type="dxa"/>
            <w:vMerge w:val="continue"/>
            <w:tcBorders>
              <w:tl2br w:val="nil"/>
              <w:tr2bl w:val="nil"/>
            </w:tcBorders>
          </w:tcPr>
          <w:p>
            <w:pPr>
              <w:spacing w:line="280" w:lineRule="exact"/>
              <w:jc w:val="center"/>
              <w:rPr>
                <w:bCs/>
                <w:color w:val="auto"/>
                <w:szCs w:val="21"/>
              </w:rPr>
            </w:pPr>
          </w:p>
        </w:tc>
        <w:tc>
          <w:tcPr>
            <w:tcW w:w="2048" w:type="dxa"/>
            <w:vMerge w:val="continue"/>
            <w:tcBorders>
              <w:tl2br w:val="nil"/>
              <w:tr2bl w:val="nil"/>
            </w:tcBorders>
          </w:tcPr>
          <w:p>
            <w:pPr>
              <w:spacing w:line="280" w:lineRule="exact"/>
              <w:jc w:val="center"/>
              <w:rPr>
                <w:bCs/>
                <w:color w:val="auto"/>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520" w:type="dxa"/>
            <w:tcBorders>
              <w:tl2br w:val="nil"/>
              <w:tr2bl w:val="nil"/>
            </w:tcBorders>
          </w:tcPr>
          <w:p>
            <w:pPr>
              <w:spacing w:line="280" w:lineRule="exact"/>
              <w:jc w:val="center"/>
              <w:rPr>
                <w:bCs/>
                <w:color w:val="auto"/>
                <w:szCs w:val="21"/>
              </w:rPr>
            </w:pPr>
            <w:r>
              <w:rPr>
                <w:bCs/>
                <w:color w:val="auto"/>
                <w:szCs w:val="21"/>
              </w:rPr>
              <w:t>钙※</w:t>
            </w:r>
          </w:p>
        </w:tc>
        <w:tc>
          <w:tcPr>
            <w:tcW w:w="4834" w:type="dxa"/>
            <w:vMerge w:val="continue"/>
            <w:tcBorders>
              <w:tl2br w:val="nil"/>
              <w:tr2bl w:val="nil"/>
            </w:tcBorders>
          </w:tcPr>
          <w:p>
            <w:pPr>
              <w:spacing w:line="280" w:lineRule="exact"/>
              <w:jc w:val="center"/>
              <w:rPr>
                <w:bCs/>
                <w:color w:val="auto"/>
                <w:szCs w:val="21"/>
              </w:rPr>
            </w:pPr>
          </w:p>
        </w:tc>
        <w:tc>
          <w:tcPr>
            <w:tcW w:w="2048" w:type="dxa"/>
            <w:vMerge w:val="continue"/>
            <w:tcBorders>
              <w:tl2br w:val="nil"/>
              <w:tr2bl w:val="nil"/>
            </w:tcBorders>
          </w:tcPr>
          <w:p>
            <w:pPr>
              <w:spacing w:line="280" w:lineRule="exact"/>
              <w:jc w:val="center"/>
              <w:rPr>
                <w:bCs/>
                <w:color w:val="auto"/>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520" w:type="dxa"/>
            <w:tcBorders>
              <w:tl2br w:val="nil"/>
              <w:tr2bl w:val="nil"/>
            </w:tcBorders>
          </w:tcPr>
          <w:p>
            <w:pPr>
              <w:spacing w:line="280" w:lineRule="exact"/>
              <w:jc w:val="center"/>
              <w:rPr>
                <w:bCs/>
                <w:color w:val="auto"/>
                <w:szCs w:val="21"/>
              </w:rPr>
            </w:pPr>
            <w:r>
              <w:rPr>
                <w:bCs/>
                <w:color w:val="auto"/>
                <w:szCs w:val="21"/>
              </w:rPr>
              <w:t>镁※</w:t>
            </w:r>
          </w:p>
        </w:tc>
        <w:tc>
          <w:tcPr>
            <w:tcW w:w="4834" w:type="dxa"/>
            <w:vMerge w:val="continue"/>
            <w:tcBorders>
              <w:tl2br w:val="nil"/>
              <w:tr2bl w:val="nil"/>
            </w:tcBorders>
          </w:tcPr>
          <w:p>
            <w:pPr>
              <w:spacing w:line="280" w:lineRule="exact"/>
              <w:jc w:val="center"/>
              <w:rPr>
                <w:bCs/>
                <w:color w:val="auto"/>
                <w:szCs w:val="21"/>
              </w:rPr>
            </w:pPr>
          </w:p>
        </w:tc>
        <w:tc>
          <w:tcPr>
            <w:tcW w:w="2048" w:type="dxa"/>
            <w:vMerge w:val="continue"/>
            <w:tcBorders>
              <w:tl2br w:val="nil"/>
              <w:tr2bl w:val="nil"/>
            </w:tcBorders>
          </w:tcPr>
          <w:p>
            <w:pPr>
              <w:spacing w:line="280" w:lineRule="exact"/>
              <w:jc w:val="center"/>
              <w:rPr>
                <w:bCs/>
                <w:color w:val="auto"/>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520" w:type="dxa"/>
            <w:tcBorders>
              <w:tl2br w:val="nil"/>
              <w:tr2bl w:val="nil"/>
            </w:tcBorders>
          </w:tcPr>
          <w:p>
            <w:pPr>
              <w:spacing w:line="280" w:lineRule="exact"/>
              <w:jc w:val="center"/>
              <w:rPr>
                <w:bCs/>
                <w:color w:val="auto"/>
                <w:szCs w:val="21"/>
              </w:rPr>
            </w:pPr>
            <w:r>
              <w:rPr>
                <w:bCs/>
                <w:color w:val="auto"/>
                <w:szCs w:val="21"/>
              </w:rPr>
              <w:t>砷※</w:t>
            </w:r>
          </w:p>
        </w:tc>
        <w:tc>
          <w:tcPr>
            <w:tcW w:w="4834" w:type="dxa"/>
            <w:tcBorders>
              <w:tl2br w:val="nil"/>
              <w:tr2bl w:val="nil"/>
            </w:tcBorders>
          </w:tcPr>
          <w:p>
            <w:pPr>
              <w:spacing w:line="280" w:lineRule="exact"/>
              <w:jc w:val="center"/>
              <w:rPr>
                <w:bCs/>
                <w:color w:val="auto"/>
                <w:szCs w:val="21"/>
              </w:rPr>
            </w:pPr>
            <w:r>
              <w:rPr>
                <w:bCs/>
                <w:color w:val="auto"/>
                <w:szCs w:val="21"/>
              </w:rPr>
              <w:t>生活饮用水标准检验方法 金属指标</w:t>
            </w:r>
          </w:p>
          <w:p>
            <w:pPr>
              <w:spacing w:line="280" w:lineRule="exact"/>
              <w:jc w:val="center"/>
              <w:rPr>
                <w:bCs/>
                <w:color w:val="auto"/>
                <w:szCs w:val="21"/>
              </w:rPr>
            </w:pPr>
            <w:r>
              <w:rPr>
                <w:bCs/>
                <w:color w:val="auto"/>
                <w:szCs w:val="21"/>
              </w:rPr>
              <w:t>GB/T 5750.6-2006 (6.2)</w:t>
            </w:r>
          </w:p>
        </w:tc>
        <w:tc>
          <w:tcPr>
            <w:tcW w:w="2048" w:type="dxa"/>
            <w:vMerge w:val="continue"/>
            <w:tcBorders>
              <w:tl2br w:val="nil"/>
              <w:tr2bl w:val="nil"/>
            </w:tcBorders>
          </w:tcPr>
          <w:p>
            <w:pPr>
              <w:spacing w:line="280" w:lineRule="exact"/>
              <w:jc w:val="center"/>
              <w:rPr>
                <w:bCs/>
                <w:color w:val="auto"/>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520" w:type="dxa"/>
            <w:tcBorders>
              <w:tl2br w:val="nil"/>
              <w:tr2bl w:val="nil"/>
            </w:tcBorders>
          </w:tcPr>
          <w:p>
            <w:pPr>
              <w:spacing w:line="280" w:lineRule="exact"/>
              <w:jc w:val="center"/>
              <w:rPr>
                <w:bCs/>
                <w:color w:val="auto"/>
                <w:szCs w:val="21"/>
              </w:rPr>
            </w:pPr>
            <w:r>
              <w:rPr>
                <w:bCs/>
                <w:color w:val="auto"/>
                <w:szCs w:val="21"/>
              </w:rPr>
              <w:t>铅※</w:t>
            </w:r>
          </w:p>
        </w:tc>
        <w:tc>
          <w:tcPr>
            <w:tcW w:w="4834" w:type="dxa"/>
            <w:tcBorders>
              <w:tl2br w:val="nil"/>
              <w:tr2bl w:val="nil"/>
            </w:tcBorders>
          </w:tcPr>
          <w:p>
            <w:pPr>
              <w:spacing w:line="280" w:lineRule="exact"/>
              <w:jc w:val="center"/>
              <w:rPr>
                <w:bCs/>
                <w:color w:val="auto"/>
                <w:szCs w:val="21"/>
              </w:rPr>
            </w:pPr>
            <w:r>
              <w:rPr>
                <w:bCs/>
                <w:color w:val="auto"/>
                <w:szCs w:val="21"/>
              </w:rPr>
              <w:t>生活饮用水标准检验方法 金属指标</w:t>
            </w:r>
          </w:p>
          <w:p>
            <w:pPr>
              <w:spacing w:line="280" w:lineRule="exact"/>
              <w:jc w:val="center"/>
              <w:rPr>
                <w:bCs/>
                <w:color w:val="auto"/>
                <w:szCs w:val="21"/>
              </w:rPr>
            </w:pPr>
            <w:r>
              <w:rPr>
                <w:bCs/>
                <w:color w:val="auto"/>
                <w:szCs w:val="21"/>
              </w:rPr>
              <w:t>GB/T5750.6-2006（11.6）</w:t>
            </w:r>
          </w:p>
        </w:tc>
        <w:tc>
          <w:tcPr>
            <w:tcW w:w="2048" w:type="dxa"/>
            <w:vMerge w:val="continue"/>
            <w:tcBorders>
              <w:tl2br w:val="nil"/>
              <w:tr2bl w:val="nil"/>
            </w:tcBorders>
          </w:tcPr>
          <w:p>
            <w:pPr>
              <w:spacing w:line="280" w:lineRule="exact"/>
              <w:jc w:val="center"/>
              <w:rPr>
                <w:bCs/>
                <w:color w:val="auto"/>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520" w:type="dxa"/>
            <w:tcBorders>
              <w:tl2br w:val="nil"/>
              <w:tr2bl w:val="nil"/>
            </w:tcBorders>
          </w:tcPr>
          <w:p>
            <w:pPr>
              <w:spacing w:line="280" w:lineRule="exact"/>
              <w:jc w:val="center"/>
              <w:rPr>
                <w:bCs/>
                <w:color w:val="auto"/>
                <w:szCs w:val="21"/>
              </w:rPr>
            </w:pPr>
            <w:r>
              <w:rPr>
                <w:bCs/>
                <w:color w:val="auto"/>
                <w:szCs w:val="21"/>
              </w:rPr>
              <w:t>镉※</w:t>
            </w:r>
          </w:p>
        </w:tc>
        <w:tc>
          <w:tcPr>
            <w:tcW w:w="4834" w:type="dxa"/>
            <w:tcBorders>
              <w:tl2br w:val="nil"/>
              <w:tr2bl w:val="nil"/>
            </w:tcBorders>
          </w:tcPr>
          <w:p>
            <w:pPr>
              <w:spacing w:line="280" w:lineRule="exact"/>
              <w:jc w:val="center"/>
              <w:rPr>
                <w:bCs/>
                <w:color w:val="auto"/>
                <w:szCs w:val="21"/>
              </w:rPr>
            </w:pPr>
            <w:r>
              <w:rPr>
                <w:bCs/>
                <w:color w:val="auto"/>
                <w:szCs w:val="21"/>
              </w:rPr>
              <w:t>生活饮用水标准检验方法 金属指标</w:t>
            </w:r>
          </w:p>
          <w:p>
            <w:pPr>
              <w:spacing w:line="280" w:lineRule="exact"/>
              <w:jc w:val="center"/>
              <w:rPr>
                <w:bCs/>
                <w:color w:val="auto"/>
                <w:szCs w:val="21"/>
              </w:rPr>
            </w:pPr>
            <w:r>
              <w:rPr>
                <w:bCs/>
                <w:color w:val="auto"/>
                <w:szCs w:val="21"/>
              </w:rPr>
              <w:t>GB/T 5750.6-2006（9.6）</w:t>
            </w:r>
          </w:p>
        </w:tc>
        <w:tc>
          <w:tcPr>
            <w:tcW w:w="2048" w:type="dxa"/>
            <w:vMerge w:val="restart"/>
            <w:tcBorders>
              <w:tl2br w:val="nil"/>
              <w:tr2bl w:val="nil"/>
            </w:tcBorders>
          </w:tcPr>
          <w:p>
            <w:pPr>
              <w:spacing w:line="280" w:lineRule="exact"/>
              <w:jc w:val="center"/>
              <w:rPr>
                <w:bCs/>
                <w:color w:val="auto"/>
                <w:szCs w:val="21"/>
              </w:rPr>
            </w:pPr>
          </w:p>
          <w:p>
            <w:pPr>
              <w:spacing w:line="280" w:lineRule="exact"/>
              <w:jc w:val="center"/>
              <w:rPr>
                <w:bCs/>
                <w:color w:val="auto"/>
                <w:szCs w:val="21"/>
              </w:rPr>
            </w:pPr>
          </w:p>
          <w:p>
            <w:pPr>
              <w:spacing w:line="280" w:lineRule="exact"/>
              <w:jc w:val="center"/>
              <w:rPr>
                <w:bCs/>
                <w:color w:val="auto"/>
                <w:szCs w:val="21"/>
              </w:rPr>
            </w:pPr>
          </w:p>
          <w:p>
            <w:pPr>
              <w:spacing w:line="280" w:lineRule="exact"/>
              <w:jc w:val="center"/>
              <w:rPr>
                <w:bCs/>
                <w:color w:val="auto"/>
                <w:szCs w:val="21"/>
              </w:rPr>
            </w:pPr>
          </w:p>
          <w:p>
            <w:pPr>
              <w:spacing w:line="280" w:lineRule="exact"/>
              <w:jc w:val="center"/>
              <w:rPr>
                <w:bCs/>
                <w:color w:val="auto"/>
                <w:szCs w:val="21"/>
              </w:rPr>
            </w:pPr>
          </w:p>
          <w:p>
            <w:pPr>
              <w:spacing w:line="280" w:lineRule="exact"/>
              <w:jc w:val="center"/>
              <w:rPr>
                <w:bCs/>
                <w:color w:val="auto"/>
                <w:szCs w:val="21"/>
              </w:rPr>
            </w:pPr>
            <w:r>
              <w:rPr>
                <w:bCs/>
                <w:color w:val="auto"/>
                <w:szCs w:val="21"/>
              </w:rPr>
              <w:t>电感耦合等离子体发射光谱仪 Optima8000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520" w:type="dxa"/>
            <w:tcBorders>
              <w:tl2br w:val="nil"/>
              <w:tr2bl w:val="nil"/>
            </w:tcBorders>
          </w:tcPr>
          <w:p>
            <w:pPr>
              <w:spacing w:line="280" w:lineRule="exact"/>
              <w:jc w:val="center"/>
              <w:rPr>
                <w:bCs/>
                <w:color w:val="auto"/>
                <w:szCs w:val="21"/>
              </w:rPr>
            </w:pPr>
            <w:r>
              <w:rPr>
                <w:bCs/>
                <w:color w:val="auto"/>
                <w:szCs w:val="21"/>
              </w:rPr>
              <w:t>铁※</w:t>
            </w:r>
          </w:p>
        </w:tc>
        <w:tc>
          <w:tcPr>
            <w:tcW w:w="4834" w:type="dxa"/>
            <w:tcBorders>
              <w:tl2br w:val="nil"/>
              <w:tr2bl w:val="nil"/>
            </w:tcBorders>
          </w:tcPr>
          <w:p>
            <w:pPr>
              <w:spacing w:line="280" w:lineRule="exact"/>
              <w:jc w:val="center"/>
              <w:rPr>
                <w:bCs/>
                <w:color w:val="auto"/>
                <w:szCs w:val="21"/>
              </w:rPr>
            </w:pPr>
            <w:r>
              <w:rPr>
                <w:bCs/>
                <w:color w:val="auto"/>
                <w:szCs w:val="21"/>
              </w:rPr>
              <w:t>生活饮用水标准检验方法 金属指标</w:t>
            </w:r>
          </w:p>
          <w:p>
            <w:pPr>
              <w:spacing w:line="280" w:lineRule="exact"/>
              <w:jc w:val="center"/>
              <w:rPr>
                <w:bCs/>
                <w:color w:val="auto"/>
                <w:szCs w:val="21"/>
              </w:rPr>
            </w:pPr>
            <w:r>
              <w:rPr>
                <w:bCs/>
                <w:color w:val="auto"/>
                <w:szCs w:val="21"/>
              </w:rPr>
              <w:t>GB/T 5750.6-2006（2.3）</w:t>
            </w:r>
          </w:p>
        </w:tc>
        <w:tc>
          <w:tcPr>
            <w:tcW w:w="2048" w:type="dxa"/>
            <w:vMerge w:val="continue"/>
            <w:tcBorders>
              <w:tl2br w:val="nil"/>
              <w:tr2bl w:val="nil"/>
            </w:tcBorders>
          </w:tcPr>
          <w:p>
            <w:pPr>
              <w:spacing w:line="280" w:lineRule="exact"/>
              <w:jc w:val="center"/>
              <w:rPr>
                <w:bCs/>
                <w:color w:val="auto"/>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520" w:type="dxa"/>
            <w:tcBorders>
              <w:tl2br w:val="nil"/>
              <w:tr2bl w:val="nil"/>
            </w:tcBorders>
          </w:tcPr>
          <w:p>
            <w:pPr>
              <w:spacing w:line="280" w:lineRule="exact"/>
              <w:jc w:val="center"/>
              <w:rPr>
                <w:bCs/>
                <w:color w:val="auto"/>
                <w:szCs w:val="21"/>
              </w:rPr>
            </w:pPr>
            <w:r>
              <w:rPr>
                <w:bCs/>
                <w:color w:val="auto"/>
                <w:szCs w:val="21"/>
              </w:rPr>
              <w:t>铜※</w:t>
            </w:r>
          </w:p>
        </w:tc>
        <w:tc>
          <w:tcPr>
            <w:tcW w:w="4834" w:type="dxa"/>
            <w:tcBorders>
              <w:tl2br w:val="nil"/>
              <w:tr2bl w:val="nil"/>
            </w:tcBorders>
          </w:tcPr>
          <w:p>
            <w:pPr>
              <w:spacing w:line="280" w:lineRule="exact"/>
              <w:jc w:val="center"/>
              <w:rPr>
                <w:bCs/>
                <w:color w:val="auto"/>
                <w:szCs w:val="21"/>
              </w:rPr>
            </w:pPr>
            <w:r>
              <w:rPr>
                <w:bCs/>
                <w:color w:val="auto"/>
                <w:szCs w:val="21"/>
              </w:rPr>
              <w:t>生活饮用水标准检验方法 金属指标</w:t>
            </w:r>
          </w:p>
          <w:p>
            <w:pPr>
              <w:spacing w:line="280" w:lineRule="exact"/>
              <w:jc w:val="center"/>
              <w:rPr>
                <w:bCs/>
                <w:color w:val="auto"/>
                <w:szCs w:val="21"/>
              </w:rPr>
            </w:pPr>
            <w:r>
              <w:rPr>
                <w:bCs/>
                <w:color w:val="auto"/>
                <w:szCs w:val="21"/>
              </w:rPr>
              <w:t>GB/T5750.6-2006（4.5）</w:t>
            </w:r>
          </w:p>
        </w:tc>
        <w:tc>
          <w:tcPr>
            <w:tcW w:w="2048" w:type="dxa"/>
            <w:vMerge w:val="continue"/>
            <w:tcBorders>
              <w:tl2br w:val="nil"/>
              <w:tr2bl w:val="nil"/>
            </w:tcBorders>
          </w:tcPr>
          <w:p>
            <w:pPr>
              <w:spacing w:line="280" w:lineRule="exact"/>
              <w:jc w:val="center"/>
              <w:rPr>
                <w:bCs/>
                <w:color w:val="auto"/>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520" w:type="dxa"/>
            <w:tcBorders>
              <w:tl2br w:val="nil"/>
              <w:tr2bl w:val="nil"/>
            </w:tcBorders>
          </w:tcPr>
          <w:p>
            <w:pPr>
              <w:spacing w:line="280" w:lineRule="exact"/>
              <w:jc w:val="center"/>
              <w:rPr>
                <w:bCs/>
                <w:color w:val="auto"/>
                <w:szCs w:val="21"/>
              </w:rPr>
            </w:pPr>
            <w:r>
              <w:rPr>
                <w:bCs/>
                <w:color w:val="auto"/>
                <w:szCs w:val="21"/>
              </w:rPr>
              <w:t>锌※</w:t>
            </w:r>
          </w:p>
        </w:tc>
        <w:tc>
          <w:tcPr>
            <w:tcW w:w="4834" w:type="dxa"/>
            <w:tcBorders>
              <w:tl2br w:val="nil"/>
              <w:tr2bl w:val="nil"/>
            </w:tcBorders>
          </w:tcPr>
          <w:p>
            <w:pPr>
              <w:spacing w:line="280" w:lineRule="exact"/>
              <w:jc w:val="center"/>
              <w:rPr>
                <w:bCs/>
                <w:color w:val="auto"/>
                <w:szCs w:val="21"/>
              </w:rPr>
            </w:pPr>
            <w:r>
              <w:rPr>
                <w:bCs/>
                <w:color w:val="auto"/>
                <w:szCs w:val="21"/>
              </w:rPr>
              <w:t>生活饮用水标准检验方法 金属指标</w:t>
            </w:r>
          </w:p>
          <w:p>
            <w:pPr>
              <w:spacing w:line="280" w:lineRule="exact"/>
              <w:jc w:val="center"/>
              <w:rPr>
                <w:bCs/>
                <w:color w:val="auto"/>
                <w:szCs w:val="21"/>
              </w:rPr>
            </w:pPr>
            <w:r>
              <w:rPr>
                <w:bCs/>
                <w:color w:val="auto"/>
                <w:szCs w:val="21"/>
              </w:rPr>
              <w:t>GB/T5750.6-2006（5.5）</w:t>
            </w:r>
          </w:p>
        </w:tc>
        <w:tc>
          <w:tcPr>
            <w:tcW w:w="2048" w:type="dxa"/>
            <w:vMerge w:val="continue"/>
            <w:tcBorders>
              <w:tl2br w:val="nil"/>
              <w:tr2bl w:val="nil"/>
            </w:tcBorders>
          </w:tcPr>
          <w:p>
            <w:pPr>
              <w:spacing w:line="280" w:lineRule="exact"/>
              <w:jc w:val="center"/>
              <w:rPr>
                <w:bCs/>
                <w:color w:val="auto"/>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520" w:type="dxa"/>
            <w:tcBorders>
              <w:tl2br w:val="nil"/>
              <w:tr2bl w:val="nil"/>
            </w:tcBorders>
          </w:tcPr>
          <w:p>
            <w:pPr>
              <w:spacing w:line="280" w:lineRule="exact"/>
              <w:jc w:val="center"/>
              <w:rPr>
                <w:bCs/>
                <w:color w:val="auto"/>
                <w:szCs w:val="21"/>
              </w:rPr>
            </w:pPr>
            <w:r>
              <w:rPr>
                <w:bCs/>
                <w:color w:val="auto"/>
                <w:szCs w:val="21"/>
              </w:rPr>
              <w:t>镍※</w:t>
            </w:r>
          </w:p>
        </w:tc>
        <w:tc>
          <w:tcPr>
            <w:tcW w:w="4834" w:type="dxa"/>
            <w:tcBorders>
              <w:tl2br w:val="nil"/>
              <w:tr2bl w:val="nil"/>
            </w:tcBorders>
          </w:tcPr>
          <w:p>
            <w:pPr>
              <w:spacing w:line="280" w:lineRule="exact"/>
              <w:jc w:val="center"/>
              <w:rPr>
                <w:bCs/>
                <w:color w:val="auto"/>
                <w:szCs w:val="21"/>
              </w:rPr>
            </w:pPr>
            <w:r>
              <w:rPr>
                <w:bCs/>
                <w:color w:val="auto"/>
                <w:szCs w:val="21"/>
              </w:rPr>
              <w:t>生活饮用水标准检验方法 金属指标</w:t>
            </w:r>
          </w:p>
          <w:p>
            <w:pPr>
              <w:spacing w:line="280" w:lineRule="exact"/>
              <w:jc w:val="center"/>
              <w:rPr>
                <w:bCs/>
                <w:color w:val="auto"/>
                <w:szCs w:val="21"/>
              </w:rPr>
            </w:pPr>
            <w:r>
              <w:rPr>
                <w:bCs/>
                <w:color w:val="auto"/>
                <w:szCs w:val="21"/>
              </w:rPr>
              <w:t>GB/T5750.6-2006（15.2）</w:t>
            </w:r>
          </w:p>
        </w:tc>
        <w:tc>
          <w:tcPr>
            <w:tcW w:w="2048" w:type="dxa"/>
            <w:vMerge w:val="continue"/>
            <w:tcBorders>
              <w:tl2br w:val="nil"/>
              <w:tr2bl w:val="nil"/>
            </w:tcBorders>
          </w:tcPr>
          <w:p>
            <w:pPr>
              <w:spacing w:line="280" w:lineRule="exact"/>
              <w:jc w:val="center"/>
              <w:rPr>
                <w:bCs/>
                <w:color w:val="auto"/>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520" w:type="dxa"/>
            <w:tcBorders>
              <w:tl2br w:val="nil"/>
              <w:tr2bl w:val="nil"/>
            </w:tcBorders>
          </w:tcPr>
          <w:p>
            <w:pPr>
              <w:spacing w:line="280" w:lineRule="exact"/>
              <w:jc w:val="center"/>
              <w:rPr>
                <w:bCs/>
                <w:color w:val="auto"/>
                <w:szCs w:val="21"/>
              </w:rPr>
            </w:pPr>
            <w:r>
              <w:rPr>
                <w:bCs/>
                <w:color w:val="auto"/>
                <w:szCs w:val="21"/>
              </w:rPr>
              <w:t>锰※</w:t>
            </w:r>
          </w:p>
        </w:tc>
        <w:tc>
          <w:tcPr>
            <w:tcW w:w="4834" w:type="dxa"/>
            <w:tcBorders>
              <w:tl2br w:val="nil"/>
              <w:tr2bl w:val="nil"/>
            </w:tcBorders>
          </w:tcPr>
          <w:p>
            <w:pPr>
              <w:spacing w:line="280" w:lineRule="exact"/>
              <w:jc w:val="center"/>
              <w:rPr>
                <w:bCs/>
                <w:color w:val="auto"/>
                <w:szCs w:val="21"/>
              </w:rPr>
            </w:pPr>
            <w:r>
              <w:rPr>
                <w:bCs/>
                <w:color w:val="auto"/>
                <w:szCs w:val="21"/>
              </w:rPr>
              <w:t>生活饮用水标准检验方法 金属指标</w:t>
            </w:r>
          </w:p>
          <w:p>
            <w:pPr>
              <w:spacing w:line="280" w:lineRule="exact"/>
              <w:jc w:val="center"/>
              <w:rPr>
                <w:bCs/>
                <w:color w:val="auto"/>
                <w:szCs w:val="21"/>
              </w:rPr>
            </w:pPr>
            <w:r>
              <w:rPr>
                <w:bCs/>
                <w:color w:val="auto"/>
                <w:szCs w:val="21"/>
              </w:rPr>
              <w:t>GB/T 5750.6-2006（3.5）</w:t>
            </w:r>
          </w:p>
        </w:tc>
        <w:tc>
          <w:tcPr>
            <w:tcW w:w="2048" w:type="dxa"/>
            <w:vMerge w:val="continue"/>
            <w:tcBorders>
              <w:tl2br w:val="nil"/>
              <w:tr2bl w:val="nil"/>
            </w:tcBorders>
          </w:tcPr>
          <w:p>
            <w:pPr>
              <w:spacing w:line="280" w:lineRule="exact"/>
              <w:jc w:val="center"/>
              <w:rPr>
                <w:bCs/>
                <w:color w:val="auto"/>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520" w:type="dxa"/>
            <w:tcBorders>
              <w:tl2br w:val="nil"/>
              <w:tr2bl w:val="nil"/>
            </w:tcBorders>
          </w:tcPr>
          <w:p>
            <w:pPr>
              <w:spacing w:line="280" w:lineRule="exact"/>
              <w:jc w:val="center"/>
              <w:rPr>
                <w:bCs/>
                <w:color w:val="auto"/>
                <w:szCs w:val="21"/>
              </w:rPr>
            </w:pPr>
            <w:r>
              <w:rPr>
                <w:bCs/>
                <w:color w:val="auto"/>
                <w:szCs w:val="21"/>
              </w:rPr>
              <w:t>汞※</w:t>
            </w:r>
          </w:p>
        </w:tc>
        <w:tc>
          <w:tcPr>
            <w:tcW w:w="4834" w:type="dxa"/>
            <w:tcBorders>
              <w:tl2br w:val="nil"/>
              <w:tr2bl w:val="nil"/>
            </w:tcBorders>
          </w:tcPr>
          <w:p>
            <w:pPr>
              <w:spacing w:line="280" w:lineRule="exact"/>
              <w:jc w:val="center"/>
              <w:rPr>
                <w:bCs/>
                <w:color w:val="auto"/>
                <w:szCs w:val="21"/>
              </w:rPr>
            </w:pPr>
            <w:r>
              <w:rPr>
                <w:bCs/>
                <w:color w:val="auto"/>
                <w:szCs w:val="21"/>
              </w:rPr>
              <w:t>生活饮用水标准检验方法 金属指标</w:t>
            </w:r>
          </w:p>
          <w:p>
            <w:pPr>
              <w:spacing w:line="280" w:lineRule="exact"/>
              <w:jc w:val="center"/>
              <w:rPr>
                <w:bCs/>
                <w:color w:val="auto"/>
                <w:szCs w:val="21"/>
              </w:rPr>
            </w:pPr>
            <w:r>
              <w:rPr>
                <w:bCs/>
                <w:color w:val="auto"/>
                <w:szCs w:val="21"/>
              </w:rPr>
              <w:t>GB/T5750.6-2006（8.1）</w:t>
            </w:r>
          </w:p>
        </w:tc>
        <w:tc>
          <w:tcPr>
            <w:tcW w:w="2048" w:type="dxa"/>
            <w:tcBorders>
              <w:tl2br w:val="nil"/>
              <w:tr2bl w:val="nil"/>
            </w:tcBorders>
          </w:tcPr>
          <w:p>
            <w:pPr>
              <w:spacing w:line="280" w:lineRule="exact"/>
              <w:jc w:val="center"/>
              <w:rPr>
                <w:bCs/>
                <w:color w:val="auto"/>
                <w:szCs w:val="21"/>
              </w:rPr>
            </w:pPr>
            <w:r>
              <w:rPr>
                <w:bCs/>
                <w:color w:val="auto"/>
                <w:szCs w:val="21"/>
              </w:rPr>
              <w:t>原子荧光光谱仪</w:t>
            </w:r>
          </w:p>
          <w:p>
            <w:pPr>
              <w:spacing w:line="280" w:lineRule="exact"/>
              <w:jc w:val="center"/>
              <w:rPr>
                <w:bCs/>
                <w:color w:val="auto"/>
                <w:szCs w:val="21"/>
              </w:rPr>
            </w:pPr>
            <w:r>
              <w:rPr>
                <w:bCs/>
                <w:color w:val="auto"/>
                <w:szCs w:val="21"/>
              </w:rPr>
              <w:t>AFS2202E</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520" w:type="dxa"/>
            <w:tcBorders>
              <w:tl2br w:val="nil"/>
              <w:tr2bl w:val="nil"/>
            </w:tcBorders>
          </w:tcPr>
          <w:p>
            <w:pPr>
              <w:spacing w:line="280" w:lineRule="exact"/>
              <w:jc w:val="center"/>
              <w:rPr>
                <w:bCs/>
                <w:color w:val="auto"/>
                <w:szCs w:val="21"/>
              </w:rPr>
            </w:pPr>
            <w:r>
              <w:rPr>
                <w:bCs/>
                <w:color w:val="auto"/>
                <w:szCs w:val="21"/>
              </w:rPr>
              <w:t>氯离子※</w:t>
            </w:r>
          </w:p>
        </w:tc>
        <w:tc>
          <w:tcPr>
            <w:tcW w:w="4834" w:type="dxa"/>
            <w:vMerge w:val="restart"/>
            <w:tcBorders>
              <w:tl2br w:val="nil"/>
              <w:tr2bl w:val="nil"/>
            </w:tcBorders>
          </w:tcPr>
          <w:p>
            <w:pPr>
              <w:spacing w:line="280" w:lineRule="exact"/>
              <w:jc w:val="center"/>
              <w:rPr>
                <w:bCs/>
                <w:color w:val="auto"/>
                <w:szCs w:val="21"/>
              </w:rPr>
            </w:pPr>
            <w:r>
              <w:rPr>
                <w:bCs/>
                <w:color w:val="auto"/>
                <w:szCs w:val="21"/>
              </w:rPr>
              <w:t>水中无机阴离子的测定（离子色谱法）</w:t>
            </w:r>
          </w:p>
          <w:p>
            <w:pPr>
              <w:spacing w:line="280" w:lineRule="exact"/>
              <w:jc w:val="center"/>
              <w:rPr>
                <w:bCs/>
                <w:color w:val="auto"/>
                <w:szCs w:val="21"/>
              </w:rPr>
            </w:pPr>
            <w:r>
              <w:rPr>
                <w:bCs/>
                <w:color w:val="auto"/>
                <w:szCs w:val="21"/>
              </w:rPr>
              <w:t>SL86-1994</w:t>
            </w:r>
          </w:p>
        </w:tc>
        <w:tc>
          <w:tcPr>
            <w:tcW w:w="2048" w:type="dxa"/>
            <w:vMerge w:val="restart"/>
            <w:tcBorders>
              <w:tl2br w:val="nil"/>
              <w:tr2bl w:val="nil"/>
            </w:tcBorders>
          </w:tcPr>
          <w:p>
            <w:pPr>
              <w:spacing w:line="280" w:lineRule="exact"/>
              <w:jc w:val="center"/>
              <w:rPr>
                <w:bCs/>
                <w:color w:val="auto"/>
                <w:szCs w:val="21"/>
              </w:rPr>
            </w:pPr>
            <w:r>
              <w:rPr>
                <w:bCs/>
                <w:color w:val="auto"/>
                <w:szCs w:val="21"/>
              </w:rPr>
              <w:t>离子色谱仪</w:t>
            </w:r>
          </w:p>
          <w:p>
            <w:pPr>
              <w:spacing w:line="280" w:lineRule="exact"/>
              <w:jc w:val="center"/>
              <w:rPr>
                <w:bCs/>
                <w:color w:val="auto"/>
                <w:szCs w:val="21"/>
              </w:rPr>
            </w:pPr>
            <w:r>
              <w:rPr>
                <w:bCs/>
                <w:color w:val="auto"/>
                <w:szCs w:val="21"/>
              </w:rPr>
              <w:t>CIC-D120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520" w:type="dxa"/>
            <w:tcBorders>
              <w:tl2br w:val="nil"/>
              <w:tr2bl w:val="nil"/>
            </w:tcBorders>
          </w:tcPr>
          <w:p>
            <w:pPr>
              <w:spacing w:line="280" w:lineRule="exact"/>
              <w:jc w:val="center"/>
              <w:rPr>
                <w:bCs/>
                <w:color w:val="auto"/>
                <w:szCs w:val="21"/>
              </w:rPr>
            </w:pPr>
            <w:r>
              <w:rPr>
                <w:bCs/>
                <w:color w:val="auto"/>
                <w:szCs w:val="21"/>
              </w:rPr>
              <w:t>硫酸根※</w:t>
            </w:r>
          </w:p>
        </w:tc>
        <w:tc>
          <w:tcPr>
            <w:tcW w:w="4834" w:type="dxa"/>
            <w:vMerge w:val="continue"/>
            <w:tcBorders>
              <w:tl2br w:val="nil"/>
              <w:tr2bl w:val="nil"/>
            </w:tcBorders>
          </w:tcPr>
          <w:p>
            <w:pPr>
              <w:spacing w:line="280" w:lineRule="exact"/>
              <w:jc w:val="center"/>
              <w:rPr>
                <w:bCs/>
                <w:color w:val="auto"/>
                <w:szCs w:val="21"/>
              </w:rPr>
            </w:pPr>
          </w:p>
        </w:tc>
        <w:tc>
          <w:tcPr>
            <w:tcW w:w="2048" w:type="dxa"/>
            <w:vMerge w:val="continue"/>
            <w:tcBorders>
              <w:tl2br w:val="nil"/>
              <w:tr2bl w:val="nil"/>
            </w:tcBorders>
          </w:tcPr>
          <w:p>
            <w:pPr>
              <w:spacing w:line="280" w:lineRule="exact"/>
              <w:jc w:val="center"/>
              <w:rPr>
                <w:bCs/>
                <w:color w:val="auto"/>
                <w:szCs w:val="21"/>
              </w:rPr>
            </w:pPr>
          </w:p>
        </w:tc>
      </w:tr>
    </w:tbl>
    <w:p>
      <w:pPr>
        <w:spacing w:line="480" w:lineRule="exact"/>
        <w:ind w:firstLine="480" w:firstLineChars="200"/>
        <w:rPr>
          <w:color w:val="auto"/>
          <w:sz w:val="24"/>
        </w:rPr>
      </w:pPr>
      <w:r>
        <w:rPr>
          <w:color w:val="auto"/>
          <w:sz w:val="24"/>
        </w:rPr>
        <w:t>（2）地下水质量现状评价</w:t>
      </w:r>
    </w:p>
    <w:p>
      <w:pPr>
        <w:spacing w:line="480" w:lineRule="exact"/>
        <w:ind w:firstLine="480" w:firstLineChars="200"/>
        <w:rPr>
          <w:color w:val="auto"/>
          <w:sz w:val="24"/>
        </w:rPr>
      </w:pPr>
      <w:r>
        <w:rPr>
          <w:color w:val="auto"/>
          <w:sz w:val="24"/>
        </w:rPr>
        <w:t>①评价方法</w:t>
      </w:r>
    </w:p>
    <w:p>
      <w:pPr>
        <w:spacing w:line="480" w:lineRule="exact"/>
        <w:ind w:firstLine="480" w:firstLineChars="200"/>
        <w:rPr>
          <w:color w:val="auto"/>
          <w:sz w:val="24"/>
        </w:rPr>
      </w:pPr>
      <w:r>
        <w:rPr>
          <w:color w:val="auto"/>
          <w:sz w:val="24"/>
        </w:rPr>
        <w:t>将确定的水质标准与评价因子实际监测浓度相比较，采用单项污染指数法进行计算，分析该水域的环境质量和受污染程度，说明其是否满足确定的水质功能要求。</w:t>
      </w:r>
    </w:p>
    <w:p>
      <w:pPr>
        <w:spacing w:line="520" w:lineRule="exact"/>
        <w:ind w:firstLine="540"/>
        <w:rPr>
          <w:color w:val="auto"/>
          <w:sz w:val="24"/>
        </w:rPr>
      </w:pPr>
      <w:r>
        <w:rPr>
          <w:color w:val="auto"/>
          <w:sz w:val="24"/>
        </w:rPr>
        <w:t>采用单项污染指数法进行评价，其计算公式如下：</w:t>
      </w:r>
    </w:p>
    <w:p>
      <w:pPr>
        <w:spacing w:line="360" w:lineRule="auto"/>
        <w:ind w:firstLine="1999" w:firstLineChars="833"/>
        <w:rPr>
          <w:color w:val="auto"/>
          <w:sz w:val="24"/>
        </w:rPr>
      </w:pPr>
      <w:r>
        <w:rPr>
          <w:color w:val="auto"/>
          <w:position w:val="-30"/>
          <w:sz w:val="24"/>
        </w:rPr>
        <w:object>
          <v:shape id="_x0000_i1033" o:spt="75" type="#_x0000_t75" style="height:30pt;width:37.8pt;" o:ole="t" filled="f" o:preferrelative="t" stroked="f" coordsize="21600,21600">
            <v:path/>
            <v:fill on="f" focussize="0,0"/>
            <v:stroke on="f" joinstyle="miter"/>
            <v:imagedata r:id="rId45" o:title=""/>
            <o:lock v:ext="edit" aspectratio="t"/>
            <w10:wrap type="none"/>
            <w10:anchorlock/>
          </v:shape>
          <o:OLEObject Type="Embed" ProgID="Equation.3" ShapeID="_x0000_i1033" DrawAspect="Content" ObjectID="_1468075742" r:id="rId44">
            <o:LockedField>false</o:LockedField>
          </o:OLEObject>
        </w:object>
      </w:r>
    </w:p>
    <w:p>
      <w:pPr>
        <w:spacing w:line="480" w:lineRule="exact"/>
        <w:ind w:firstLine="480" w:firstLineChars="200"/>
        <w:rPr>
          <w:color w:val="auto"/>
          <w:sz w:val="24"/>
        </w:rPr>
      </w:pPr>
      <w:r>
        <w:rPr>
          <w:color w:val="auto"/>
          <w:sz w:val="24"/>
        </w:rPr>
        <w:t>式中：S</w:t>
      </w:r>
      <w:r>
        <w:rPr>
          <w:color w:val="auto"/>
          <w:sz w:val="24"/>
          <w:vertAlign w:val="subscript"/>
        </w:rPr>
        <w:t>i</w:t>
      </w:r>
      <w:r>
        <w:rPr>
          <w:color w:val="auto"/>
          <w:sz w:val="24"/>
        </w:rPr>
        <w:t>——i种污染物分指数；</w:t>
      </w:r>
    </w:p>
    <w:p>
      <w:pPr>
        <w:spacing w:line="480" w:lineRule="exact"/>
        <w:ind w:firstLine="480" w:firstLineChars="200"/>
        <w:rPr>
          <w:color w:val="auto"/>
          <w:sz w:val="24"/>
        </w:rPr>
      </w:pPr>
      <w:r>
        <w:rPr>
          <w:color w:val="auto"/>
          <w:sz w:val="24"/>
        </w:rPr>
        <w:t xml:space="preserve">      C</w:t>
      </w:r>
      <w:r>
        <w:rPr>
          <w:color w:val="auto"/>
          <w:sz w:val="24"/>
          <w:vertAlign w:val="subscript"/>
        </w:rPr>
        <w:t>i</w:t>
      </w:r>
      <w:r>
        <w:rPr>
          <w:color w:val="auto"/>
          <w:sz w:val="24"/>
        </w:rPr>
        <w:t>——i种污染物实测值(mg/l)</w:t>
      </w:r>
    </w:p>
    <w:p>
      <w:pPr>
        <w:spacing w:line="480" w:lineRule="exact"/>
        <w:ind w:firstLine="480" w:firstLineChars="200"/>
        <w:rPr>
          <w:color w:val="auto"/>
          <w:sz w:val="24"/>
        </w:rPr>
      </w:pPr>
      <w:r>
        <w:rPr>
          <w:color w:val="auto"/>
          <w:sz w:val="24"/>
        </w:rPr>
        <w:t xml:space="preserve">      C</w:t>
      </w:r>
      <w:r>
        <w:rPr>
          <w:color w:val="auto"/>
          <w:sz w:val="24"/>
          <w:vertAlign w:val="subscript"/>
        </w:rPr>
        <w:t>Si</w:t>
      </w:r>
      <w:r>
        <w:rPr>
          <w:color w:val="auto"/>
          <w:sz w:val="24"/>
        </w:rPr>
        <w:t>——i种污染物评价标准值(mg/l)</w:t>
      </w:r>
    </w:p>
    <w:p>
      <w:pPr>
        <w:spacing w:line="480" w:lineRule="exact"/>
        <w:ind w:firstLine="480" w:firstLineChars="200"/>
        <w:rPr>
          <w:color w:val="auto"/>
          <w:sz w:val="24"/>
        </w:rPr>
      </w:pPr>
      <w:r>
        <w:rPr>
          <w:color w:val="auto"/>
          <w:sz w:val="24"/>
        </w:rPr>
        <w:t>水质参数的标准值指数大于1，说明该水质参数超过了规定的水质标准，已不能满足使用要求。</w:t>
      </w:r>
    </w:p>
    <w:p>
      <w:pPr>
        <w:spacing w:line="520" w:lineRule="exact"/>
        <w:ind w:firstLine="480" w:firstLineChars="200"/>
        <w:rPr>
          <w:color w:val="auto"/>
          <w:sz w:val="24"/>
        </w:rPr>
      </w:pPr>
      <w:r>
        <w:rPr>
          <w:color w:val="auto"/>
          <w:sz w:val="24"/>
        </w:rPr>
        <w:t>②评价标准</w:t>
      </w:r>
    </w:p>
    <w:p>
      <w:pPr>
        <w:spacing w:line="520" w:lineRule="exact"/>
        <w:ind w:firstLine="480" w:firstLineChars="200"/>
        <w:rPr>
          <w:b/>
          <w:bCs/>
          <w:color w:val="auto"/>
        </w:rPr>
      </w:pPr>
      <w:r>
        <w:rPr>
          <w:color w:val="auto"/>
          <w:sz w:val="24"/>
        </w:rPr>
        <w:t>区域地下水执行《地下水质量标准》（GB/T14848-2017）中Ⅲ类标准。</w:t>
      </w:r>
    </w:p>
    <w:p>
      <w:pPr>
        <w:pStyle w:val="195"/>
        <w:ind w:firstLine="0" w:firstLineChars="0"/>
        <w:jc w:val="center"/>
        <w:rPr>
          <w:b/>
          <w:bCs/>
          <w:snapToGrid/>
          <w:color w:val="auto"/>
        </w:rPr>
      </w:pPr>
      <w:r>
        <w:rPr>
          <w:rFonts w:hint="eastAsia"/>
          <w:b/>
          <w:bCs/>
          <w:snapToGrid/>
          <w:color w:val="auto"/>
        </w:rPr>
        <w:t>表5</w:t>
      </w:r>
      <w:r>
        <w:rPr>
          <w:b/>
          <w:bCs/>
          <w:snapToGrid/>
          <w:color w:val="auto"/>
        </w:rPr>
        <w:t>-17  地下水质量标准</w:t>
      </w:r>
    </w:p>
    <w:tbl>
      <w:tblPr>
        <w:tblStyle w:val="5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65"/>
        <w:gridCol w:w="1312"/>
        <w:gridCol w:w="855"/>
        <w:gridCol w:w="823"/>
        <w:gridCol w:w="1184"/>
        <w:gridCol w:w="904"/>
        <w:gridCol w:w="854"/>
        <w:gridCol w:w="995"/>
        <w:gridCol w:w="10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965" w:type="dxa"/>
            <w:vAlign w:val="center"/>
          </w:tcPr>
          <w:p>
            <w:pPr>
              <w:spacing w:line="300" w:lineRule="exact"/>
              <w:jc w:val="center"/>
              <w:rPr>
                <w:bCs/>
                <w:color w:val="auto"/>
                <w:szCs w:val="21"/>
              </w:rPr>
            </w:pPr>
            <w:r>
              <w:rPr>
                <w:bCs/>
                <w:color w:val="auto"/>
                <w:szCs w:val="21"/>
              </w:rPr>
              <w:t>项目</w:t>
            </w:r>
          </w:p>
        </w:tc>
        <w:tc>
          <w:tcPr>
            <w:tcW w:w="1312" w:type="dxa"/>
            <w:vAlign w:val="center"/>
          </w:tcPr>
          <w:p>
            <w:pPr>
              <w:spacing w:line="300" w:lineRule="exact"/>
              <w:jc w:val="center"/>
              <w:rPr>
                <w:bCs/>
                <w:color w:val="auto"/>
                <w:szCs w:val="21"/>
              </w:rPr>
            </w:pPr>
            <w:r>
              <w:rPr>
                <w:bCs/>
                <w:color w:val="auto"/>
                <w:szCs w:val="21"/>
              </w:rPr>
              <w:t>pH</w:t>
            </w:r>
          </w:p>
        </w:tc>
        <w:tc>
          <w:tcPr>
            <w:tcW w:w="855" w:type="dxa"/>
            <w:vAlign w:val="center"/>
          </w:tcPr>
          <w:p>
            <w:pPr>
              <w:spacing w:line="300" w:lineRule="exact"/>
              <w:jc w:val="center"/>
              <w:rPr>
                <w:bCs/>
                <w:color w:val="auto"/>
                <w:szCs w:val="21"/>
              </w:rPr>
            </w:pPr>
            <w:r>
              <w:rPr>
                <w:bCs/>
                <w:color w:val="auto"/>
                <w:szCs w:val="21"/>
              </w:rPr>
              <w:t>氨氮</w:t>
            </w:r>
          </w:p>
        </w:tc>
        <w:tc>
          <w:tcPr>
            <w:tcW w:w="823" w:type="dxa"/>
            <w:vAlign w:val="center"/>
          </w:tcPr>
          <w:p>
            <w:pPr>
              <w:spacing w:line="300" w:lineRule="exact"/>
              <w:jc w:val="center"/>
              <w:rPr>
                <w:bCs/>
                <w:color w:val="auto"/>
                <w:szCs w:val="21"/>
              </w:rPr>
            </w:pPr>
            <w:r>
              <w:rPr>
                <w:bCs/>
                <w:color w:val="auto"/>
                <w:szCs w:val="21"/>
              </w:rPr>
              <w:t>氯化物</w:t>
            </w:r>
          </w:p>
        </w:tc>
        <w:tc>
          <w:tcPr>
            <w:tcW w:w="1184" w:type="dxa"/>
            <w:vAlign w:val="center"/>
          </w:tcPr>
          <w:p>
            <w:pPr>
              <w:spacing w:line="300" w:lineRule="exact"/>
              <w:jc w:val="center"/>
              <w:rPr>
                <w:bCs/>
                <w:color w:val="auto"/>
                <w:szCs w:val="21"/>
              </w:rPr>
            </w:pPr>
            <w:r>
              <w:rPr>
                <w:bCs/>
                <w:color w:val="auto"/>
                <w:szCs w:val="21"/>
              </w:rPr>
              <w:t>氟化物</w:t>
            </w:r>
          </w:p>
        </w:tc>
        <w:tc>
          <w:tcPr>
            <w:tcW w:w="904" w:type="dxa"/>
            <w:vAlign w:val="center"/>
          </w:tcPr>
          <w:p>
            <w:pPr>
              <w:spacing w:line="300" w:lineRule="exact"/>
              <w:jc w:val="center"/>
              <w:rPr>
                <w:bCs/>
                <w:color w:val="auto"/>
                <w:szCs w:val="21"/>
              </w:rPr>
            </w:pPr>
            <w:r>
              <w:rPr>
                <w:bCs/>
                <w:color w:val="auto"/>
                <w:szCs w:val="21"/>
              </w:rPr>
              <w:t>耗氧量</w:t>
            </w:r>
          </w:p>
        </w:tc>
        <w:tc>
          <w:tcPr>
            <w:tcW w:w="854" w:type="dxa"/>
            <w:vAlign w:val="center"/>
          </w:tcPr>
          <w:p>
            <w:pPr>
              <w:spacing w:line="300" w:lineRule="exact"/>
              <w:jc w:val="center"/>
              <w:rPr>
                <w:bCs/>
                <w:color w:val="auto"/>
                <w:szCs w:val="21"/>
              </w:rPr>
            </w:pPr>
            <w:r>
              <w:rPr>
                <w:bCs/>
                <w:color w:val="auto"/>
                <w:szCs w:val="21"/>
              </w:rPr>
              <w:t>硫酸盐</w:t>
            </w:r>
          </w:p>
        </w:tc>
        <w:tc>
          <w:tcPr>
            <w:tcW w:w="2056" w:type="dxa"/>
            <w:gridSpan w:val="2"/>
            <w:vAlign w:val="center"/>
          </w:tcPr>
          <w:p>
            <w:pPr>
              <w:spacing w:line="300" w:lineRule="exact"/>
              <w:jc w:val="center"/>
              <w:rPr>
                <w:bCs/>
                <w:color w:val="auto"/>
                <w:szCs w:val="21"/>
              </w:rPr>
            </w:pPr>
            <w:r>
              <w:rPr>
                <w:bCs/>
                <w:color w:val="auto"/>
                <w:szCs w:val="21"/>
              </w:rPr>
              <w:t>硝酸盐（以N计）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965" w:type="dxa"/>
            <w:vAlign w:val="center"/>
          </w:tcPr>
          <w:p>
            <w:pPr>
              <w:spacing w:line="300" w:lineRule="exact"/>
              <w:jc w:val="center"/>
              <w:rPr>
                <w:bCs/>
                <w:color w:val="auto"/>
                <w:szCs w:val="21"/>
              </w:rPr>
            </w:pPr>
            <w:r>
              <w:rPr>
                <w:bCs/>
                <w:color w:val="auto"/>
                <w:szCs w:val="21"/>
              </w:rPr>
              <w:t>标准值</w:t>
            </w:r>
          </w:p>
        </w:tc>
        <w:tc>
          <w:tcPr>
            <w:tcW w:w="1312" w:type="dxa"/>
            <w:vAlign w:val="center"/>
          </w:tcPr>
          <w:p>
            <w:pPr>
              <w:spacing w:line="300" w:lineRule="exact"/>
              <w:jc w:val="center"/>
              <w:rPr>
                <w:bCs/>
                <w:color w:val="auto"/>
                <w:szCs w:val="21"/>
              </w:rPr>
            </w:pPr>
            <w:r>
              <w:rPr>
                <w:bCs/>
                <w:color w:val="auto"/>
                <w:szCs w:val="21"/>
              </w:rPr>
              <w:t>6.5~8.5</w:t>
            </w:r>
          </w:p>
        </w:tc>
        <w:tc>
          <w:tcPr>
            <w:tcW w:w="855" w:type="dxa"/>
            <w:vAlign w:val="center"/>
          </w:tcPr>
          <w:p>
            <w:pPr>
              <w:spacing w:line="300" w:lineRule="exact"/>
              <w:jc w:val="center"/>
              <w:rPr>
                <w:bCs/>
                <w:color w:val="auto"/>
                <w:szCs w:val="21"/>
              </w:rPr>
            </w:pPr>
            <w:r>
              <w:rPr>
                <w:bCs/>
                <w:color w:val="auto"/>
                <w:szCs w:val="21"/>
              </w:rPr>
              <w:t>≤0.50</w:t>
            </w:r>
          </w:p>
        </w:tc>
        <w:tc>
          <w:tcPr>
            <w:tcW w:w="823" w:type="dxa"/>
            <w:vAlign w:val="center"/>
          </w:tcPr>
          <w:p>
            <w:pPr>
              <w:spacing w:line="300" w:lineRule="exact"/>
              <w:jc w:val="center"/>
              <w:rPr>
                <w:bCs/>
                <w:color w:val="auto"/>
                <w:szCs w:val="21"/>
              </w:rPr>
            </w:pPr>
            <w:r>
              <w:rPr>
                <w:bCs/>
                <w:color w:val="auto"/>
                <w:szCs w:val="21"/>
              </w:rPr>
              <w:t>≤250</w:t>
            </w:r>
          </w:p>
        </w:tc>
        <w:tc>
          <w:tcPr>
            <w:tcW w:w="1184" w:type="dxa"/>
            <w:vAlign w:val="center"/>
          </w:tcPr>
          <w:p>
            <w:pPr>
              <w:spacing w:line="300" w:lineRule="exact"/>
              <w:jc w:val="center"/>
              <w:rPr>
                <w:bCs/>
                <w:color w:val="auto"/>
                <w:szCs w:val="21"/>
              </w:rPr>
            </w:pPr>
            <w:r>
              <w:rPr>
                <w:bCs/>
                <w:color w:val="auto"/>
                <w:szCs w:val="21"/>
              </w:rPr>
              <w:t>≤1.0</w:t>
            </w:r>
          </w:p>
        </w:tc>
        <w:tc>
          <w:tcPr>
            <w:tcW w:w="904" w:type="dxa"/>
            <w:vAlign w:val="center"/>
          </w:tcPr>
          <w:p>
            <w:pPr>
              <w:spacing w:line="300" w:lineRule="exact"/>
              <w:jc w:val="center"/>
              <w:rPr>
                <w:bCs/>
                <w:color w:val="auto"/>
                <w:szCs w:val="21"/>
              </w:rPr>
            </w:pPr>
            <w:r>
              <w:rPr>
                <w:bCs/>
                <w:color w:val="auto"/>
                <w:szCs w:val="21"/>
              </w:rPr>
              <w:t>≤3.0</w:t>
            </w:r>
          </w:p>
        </w:tc>
        <w:tc>
          <w:tcPr>
            <w:tcW w:w="854" w:type="dxa"/>
            <w:vAlign w:val="center"/>
          </w:tcPr>
          <w:p>
            <w:pPr>
              <w:spacing w:line="300" w:lineRule="exact"/>
              <w:jc w:val="center"/>
              <w:rPr>
                <w:bCs/>
                <w:color w:val="auto"/>
                <w:szCs w:val="21"/>
              </w:rPr>
            </w:pPr>
            <w:r>
              <w:rPr>
                <w:bCs/>
                <w:color w:val="auto"/>
                <w:szCs w:val="21"/>
              </w:rPr>
              <w:t>≤250</w:t>
            </w:r>
          </w:p>
        </w:tc>
        <w:tc>
          <w:tcPr>
            <w:tcW w:w="2056" w:type="dxa"/>
            <w:gridSpan w:val="2"/>
            <w:vAlign w:val="center"/>
          </w:tcPr>
          <w:p>
            <w:pPr>
              <w:spacing w:line="300" w:lineRule="exact"/>
              <w:jc w:val="center"/>
              <w:rPr>
                <w:bCs/>
                <w:color w:val="auto"/>
                <w:szCs w:val="21"/>
              </w:rPr>
            </w:pPr>
            <w:r>
              <w:rPr>
                <w:bCs/>
                <w:color w:val="auto"/>
                <w:szCs w:val="21"/>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965" w:type="dxa"/>
            <w:vAlign w:val="center"/>
          </w:tcPr>
          <w:p>
            <w:pPr>
              <w:spacing w:line="300" w:lineRule="exact"/>
              <w:jc w:val="center"/>
              <w:rPr>
                <w:bCs/>
                <w:color w:val="auto"/>
                <w:szCs w:val="21"/>
              </w:rPr>
            </w:pPr>
            <w:r>
              <w:rPr>
                <w:bCs/>
                <w:color w:val="auto"/>
                <w:szCs w:val="21"/>
              </w:rPr>
              <w:t>项目</w:t>
            </w:r>
          </w:p>
        </w:tc>
        <w:tc>
          <w:tcPr>
            <w:tcW w:w="1312" w:type="dxa"/>
            <w:vAlign w:val="center"/>
          </w:tcPr>
          <w:p>
            <w:pPr>
              <w:spacing w:line="300" w:lineRule="exact"/>
              <w:jc w:val="center"/>
              <w:rPr>
                <w:bCs/>
                <w:color w:val="auto"/>
                <w:szCs w:val="21"/>
              </w:rPr>
            </w:pPr>
            <w:r>
              <w:rPr>
                <w:bCs/>
                <w:color w:val="auto"/>
                <w:szCs w:val="21"/>
              </w:rPr>
              <w:t>亚硝酸盐</w:t>
            </w:r>
          </w:p>
        </w:tc>
        <w:tc>
          <w:tcPr>
            <w:tcW w:w="855" w:type="dxa"/>
            <w:vAlign w:val="center"/>
          </w:tcPr>
          <w:p>
            <w:pPr>
              <w:spacing w:line="300" w:lineRule="exact"/>
              <w:jc w:val="center"/>
              <w:rPr>
                <w:bCs/>
                <w:color w:val="auto"/>
                <w:szCs w:val="21"/>
              </w:rPr>
            </w:pPr>
            <w:r>
              <w:rPr>
                <w:bCs/>
                <w:color w:val="auto"/>
                <w:szCs w:val="21"/>
              </w:rPr>
              <w:t>溶解性总固 体</w:t>
            </w:r>
          </w:p>
        </w:tc>
        <w:tc>
          <w:tcPr>
            <w:tcW w:w="823" w:type="dxa"/>
            <w:vAlign w:val="center"/>
          </w:tcPr>
          <w:p>
            <w:pPr>
              <w:spacing w:line="300" w:lineRule="exact"/>
              <w:jc w:val="center"/>
              <w:rPr>
                <w:bCs/>
                <w:color w:val="auto"/>
                <w:szCs w:val="21"/>
              </w:rPr>
            </w:pPr>
            <w:r>
              <w:rPr>
                <w:bCs/>
                <w:color w:val="auto"/>
                <w:szCs w:val="21"/>
              </w:rPr>
              <w:t>总硬度</w:t>
            </w:r>
          </w:p>
        </w:tc>
        <w:tc>
          <w:tcPr>
            <w:tcW w:w="1184" w:type="dxa"/>
            <w:vAlign w:val="center"/>
          </w:tcPr>
          <w:p>
            <w:pPr>
              <w:spacing w:line="300" w:lineRule="exact"/>
              <w:jc w:val="center"/>
              <w:rPr>
                <w:bCs/>
                <w:color w:val="auto"/>
                <w:szCs w:val="21"/>
              </w:rPr>
            </w:pPr>
            <w:r>
              <w:rPr>
                <w:bCs/>
                <w:color w:val="auto"/>
                <w:szCs w:val="21"/>
              </w:rPr>
              <w:t>总大肠菌群</w:t>
            </w:r>
          </w:p>
          <w:p>
            <w:pPr>
              <w:spacing w:line="300" w:lineRule="exact"/>
              <w:jc w:val="center"/>
              <w:rPr>
                <w:bCs/>
                <w:color w:val="auto"/>
                <w:szCs w:val="21"/>
              </w:rPr>
            </w:pPr>
            <w:r>
              <w:rPr>
                <w:bCs/>
                <w:color w:val="auto"/>
                <w:szCs w:val="21"/>
              </w:rPr>
              <w:t>个/L</w:t>
            </w:r>
          </w:p>
        </w:tc>
        <w:tc>
          <w:tcPr>
            <w:tcW w:w="904" w:type="dxa"/>
            <w:vAlign w:val="center"/>
          </w:tcPr>
          <w:p>
            <w:pPr>
              <w:spacing w:line="300" w:lineRule="exact"/>
              <w:jc w:val="center"/>
              <w:rPr>
                <w:bCs/>
                <w:color w:val="auto"/>
                <w:szCs w:val="21"/>
              </w:rPr>
            </w:pPr>
            <w:r>
              <w:rPr>
                <w:bCs/>
                <w:color w:val="auto"/>
                <w:szCs w:val="21"/>
              </w:rPr>
              <w:t>菌落总数 CFU/ml</w:t>
            </w:r>
          </w:p>
        </w:tc>
        <w:tc>
          <w:tcPr>
            <w:tcW w:w="854" w:type="dxa"/>
            <w:vAlign w:val="center"/>
          </w:tcPr>
          <w:p>
            <w:pPr>
              <w:spacing w:line="300" w:lineRule="exact"/>
              <w:jc w:val="center"/>
              <w:rPr>
                <w:bCs/>
                <w:color w:val="auto"/>
                <w:szCs w:val="21"/>
              </w:rPr>
            </w:pPr>
            <w:r>
              <w:rPr>
                <w:bCs/>
                <w:color w:val="auto"/>
                <w:szCs w:val="21"/>
              </w:rPr>
              <w:t>挥发酚</w:t>
            </w:r>
          </w:p>
        </w:tc>
        <w:tc>
          <w:tcPr>
            <w:tcW w:w="995" w:type="dxa"/>
            <w:vAlign w:val="center"/>
          </w:tcPr>
          <w:p>
            <w:pPr>
              <w:spacing w:line="300" w:lineRule="exact"/>
              <w:jc w:val="center"/>
              <w:rPr>
                <w:bCs/>
                <w:color w:val="auto"/>
                <w:szCs w:val="21"/>
              </w:rPr>
            </w:pPr>
            <w:r>
              <w:rPr>
                <w:bCs/>
                <w:color w:val="auto"/>
                <w:szCs w:val="21"/>
              </w:rPr>
              <w:t>氰化物</w:t>
            </w:r>
          </w:p>
        </w:tc>
        <w:tc>
          <w:tcPr>
            <w:tcW w:w="1061" w:type="dxa"/>
            <w:vAlign w:val="center"/>
          </w:tcPr>
          <w:p>
            <w:pPr>
              <w:spacing w:line="300" w:lineRule="exact"/>
              <w:jc w:val="center"/>
              <w:rPr>
                <w:bCs/>
                <w:color w:val="auto"/>
                <w:szCs w:val="21"/>
              </w:rPr>
            </w:pPr>
            <w:r>
              <w:rPr>
                <w:bCs/>
                <w:color w:val="auto"/>
                <w:szCs w:val="21"/>
              </w:rPr>
              <w:t>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965" w:type="dxa"/>
            <w:vAlign w:val="center"/>
          </w:tcPr>
          <w:p>
            <w:pPr>
              <w:spacing w:line="300" w:lineRule="exact"/>
              <w:jc w:val="center"/>
              <w:rPr>
                <w:bCs/>
                <w:color w:val="auto"/>
                <w:szCs w:val="21"/>
              </w:rPr>
            </w:pPr>
            <w:r>
              <w:rPr>
                <w:bCs/>
                <w:color w:val="auto"/>
                <w:szCs w:val="21"/>
              </w:rPr>
              <w:t>标准值</w:t>
            </w:r>
          </w:p>
        </w:tc>
        <w:tc>
          <w:tcPr>
            <w:tcW w:w="1312" w:type="dxa"/>
            <w:vAlign w:val="center"/>
          </w:tcPr>
          <w:p>
            <w:pPr>
              <w:spacing w:line="300" w:lineRule="exact"/>
              <w:jc w:val="center"/>
              <w:rPr>
                <w:bCs/>
                <w:color w:val="auto"/>
                <w:szCs w:val="21"/>
              </w:rPr>
            </w:pPr>
            <w:r>
              <w:rPr>
                <w:bCs/>
                <w:color w:val="auto"/>
                <w:szCs w:val="21"/>
              </w:rPr>
              <w:t>≤1.00</w:t>
            </w:r>
          </w:p>
        </w:tc>
        <w:tc>
          <w:tcPr>
            <w:tcW w:w="855" w:type="dxa"/>
            <w:vAlign w:val="center"/>
          </w:tcPr>
          <w:p>
            <w:pPr>
              <w:spacing w:line="300" w:lineRule="exact"/>
              <w:jc w:val="center"/>
              <w:rPr>
                <w:bCs/>
                <w:color w:val="auto"/>
                <w:szCs w:val="21"/>
              </w:rPr>
            </w:pPr>
            <w:r>
              <w:rPr>
                <w:bCs/>
                <w:color w:val="auto"/>
                <w:szCs w:val="21"/>
              </w:rPr>
              <w:t>≤1000</w:t>
            </w:r>
          </w:p>
        </w:tc>
        <w:tc>
          <w:tcPr>
            <w:tcW w:w="823" w:type="dxa"/>
            <w:vAlign w:val="center"/>
          </w:tcPr>
          <w:p>
            <w:pPr>
              <w:spacing w:line="300" w:lineRule="exact"/>
              <w:jc w:val="center"/>
              <w:rPr>
                <w:bCs/>
                <w:color w:val="auto"/>
                <w:szCs w:val="21"/>
              </w:rPr>
            </w:pPr>
            <w:r>
              <w:rPr>
                <w:bCs/>
                <w:color w:val="auto"/>
                <w:szCs w:val="21"/>
              </w:rPr>
              <w:t>≤450</w:t>
            </w:r>
          </w:p>
        </w:tc>
        <w:tc>
          <w:tcPr>
            <w:tcW w:w="1184" w:type="dxa"/>
            <w:vAlign w:val="center"/>
          </w:tcPr>
          <w:p>
            <w:pPr>
              <w:spacing w:line="300" w:lineRule="exact"/>
              <w:jc w:val="center"/>
              <w:rPr>
                <w:bCs/>
                <w:color w:val="auto"/>
                <w:szCs w:val="21"/>
              </w:rPr>
            </w:pPr>
            <w:r>
              <w:rPr>
                <w:bCs/>
                <w:color w:val="auto"/>
                <w:szCs w:val="21"/>
              </w:rPr>
              <w:t>≤3.0</w:t>
            </w:r>
          </w:p>
        </w:tc>
        <w:tc>
          <w:tcPr>
            <w:tcW w:w="904" w:type="dxa"/>
            <w:vAlign w:val="center"/>
          </w:tcPr>
          <w:p>
            <w:pPr>
              <w:spacing w:line="300" w:lineRule="exact"/>
              <w:jc w:val="center"/>
              <w:rPr>
                <w:bCs/>
                <w:color w:val="auto"/>
                <w:szCs w:val="21"/>
              </w:rPr>
            </w:pPr>
            <w:r>
              <w:rPr>
                <w:bCs/>
                <w:color w:val="auto"/>
                <w:szCs w:val="21"/>
              </w:rPr>
              <w:t>≤100</w:t>
            </w:r>
          </w:p>
        </w:tc>
        <w:tc>
          <w:tcPr>
            <w:tcW w:w="854" w:type="dxa"/>
            <w:vAlign w:val="center"/>
          </w:tcPr>
          <w:p>
            <w:pPr>
              <w:spacing w:line="300" w:lineRule="exact"/>
              <w:jc w:val="center"/>
              <w:rPr>
                <w:bCs/>
                <w:color w:val="auto"/>
                <w:szCs w:val="21"/>
              </w:rPr>
            </w:pPr>
            <w:r>
              <w:rPr>
                <w:bCs/>
                <w:color w:val="auto"/>
                <w:szCs w:val="21"/>
              </w:rPr>
              <w:t>≤0.002</w:t>
            </w:r>
          </w:p>
        </w:tc>
        <w:tc>
          <w:tcPr>
            <w:tcW w:w="995" w:type="dxa"/>
            <w:vAlign w:val="center"/>
          </w:tcPr>
          <w:p>
            <w:pPr>
              <w:spacing w:line="300" w:lineRule="exact"/>
              <w:jc w:val="center"/>
              <w:rPr>
                <w:bCs/>
                <w:color w:val="auto"/>
                <w:szCs w:val="21"/>
              </w:rPr>
            </w:pPr>
            <w:r>
              <w:rPr>
                <w:bCs/>
                <w:color w:val="auto"/>
                <w:szCs w:val="21"/>
              </w:rPr>
              <w:t>≤0.05</w:t>
            </w:r>
          </w:p>
        </w:tc>
        <w:tc>
          <w:tcPr>
            <w:tcW w:w="1061" w:type="dxa"/>
            <w:vAlign w:val="center"/>
          </w:tcPr>
          <w:p>
            <w:pPr>
              <w:spacing w:line="300" w:lineRule="exact"/>
              <w:jc w:val="center"/>
              <w:rPr>
                <w:bCs/>
                <w:color w:val="auto"/>
                <w:szCs w:val="21"/>
              </w:rPr>
            </w:pPr>
            <w:r>
              <w:rPr>
                <w:bCs/>
                <w:color w:val="auto"/>
                <w:szCs w:val="21"/>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965" w:type="dxa"/>
            <w:vAlign w:val="center"/>
          </w:tcPr>
          <w:p>
            <w:pPr>
              <w:spacing w:line="300" w:lineRule="exact"/>
              <w:jc w:val="center"/>
              <w:rPr>
                <w:bCs/>
                <w:color w:val="auto"/>
                <w:szCs w:val="21"/>
              </w:rPr>
            </w:pPr>
            <w:r>
              <w:rPr>
                <w:bCs/>
                <w:color w:val="auto"/>
                <w:szCs w:val="21"/>
              </w:rPr>
              <w:t>项目</w:t>
            </w:r>
          </w:p>
        </w:tc>
        <w:tc>
          <w:tcPr>
            <w:tcW w:w="1312" w:type="dxa"/>
            <w:vAlign w:val="center"/>
          </w:tcPr>
          <w:p>
            <w:pPr>
              <w:spacing w:line="300" w:lineRule="exact"/>
              <w:jc w:val="center"/>
              <w:rPr>
                <w:bCs/>
                <w:color w:val="auto"/>
                <w:szCs w:val="21"/>
              </w:rPr>
            </w:pPr>
            <w:r>
              <w:rPr>
                <w:bCs/>
                <w:color w:val="auto"/>
                <w:szCs w:val="21"/>
              </w:rPr>
              <w:t>镉</w:t>
            </w:r>
          </w:p>
        </w:tc>
        <w:tc>
          <w:tcPr>
            <w:tcW w:w="855" w:type="dxa"/>
            <w:vAlign w:val="center"/>
          </w:tcPr>
          <w:p>
            <w:pPr>
              <w:spacing w:line="300" w:lineRule="exact"/>
              <w:jc w:val="center"/>
              <w:rPr>
                <w:bCs/>
                <w:color w:val="auto"/>
                <w:szCs w:val="21"/>
              </w:rPr>
            </w:pPr>
            <w:r>
              <w:rPr>
                <w:bCs/>
                <w:color w:val="auto"/>
                <w:szCs w:val="21"/>
              </w:rPr>
              <w:t>锌</w:t>
            </w:r>
          </w:p>
        </w:tc>
        <w:tc>
          <w:tcPr>
            <w:tcW w:w="823" w:type="dxa"/>
            <w:vAlign w:val="center"/>
          </w:tcPr>
          <w:p>
            <w:pPr>
              <w:spacing w:line="300" w:lineRule="exact"/>
              <w:jc w:val="center"/>
              <w:rPr>
                <w:bCs/>
                <w:color w:val="auto"/>
                <w:szCs w:val="21"/>
              </w:rPr>
            </w:pPr>
            <w:r>
              <w:rPr>
                <w:bCs/>
                <w:color w:val="auto"/>
                <w:szCs w:val="21"/>
              </w:rPr>
              <w:t>镍</w:t>
            </w:r>
          </w:p>
        </w:tc>
        <w:tc>
          <w:tcPr>
            <w:tcW w:w="1184" w:type="dxa"/>
            <w:vAlign w:val="center"/>
          </w:tcPr>
          <w:p>
            <w:pPr>
              <w:spacing w:line="300" w:lineRule="exact"/>
              <w:jc w:val="center"/>
              <w:rPr>
                <w:bCs/>
                <w:color w:val="auto"/>
                <w:szCs w:val="21"/>
              </w:rPr>
            </w:pPr>
            <w:r>
              <w:rPr>
                <w:bCs/>
                <w:color w:val="auto"/>
                <w:szCs w:val="21"/>
              </w:rPr>
              <w:t>六价铬</w:t>
            </w:r>
          </w:p>
        </w:tc>
        <w:tc>
          <w:tcPr>
            <w:tcW w:w="904" w:type="dxa"/>
            <w:vAlign w:val="center"/>
          </w:tcPr>
          <w:p>
            <w:pPr>
              <w:spacing w:line="300" w:lineRule="exact"/>
              <w:jc w:val="center"/>
              <w:rPr>
                <w:bCs/>
                <w:color w:val="auto"/>
                <w:szCs w:val="21"/>
              </w:rPr>
            </w:pPr>
            <w:r>
              <w:rPr>
                <w:bCs/>
                <w:color w:val="auto"/>
                <w:szCs w:val="21"/>
              </w:rPr>
              <w:t>铁</w:t>
            </w:r>
          </w:p>
        </w:tc>
        <w:tc>
          <w:tcPr>
            <w:tcW w:w="854" w:type="dxa"/>
            <w:vAlign w:val="center"/>
          </w:tcPr>
          <w:p>
            <w:pPr>
              <w:spacing w:line="300" w:lineRule="exact"/>
              <w:jc w:val="center"/>
              <w:rPr>
                <w:bCs/>
                <w:color w:val="auto"/>
                <w:szCs w:val="21"/>
              </w:rPr>
            </w:pPr>
            <w:r>
              <w:rPr>
                <w:bCs/>
                <w:color w:val="auto"/>
                <w:szCs w:val="21"/>
              </w:rPr>
              <w:t>锰</w:t>
            </w:r>
          </w:p>
        </w:tc>
        <w:tc>
          <w:tcPr>
            <w:tcW w:w="995" w:type="dxa"/>
            <w:vAlign w:val="center"/>
          </w:tcPr>
          <w:p>
            <w:pPr>
              <w:spacing w:line="300" w:lineRule="exact"/>
              <w:jc w:val="center"/>
              <w:rPr>
                <w:bCs/>
                <w:color w:val="auto"/>
                <w:szCs w:val="21"/>
              </w:rPr>
            </w:pPr>
            <w:r>
              <w:rPr>
                <w:bCs/>
                <w:color w:val="auto"/>
                <w:szCs w:val="21"/>
              </w:rPr>
              <w:t>砷</w:t>
            </w:r>
          </w:p>
        </w:tc>
        <w:tc>
          <w:tcPr>
            <w:tcW w:w="1061" w:type="dxa"/>
            <w:vAlign w:val="center"/>
          </w:tcPr>
          <w:p>
            <w:pPr>
              <w:spacing w:line="300" w:lineRule="exact"/>
              <w:jc w:val="center"/>
              <w:rPr>
                <w:bCs/>
                <w:color w:val="auto"/>
                <w:szCs w:val="21"/>
              </w:rPr>
            </w:pPr>
            <w:r>
              <w:rPr>
                <w:bCs/>
                <w:color w:val="auto"/>
                <w:szCs w:val="21"/>
              </w:rPr>
              <w:t>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965" w:type="dxa"/>
            <w:vAlign w:val="center"/>
          </w:tcPr>
          <w:p>
            <w:pPr>
              <w:spacing w:line="300" w:lineRule="exact"/>
              <w:jc w:val="center"/>
              <w:rPr>
                <w:bCs/>
                <w:color w:val="auto"/>
                <w:szCs w:val="21"/>
              </w:rPr>
            </w:pPr>
            <w:r>
              <w:rPr>
                <w:bCs/>
                <w:color w:val="auto"/>
                <w:szCs w:val="21"/>
              </w:rPr>
              <w:t>标准值</w:t>
            </w:r>
          </w:p>
        </w:tc>
        <w:tc>
          <w:tcPr>
            <w:tcW w:w="1312" w:type="dxa"/>
            <w:vAlign w:val="center"/>
          </w:tcPr>
          <w:p>
            <w:pPr>
              <w:spacing w:line="300" w:lineRule="exact"/>
              <w:jc w:val="center"/>
              <w:rPr>
                <w:bCs/>
                <w:color w:val="auto"/>
                <w:szCs w:val="21"/>
              </w:rPr>
            </w:pPr>
            <w:r>
              <w:rPr>
                <w:bCs/>
                <w:color w:val="auto"/>
                <w:szCs w:val="21"/>
              </w:rPr>
              <w:t>≤0.05</w:t>
            </w:r>
          </w:p>
        </w:tc>
        <w:tc>
          <w:tcPr>
            <w:tcW w:w="855" w:type="dxa"/>
            <w:vAlign w:val="center"/>
          </w:tcPr>
          <w:p>
            <w:pPr>
              <w:spacing w:line="300" w:lineRule="exact"/>
              <w:jc w:val="center"/>
              <w:rPr>
                <w:bCs/>
                <w:color w:val="auto"/>
                <w:szCs w:val="21"/>
              </w:rPr>
            </w:pPr>
            <w:r>
              <w:rPr>
                <w:bCs/>
                <w:color w:val="auto"/>
                <w:szCs w:val="21"/>
              </w:rPr>
              <w:t>≤1.0</w:t>
            </w:r>
          </w:p>
        </w:tc>
        <w:tc>
          <w:tcPr>
            <w:tcW w:w="823" w:type="dxa"/>
            <w:vAlign w:val="center"/>
          </w:tcPr>
          <w:p>
            <w:pPr>
              <w:spacing w:line="300" w:lineRule="exact"/>
              <w:jc w:val="center"/>
              <w:rPr>
                <w:bCs/>
                <w:color w:val="auto"/>
                <w:szCs w:val="21"/>
              </w:rPr>
            </w:pPr>
            <w:r>
              <w:rPr>
                <w:bCs/>
                <w:color w:val="auto"/>
                <w:szCs w:val="21"/>
              </w:rPr>
              <w:t>≤0.02</w:t>
            </w:r>
          </w:p>
        </w:tc>
        <w:tc>
          <w:tcPr>
            <w:tcW w:w="1184" w:type="dxa"/>
            <w:vAlign w:val="center"/>
          </w:tcPr>
          <w:p>
            <w:pPr>
              <w:spacing w:line="300" w:lineRule="exact"/>
              <w:jc w:val="center"/>
              <w:rPr>
                <w:bCs/>
                <w:color w:val="auto"/>
                <w:szCs w:val="21"/>
              </w:rPr>
            </w:pPr>
            <w:r>
              <w:rPr>
                <w:bCs/>
                <w:color w:val="auto"/>
                <w:szCs w:val="21"/>
              </w:rPr>
              <w:t>≤0.05</w:t>
            </w:r>
          </w:p>
        </w:tc>
        <w:tc>
          <w:tcPr>
            <w:tcW w:w="904" w:type="dxa"/>
            <w:vAlign w:val="center"/>
          </w:tcPr>
          <w:p>
            <w:pPr>
              <w:spacing w:line="300" w:lineRule="exact"/>
              <w:jc w:val="center"/>
              <w:rPr>
                <w:bCs/>
                <w:color w:val="auto"/>
                <w:szCs w:val="21"/>
              </w:rPr>
            </w:pPr>
            <w:r>
              <w:rPr>
                <w:bCs/>
                <w:color w:val="auto"/>
                <w:szCs w:val="21"/>
              </w:rPr>
              <w:t>≤0.3</w:t>
            </w:r>
          </w:p>
        </w:tc>
        <w:tc>
          <w:tcPr>
            <w:tcW w:w="854" w:type="dxa"/>
            <w:vAlign w:val="center"/>
          </w:tcPr>
          <w:p>
            <w:pPr>
              <w:spacing w:line="300" w:lineRule="exact"/>
              <w:jc w:val="center"/>
              <w:rPr>
                <w:bCs/>
                <w:color w:val="auto"/>
                <w:szCs w:val="21"/>
              </w:rPr>
            </w:pPr>
            <w:r>
              <w:rPr>
                <w:bCs/>
                <w:color w:val="auto"/>
                <w:szCs w:val="21"/>
              </w:rPr>
              <w:t>≤0.10</w:t>
            </w:r>
          </w:p>
        </w:tc>
        <w:tc>
          <w:tcPr>
            <w:tcW w:w="995" w:type="dxa"/>
            <w:vAlign w:val="center"/>
          </w:tcPr>
          <w:p>
            <w:pPr>
              <w:spacing w:line="300" w:lineRule="exact"/>
              <w:jc w:val="center"/>
              <w:rPr>
                <w:bCs/>
                <w:color w:val="auto"/>
                <w:szCs w:val="21"/>
              </w:rPr>
            </w:pPr>
            <w:r>
              <w:rPr>
                <w:bCs/>
                <w:color w:val="auto"/>
                <w:szCs w:val="21"/>
              </w:rPr>
              <w:t>≤0.01</w:t>
            </w:r>
          </w:p>
        </w:tc>
        <w:tc>
          <w:tcPr>
            <w:tcW w:w="1061" w:type="dxa"/>
            <w:vAlign w:val="center"/>
          </w:tcPr>
          <w:p>
            <w:pPr>
              <w:spacing w:line="300" w:lineRule="exact"/>
              <w:jc w:val="center"/>
              <w:rPr>
                <w:bCs/>
                <w:color w:val="auto"/>
                <w:szCs w:val="21"/>
              </w:rPr>
            </w:pPr>
            <w:r>
              <w:rPr>
                <w:bCs/>
                <w:color w:val="auto"/>
                <w:szCs w:val="21"/>
              </w:rPr>
              <w:t>≤0.001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965" w:type="dxa"/>
            <w:vAlign w:val="center"/>
          </w:tcPr>
          <w:p>
            <w:pPr>
              <w:spacing w:line="300" w:lineRule="exact"/>
              <w:jc w:val="center"/>
              <w:rPr>
                <w:bCs/>
                <w:color w:val="auto"/>
                <w:szCs w:val="21"/>
              </w:rPr>
            </w:pPr>
            <w:r>
              <w:rPr>
                <w:bCs/>
                <w:color w:val="auto"/>
                <w:szCs w:val="21"/>
              </w:rPr>
              <w:t>项目</w:t>
            </w:r>
          </w:p>
        </w:tc>
        <w:tc>
          <w:tcPr>
            <w:tcW w:w="1312" w:type="dxa"/>
            <w:vAlign w:val="center"/>
          </w:tcPr>
          <w:p>
            <w:pPr>
              <w:spacing w:line="300" w:lineRule="exact"/>
              <w:jc w:val="center"/>
              <w:rPr>
                <w:bCs/>
                <w:color w:val="auto"/>
                <w:szCs w:val="21"/>
              </w:rPr>
            </w:pPr>
            <w:r>
              <w:rPr>
                <w:bCs/>
                <w:color w:val="auto"/>
                <w:szCs w:val="21"/>
              </w:rPr>
              <w:t>钠</w:t>
            </w:r>
          </w:p>
        </w:tc>
        <w:tc>
          <w:tcPr>
            <w:tcW w:w="855" w:type="dxa"/>
            <w:vAlign w:val="center"/>
          </w:tcPr>
          <w:p>
            <w:pPr>
              <w:spacing w:line="300" w:lineRule="exact"/>
              <w:jc w:val="center"/>
              <w:rPr>
                <w:bCs/>
                <w:color w:val="auto"/>
                <w:szCs w:val="21"/>
              </w:rPr>
            </w:pPr>
          </w:p>
        </w:tc>
        <w:tc>
          <w:tcPr>
            <w:tcW w:w="823" w:type="dxa"/>
            <w:vAlign w:val="center"/>
          </w:tcPr>
          <w:p>
            <w:pPr>
              <w:spacing w:line="300" w:lineRule="exact"/>
              <w:jc w:val="center"/>
              <w:rPr>
                <w:bCs/>
                <w:color w:val="auto"/>
                <w:szCs w:val="21"/>
              </w:rPr>
            </w:pPr>
          </w:p>
        </w:tc>
        <w:tc>
          <w:tcPr>
            <w:tcW w:w="1184" w:type="dxa"/>
            <w:vAlign w:val="center"/>
          </w:tcPr>
          <w:p>
            <w:pPr>
              <w:spacing w:line="300" w:lineRule="exact"/>
              <w:jc w:val="center"/>
              <w:rPr>
                <w:bCs/>
                <w:color w:val="auto"/>
                <w:szCs w:val="21"/>
              </w:rPr>
            </w:pPr>
          </w:p>
        </w:tc>
        <w:tc>
          <w:tcPr>
            <w:tcW w:w="904" w:type="dxa"/>
            <w:vAlign w:val="center"/>
          </w:tcPr>
          <w:p>
            <w:pPr>
              <w:spacing w:line="300" w:lineRule="exact"/>
              <w:jc w:val="center"/>
              <w:rPr>
                <w:bCs/>
                <w:color w:val="auto"/>
                <w:szCs w:val="21"/>
              </w:rPr>
            </w:pPr>
          </w:p>
        </w:tc>
        <w:tc>
          <w:tcPr>
            <w:tcW w:w="854" w:type="dxa"/>
            <w:vAlign w:val="center"/>
          </w:tcPr>
          <w:p>
            <w:pPr>
              <w:spacing w:line="300" w:lineRule="exact"/>
              <w:jc w:val="center"/>
              <w:rPr>
                <w:bCs/>
                <w:color w:val="auto"/>
                <w:szCs w:val="21"/>
              </w:rPr>
            </w:pPr>
          </w:p>
        </w:tc>
        <w:tc>
          <w:tcPr>
            <w:tcW w:w="995" w:type="dxa"/>
            <w:vAlign w:val="center"/>
          </w:tcPr>
          <w:p>
            <w:pPr>
              <w:spacing w:line="300" w:lineRule="exact"/>
              <w:jc w:val="center"/>
              <w:rPr>
                <w:bCs/>
                <w:color w:val="auto"/>
                <w:szCs w:val="21"/>
              </w:rPr>
            </w:pPr>
          </w:p>
        </w:tc>
        <w:tc>
          <w:tcPr>
            <w:tcW w:w="1061" w:type="dxa"/>
            <w:vAlign w:val="center"/>
          </w:tcPr>
          <w:p>
            <w:pPr>
              <w:spacing w:line="300" w:lineRule="exact"/>
              <w:jc w:val="center"/>
              <w:rPr>
                <w:bCs/>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965" w:type="dxa"/>
            <w:vAlign w:val="center"/>
          </w:tcPr>
          <w:p>
            <w:pPr>
              <w:spacing w:line="300" w:lineRule="exact"/>
              <w:jc w:val="center"/>
              <w:rPr>
                <w:bCs/>
                <w:color w:val="auto"/>
                <w:szCs w:val="21"/>
              </w:rPr>
            </w:pPr>
            <w:r>
              <w:rPr>
                <w:bCs/>
                <w:color w:val="auto"/>
                <w:szCs w:val="21"/>
              </w:rPr>
              <w:t>标准值</w:t>
            </w:r>
          </w:p>
        </w:tc>
        <w:tc>
          <w:tcPr>
            <w:tcW w:w="1312" w:type="dxa"/>
            <w:vAlign w:val="center"/>
          </w:tcPr>
          <w:p>
            <w:pPr>
              <w:spacing w:line="300" w:lineRule="exact"/>
              <w:jc w:val="center"/>
              <w:rPr>
                <w:bCs/>
                <w:color w:val="auto"/>
                <w:szCs w:val="21"/>
              </w:rPr>
            </w:pPr>
            <w:r>
              <w:rPr>
                <w:bCs/>
                <w:color w:val="auto"/>
                <w:szCs w:val="21"/>
              </w:rPr>
              <w:t>≤200</w:t>
            </w:r>
          </w:p>
        </w:tc>
        <w:tc>
          <w:tcPr>
            <w:tcW w:w="855" w:type="dxa"/>
            <w:vAlign w:val="center"/>
          </w:tcPr>
          <w:p>
            <w:pPr>
              <w:spacing w:line="300" w:lineRule="exact"/>
              <w:jc w:val="center"/>
              <w:rPr>
                <w:bCs/>
                <w:color w:val="auto"/>
                <w:szCs w:val="21"/>
              </w:rPr>
            </w:pPr>
          </w:p>
        </w:tc>
        <w:tc>
          <w:tcPr>
            <w:tcW w:w="823" w:type="dxa"/>
            <w:vAlign w:val="center"/>
          </w:tcPr>
          <w:p>
            <w:pPr>
              <w:spacing w:line="300" w:lineRule="exact"/>
              <w:jc w:val="center"/>
              <w:rPr>
                <w:bCs/>
                <w:color w:val="auto"/>
                <w:szCs w:val="21"/>
              </w:rPr>
            </w:pPr>
          </w:p>
        </w:tc>
        <w:tc>
          <w:tcPr>
            <w:tcW w:w="1184" w:type="dxa"/>
            <w:vAlign w:val="center"/>
          </w:tcPr>
          <w:p>
            <w:pPr>
              <w:spacing w:line="300" w:lineRule="exact"/>
              <w:jc w:val="center"/>
              <w:rPr>
                <w:bCs/>
                <w:color w:val="auto"/>
                <w:szCs w:val="21"/>
              </w:rPr>
            </w:pPr>
          </w:p>
        </w:tc>
        <w:tc>
          <w:tcPr>
            <w:tcW w:w="904" w:type="dxa"/>
            <w:vAlign w:val="center"/>
          </w:tcPr>
          <w:p>
            <w:pPr>
              <w:spacing w:line="300" w:lineRule="exact"/>
              <w:jc w:val="center"/>
              <w:rPr>
                <w:bCs/>
                <w:color w:val="auto"/>
                <w:szCs w:val="21"/>
              </w:rPr>
            </w:pPr>
          </w:p>
        </w:tc>
        <w:tc>
          <w:tcPr>
            <w:tcW w:w="854" w:type="dxa"/>
            <w:vAlign w:val="center"/>
          </w:tcPr>
          <w:p>
            <w:pPr>
              <w:spacing w:line="300" w:lineRule="exact"/>
              <w:jc w:val="center"/>
              <w:rPr>
                <w:bCs/>
                <w:color w:val="auto"/>
                <w:szCs w:val="21"/>
              </w:rPr>
            </w:pPr>
          </w:p>
        </w:tc>
        <w:tc>
          <w:tcPr>
            <w:tcW w:w="995" w:type="dxa"/>
            <w:vAlign w:val="center"/>
          </w:tcPr>
          <w:p>
            <w:pPr>
              <w:spacing w:line="300" w:lineRule="exact"/>
              <w:jc w:val="center"/>
              <w:rPr>
                <w:bCs/>
                <w:color w:val="auto"/>
                <w:szCs w:val="21"/>
              </w:rPr>
            </w:pPr>
          </w:p>
        </w:tc>
        <w:tc>
          <w:tcPr>
            <w:tcW w:w="1061" w:type="dxa"/>
            <w:vAlign w:val="center"/>
          </w:tcPr>
          <w:p>
            <w:pPr>
              <w:spacing w:line="300" w:lineRule="exact"/>
              <w:jc w:val="center"/>
              <w:rPr>
                <w:bCs/>
                <w:color w:val="auto"/>
                <w:szCs w:val="21"/>
              </w:rPr>
            </w:pPr>
          </w:p>
        </w:tc>
      </w:tr>
    </w:tbl>
    <w:p>
      <w:pPr>
        <w:widowControl/>
        <w:spacing w:line="520" w:lineRule="exact"/>
        <w:ind w:firstLine="480" w:firstLineChars="200"/>
        <w:outlineLvl w:val="3"/>
        <w:rPr>
          <w:b/>
          <w:color w:val="auto"/>
          <w:sz w:val="24"/>
        </w:rPr>
      </w:pPr>
      <w:r>
        <w:rPr>
          <w:bCs/>
          <w:color w:val="auto"/>
          <w:sz w:val="24"/>
        </w:rPr>
        <w:t>③监测结果及评价结果</w:t>
      </w:r>
    </w:p>
    <w:p>
      <w:pPr>
        <w:spacing w:line="300" w:lineRule="exact"/>
        <w:jc w:val="center"/>
        <w:rPr>
          <w:b/>
          <w:color w:val="auto"/>
          <w:sz w:val="24"/>
        </w:rPr>
      </w:pPr>
    </w:p>
    <w:p>
      <w:pPr>
        <w:spacing w:line="300" w:lineRule="exact"/>
        <w:jc w:val="center"/>
        <w:rPr>
          <w:rFonts w:hint="eastAsia"/>
          <w:b/>
          <w:color w:val="auto"/>
          <w:sz w:val="24"/>
        </w:rPr>
      </w:pPr>
    </w:p>
    <w:p>
      <w:pPr>
        <w:spacing w:line="300" w:lineRule="exact"/>
        <w:jc w:val="center"/>
        <w:rPr>
          <w:b/>
          <w:color w:val="auto"/>
          <w:sz w:val="24"/>
        </w:rPr>
      </w:pPr>
      <w:r>
        <w:rPr>
          <w:rFonts w:hint="eastAsia"/>
          <w:b/>
          <w:color w:val="auto"/>
          <w:sz w:val="24"/>
        </w:rPr>
        <w:t>表5</w:t>
      </w:r>
      <w:r>
        <w:rPr>
          <w:b/>
          <w:color w:val="auto"/>
          <w:sz w:val="24"/>
        </w:rPr>
        <w:t xml:space="preserve">-18  地下水水质现状监测及评价结果   单位：mg/l </w:t>
      </w:r>
    </w:p>
    <w:tbl>
      <w:tblPr>
        <w:tblStyle w:val="5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03"/>
        <w:gridCol w:w="1140"/>
        <w:gridCol w:w="1093"/>
        <w:gridCol w:w="1369"/>
        <w:gridCol w:w="1262"/>
        <w:gridCol w:w="1248"/>
        <w:gridCol w:w="12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03" w:type="dxa"/>
            <w:vMerge w:val="restart"/>
            <w:vAlign w:val="center"/>
          </w:tcPr>
          <w:p>
            <w:pPr>
              <w:spacing w:line="300" w:lineRule="exact"/>
              <w:jc w:val="center"/>
              <w:rPr>
                <w:bCs/>
                <w:color w:val="auto"/>
                <w:szCs w:val="21"/>
              </w:rPr>
            </w:pPr>
            <w:r>
              <w:rPr>
                <w:bCs/>
                <w:color w:val="auto"/>
                <w:szCs w:val="21"/>
              </w:rPr>
              <w:t>检测因子</w:t>
            </w:r>
          </w:p>
        </w:tc>
        <w:tc>
          <w:tcPr>
            <w:tcW w:w="7350" w:type="dxa"/>
            <w:gridSpan w:val="6"/>
            <w:tcBorders>
              <w:right w:val="single" w:color="000000" w:sz="4" w:space="0"/>
            </w:tcBorders>
            <w:vAlign w:val="center"/>
          </w:tcPr>
          <w:p>
            <w:pPr>
              <w:spacing w:line="300" w:lineRule="exact"/>
              <w:jc w:val="center"/>
              <w:rPr>
                <w:bCs/>
                <w:color w:val="auto"/>
                <w:szCs w:val="21"/>
              </w:rPr>
            </w:pPr>
            <w:r>
              <w:rPr>
                <w:bCs/>
                <w:color w:val="auto"/>
                <w:szCs w:val="21"/>
              </w:rPr>
              <w:t>采样点位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2" w:hRule="atLeast"/>
          <w:jc w:val="center"/>
        </w:trPr>
        <w:tc>
          <w:tcPr>
            <w:tcW w:w="1603" w:type="dxa"/>
            <w:vMerge w:val="continue"/>
            <w:vAlign w:val="center"/>
          </w:tcPr>
          <w:p>
            <w:pPr>
              <w:spacing w:line="300" w:lineRule="exact"/>
              <w:jc w:val="center"/>
              <w:rPr>
                <w:bCs/>
                <w:color w:val="auto"/>
                <w:szCs w:val="21"/>
              </w:rPr>
            </w:pPr>
          </w:p>
        </w:tc>
        <w:tc>
          <w:tcPr>
            <w:tcW w:w="2233" w:type="dxa"/>
            <w:gridSpan w:val="2"/>
            <w:tcBorders>
              <w:right w:val="single" w:color="000000" w:sz="4" w:space="0"/>
            </w:tcBorders>
            <w:vAlign w:val="center"/>
          </w:tcPr>
          <w:p>
            <w:pPr>
              <w:spacing w:line="300" w:lineRule="exact"/>
              <w:jc w:val="center"/>
              <w:rPr>
                <w:rFonts w:hint="eastAsia" w:eastAsia="宋体"/>
                <w:bCs/>
                <w:color w:val="auto"/>
                <w:szCs w:val="21"/>
                <w:lang w:eastAsia="zh-CN"/>
              </w:rPr>
            </w:pPr>
            <w:r>
              <w:rPr>
                <w:bCs/>
                <w:color w:val="auto"/>
                <w:szCs w:val="21"/>
              </w:rPr>
              <w:t>D1</w:t>
            </w:r>
            <w:r>
              <w:rPr>
                <w:rFonts w:hint="eastAsia"/>
                <w:bCs/>
                <w:color w:val="auto"/>
                <w:szCs w:val="21"/>
                <w:lang w:eastAsia="zh-CN"/>
              </w:rPr>
              <w:t>连塘冲</w:t>
            </w:r>
          </w:p>
        </w:tc>
        <w:tc>
          <w:tcPr>
            <w:tcW w:w="2631" w:type="dxa"/>
            <w:gridSpan w:val="2"/>
            <w:tcBorders>
              <w:right w:val="single" w:color="000000" w:sz="4" w:space="0"/>
            </w:tcBorders>
            <w:vAlign w:val="center"/>
          </w:tcPr>
          <w:p>
            <w:pPr>
              <w:spacing w:line="300" w:lineRule="exact"/>
              <w:jc w:val="center"/>
              <w:rPr>
                <w:bCs/>
                <w:color w:val="auto"/>
                <w:szCs w:val="21"/>
              </w:rPr>
            </w:pPr>
            <w:r>
              <w:rPr>
                <w:bCs/>
                <w:color w:val="auto"/>
                <w:szCs w:val="21"/>
              </w:rPr>
              <w:t>D2</w:t>
            </w:r>
            <w:r>
              <w:rPr>
                <w:rFonts w:hint="eastAsia"/>
                <w:bCs/>
                <w:color w:val="auto"/>
                <w:szCs w:val="21"/>
              </w:rPr>
              <w:t>本项目</w:t>
            </w:r>
          </w:p>
        </w:tc>
        <w:tc>
          <w:tcPr>
            <w:tcW w:w="2486" w:type="dxa"/>
            <w:gridSpan w:val="2"/>
            <w:tcBorders>
              <w:right w:val="single" w:color="000000" w:sz="4" w:space="0"/>
            </w:tcBorders>
            <w:vAlign w:val="center"/>
          </w:tcPr>
          <w:p>
            <w:pPr>
              <w:spacing w:line="300" w:lineRule="exact"/>
              <w:jc w:val="center"/>
              <w:rPr>
                <w:rFonts w:hint="eastAsia" w:eastAsia="宋体"/>
                <w:bCs/>
                <w:color w:val="auto"/>
                <w:szCs w:val="21"/>
                <w:lang w:eastAsia="zh-CN"/>
              </w:rPr>
            </w:pPr>
            <w:r>
              <w:rPr>
                <w:bCs/>
                <w:color w:val="auto"/>
                <w:szCs w:val="21"/>
              </w:rPr>
              <w:t>D3</w:t>
            </w:r>
            <w:r>
              <w:rPr>
                <w:rFonts w:hint="eastAsia"/>
                <w:bCs/>
                <w:color w:val="auto"/>
                <w:szCs w:val="21"/>
                <w:lang w:eastAsia="zh-CN"/>
              </w:rPr>
              <w:t>上杨村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03" w:type="dxa"/>
            <w:vMerge w:val="continue"/>
            <w:vAlign w:val="center"/>
          </w:tcPr>
          <w:p>
            <w:pPr>
              <w:spacing w:line="300" w:lineRule="exact"/>
              <w:jc w:val="center"/>
              <w:rPr>
                <w:bCs/>
                <w:color w:val="auto"/>
                <w:szCs w:val="21"/>
              </w:rPr>
            </w:pPr>
          </w:p>
        </w:tc>
        <w:tc>
          <w:tcPr>
            <w:tcW w:w="1140" w:type="dxa"/>
            <w:vAlign w:val="center"/>
          </w:tcPr>
          <w:p>
            <w:pPr>
              <w:spacing w:line="300" w:lineRule="exact"/>
              <w:jc w:val="center"/>
              <w:rPr>
                <w:bCs/>
                <w:color w:val="auto"/>
                <w:szCs w:val="21"/>
              </w:rPr>
            </w:pPr>
            <w:r>
              <w:rPr>
                <w:bCs/>
                <w:color w:val="auto"/>
                <w:szCs w:val="21"/>
              </w:rPr>
              <w:t>监测值Ci</w:t>
            </w:r>
          </w:p>
        </w:tc>
        <w:tc>
          <w:tcPr>
            <w:tcW w:w="1093" w:type="dxa"/>
            <w:tcBorders>
              <w:right w:val="single" w:color="000000" w:sz="4" w:space="0"/>
            </w:tcBorders>
            <w:vAlign w:val="center"/>
          </w:tcPr>
          <w:p>
            <w:pPr>
              <w:spacing w:line="300" w:lineRule="exact"/>
              <w:jc w:val="center"/>
              <w:rPr>
                <w:bCs/>
                <w:color w:val="auto"/>
                <w:szCs w:val="21"/>
              </w:rPr>
            </w:pPr>
            <w:r>
              <w:rPr>
                <w:bCs/>
                <w:color w:val="auto"/>
                <w:szCs w:val="21"/>
              </w:rPr>
              <w:t>评价结果Si</w:t>
            </w:r>
          </w:p>
        </w:tc>
        <w:tc>
          <w:tcPr>
            <w:tcW w:w="1369" w:type="dxa"/>
            <w:tcBorders>
              <w:right w:val="single" w:color="000000" w:sz="4" w:space="0"/>
            </w:tcBorders>
            <w:vAlign w:val="center"/>
          </w:tcPr>
          <w:p>
            <w:pPr>
              <w:spacing w:line="300" w:lineRule="exact"/>
              <w:jc w:val="center"/>
              <w:rPr>
                <w:bCs/>
                <w:color w:val="auto"/>
                <w:szCs w:val="21"/>
              </w:rPr>
            </w:pPr>
            <w:r>
              <w:rPr>
                <w:bCs/>
                <w:color w:val="auto"/>
                <w:szCs w:val="21"/>
              </w:rPr>
              <w:t>监测值Ci</w:t>
            </w:r>
          </w:p>
        </w:tc>
        <w:tc>
          <w:tcPr>
            <w:tcW w:w="1261" w:type="dxa"/>
            <w:tcBorders>
              <w:right w:val="single" w:color="000000" w:sz="4" w:space="0"/>
            </w:tcBorders>
            <w:vAlign w:val="center"/>
          </w:tcPr>
          <w:p>
            <w:pPr>
              <w:spacing w:line="300" w:lineRule="exact"/>
              <w:jc w:val="center"/>
              <w:rPr>
                <w:bCs/>
                <w:color w:val="auto"/>
                <w:szCs w:val="21"/>
              </w:rPr>
            </w:pPr>
            <w:r>
              <w:rPr>
                <w:bCs/>
                <w:color w:val="auto"/>
                <w:szCs w:val="21"/>
              </w:rPr>
              <w:t>评价结果Si</w:t>
            </w:r>
          </w:p>
        </w:tc>
        <w:tc>
          <w:tcPr>
            <w:tcW w:w="1248" w:type="dxa"/>
            <w:tcBorders>
              <w:right w:val="single" w:color="000000" w:sz="4" w:space="0"/>
            </w:tcBorders>
            <w:vAlign w:val="center"/>
          </w:tcPr>
          <w:p>
            <w:pPr>
              <w:spacing w:line="300" w:lineRule="exact"/>
              <w:jc w:val="center"/>
              <w:rPr>
                <w:bCs/>
                <w:color w:val="auto"/>
                <w:szCs w:val="21"/>
              </w:rPr>
            </w:pPr>
            <w:r>
              <w:rPr>
                <w:bCs/>
                <w:color w:val="auto"/>
                <w:szCs w:val="21"/>
              </w:rPr>
              <w:t>监测值Ci</w:t>
            </w:r>
          </w:p>
        </w:tc>
        <w:tc>
          <w:tcPr>
            <w:tcW w:w="1238" w:type="dxa"/>
            <w:tcBorders>
              <w:right w:val="single" w:color="000000" w:sz="4" w:space="0"/>
            </w:tcBorders>
            <w:vAlign w:val="center"/>
          </w:tcPr>
          <w:p>
            <w:pPr>
              <w:spacing w:line="300" w:lineRule="exact"/>
              <w:jc w:val="center"/>
              <w:rPr>
                <w:bCs/>
                <w:color w:val="auto"/>
                <w:szCs w:val="21"/>
              </w:rPr>
            </w:pPr>
            <w:r>
              <w:rPr>
                <w:bCs/>
                <w:color w:val="auto"/>
                <w:szCs w:val="21"/>
              </w:rPr>
              <w:t>评价结果Si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03" w:type="dxa"/>
            <w:vAlign w:val="center"/>
          </w:tcPr>
          <w:p>
            <w:pPr>
              <w:spacing w:line="300" w:lineRule="exact"/>
              <w:jc w:val="center"/>
              <w:rPr>
                <w:bCs/>
                <w:color w:val="auto"/>
                <w:szCs w:val="21"/>
              </w:rPr>
            </w:pPr>
            <w:r>
              <w:rPr>
                <w:bCs/>
                <w:color w:val="auto"/>
                <w:szCs w:val="21"/>
              </w:rPr>
              <w:t>pH</w:t>
            </w:r>
            <w:r>
              <w:rPr>
                <w:rFonts w:hint="eastAsia"/>
                <w:bCs/>
                <w:color w:val="auto"/>
                <w:szCs w:val="21"/>
              </w:rPr>
              <w:t>值</w:t>
            </w:r>
          </w:p>
        </w:tc>
        <w:tc>
          <w:tcPr>
            <w:tcW w:w="1140" w:type="dxa"/>
            <w:vAlign w:val="center"/>
          </w:tcPr>
          <w:p>
            <w:pPr>
              <w:spacing w:line="300" w:lineRule="exact"/>
              <w:jc w:val="center"/>
              <w:rPr>
                <w:bCs/>
                <w:color w:val="auto"/>
                <w:szCs w:val="21"/>
              </w:rPr>
            </w:pPr>
            <w:r>
              <w:rPr>
                <w:bCs/>
                <w:color w:val="auto"/>
                <w:szCs w:val="21"/>
              </w:rPr>
              <w:t>/</w:t>
            </w:r>
          </w:p>
        </w:tc>
        <w:tc>
          <w:tcPr>
            <w:tcW w:w="1093" w:type="dxa"/>
            <w:tcBorders>
              <w:right w:val="single" w:color="000000" w:sz="4" w:space="0"/>
            </w:tcBorders>
            <w:vAlign w:val="center"/>
          </w:tcPr>
          <w:p>
            <w:pPr>
              <w:spacing w:line="300" w:lineRule="exact"/>
              <w:jc w:val="center"/>
              <w:rPr>
                <w:bCs/>
                <w:color w:val="auto"/>
                <w:szCs w:val="21"/>
              </w:rPr>
            </w:pPr>
            <w:r>
              <w:rPr>
                <w:rFonts w:hint="eastAsia"/>
                <w:bCs/>
                <w:color w:val="auto"/>
                <w:szCs w:val="21"/>
              </w:rPr>
              <w:t>6.7</w:t>
            </w:r>
          </w:p>
        </w:tc>
        <w:tc>
          <w:tcPr>
            <w:tcW w:w="1369" w:type="dxa"/>
            <w:tcBorders>
              <w:right w:val="single" w:color="000000" w:sz="4" w:space="0"/>
            </w:tcBorders>
            <w:vAlign w:val="center"/>
          </w:tcPr>
          <w:p>
            <w:pPr>
              <w:spacing w:line="300" w:lineRule="exact"/>
              <w:jc w:val="center"/>
              <w:rPr>
                <w:bCs/>
                <w:color w:val="auto"/>
                <w:szCs w:val="21"/>
              </w:rPr>
            </w:pPr>
          </w:p>
        </w:tc>
        <w:tc>
          <w:tcPr>
            <w:tcW w:w="1261" w:type="dxa"/>
            <w:tcBorders>
              <w:right w:val="single" w:color="000000" w:sz="4" w:space="0"/>
            </w:tcBorders>
            <w:vAlign w:val="center"/>
          </w:tcPr>
          <w:p>
            <w:pPr>
              <w:spacing w:line="300" w:lineRule="exact"/>
              <w:jc w:val="center"/>
              <w:rPr>
                <w:bCs/>
                <w:color w:val="auto"/>
                <w:szCs w:val="21"/>
              </w:rPr>
            </w:pPr>
            <w:r>
              <w:rPr>
                <w:rFonts w:hint="eastAsia"/>
                <w:bCs/>
                <w:color w:val="auto"/>
                <w:szCs w:val="21"/>
              </w:rPr>
              <w:t>6.79</w:t>
            </w:r>
          </w:p>
        </w:tc>
        <w:tc>
          <w:tcPr>
            <w:tcW w:w="1248" w:type="dxa"/>
            <w:tcBorders>
              <w:right w:val="single" w:color="000000" w:sz="4" w:space="0"/>
            </w:tcBorders>
            <w:vAlign w:val="center"/>
          </w:tcPr>
          <w:p>
            <w:pPr>
              <w:spacing w:line="300" w:lineRule="exact"/>
              <w:jc w:val="center"/>
              <w:rPr>
                <w:bCs/>
                <w:color w:val="auto"/>
                <w:szCs w:val="21"/>
              </w:rPr>
            </w:pPr>
            <w:r>
              <w:rPr>
                <w:bCs/>
                <w:color w:val="auto"/>
                <w:szCs w:val="21"/>
              </w:rPr>
              <w:t>/</w:t>
            </w:r>
          </w:p>
        </w:tc>
        <w:tc>
          <w:tcPr>
            <w:tcW w:w="1238" w:type="dxa"/>
            <w:tcBorders>
              <w:right w:val="single" w:color="000000" w:sz="4" w:space="0"/>
            </w:tcBorders>
            <w:vAlign w:val="center"/>
          </w:tcPr>
          <w:p>
            <w:pPr>
              <w:spacing w:line="300" w:lineRule="exact"/>
              <w:jc w:val="center"/>
              <w:rPr>
                <w:bCs/>
                <w:color w:val="auto"/>
                <w:szCs w:val="21"/>
              </w:rPr>
            </w:pPr>
            <w:r>
              <w:rPr>
                <w:bCs/>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03" w:type="dxa"/>
            <w:vAlign w:val="center"/>
          </w:tcPr>
          <w:p>
            <w:pPr>
              <w:spacing w:line="300" w:lineRule="exact"/>
              <w:jc w:val="center"/>
              <w:rPr>
                <w:bCs/>
                <w:color w:val="auto"/>
                <w:szCs w:val="21"/>
              </w:rPr>
            </w:pPr>
            <w:r>
              <w:rPr>
                <w:rFonts w:hint="eastAsia"/>
                <w:bCs/>
                <w:color w:val="auto"/>
                <w:szCs w:val="21"/>
              </w:rPr>
              <w:t>氨氮</w:t>
            </w:r>
          </w:p>
        </w:tc>
        <w:tc>
          <w:tcPr>
            <w:tcW w:w="1140" w:type="dxa"/>
            <w:vAlign w:val="center"/>
          </w:tcPr>
          <w:p>
            <w:pPr>
              <w:spacing w:line="300" w:lineRule="exact"/>
              <w:jc w:val="center"/>
              <w:rPr>
                <w:bCs/>
                <w:color w:val="auto"/>
                <w:szCs w:val="21"/>
              </w:rPr>
            </w:pPr>
            <w:r>
              <w:rPr>
                <w:bCs/>
                <w:color w:val="auto"/>
                <w:szCs w:val="21"/>
              </w:rPr>
              <w:t>0.74</w:t>
            </w:r>
          </w:p>
        </w:tc>
        <w:tc>
          <w:tcPr>
            <w:tcW w:w="1093" w:type="dxa"/>
            <w:tcBorders>
              <w:right w:val="single" w:color="000000" w:sz="4" w:space="0"/>
            </w:tcBorders>
            <w:vAlign w:val="center"/>
          </w:tcPr>
          <w:p>
            <w:pPr>
              <w:spacing w:line="300" w:lineRule="exact"/>
              <w:jc w:val="center"/>
              <w:rPr>
                <w:bCs/>
                <w:color w:val="auto"/>
                <w:szCs w:val="21"/>
              </w:rPr>
            </w:pPr>
            <w:r>
              <w:rPr>
                <w:rFonts w:hint="eastAsia"/>
                <w:bCs/>
                <w:color w:val="auto"/>
                <w:szCs w:val="21"/>
              </w:rPr>
              <w:t>0.14</w:t>
            </w:r>
          </w:p>
        </w:tc>
        <w:tc>
          <w:tcPr>
            <w:tcW w:w="1369" w:type="dxa"/>
            <w:tcBorders>
              <w:right w:val="single" w:color="000000" w:sz="4" w:space="0"/>
            </w:tcBorders>
            <w:vAlign w:val="center"/>
          </w:tcPr>
          <w:p>
            <w:pPr>
              <w:spacing w:line="300" w:lineRule="exact"/>
              <w:jc w:val="center"/>
              <w:rPr>
                <w:bCs/>
                <w:color w:val="auto"/>
                <w:szCs w:val="21"/>
              </w:rPr>
            </w:pPr>
            <w:r>
              <w:rPr>
                <w:bCs/>
                <w:color w:val="auto"/>
                <w:szCs w:val="21"/>
              </w:rPr>
              <w:t>0.28</w:t>
            </w:r>
          </w:p>
        </w:tc>
        <w:tc>
          <w:tcPr>
            <w:tcW w:w="1261" w:type="dxa"/>
            <w:tcBorders>
              <w:right w:val="single" w:color="000000" w:sz="4" w:space="0"/>
            </w:tcBorders>
            <w:vAlign w:val="center"/>
          </w:tcPr>
          <w:p>
            <w:pPr>
              <w:spacing w:line="300" w:lineRule="exact"/>
              <w:jc w:val="center"/>
              <w:rPr>
                <w:bCs/>
                <w:color w:val="auto"/>
                <w:szCs w:val="21"/>
              </w:rPr>
            </w:pPr>
            <w:r>
              <w:rPr>
                <w:rFonts w:hint="eastAsia"/>
                <w:bCs/>
                <w:color w:val="auto"/>
                <w:szCs w:val="21"/>
              </w:rPr>
              <w:t>0.22</w:t>
            </w:r>
          </w:p>
        </w:tc>
        <w:tc>
          <w:tcPr>
            <w:tcW w:w="1248" w:type="dxa"/>
            <w:tcBorders>
              <w:right w:val="single" w:color="000000" w:sz="4" w:space="0"/>
            </w:tcBorders>
            <w:vAlign w:val="center"/>
          </w:tcPr>
          <w:p>
            <w:pPr>
              <w:spacing w:line="300" w:lineRule="exact"/>
              <w:jc w:val="center"/>
              <w:rPr>
                <w:bCs/>
                <w:color w:val="auto"/>
                <w:szCs w:val="21"/>
              </w:rPr>
            </w:pPr>
            <w:r>
              <w:rPr>
                <w:bCs/>
                <w:color w:val="auto"/>
                <w:szCs w:val="21"/>
              </w:rPr>
              <w:t>0.44</w:t>
            </w:r>
          </w:p>
        </w:tc>
        <w:tc>
          <w:tcPr>
            <w:tcW w:w="1238" w:type="dxa"/>
            <w:tcBorders>
              <w:right w:val="single" w:color="000000" w:sz="4" w:space="0"/>
            </w:tcBorders>
            <w:vAlign w:val="center"/>
          </w:tcPr>
          <w:p>
            <w:pPr>
              <w:spacing w:line="300" w:lineRule="exact"/>
              <w:jc w:val="center"/>
              <w:rPr>
                <w:bCs/>
                <w:color w:val="auto"/>
                <w:szCs w:val="21"/>
              </w:rPr>
            </w:pPr>
            <w:r>
              <w:rPr>
                <w:bCs/>
                <w:color w:val="auto"/>
                <w:szCs w:val="21"/>
              </w:rPr>
              <w:t>0.74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03" w:type="dxa"/>
            <w:vAlign w:val="center"/>
          </w:tcPr>
          <w:p>
            <w:pPr>
              <w:spacing w:line="300" w:lineRule="exact"/>
              <w:jc w:val="center"/>
              <w:rPr>
                <w:bCs/>
                <w:color w:val="auto"/>
                <w:szCs w:val="21"/>
              </w:rPr>
            </w:pPr>
            <w:r>
              <w:rPr>
                <w:rFonts w:hint="eastAsia"/>
                <w:bCs/>
                <w:color w:val="auto"/>
                <w:szCs w:val="21"/>
              </w:rPr>
              <w:t>硝酸盐</w:t>
            </w:r>
          </w:p>
        </w:tc>
        <w:tc>
          <w:tcPr>
            <w:tcW w:w="1140" w:type="dxa"/>
            <w:vAlign w:val="center"/>
          </w:tcPr>
          <w:p>
            <w:pPr>
              <w:spacing w:line="300" w:lineRule="exact"/>
              <w:jc w:val="center"/>
              <w:rPr>
                <w:bCs/>
                <w:color w:val="auto"/>
                <w:szCs w:val="21"/>
              </w:rPr>
            </w:pPr>
            <w:r>
              <w:rPr>
                <w:bCs/>
                <w:color w:val="auto"/>
                <w:szCs w:val="21"/>
              </w:rPr>
              <w:t>0.155</w:t>
            </w:r>
          </w:p>
        </w:tc>
        <w:tc>
          <w:tcPr>
            <w:tcW w:w="1093" w:type="dxa"/>
            <w:tcBorders>
              <w:right w:val="single" w:color="000000" w:sz="4" w:space="0"/>
            </w:tcBorders>
            <w:vAlign w:val="center"/>
          </w:tcPr>
          <w:p>
            <w:pPr>
              <w:spacing w:line="300" w:lineRule="exact"/>
              <w:jc w:val="center"/>
              <w:rPr>
                <w:bCs/>
                <w:color w:val="auto"/>
                <w:szCs w:val="21"/>
              </w:rPr>
            </w:pPr>
            <w:r>
              <w:rPr>
                <w:rFonts w:hint="eastAsia"/>
                <w:bCs/>
                <w:color w:val="auto"/>
                <w:szCs w:val="21"/>
              </w:rPr>
              <w:t>1.57</w:t>
            </w:r>
          </w:p>
        </w:tc>
        <w:tc>
          <w:tcPr>
            <w:tcW w:w="1369" w:type="dxa"/>
            <w:tcBorders>
              <w:right w:val="single" w:color="000000" w:sz="4" w:space="0"/>
            </w:tcBorders>
            <w:vAlign w:val="center"/>
          </w:tcPr>
          <w:p>
            <w:pPr>
              <w:spacing w:line="300" w:lineRule="exact"/>
              <w:jc w:val="center"/>
              <w:rPr>
                <w:bCs/>
                <w:color w:val="auto"/>
                <w:szCs w:val="21"/>
              </w:rPr>
            </w:pPr>
            <w:r>
              <w:rPr>
                <w:bCs/>
                <w:color w:val="auto"/>
                <w:szCs w:val="21"/>
              </w:rPr>
              <w:t>0.0785</w:t>
            </w:r>
          </w:p>
        </w:tc>
        <w:tc>
          <w:tcPr>
            <w:tcW w:w="1261" w:type="dxa"/>
            <w:tcBorders>
              <w:right w:val="single" w:color="000000" w:sz="4" w:space="0"/>
            </w:tcBorders>
            <w:vAlign w:val="center"/>
          </w:tcPr>
          <w:p>
            <w:pPr>
              <w:spacing w:line="300" w:lineRule="exact"/>
              <w:jc w:val="center"/>
              <w:rPr>
                <w:bCs/>
                <w:color w:val="auto"/>
                <w:szCs w:val="21"/>
              </w:rPr>
            </w:pPr>
            <w:r>
              <w:rPr>
                <w:rFonts w:hint="eastAsia"/>
                <w:bCs/>
                <w:color w:val="auto"/>
                <w:szCs w:val="21"/>
              </w:rPr>
              <w:t>1.78</w:t>
            </w:r>
          </w:p>
        </w:tc>
        <w:tc>
          <w:tcPr>
            <w:tcW w:w="1248" w:type="dxa"/>
            <w:tcBorders>
              <w:right w:val="single" w:color="000000" w:sz="4" w:space="0"/>
            </w:tcBorders>
            <w:vAlign w:val="center"/>
          </w:tcPr>
          <w:p>
            <w:pPr>
              <w:spacing w:line="300" w:lineRule="exact"/>
              <w:jc w:val="center"/>
              <w:rPr>
                <w:bCs/>
                <w:color w:val="auto"/>
                <w:szCs w:val="21"/>
              </w:rPr>
            </w:pPr>
            <w:r>
              <w:rPr>
                <w:bCs/>
                <w:color w:val="auto"/>
                <w:szCs w:val="21"/>
              </w:rPr>
              <w:t>0.089</w:t>
            </w:r>
          </w:p>
        </w:tc>
        <w:tc>
          <w:tcPr>
            <w:tcW w:w="1238" w:type="dxa"/>
            <w:tcBorders>
              <w:right w:val="single" w:color="000000" w:sz="4" w:space="0"/>
            </w:tcBorders>
            <w:vAlign w:val="center"/>
          </w:tcPr>
          <w:p>
            <w:pPr>
              <w:spacing w:line="300" w:lineRule="exact"/>
              <w:jc w:val="center"/>
              <w:rPr>
                <w:bCs/>
                <w:color w:val="auto"/>
                <w:szCs w:val="21"/>
              </w:rPr>
            </w:pPr>
            <w:r>
              <w:rPr>
                <w:bCs/>
                <w:color w:val="auto"/>
                <w:szCs w:val="21"/>
              </w:rPr>
              <w:t>0.155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03" w:type="dxa"/>
            <w:vAlign w:val="center"/>
          </w:tcPr>
          <w:p>
            <w:pPr>
              <w:spacing w:line="300" w:lineRule="exact"/>
              <w:jc w:val="center"/>
              <w:rPr>
                <w:bCs/>
                <w:color w:val="auto"/>
                <w:szCs w:val="21"/>
              </w:rPr>
            </w:pPr>
            <w:r>
              <w:rPr>
                <w:rFonts w:hint="eastAsia"/>
                <w:bCs/>
                <w:color w:val="auto"/>
                <w:szCs w:val="21"/>
              </w:rPr>
              <w:t>亚硝酸盐</w:t>
            </w:r>
          </w:p>
        </w:tc>
        <w:tc>
          <w:tcPr>
            <w:tcW w:w="1140" w:type="dxa"/>
            <w:vAlign w:val="center"/>
          </w:tcPr>
          <w:p>
            <w:pPr>
              <w:spacing w:line="300" w:lineRule="exact"/>
              <w:jc w:val="center"/>
              <w:rPr>
                <w:bCs/>
                <w:color w:val="auto"/>
                <w:szCs w:val="21"/>
              </w:rPr>
            </w:pPr>
            <w:r>
              <w:rPr>
                <w:bCs/>
                <w:color w:val="auto"/>
                <w:szCs w:val="21"/>
              </w:rPr>
              <w:t>0.583</w:t>
            </w:r>
          </w:p>
        </w:tc>
        <w:tc>
          <w:tcPr>
            <w:tcW w:w="1093" w:type="dxa"/>
            <w:tcBorders>
              <w:right w:val="single" w:color="000000" w:sz="4" w:space="0"/>
            </w:tcBorders>
            <w:vAlign w:val="center"/>
          </w:tcPr>
          <w:p>
            <w:pPr>
              <w:spacing w:line="300" w:lineRule="exact"/>
              <w:jc w:val="center"/>
              <w:rPr>
                <w:bCs/>
                <w:color w:val="auto"/>
                <w:szCs w:val="21"/>
              </w:rPr>
            </w:pPr>
            <w:r>
              <w:rPr>
                <w:rFonts w:hint="eastAsia"/>
                <w:bCs/>
                <w:color w:val="auto"/>
                <w:szCs w:val="21"/>
              </w:rPr>
              <w:t>0.302</w:t>
            </w:r>
          </w:p>
        </w:tc>
        <w:tc>
          <w:tcPr>
            <w:tcW w:w="1369" w:type="dxa"/>
            <w:tcBorders>
              <w:right w:val="single" w:color="000000" w:sz="4" w:space="0"/>
            </w:tcBorders>
            <w:vAlign w:val="center"/>
          </w:tcPr>
          <w:p>
            <w:pPr>
              <w:spacing w:line="300" w:lineRule="exact"/>
              <w:jc w:val="center"/>
              <w:rPr>
                <w:bCs/>
                <w:color w:val="auto"/>
                <w:szCs w:val="21"/>
              </w:rPr>
            </w:pPr>
            <w:r>
              <w:rPr>
                <w:bCs/>
                <w:color w:val="auto"/>
                <w:szCs w:val="21"/>
              </w:rPr>
              <w:t>0.302</w:t>
            </w:r>
          </w:p>
        </w:tc>
        <w:tc>
          <w:tcPr>
            <w:tcW w:w="1261" w:type="dxa"/>
            <w:tcBorders>
              <w:right w:val="single" w:color="000000" w:sz="4" w:space="0"/>
            </w:tcBorders>
            <w:vAlign w:val="center"/>
          </w:tcPr>
          <w:p>
            <w:pPr>
              <w:spacing w:line="300" w:lineRule="exact"/>
              <w:jc w:val="center"/>
              <w:rPr>
                <w:bCs/>
                <w:color w:val="auto"/>
                <w:szCs w:val="21"/>
              </w:rPr>
            </w:pPr>
            <w:r>
              <w:rPr>
                <w:rFonts w:hint="eastAsia"/>
                <w:bCs/>
                <w:color w:val="auto"/>
                <w:szCs w:val="21"/>
              </w:rPr>
              <w:t>0.524</w:t>
            </w:r>
          </w:p>
        </w:tc>
        <w:tc>
          <w:tcPr>
            <w:tcW w:w="1248" w:type="dxa"/>
            <w:tcBorders>
              <w:right w:val="single" w:color="000000" w:sz="4" w:space="0"/>
            </w:tcBorders>
            <w:vAlign w:val="center"/>
          </w:tcPr>
          <w:p>
            <w:pPr>
              <w:spacing w:line="300" w:lineRule="exact"/>
              <w:jc w:val="center"/>
              <w:rPr>
                <w:bCs/>
                <w:color w:val="auto"/>
                <w:szCs w:val="21"/>
              </w:rPr>
            </w:pPr>
            <w:r>
              <w:rPr>
                <w:bCs/>
                <w:color w:val="auto"/>
                <w:szCs w:val="21"/>
              </w:rPr>
              <w:t>0.524</w:t>
            </w:r>
          </w:p>
        </w:tc>
        <w:tc>
          <w:tcPr>
            <w:tcW w:w="1238" w:type="dxa"/>
            <w:tcBorders>
              <w:right w:val="single" w:color="000000" w:sz="4" w:space="0"/>
            </w:tcBorders>
            <w:vAlign w:val="center"/>
          </w:tcPr>
          <w:p>
            <w:pPr>
              <w:spacing w:line="300" w:lineRule="exact"/>
              <w:jc w:val="center"/>
              <w:rPr>
                <w:bCs/>
                <w:color w:val="auto"/>
                <w:szCs w:val="21"/>
              </w:rPr>
            </w:pPr>
            <w:r>
              <w:rPr>
                <w:bCs/>
                <w:color w:val="auto"/>
                <w:szCs w:val="21"/>
              </w:rPr>
              <w:t>0.583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03" w:type="dxa"/>
            <w:vAlign w:val="center"/>
          </w:tcPr>
          <w:p>
            <w:pPr>
              <w:spacing w:line="300" w:lineRule="exact"/>
              <w:jc w:val="center"/>
              <w:rPr>
                <w:bCs/>
                <w:color w:val="auto"/>
                <w:szCs w:val="21"/>
              </w:rPr>
            </w:pPr>
            <w:r>
              <w:rPr>
                <w:rFonts w:hint="eastAsia"/>
                <w:bCs/>
                <w:color w:val="auto"/>
                <w:szCs w:val="21"/>
              </w:rPr>
              <w:t>挥发酚</w:t>
            </w:r>
          </w:p>
        </w:tc>
        <w:tc>
          <w:tcPr>
            <w:tcW w:w="1140" w:type="dxa"/>
            <w:vAlign w:val="center"/>
          </w:tcPr>
          <w:p>
            <w:pPr>
              <w:spacing w:line="300" w:lineRule="exact"/>
              <w:jc w:val="center"/>
              <w:rPr>
                <w:bCs/>
                <w:color w:val="auto"/>
                <w:szCs w:val="21"/>
              </w:rPr>
            </w:pPr>
            <w:r>
              <w:rPr>
                <w:bCs/>
                <w:color w:val="auto"/>
                <w:szCs w:val="21"/>
              </w:rPr>
              <w:t>/</w:t>
            </w:r>
          </w:p>
        </w:tc>
        <w:tc>
          <w:tcPr>
            <w:tcW w:w="1093" w:type="dxa"/>
            <w:tcBorders>
              <w:right w:val="single" w:color="000000" w:sz="4" w:space="0"/>
            </w:tcBorders>
            <w:vAlign w:val="center"/>
          </w:tcPr>
          <w:p>
            <w:pPr>
              <w:spacing w:line="300" w:lineRule="exact"/>
              <w:jc w:val="center"/>
              <w:rPr>
                <w:bCs/>
                <w:color w:val="auto"/>
                <w:szCs w:val="21"/>
              </w:rPr>
            </w:pPr>
            <w:r>
              <w:rPr>
                <w:rFonts w:hint="eastAsia"/>
                <w:bCs/>
                <w:color w:val="auto"/>
                <w:szCs w:val="21"/>
              </w:rPr>
              <w:t>0.0003L</w:t>
            </w:r>
          </w:p>
        </w:tc>
        <w:tc>
          <w:tcPr>
            <w:tcW w:w="1369" w:type="dxa"/>
            <w:tcBorders>
              <w:right w:val="single" w:color="000000" w:sz="4" w:space="0"/>
            </w:tcBorders>
            <w:vAlign w:val="center"/>
          </w:tcPr>
          <w:p>
            <w:pPr>
              <w:spacing w:line="300" w:lineRule="exact"/>
              <w:jc w:val="center"/>
              <w:rPr>
                <w:bCs/>
                <w:color w:val="auto"/>
                <w:szCs w:val="21"/>
              </w:rPr>
            </w:pPr>
            <w:r>
              <w:rPr>
                <w:bCs/>
                <w:color w:val="auto"/>
                <w:szCs w:val="21"/>
              </w:rPr>
              <w:t>/</w:t>
            </w:r>
          </w:p>
        </w:tc>
        <w:tc>
          <w:tcPr>
            <w:tcW w:w="1261" w:type="dxa"/>
            <w:tcBorders>
              <w:right w:val="single" w:color="000000" w:sz="4" w:space="0"/>
            </w:tcBorders>
            <w:vAlign w:val="center"/>
          </w:tcPr>
          <w:p>
            <w:pPr>
              <w:spacing w:line="300" w:lineRule="exact"/>
              <w:jc w:val="center"/>
              <w:rPr>
                <w:bCs/>
                <w:color w:val="auto"/>
                <w:szCs w:val="21"/>
              </w:rPr>
            </w:pPr>
            <w:r>
              <w:rPr>
                <w:rFonts w:hint="eastAsia"/>
                <w:bCs/>
                <w:color w:val="auto"/>
                <w:szCs w:val="21"/>
              </w:rPr>
              <w:t>0.0003L</w:t>
            </w:r>
          </w:p>
        </w:tc>
        <w:tc>
          <w:tcPr>
            <w:tcW w:w="1248" w:type="dxa"/>
            <w:tcBorders>
              <w:right w:val="single" w:color="000000" w:sz="4" w:space="0"/>
            </w:tcBorders>
            <w:vAlign w:val="center"/>
          </w:tcPr>
          <w:p>
            <w:pPr>
              <w:spacing w:line="300" w:lineRule="exact"/>
              <w:jc w:val="center"/>
              <w:rPr>
                <w:bCs/>
                <w:color w:val="auto"/>
                <w:szCs w:val="21"/>
              </w:rPr>
            </w:pPr>
            <w:r>
              <w:rPr>
                <w:bCs/>
                <w:color w:val="auto"/>
                <w:szCs w:val="21"/>
              </w:rPr>
              <w:t>/</w:t>
            </w:r>
          </w:p>
        </w:tc>
        <w:tc>
          <w:tcPr>
            <w:tcW w:w="1238" w:type="dxa"/>
            <w:tcBorders>
              <w:right w:val="single" w:color="000000" w:sz="4" w:space="0"/>
            </w:tcBorders>
            <w:vAlign w:val="center"/>
          </w:tcPr>
          <w:p>
            <w:pPr>
              <w:spacing w:line="300" w:lineRule="exact"/>
              <w:jc w:val="center"/>
              <w:rPr>
                <w:bCs/>
                <w:color w:val="auto"/>
                <w:szCs w:val="21"/>
              </w:rPr>
            </w:pPr>
            <w:r>
              <w:rPr>
                <w:bCs/>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03" w:type="dxa"/>
            <w:vAlign w:val="center"/>
          </w:tcPr>
          <w:p>
            <w:pPr>
              <w:spacing w:line="300" w:lineRule="exact"/>
              <w:jc w:val="center"/>
              <w:rPr>
                <w:bCs/>
                <w:color w:val="auto"/>
                <w:szCs w:val="21"/>
              </w:rPr>
            </w:pPr>
            <w:r>
              <w:rPr>
                <w:rFonts w:hint="eastAsia"/>
                <w:bCs/>
                <w:color w:val="auto"/>
                <w:szCs w:val="21"/>
              </w:rPr>
              <w:t>氰化物</w:t>
            </w:r>
          </w:p>
        </w:tc>
        <w:tc>
          <w:tcPr>
            <w:tcW w:w="1140" w:type="dxa"/>
            <w:vAlign w:val="center"/>
          </w:tcPr>
          <w:p>
            <w:pPr>
              <w:spacing w:line="300" w:lineRule="exact"/>
              <w:jc w:val="center"/>
              <w:rPr>
                <w:bCs/>
                <w:color w:val="auto"/>
                <w:szCs w:val="21"/>
              </w:rPr>
            </w:pPr>
            <w:r>
              <w:rPr>
                <w:bCs/>
                <w:color w:val="auto"/>
                <w:szCs w:val="21"/>
              </w:rPr>
              <w:t>/</w:t>
            </w:r>
          </w:p>
        </w:tc>
        <w:tc>
          <w:tcPr>
            <w:tcW w:w="1093" w:type="dxa"/>
            <w:tcBorders>
              <w:right w:val="single" w:color="000000" w:sz="4" w:space="0"/>
            </w:tcBorders>
            <w:vAlign w:val="center"/>
          </w:tcPr>
          <w:p>
            <w:pPr>
              <w:spacing w:line="300" w:lineRule="exact"/>
              <w:jc w:val="center"/>
              <w:rPr>
                <w:bCs/>
                <w:color w:val="auto"/>
                <w:szCs w:val="21"/>
              </w:rPr>
            </w:pPr>
            <w:r>
              <w:rPr>
                <w:rFonts w:hint="eastAsia"/>
                <w:bCs/>
                <w:color w:val="auto"/>
                <w:szCs w:val="21"/>
              </w:rPr>
              <w:t>0.004L</w:t>
            </w:r>
          </w:p>
        </w:tc>
        <w:tc>
          <w:tcPr>
            <w:tcW w:w="1369" w:type="dxa"/>
            <w:tcBorders>
              <w:right w:val="single" w:color="000000" w:sz="4" w:space="0"/>
            </w:tcBorders>
            <w:vAlign w:val="center"/>
          </w:tcPr>
          <w:p>
            <w:pPr>
              <w:spacing w:line="300" w:lineRule="exact"/>
              <w:jc w:val="center"/>
              <w:rPr>
                <w:bCs/>
                <w:color w:val="auto"/>
                <w:szCs w:val="21"/>
              </w:rPr>
            </w:pPr>
            <w:r>
              <w:rPr>
                <w:bCs/>
                <w:color w:val="auto"/>
                <w:szCs w:val="21"/>
              </w:rPr>
              <w:t>/</w:t>
            </w:r>
          </w:p>
        </w:tc>
        <w:tc>
          <w:tcPr>
            <w:tcW w:w="1261" w:type="dxa"/>
            <w:tcBorders>
              <w:right w:val="single" w:color="000000" w:sz="4" w:space="0"/>
            </w:tcBorders>
            <w:vAlign w:val="center"/>
          </w:tcPr>
          <w:p>
            <w:pPr>
              <w:spacing w:line="300" w:lineRule="exact"/>
              <w:jc w:val="center"/>
              <w:rPr>
                <w:bCs/>
                <w:color w:val="auto"/>
                <w:szCs w:val="21"/>
              </w:rPr>
            </w:pPr>
            <w:r>
              <w:rPr>
                <w:rFonts w:hint="eastAsia"/>
                <w:bCs/>
                <w:color w:val="auto"/>
                <w:szCs w:val="21"/>
              </w:rPr>
              <w:t>0.004L</w:t>
            </w:r>
          </w:p>
        </w:tc>
        <w:tc>
          <w:tcPr>
            <w:tcW w:w="1248" w:type="dxa"/>
            <w:tcBorders>
              <w:right w:val="single" w:color="000000" w:sz="4" w:space="0"/>
            </w:tcBorders>
            <w:vAlign w:val="center"/>
          </w:tcPr>
          <w:p>
            <w:pPr>
              <w:spacing w:line="300" w:lineRule="exact"/>
              <w:jc w:val="center"/>
              <w:rPr>
                <w:bCs/>
                <w:color w:val="auto"/>
                <w:szCs w:val="21"/>
              </w:rPr>
            </w:pPr>
            <w:r>
              <w:rPr>
                <w:bCs/>
                <w:color w:val="auto"/>
                <w:szCs w:val="21"/>
              </w:rPr>
              <w:t>/</w:t>
            </w:r>
          </w:p>
        </w:tc>
        <w:tc>
          <w:tcPr>
            <w:tcW w:w="1238" w:type="dxa"/>
            <w:tcBorders>
              <w:right w:val="single" w:color="000000" w:sz="4" w:space="0"/>
            </w:tcBorders>
            <w:vAlign w:val="center"/>
          </w:tcPr>
          <w:p>
            <w:pPr>
              <w:spacing w:line="300" w:lineRule="exact"/>
              <w:jc w:val="center"/>
              <w:rPr>
                <w:bCs/>
                <w:color w:val="auto"/>
                <w:szCs w:val="21"/>
              </w:rPr>
            </w:pPr>
            <w:r>
              <w:rPr>
                <w:bCs/>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03" w:type="dxa"/>
            <w:vAlign w:val="center"/>
          </w:tcPr>
          <w:p>
            <w:pPr>
              <w:spacing w:line="300" w:lineRule="exact"/>
              <w:jc w:val="center"/>
              <w:rPr>
                <w:bCs/>
                <w:color w:val="auto"/>
                <w:szCs w:val="21"/>
              </w:rPr>
            </w:pPr>
            <w:r>
              <w:rPr>
                <w:rFonts w:hint="eastAsia"/>
                <w:bCs/>
                <w:color w:val="auto"/>
                <w:szCs w:val="21"/>
              </w:rPr>
              <w:t>硫酸盐</w:t>
            </w:r>
          </w:p>
        </w:tc>
        <w:tc>
          <w:tcPr>
            <w:tcW w:w="1140" w:type="dxa"/>
            <w:vAlign w:val="center"/>
          </w:tcPr>
          <w:p>
            <w:pPr>
              <w:spacing w:line="300" w:lineRule="exact"/>
              <w:jc w:val="center"/>
              <w:rPr>
                <w:bCs/>
                <w:color w:val="auto"/>
                <w:szCs w:val="21"/>
              </w:rPr>
            </w:pPr>
            <w:r>
              <w:rPr>
                <w:bCs/>
                <w:color w:val="auto"/>
                <w:szCs w:val="21"/>
              </w:rPr>
              <w:t>0.044</w:t>
            </w:r>
          </w:p>
        </w:tc>
        <w:tc>
          <w:tcPr>
            <w:tcW w:w="1093" w:type="dxa"/>
            <w:tcBorders>
              <w:right w:val="single" w:color="000000" w:sz="4" w:space="0"/>
            </w:tcBorders>
            <w:vAlign w:val="center"/>
          </w:tcPr>
          <w:p>
            <w:pPr>
              <w:spacing w:line="300" w:lineRule="exact"/>
              <w:jc w:val="center"/>
              <w:rPr>
                <w:bCs/>
                <w:color w:val="auto"/>
                <w:szCs w:val="21"/>
              </w:rPr>
            </w:pPr>
            <w:r>
              <w:rPr>
                <w:rFonts w:hint="eastAsia"/>
                <w:bCs/>
                <w:color w:val="auto"/>
                <w:szCs w:val="21"/>
              </w:rPr>
              <w:t>14</w:t>
            </w:r>
          </w:p>
        </w:tc>
        <w:tc>
          <w:tcPr>
            <w:tcW w:w="1369" w:type="dxa"/>
            <w:tcBorders>
              <w:right w:val="single" w:color="000000" w:sz="4" w:space="0"/>
            </w:tcBorders>
            <w:vAlign w:val="center"/>
          </w:tcPr>
          <w:p>
            <w:pPr>
              <w:spacing w:line="300" w:lineRule="exact"/>
              <w:jc w:val="center"/>
              <w:rPr>
                <w:bCs/>
                <w:color w:val="auto"/>
                <w:szCs w:val="21"/>
              </w:rPr>
            </w:pPr>
            <w:r>
              <w:rPr>
                <w:bCs/>
                <w:color w:val="auto"/>
                <w:szCs w:val="21"/>
              </w:rPr>
              <w:t>0.056</w:t>
            </w:r>
          </w:p>
        </w:tc>
        <w:tc>
          <w:tcPr>
            <w:tcW w:w="1261" w:type="dxa"/>
            <w:tcBorders>
              <w:right w:val="single" w:color="000000" w:sz="4" w:space="0"/>
            </w:tcBorders>
            <w:vAlign w:val="center"/>
          </w:tcPr>
          <w:p>
            <w:pPr>
              <w:spacing w:line="300" w:lineRule="exact"/>
              <w:jc w:val="center"/>
              <w:rPr>
                <w:bCs/>
                <w:color w:val="auto"/>
                <w:szCs w:val="21"/>
              </w:rPr>
            </w:pPr>
            <w:r>
              <w:rPr>
                <w:rFonts w:hint="eastAsia"/>
                <w:bCs/>
                <w:color w:val="auto"/>
                <w:szCs w:val="21"/>
              </w:rPr>
              <w:t>16</w:t>
            </w:r>
          </w:p>
        </w:tc>
        <w:tc>
          <w:tcPr>
            <w:tcW w:w="1248" w:type="dxa"/>
            <w:tcBorders>
              <w:right w:val="single" w:color="000000" w:sz="4" w:space="0"/>
            </w:tcBorders>
            <w:vAlign w:val="center"/>
          </w:tcPr>
          <w:p>
            <w:pPr>
              <w:spacing w:line="300" w:lineRule="exact"/>
              <w:jc w:val="center"/>
              <w:rPr>
                <w:bCs/>
                <w:color w:val="auto"/>
                <w:szCs w:val="21"/>
              </w:rPr>
            </w:pPr>
            <w:r>
              <w:rPr>
                <w:bCs/>
                <w:color w:val="auto"/>
                <w:szCs w:val="21"/>
              </w:rPr>
              <w:t>0.064</w:t>
            </w:r>
          </w:p>
        </w:tc>
        <w:tc>
          <w:tcPr>
            <w:tcW w:w="1238" w:type="dxa"/>
            <w:tcBorders>
              <w:right w:val="single" w:color="000000" w:sz="4" w:space="0"/>
            </w:tcBorders>
            <w:vAlign w:val="center"/>
          </w:tcPr>
          <w:p>
            <w:pPr>
              <w:spacing w:line="300" w:lineRule="exact"/>
              <w:jc w:val="center"/>
              <w:rPr>
                <w:bCs/>
                <w:color w:val="auto"/>
                <w:szCs w:val="21"/>
              </w:rPr>
            </w:pPr>
            <w:r>
              <w:rPr>
                <w:bCs/>
                <w:color w:val="auto"/>
                <w:szCs w:val="21"/>
              </w:rPr>
              <w:t>0.044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03" w:type="dxa"/>
            <w:vAlign w:val="center"/>
          </w:tcPr>
          <w:p>
            <w:pPr>
              <w:spacing w:line="300" w:lineRule="exact"/>
              <w:jc w:val="center"/>
              <w:rPr>
                <w:bCs/>
                <w:color w:val="auto"/>
                <w:szCs w:val="21"/>
              </w:rPr>
            </w:pPr>
            <w:r>
              <w:rPr>
                <w:rFonts w:hint="eastAsia"/>
                <w:bCs/>
                <w:color w:val="auto"/>
                <w:szCs w:val="21"/>
              </w:rPr>
              <w:t>六价铬</w:t>
            </w:r>
          </w:p>
        </w:tc>
        <w:tc>
          <w:tcPr>
            <w:tcW w:w="1140" w:type="dxa"/>
            <w:vAlign w:val="center"/>
          </w:tcPr>
          <w:p>
            <w:pPr>
              <w:spacing w:line="300" w:lineRule="exact"/>
              <w:jc w:val="center"/>
              <w:rPr>
                <w:bCs/>
                <w:color w:val="auto"/>
                <w:szCs w:val="21"/>
              </w:rPr>
            </w:pPr>
            <w:r>
              <w:rPr>
                <w:bCs/>
                <w:color w:val="auto"/>
                <w:szCs w:val="21"/>
              </w:rPr>
              <w:t>/</w:t>
            </w:r>
          </w:p>
        </w:tc>
        <w:tc>
          <w:tcPr>
            <w:tcW w:w="1093" w:type="dxa"/>
            <w:tcBorders>
              <w:right w:val="single" w:color="000000" w:sz="4" w:space="0"/>
            </w:tcBorders>
            <w:vAlign w:val="center"/>
          </w:tcPr>
          <w:p>
            <w:pPr>
              <w:spacing w:line="300" w:lineRule="exact"/>
              <w:jc w:val="center"/>
              <w:rPr>
                <w:bCs/>
                <w:color w:val="auto"/>
                <w:szCs w:val="21"/>
              </w:rPr>
            </w:pPr>
            <w:r>
              <w:rPr>
                <w:rFonts w:hint="eastAsia"/>
                <w:bCs/>
                <w:color w:val="auto"/>
                <w:szCs w:val="21"/>
              </w:rPr>
              <w:t>0.004L</w:t>
            </w:r>
          </w:p>
        </w:tc>
        <w:tc>
          <w:tcPr>
            <w:tcW w:w="1369" w:type="dxa"/>
            <w:tcBorders>
              <w:right w:val="single" w:color="000000" w:sz="4" w:space="0"/>
            </w:tcBorders>
            <w:vAlign w:val="center"/>
          </w:tcPr>
          <w:p>
            <w:pPr>
              <w:spacing w:line="300" w:lineRule="exact"/>
              <w:jc w:val="center"/>
              <w:rPr>
                <w:bCs/>
                <w:color w:val="auto"/>
                <w:szCs w:val="21"/>
              </w:rPr>
            </w:pPr>
            <w:r>
              <w:rPr>
                <w:bCs/>
                <w:color w:val="auto"/>
                <w:szCs w:val="21"/>
              </w:rPr>
              <w:t>/</w:t>
            </w:r>
          </w:p>
        </w:tc>
        <w:tc>
          <w:tcPr>
            <w:tcW w:w="1261" w:type="dxa"/>
            <w:tcBorders>
              <w:right w:val="single" w:color="000000" w:sz="4" w:space="0"/>
            </w:tcBorders>
            <w:vAlign w:val="center"/>
          </w:tcPr>
          <w:p>
            <w:pPr>
              <w:spacing w:line="300" w:lineRule="exact"/>
              <w:jc w:val="center"/>
              <w:rPr>
                <w:bCs/>
                <w:color w:val="auto"/>
                <w:szCs w:val="21"/>
              </w:rPr>
            </w:pPr>
            <w:r>
              <w:rPr>
                <w:rFonts w:hint="eastAsia"/>
                <w:bCs/>
                <w:color w:val="auto"/>
                <w:szCs w:val="21"/>
              </w:rPr>
              <w:t>0.004L</w:t>
            </w:r>
          </w:p>
        </w:tc>
        <w:tc>
          <w:tcPr>
            <w:tcW w:w="1248" w:type="dxa"/>
            <w:tcBorders>
              <w:right w:val="single" w:color="000000" w:sz="4" w:space="0"/>
            </w:tcBorders>
            <w:vAlign w:val="center"/>
          </w:tcPr>
          <w:p>
            <w:pPr>
              <w:spacing w:line="300" w:lineRule="exact"/>
              <w:jc w:val="center"/>
              <w:rPr>
                <w:bCs/>
                <w:color w:val="auto"/>
                <w:szCs w:val="21"/>
              </w:rPr>
            </w:pPr>
            <w:r>
              <w:rPr>
                <w:bCs/>
                <w:color w:val="auto"/>
                <w:szCs w:val="21"/>
              </w:rPr>
              <w:t>/</w:t>
            </w:r>
          </w:p>
        </w:tc>
        <w:tc>
          <w:tcPr>
            <w:tcW w:w="1238" w:type="dxa"/>
            <w:tcBorders>
              <w:right w:val="single" w:color="000000" w:sz="4" w:space="0"/>
            </w:tcBorders>
            <w:vAlign w:val="center"/>
          </w:tcPr>
          <w:p>
            <w:pPr>
              <w:spacing w:line="300" w:lineRule="exact"/>
              <w:jc w:val="center"/>
              <w:rPr>
                <w:bCs/>
                <w:color w:val="auto"/>
                <w:szCs w:val="21"/>
              </w:rPr>
            </w:pPr>
            <w:r>
              <w:rPr>
                <w:bCs/>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03" w:type="dxa"/>
            <w:vAlign w:val="center"/>
          </w:tcPr>
          <w:p>
            <w:pPr>
              <w:spacing w:line="300" w:lineRule="exact"/>
              <w:jc w:val="center"/>
              <w:rPr>
                <w:bCs/>
                <w:color w:val="auto"/>
                <w:szCs w:val="21"/>
              </w:rPr>
            </w:pPr>
            <w:r>
              <w:rPr>
                <w:rFonts w:hint="eastAsia"/>
                <w:bCs/>
                <w:color w:val="auto"/>
                <w:szCs w:val="21"/>
              </w:rPr>
              <w:t>总硬度</w:t>
            </w:r>
          </w:p>
        </w:tc>
        <w:tc>
          <w:tcPr>
            <w:tcW w:w="1140" w:type="dxa"/>
            <w:vAlign w:val="center"/>
          </w:tcPr>
          <w:p>
            <w:pPr>
              <w:spacing w:line="300" w:lineRule="exact"/>
              <w:jc w:val="center"/>
              <w:rPr>
                <w:bCs/>
                <w:color w:val="auto"/>
                <w:szCs w:val="21"/>
              </w:rPr>
            </w:pPr>
            <w:r>
              <w:rPr>
                <w:bCs/>
                <w:color w:val="auto"/>
                <w:szCs w:val="21"/>
              </w:rPr>
              <w:t>0.35</w:t>
            </w:r>
          </w:p>
        </w:tc>
        <w:tc>
          <w:tcPr>
            <w:tcW w:w="1093" w:type="dxa"/>
            <w:tcBorders>
              <w:right w:val="single" w:color="000000" w:sz="4" w:space="0"/>
            </w:tcBorders>
            <w:vAlign w:val="center"/>
          </w:tcPr>
          <w:p>
            <w:pPr>
              <w:spacing w:line="300" w:lineRule="exact"/>
              <w:jc w:val="center"/>
              <w:rPr>
                <w:bCs/>
                <w:color w:val="auto"/>
                <w:szCs w:val="21"/>
              </w:rPr>
            </w:pPr>
            <w:r>
              <w:rPr>
                <w:rFonts w:hint="eastAsia"/>
                <w:bCs/>
                <w:color w:val="auto"/>
                <w:szCs w:val="21"/>
              </w:rPr>
              <w:t>115</w:t>
            </w:r>
          </w:p>
        </w:tc>
        <w:tc>
          <w:tcPr>
            <w:tcW w:w="1369" w:type="dxa"/>
            <w:tcBorders>
              <w:right w:val="single" w:color="000000" w:sz="4" w:space="0"/>
            </w:tcBorders>
            <w:vAlign w:val="center"/>
          </w:tcPr>
          <w:p>
            <w:pPr>
              <w:spacing w:line="300" w:lineRule="exact"/>
              <w:jc w:val="center"/>
              <w:rPr>
                <w:bCs/>
                <w:color w:val="auto"/>
                <w:szCs w:val="21"/>
              </w:rPr>
            </w:pPr>
            <w:r>
              <w:rPr>
                <w:bCs/>
                <w:color w:val="auto"/>
                <w:szCs w:val="21"/>
              </w:rPr>
              <w:t>0.26</w:t>
            </w:r>
          </w:p>
        </w:tc>
        <w:tc>
          <w:tcPr>
            <w:tcW w:w="1261" w:type="dxa"/>
            <w:tcBorders>
              <w:right w:val="single" w:color="000000" w:sz="4" w:space="0"/>
            </w:tcBorders>
            <w:vAlign w:val="center"/>
          </w:tcPr>
          <w:p>
            <w:pPr>
              <w:spacing w:line="300" w:lineRule="exact"/>
              <w:jc w:val="center"/>
              <w:rPr>
                <w:bCs/>
                <w:color w:val="auto"/>
                <w:szCs w:val="21"/>
              </w:rPr>
            </w:pPr>
            <w:r>
              <w:rPr>
                <w:rFonts w:hint="eastAsia"/>
                <w:bCs/>
                <w:color w:val="auto"/>
                <w:szCs w:val="21"/>
              </w:rPr>
              <w:t>288</w:t>
            </w:r>
          </w:p>
        </w:tc>
        <w:tc>
          <w:tcPr>
            <w:tcW w:w="1248" w:type="dxa"/>
            <w:tcBorders>
              <w:right w:val="single" w:color="000000" w:sz="4" w:space="0"/>
            </w:tcBorders>
            <w:vAlign w:val="center"/>
          </w:tcPr>
          <w:p>
            <w:pPr>
              <w:spacing w:line="300" w:lineRule="exact"/>
              <w:jc w:val="center"/>
              <w:rPr>
                <w:bCs/>
                <w:color w:val="auto"/>
                <w:szCs w:val="21"/>
              </w:rPr>
            </w:pPr>
            <w:r>
              <w:rPr>
                <w:bCs/>
                <w:color w:val="auto"/>
                <w:szCs w:val="21"/>
              </w:rPr>
              <w:t>0.64</w:t>
            </w:r>
          </w:p>
        </w:tc>
        <w:tc>
          <w:tcPr>
            <w:tcW w:w="1238" w:type="dxa"/>
            <w:tcBorders>
              <w:right w:val="single" w:color="000000" w:sz="4" w:space="0"/>
            </w:tcBorders>
            <w:vAlign w:val="center"/>
          </w:tcPr>
          <w:p>
            <w:pPr>
              <w:spacing w:line="300" w:lineRule="exact"/>
              <w:jc w:val="center"/>
              <w:rPr>
                <w:bCs/>
                <w:color w:val="auto"/>
                <w:szCs w:val="21"/>
              </w:rPr>
            </w:pPr>
            <w:r>
              <w:rPr>
                <w:bCs/>
                <w:color w:val="auto"/>
                <w:szCs w:val="21"/>
              </w:rPr>
              <w:t>0.35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03" w:type="dxa"/>
            <w:vAlign w:val="center"/>
          </w:tcPr>
          <w:p>
            <w:pPr>
              <w:spacing w:line="300" w:lineRule="exact"/>
              <w:jc w:val="center"/>
              <w:rPr>
                <w:bCs/>
                <w:color w:val="auto"/>
                <w:szCs w:val="21"/>
              </w:rPr>
            </w:pPr>
            <w:r>
              <w:rPr>
                <w:rFonts w:hint="eastAsia"/>
                <w:bCs/>
                <w:color w:val="auto"/>
                <w:szCs w:val="21"/>
              </w:rPr>
              <w:t>氟化物</w:t>
            </w:r>
          </w:p>
        </w:tc>
        <w:tc>
          <w:tcPr>
            <w:tcW w:w="1140" w:type="dxa"/>
            <w:vAlign w:val="center"/>
          </w:tcPr>
          <w:p>
            <w:pPr>
              <w:spacing w:line="300" w:lineRule="exact"/>
              <w:jc w:val="center"/>
              <w:rPr>
                <w:bCs/>
                <w:color w:val="auto"/>
                <w:szCs w:val="21"/>
              </w:rPr>
            </w:pPr>
            <w:r>
              <w:rPr>
                <w:bCs/>
                <w:color w:val="auto"/>
                <w:szCs w:val="21"/>
              </w:rPr>
              <w:t>0.18</w:t>
            </w:r>
          </w:p>
        </w:tc>
        <w:tc>
          <w:tcPr>
            <w:tcW w:w="1093" w:type="dxa"/>
            <w:tcBorders>
              <w:right w:val="single" w:color="000000" w:sz="4" w:space="0"/>
            </w:tcBorders>
            <w:vAlign w:val="center"/>
          </w:tcPr>
          <w:p>
            <w:pPr>
              <w:spacing w:line="300" w:lineRule="exact"/>
              <w:jc w:val="center"/>
              <w:rPr>
                <w:bCs/>
                <w:color w:val="auto"/>
                <w:szCs w:val="21"/>
              </w:rPr>
            </w:pPr>
            <w:r>
              <w:rPr>
                <w:rFonts w:hint="eastAsia"/>
                <w:bCs/>
                <w:color w:val="auto"/>
                <w:szCs w:val="21"/>
              </w:rPr>
              <w:t>0.11</w:t>
            </w:r>
          </w:p>
        </w:tc>
        <w:tc>
          <w:tcPr>
            <w:tcW w:w="1369" w:type="dxa"/>
            <w:tcBorders>
              <w:right w:val="single" w:color="000000" w:sz="4" w:space="0"/>
            </w:tcBorders>
            <w:vAlign w:val="center"/>
          </w:tcPr>
          <w:p>
            <w:pPr>
              <w:spacing w:line="300" w:lineRule="exact"/>
              <w:jc w:val="center"/>
              <w:rPr>
                <w:bCs/>
                <w:color w:val="auto"/>
                <w:szCs w:val="21"/>
              </w:rPr>
            </w:pPr>
            <w:r>
              <w:rPr>
                <w:bCs/>
                <w:color w:val="auto"/>
                <w:szCs w:val="21"/>
              </w:rPr>
              <w:t>0.11</w:t>
            </w:r>
          </w:p>
        </w:tc>
        <w:tc>
          <w:tcPr>
            <w:tcW w:w="1261" w:type="dxa"/>
            <w:tcBorders>
              <w:right w:val="single" w:color="000000" w:sz="4" w:space="0"/>
            </w:tcBorders>
            <w:vAlign w:val="center"/>
          </w:tcPr>
          <w:p>
            <w:pPr>
              <w:spacing w:line="300" w:lineRule="exact"/>
              <w:jc w:val="center"/>
              <w:rPr>
                <w:bCs/>
                <w:color w:val="auto"/>
                <w:szCs w:val="21"/>
              </w:rPr>
            </w:pPr>
            <w:r>
              <w:rPr>
                <w:rFonts w:hint="eastAsia"/>
                <w:bCs/>
                <w:color w:val="auto"/>
                <w:szCs w:val="21"/>
              </w:rPr>
              <w:t>0.12</w:t>
            </w:r>
          </w:p>
        </w:tc>
        <w:tc>
          <w:tcPr>
            <w:tcW w:w="1248" w:type="dxa"/>
            <w:tcBorders>
              <w:right w:val="single" w:color="000000" w:sz="4" w:space="0"/>
            </w:tcBorders>
            <w:vAlign w:val="center"/>
          </w:tcPr>
          <w:p>
            <w:pPr>
              <w:spacing w:line="300" w:lineRule="exact"/>
              <w:jc w:val="center"/>
              <w:rPr>
                <w:bCs/>
                <w:color w:val="auto"/>
                <w:szCs w:val="21"/>
              </w:rPr>
            </w:pPr>
            <w:r>
              <w:rPr>
                <w:bCs/>
                <w:color w:val="auto"/>
                <w:szCs w:val="21"/>
              </w:rPr>
              <w:t>0.12</w:t>
            </w:r>
          </w:p>
        </w:tc>
        <w:tc>
          <w:tcPr>
            <w:tcW w:w="1238" w:type="dxa"/>
            <w:tcBorders>
              <w:right w:val="single" w:color="000000" w:sz="4" w:space="0"/>
            </w:tcBorders>
            <w:vAlign w:val="center"/>
          </w:tcPr>
          <w:p>
            <w:pPr>
              <w:spacing w:line="300" w:lineRule="exact"/>
              <w:jc w:val="center"/>
              <w:rPr>
                <w:bCs/>
                <w:color w:val="auto"/>
                <w:szCs w:val="21"/>
              </w:rPr>
            </w:pPr>
            <w:r>
              <w:rPr>
                <w:bCs/>
                <w:color w:val="auto"/>
                <w:szCs w:val="21"/>
              </w:rPr>
              <w:t>0.18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03" w:type="dxa"/>
            <w:vAlign w:val="center"/>
          </w:tcPr>
          <w:p>
            <w:pPr>
              <w:spacing w:line="300" w:lineRule="exact"/>
              <w:jc w:val="center"/>
              <w:rPr>
                <w:bCs/>
                <w:color w:val="auto"/>
                <w:szCs w:val="21"/>
              </w:rPr>
            </w:pPr>
            <w:r>
              <w:rPr>
                <w:rFonts w:hint="eastAsia"/>
                <w:bCs/>
                <w:color w:val="auto"/>
                <w:szCs w:val="21"/>
              </w:rPr>
              <w:t>溶解性总固体</w:t>
            </w:r>
          </w:p>
        </w:tc>
        <w:tc>
          <w:tcPr>
            <w:tcW w:w="1140" w:type="dxa"/>
            <w:vAlign w:val="center"/>
          </w:tcPr>
          <w:p>
            <w:pPr>
              <w:spacing w:line="300" w:lineRule="exact"/>
              <w:jc w:val="center"/>
              <w:rPr>
                <w:bCs/>
                <w:color w:val="auto"/>
                <w:szCs w:val="21"/>
              </w:rPr>
            </w:pPr>
            <w:r>
              <w:rPr>
                <w:bCs/>
                <w:color w:val="auto"/>
                <w:szCs w:val="21"/>
              </w:rPr>
              <w:t>0.655</w:t>
            </w:r>
          </w:p>
        </w:tc>
        <w:tc>
          <w:tcPr>
            <w:tcW w:w="1093" w:type="dxa"/>
            <w:tcBorders>
              <w:right w:val="single" w:color="000000" w:sz="4" w:space="0"/>
            </w:tcBorders>
            <w:vAlign w:val="center"/>
          </w:tcPr>
          <w:p>
            <w:pPr>
              <w:spacing w:line="300" w:lineRule="exact"/>
              <w:jc w:val="center"/>
              <w:rPr>
                <w:bCs/>
                <w:color w:val="auto"/>
                <w:szCs w:val="21"/>
              </w:rPr>
            </w:pPr>
            <w:r>
              <w:rPr>
                <w:rFonts w:hint="eastAsia"/>
                <w:bCs/>
                <w:color w:val="auto"/>
                <w:szCs w:val="21"/>
              </w:rPr>
              <w:t>248</w:t>
            </w:r>
          </w:p>
        </w:tc>
        <w:tc>
          <w:tcPr>
            <w:tcW w:w="1369" w:type="dxa"/>
            <w:tcBorders>
              <w:right w:val="single" w:color="000000" w:sz="4" w:space="0"/>
            </w:tcBorders>
            <w:vAlign w:val="center"/>
          </w:tcPr>
          <w:p>
            <w:pPr>
              <w:spacing w:line="300" w:lineRule="exact"/>
              <w:jc w:val="center"/>
              <w:rPr>
                <w:bCs/>
                <w:color w:val="auto"/>
                <w:szCs w:val="21"/>
              </w:rPr>
            </w:pPr>
            <w:r>
              <w:rPr>
                <w:bCs/>
                <w:color w:val="auto"/>
                <w:szCs w:val="21"/>
              </w:rPr>
              <w:t>0.248</w:t>
            </w:r>
          </w:p>
        </w:tc>
        <w:tc>
          <w:tcPr>
            <w:tcW w:w="1261" w:type="dxa"/>
            <w:tcBorders>
              <w:right w:val="single" w:color="000000" w:sz="4" w:space="0"/>
            </w:tcBorders>
            <w:vAlign w:val="center"/>
          </w:tcPr>
          <w:p>
            <w:pPr>
              <w:spacing w:line="300" w:lineRule="exact"/>
              <w:jc w:val="center"/>
              <w:rPr>
                <w:bCs/>
                <w:color w:val="auto"/>
                <w:szCs w:val="21"/>
              </w:rPr>
            </w:pPr>
            <w:r>
              <w:rPr>
                <w:rFonts w:hint="eastAsia"/>
                <w:bCs/>
                <w:color w:val="auto"/>
                <w:szCs w:val="21"/>
              </w:rPr>
              <w:t>706</w:t>
            </w:r>
          </w:p>
        </w:tc>
        <w:tc>
          <w:tcPr>
            <w:tcW w:w="1248" w:type="dxa"/>
            <w:tcBorders>
              <w:right w:val="single" w:color="000000" w:sz="4" w:space="0"/>
            </w:tcBorders>
            <w:vAlign w:val="center"/>
          </w:tcPr>
          <w:p>
            <w:pPr>
              <w:spacing w:line="300" w:lineRule="exact"/>
              <w:jc w:val="center"/>
              <w:rPr>
                <w:bCs/>
                <w:color w:val="auto"/>
                <w:szCs w:val="21"/>
              </w:rPr>
            </w:pPr>
            <w:r>
              <w:rPr>
                <w:bCs/>
                <w:color w:val="auto"/>
                <w:szCs w:val="21"/>
              </w:rPr>
              <w:t>0.706</w:t>
            </w:r>
          </w:p>
        </w:tc>
        <w:tc>
          <w:tcPr>
            <w:tcW w:w="1238" w:type="dxa"/>
            <w:tcBorders>
              <w:right w:val="single" w:color="000000" w:sz="4" w:space="0"/>
            </w:tcBorders>
            <w:vAlign w:val="center"/>
          </w:tcPr>
          <w:p>
            <w:pPr>
              <w:spacing w:line="300" w:lineRule="exact"/>
              <w:jc w:val="center"/>
              <w:rPr>
                <w:bCs/>
                <w:color w:val="auto"/>
                <w:szCs w:val="21"/>
              </w:rPr>
            </w:pPr>
            <w:r>
              <w:rPr>
                <w:bCs/>
                <w:color w:val="auto"/>
                <w:szCs w:val="21"/>
              </w:rPr>
              <w:t>0.655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03" w:type="dxa"/>
            <w:vAlign w:val="center"/>
          </w:tcPr>
          <w:p>
            <w:pPr>
              <w:spacing w:line="300" w:lineRule="exact"/>
              <w:jc w:val="center"/>
              <w:rPr>
                <w:bCs/>
                <w:color w:val="auto"/>
                <w:szCs w:val="21"/>
              </w:rPr>
            </w:pPr>
            <w:r>
              <w:rPr>
                <w:rFonts w:hint="eastAsia"/>
                <w:bCs/>
                <w:color w:val="auto"/>
                <w:szCs w:val="21"/>
              </w:rPr>
              <w:t>高锰酸盐指数</w:t>
            </w:r>
          </w:p>
        </w:tc>
        <w:tc>
          <w:tcPr>
            <w:tcW w:w="1140" w:type="dxa"/>
            <w:vAlign w:val="center"/>
          </w:tcPr>
          <w:p>
            <w:pPr>
              <w:spacing w:line="300" w:lineRule="exact"/>
              <w:jc w:val="center"/>
              <w:rPr>
                <w:bCs/>
                <w:color w:val="auto"/>
                <w:szCs w:val="21"/>
              </w:rPr>
            </w:pPr>
            <w:r>
              <w:rPr>
                <w:bCs/>
                <w:color w:val="auto"/>
                <w:szCs w:val="21"/>
              </w:rPr>
              <w:t>/</w:t>
            </w:r>
          </w:p>
        </w:tc>
        <w:tc>
          <w:tcPr>
            <w:tcW w:w="1093" w:type="dxa"/>
            <w:tcBorders>
              <w:right w:val="single" w:color="000000" w:sz="4" w:space="0"/>
            </w:tcBorders>
            <w:vAlign w:val="center"/>
          </w:tcPr>
          <w:p>
            <w:pPr>
              <w:spacing w:line="300" w:lineRule="exact"/>
              <w:jc w:val="center"/>
              <w:rPr>
                <w:bCs/>
                <w:color w:val="auto"/>
                <w:szCs w:val="21"/>
              </w:rPr>
            </w:pPr>
            <w:r>
              <w:rPr>
                <w:rFonts w:hint="eastAsia"/>
                <w:bCs/>
                <w:color w:val="auto"/>
                <w:szCs w:val="21"/>
              </w:rPr>
              <w:t>2.2</w:t>
            </w:r>
          </w:p>
        </w:tc>
        <w:tc>
          <w:tcPr>
            <w:tcW w:w="1369" w:type="dxa"/>
            <w:tcBorders>
              <w:right w:val="single" w:color="000000" w:sz="4" w:space="0"/>
            </w:tcBorders>
            <w:vAlign w:val="center"/>
          </w:tcPr>
          <w:p>
            <w:pPr>
              <w:spacing w:line="300" w:lineRule="exact"/>
              <w:jc w:val="center"/>
              <w:rPr>
                <w:bCs/>
                <w:color w:val="auto"/>
                <w:szCs w:val="21"/>
              </w:rPr>
            </w:pPr>
            <w:r>
              <w:rPr>
                <w:bCs/>
                <w:color w:val="auto"/>
                <w:szCs w:val="21"/>
              </w:rPr>
              <w:t>/</w:t>
            </w:r>
          </w:p>
        </w:tc>
        <w:tc>
          <w:tcPr>
            <w:tcW w:w="1261" w:type="dxa"/>
            <w:tcBorders>
              <w:right w:val="single" w:color="000000" w:sz="4" w:space="0"/>
            </w:tcBorders>
            <w:vAlign w:val="center"/>
          </w:tcPr>
          <w:p>
            <w:pPr>
              <w:spacing w:line="300" w:lineRule="exact"/>
              <w:jc w:val="center"/>
              <w:rPr>
                <w:bCs/>
                <w:color w:val="auto"/>
                <w:szCs w:val="21"/>
              </w:rPr>
            </w:pPr>
            <w:r>
              <w:rPr>
                <w:rFonts w:hint="eastAsia"/>
                <w:bCs/>
                <w:color w:val="auto"/>
                <w:szCs w:val="21"/>
              </w:rPr>
              <w:t>2.5</w:t>
            </w:r>
          </w:p>
        </w:tc>
        <w:tc>
          <w:tcPr>
            <w:tcW w:w="1248" w:type="dxa"/>
            <w:tcBorders>
              <w:right w:val="single" w:color="000000" w:sz="4" w:space="0"/>
            </w:tcBorders>
            <w:vAlign w:val="center"/>
          </w:tcPr>
          <w:p>
            <w:pPr>
              <w:spacing w:line="300" w:lineRule="exact"/>
              <w:jc w:val="center"/>
              <w:rPr>
                <w:bCs/>
                <w:color w:val="auto"/>
                <w:szCs w:val="21"/>
              </w:rPr>
            </w:pPr>
            <w:r>
              <w:rPr>
                <w:bCs/>
                <w:color w:val="auto"/>
                <w:szCs w:val="21"/>
              </w:rPr>
              <w:t>/</w:t>
            </w:r>
          </w:p>
        </w:tc>
        <w:tc>
          <w:tcPr>
            <w:tcW w:w="1238" w:type="dxa"/>
            <w:tcBorders>
              <w:right w:val="single" w:color="000000" w:sz="4" w:space="0"/>
            </w:tcBorders>
            <w:vAlign w:val="center"/>
          </w:tcPr>
          <w:p>
            <w:pPr>
              <w:spacing w:line="300" w:lineRule="exact"/>
              <w:jc w:val="center"/>
              <w:rPr>
                <w:bCs/>
                <w:color w:val="auto"/>
                <w:szCs w:val="21"/>
              </w:rPr>
            </w:pPr>
            <w:r>
              <w:rPr>
                <w:bCs/>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03" w:type="dxa"/>
            <w:vAlign w:val="center"/>
          </w:tcPr>
          <w:p>
            <w:pPr>
              <w:spacing w:line="300" w:lineRule="exact"/>
              <w:jc w:val="center"/>
              <w:rPr>
                <w:bCs/>
                <w:color w:val="auto"/>
                <w:szCs w:val="21"/>
              </w:rPr>
            </w:pPr>
            <w:r>
              <w:rPr>
                <w:rFonts w:hint="eastAsia"/>
                <w:bCs/>
                <w:color w:val="auto"/>
                <w:szCs w:val="21"/>
              </w:rPr>
              <w:t>氯化物</w:t>
            </w:r>
          </w:p>
        </w:tc>
        <w:tc>
          <w:tcPr>
            <w:tcW w:w="1140" w:type="dxa"/>
            <w:vAlign w:val="center"/>
          </w:tcPr>
          <w:p>
            <w:pPr>
              <w:spacing w:line="300" w:lineRule="exact"/>
              <w:jc w:val="center"/>
              <w:rPr>
                <w:bCs/>
                <w:color w:val="auto"/>
                <w:szCs w:val="21"/>
              </w:rPr>
            </w:pPr>
            <w:r>
              <w:rPr>
                <w:bCs/>
                <w:color w:val="auto"/>
                <w:szCs w:val="21"/>
              </w:rPr>
              <w:t>0.02456</w:t>
            </w:r>
          </w:p>
        </w:tc>
        <w:tc>
          <w:tcPr>
            <w:tcW w:w="1093" w:type="dxa"/>
            <w:tcBorders>
              <w:right w:val="single" w:color="000000" w:sz="4" w:space="0"/>
            </w:tcBorders>
            <w:vAlign w:val="center"/>
          </w:tcPr>
          <w:p>
            <w:pPr>
              <w:spacing w:line="300" w:lineRule="exact"/>
              <w:jc w:val="center"/>
              <w:rPr>
                <w:bCs/>
                <w:color w:val="auto"/>
                <w:szCs w:val="21"/>
              </w:rPr>
            </w:pPr>
            <w:r>
              <w:rPr>
                <w:rFonts w:hint="eastAsia"/>
                <w:bCs/>
                <w:color w:val="auto"/>
                <w:szCs w:val="21"/>
              </w:rPr>
              <w:t>5.64</w:t>
            </w:r>
          </w:p>
        </w:tc>
        <w:tc>
          <w:tcPr>
            <w:tcW w:w="1369" w:type="dxa"/>
            <w:tcBorders>
              <w:right w:val="single" w:color="000000" w:sz="4" w:space="0"/>
            </w:tcBorders>
            <w:vAlign w:val="center"/>
          </w:tcPr>
          <w:p>
            <w:pPr>
              <w:spacing w:line="300" w:lineRule="exact"/>
              <w:jc w:val="center"/>
              <w:rPr>
                <w:bCs/>
                <w:color w:val="auto"/>
                <w:szCs w:val="21"/>
              </w:rPr>
            </w:pPr>
            <w:r>
              <w:rPr>
                <w:bCs/>
                <w:color w:val="auto"/>
                <w:szCs w:val="21"/>
              </w:rPr>
              <w:t>0.02256</w:t>
            </w:r>
          </w:p>
        </w:tc>
        <w:tc>
          <w:tcPr>
            <w:tcW w:w="1261" w:type="dxa"/>
            <w:tcBorders>
              <w:right w:val="single" w:color="000000" w:sz="4" w:space="0"/>
            </w:tcBorders>
            <w:vAlign w:val="center"/>
          </w:tcPr>
          <w:p>
            <w:pPr>
              <w:spacing w:line="300" w:lineRule="exact"/>
              <w:jc w:val="center"/>
              <w:rPr>
                <w:bCs/>
                <w:color w:val="auto"/>
                <w:szCs w:val="21"/>
              </w:rPr>
            </w:pPr>
            <w:r>
              <w:rPr>
                <w:rFonts w:hint="eastAsia"/>
                <w:bCs/>
                <w:color w:val="auto"/>
                <w:szCs w:val="21"/>
              </w:rPr>
              <w:t>18.7</w:t>
            </w:r>
          </w:p>
        </w:tc>
        <w:tc>
          <w:tcPr>
            <w:tcW w:w="1248" w:type="dxa"/>
            <w:tcBorders>
              <w:right w:val="single" w:color="000000" w:sz="4" w:space="0"/>
            </w:tcBorders>
            <w:vAlign w:val="center"/>
          </w:tcPr>
          <w:p>
            <w:pPr>
              <w:spacing w:line="300" w:lineRule="exact"/>
              <w:jc w:val="center"/>
              <w:rPr>
                <w:bCs/>
                <w:color w:val="auto"/>
                <w:szCs w:val="21"/>
              </w:rPr>
            </w:pPr>
            <w:r>
              <w:rPr>
                <w:bCs/>
                <w:color w:val="auto"/>
                <w:szCs w:val="21"/>
              </w:rPr>
              <w:t>0.0748</w:t>
            </w:r>
          </w:p>
        </w:tc>
        <w:tc>
          <w:tcPr>
            <w:tcW w:w="1238" w:type="dxa"/>
            <w:tcBorders>
              <w:right w:val="single" w:color="000000" w:sz="4" w:space="0"/>
            </w:tcBorders>
            <w:vAlign w:val="center"/>
          </w:tcPr>
          <w:p>
            <w:pPr>
              <w:spacing w:line="300" w:lineRule="exact"/>
              <w:jc w:val="center"/>
              <w:rPr>
                <w:bCs/>
                <w:color w:val="auto"/>
                <w:szCs w:val="21"/>
              </w:rPr>
            </w:pPr>
            <w:r>
              <w:rPr>
                <w:bCs/>
                <w:color w:val="auto"/>
                <w:szCs w:val="21"/>
              </w:rPr>
              <w:t>0.02456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03" w:type="dxa"/>
            <w:vAlign w:val="center"/>
          </w:tcPr>
          <w:p>
            <w:pPr>
              <w:spacing w:line="300" w:lineRule="exact"/>
              <w:jc w:val="center"/>
              <w:rPr>
                <w:bCs/>
                <w:color w:val="auto"/>
                <w:szCs w:val="21"/>
              </w:rPr>
            </w:pPr>
            <w:r>
              <w:rPr>
                <w:rFonts w:hint="eastAsia"/>
                <w:bCs/>
                <w:color w:val="auto"/>
                <w:szCs w:val="21"/>
              </w:rPr>
              <w:t>砷</w:t>
            </w:r>
          </w:p>
        </w:tc>
        <w:tc>
          <w:tcPr>
            <w:tcW w:w="1140" w:type="dxa"/>
            <w:vAlign w:val="center"/>
          </w:tcPr>
          <w:p>
            <w:pPr>
              <w:spacing w:line="300" w:lineRule="exact"/>
              <w:jc w:val="center"/>
              <w:rPr>
                <w:bCs/>
                <w:color w:val="auto"/>
                <w:szCs w:val="21"/>
              </w:rPr>
            </w:pPr>
            <w:r>
              <w:rPr>
                <w:bCs/>
                <w:color w:val="auto"/>
                <w:szCs w:val="21"/>
              </w:rPr>
              <w:t>/</w:t>
            </w:r>
          </w:p>
        </w:tc>
        <w:tc>
          <w:tcPr>
            <w:tcW w:w="1093" w:type="dxa"/>
            <w:tcBorders>
              <w:right w:val="single" w:color="000000" w:sz="4" w:space="0"/>
            </w:tcBorders>
            <w:vAlign w:val="center"/>
          </w:tcPr>
          <w:p>
            <w:pPr>
              <w:spacing w:line="300" w:lineRule="exact"/>
              <w:jc w:val="center"/>
              <w:rPr>
                <w:bCs/>
                <w:color w:val="auto"/>
                <w:szCs w:val="21"/>
              </w:rPr>
            </w:pPr>
            <w:r>
              <w:rPr>
                <w:rFonts w:hint="eastAsia"/>
                <w:bCs/>
                <w:color w:val="auto"/>
                <w:szCs w:val="21"/>
              </w:rPr>
              <w:t>0.0003L</w:t>
            </w:r>
          </w:p>
        </w:tc>
        <w:tc>
          <w:tcPr>
            <w:tcW w:w="1369" w:type="dxa"/>
            <w:tcBorders>
              <w:right w:val="single" w:color="000000" w:sz="4" w:space="0"/>
            </w:tcBorders>
            <w:vAlign w:val="center"/>
          </w:tcPr>
          <w:p>
            <w:pPr>
              <w:spacing w:line="300" w:lineRule="exact"/>
              <w:jc w:val="center"/>
              <w:rPr>
                <w:bCs/>
                <w:color w:val="auto"/>
                <w:szCs w:val="21"/>
              </w:rPr>
            </w:pPr>
            <w:r>
              <w:rPr>
                <w:bCs/>
                <w:color w:val="auto"/>
                <w:szCs w:val="21"/>
              </w:rPr>
              <w:t>/</w:t>
            </w:r>
          </w:p>
        </w:tc>
        <w:tc>
          <w:tcPr>
            <w:tcW w:w="1261" w:type="dxa"/>
            <w:tcBorders>
              <w:right w:val="single" w:color="000000" w:sz="4" w:space="0"/>
            </w:tcBorders>
            <w:vAlign w:val="center"/>
          </w:tcPr>
          <w:p>
            <w:pPr>
              <w:spacing w:line="300" w:lineRule="exact"/>
              <w:jc w:val="center"/>
              <w:rPr>
                <w:bCs/>
                <w:color w:val="auto"/>
                <w:szCs w:val="21"/>
              </w:rPr>
            </w:pPr>
            <w:r>
              <w:rPr>
                <w:rFonts w:hint="eastAsia"/>
                <w:bCs/>
                <w:color w:val="auto"/>
                <w:szCs w:val="21"/>
              </w:rPr>
              <w:t>0.0003L</w:t>
            </w:r>
          </w:p>
        </w:tc>
        <w:tc>
          <w:tcPr>
            <w:tcW w:w="1248" w:type="dxa"/>
            <w:tcBorders>
              <w:right w:val="single" w:color="000000" w:sz="4" w:space="0"/>
            </w:tcBorders>
            <w:vAlign w:val="center"/>
          </w:tcPr>
          <w:p>
            <w:pPr>
              <w:spacing w:line="300" w:lineRule="exact"/>
              <w:jc w:val="center"/>
              <w:rPr>
                <w:bCs/>
                <w:color w:val="auto"/>
                <w:szCs w:val="21"/>
              </w:rPr>
            </w:pPr>
            <w:r>
              <w:rPr>
                <w:bCs/>
                <w:color w:val="auto"/>
                <w:szCs w:val="21"/>
              </w:rPr>
              <w:t>/</w:t>
            </w:r>
          </w:p>
        </w:tc>
        <w:tc>
          <w:tcPr>
            <w:tcW w:w="1238" w:type="dxa"/>
            <w:tcBorders>
              <w:right w:val="single" w:color="000000" w:sz="4" w:space="0"/>
            </w:tcBorders>
            <w:vAlign w:val="center"/>
          </w:tcPr>
          <w:p>
            <w:pPr>
              <w:spacing w:line="300" w:lineRule="exact"/>
              <w:jc w:val="center"/>
              <w:rPr>
                <w:bCs/>
                <w:color w:val="auto"/>
                <w:szCs w:val="21"/>
              </w:rPr>
            </w:pPr>
            <w:r>
              <w:rPr>
                <w:bCs/>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03" w:type="dxa"/>
            <w:vAlign w:val="center"/>
          </w:tcPr>
          <w:p>
            <w:pPr>
              <w:spacing w:line="300" w:lineRule="exact"/>
              <w:jc w:val="center"/>
              <w:rPr>
                <w:bCs/>
                <w:color w:val="auto"/>
                <w:szCs w:val="21"/>
              </w:rPr>
            </w:pPr>
            <w:r>
              <w:rPr>
                <w:rFonts w:hint="eastAsia"/>
                <w:bCs/>
                <w:color w:val="auto"/>
                <w:szCs w:val="21"/>
              </w:rPr>
              <w:t>汞</w:t>
            </w:r>
          </w:p>
        </w:tc>
        <w:tc>
          <w:tcPr>
            <w:tcW w:w="1140" w:type="dxa"/>
            <w:vAlign w:val="center"/>
          </w:tcPr>
          <w:p>
            <w:pPr>
              <w:spacing w:line="300" w:lineRule="exact"/>
              <w:jc w:val="center"/>
              <w:rPr>
                <w:bCs/>
                <w:color w:val="auto"/>
                <w:szCs w:val="21"/>
              </w:rPr>
            </w:pPr>
            <w:r>
              <w:rPr>
                <w:bCs/>
                <w:color w:val="auto"/>
                <w:szCs w:val="21"/>
              </w:rPr>
              <w:t>/</w:t>
            </w:r>
          </w:p>
        </w:tc>
        <w:tc>
          <w:tcPr>
            <w:tcW w:w="1093" w:type="dxa"/>
            <w:tcBorders>
              <w:right w:val="single" w:color="000000" w:sz="4" w:space="0"/>
            </w:tcBorders>
            <w:vAlign w:val="center"/>
          </w:tcPr>
          <w:p>
            <w:pPr>
              <w:spacing w:line="300" w:lineRule="exact"/>
              <w:jc w:val="center"/>
              <w:rPr>
                <w:bCs/>
                <w:color w:val="auto"/>
                <w:szCs w:val="21"/>
              </w:rPr>
            </w:pPr>
            <w:r>
              <w:rPr>
                <w:rFonts w:hint="eastAsia"/>
                <w:bCs/>
                <w:color w:val="auto"/>
                <w:szCs w:val="21"/>
              </w:rPr>
              <w:t>0.00004L</w:t>
            </w:r>
          </w:p>
        </w:tc>
        <w:tc>
          <w:tcPr>
            <w:tcW w:w="1369" w:type="dxa"/>
            <w:tcBorders>
              <w:right w:val="single" w:color="000000" w:sz="4" w:space="0"/>
            </w:tcBorders>
            <w:vAlign w:val="center"/>
          </w:tcPr>
          <w:p>
            <w:pPr>
              <w:spacing w:line="300" w:lineRule="exact"/>
              <w:jc w:val="center"/>
              <w:rPr>
                <w:bCs/>
                <w:color w:val="auto"/>
                <w:szCs w:val="21"/>
              </w:rPr>
            </w:pPr>
            <w:r>
              <w:rPr>
                <w:bCs/>
                <w:color w:val="auto"/>
                <w:szCs w:val="21"/>
              </w:rPr>
              <w:t>/</w:t>
            </w:r>
          </w:p>
        </w:tc>
        <w:tc>
          <w:tcPr>
            <w:tcW w:w="1261" w:type="dxa"/>
            <w:tcBorders>
              <w:right w:val="single" w:color="000000" w:sz="4" w:space="0"/>
            </w:tcBorders>
            <w:vAlign w:val="center"/>
          </w:tcPr>
          <w:p>
            <w:pPr>
              <w:spacing w:line="300" w:lineRule="exact"/>
              <w:jc w:val="center"/>
              <w:rPr>
                <w:bCs/>
                <w:color w:val="auto"/>
                <w:szCs w:val="21"/>
              </w:rPr>
            </w:pPr>
            <w:r>
              <w:rPr>
                <w:rFonts w:hint="eastAsia"/>
                <w:bCs/>
                <w:color w:val="auto"/>
                <w:szCs w:val="21"/>
              </w:rPr>
              <w:t>0.00004L</w:t>
            </w:r>
          </w:p>
        </w:tc>
        <w:tc>
          <w:tcPr>
            <w:tcW w:w="1248" w:type="dxa"/>
            <w:tcBorders>
              <w:right w:val="single" w:color="000000" w:sz="4" w:space="0"/>
            </w:tcBorders>
            <w:vAlign w:val="center"/>
          </w:tcPr>
          <w:p>
            <w:pPr>
              <w:spacing w:line="300" w:lineRule="exact"/>
              <w:jc w:val="center"/>
              <w:rPr>
                <w:bCs/>
                <w:color w:val="auto"/>
                <w:szCs w:val="21"/>
              </w:rPr>
            </w:pPr>
            <w:r>
              <w:rPr>
                <w:bCs/>
                <w:color w:val="auto"/>
                <w:szCs w:val="21"/>
              </w:rPr>
              <w:t>/</w:t>
            </w:r>
          </w:p>
        </w:tc>
        <w:tc>
          <w:tcPr>
            <w:tcW w:w="1238" w:type="dxa"/>
            <w:tcBorders>
              <w:right w:val="single" w:color="000000" w:sz="4" w:space="0"/>
            </w:tcBorders>
            <w:vAlign w:val="center"/>
          </w:tcPr>
          <w:p>
            <w:pPr>
              <w:spacing w:line="300" w:lineRule="exact"/>
              <w:jc w:val="center"/>
              <w:rPr>
                <w:bCs/>
                <w:color w:val="auto"/>
                <w:szCs w:val="21"/>
              </w:rPr>
            </w:pPr>
            <w:r>
              <w:rPr>
                <w:bCs/>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03" w:type="dxa"/>
            <w:vAlign w:val="center"/>
          </w:tcPr>
          <w:p>
            <w:pPr>
              <w:spacing w:line="300" w:lineRule="exact"/>
              <w:jc w:val="center"/>
              <w:rPr>
                <w:bCs/>
                <w:color w:val="auto"/>
                <w:szCs w:val="21"/>
              </w:rPr>
            </w:pPr>
            <w:r>
              <w:rPr>
                <w:rFonts w:hint="eastAsia"/>
                <w:bCs/>
                <w:color w:val="auto"/>
                <w:szCs w:val="21"/>
              </w:rPr>
              <w:t>铅</w:t>
            </w:r>
          </w:p>
        </w:tc>
        <w:tc>
          <w:tcPr>
            <w:tcW w:w="1140" w:type="dxa"/>
            <w:vAlign w:val="center"/>
          </w:tcPr>
          <w:p>
            <w:pPr>
              <w:spacing w:line="300" w:lineRule="exact"/>
              <w:jc w:val="center"/>
              <w:rPr>
                <w:bCs/>
                <w:color w:val="auto"/>
                <w:szCs w:val="21"/>
              </w:rPr>
            </w:pPr>
            <w:r>
              <w:rPr>
                <w:bCs/>
                <w:color w:val="auto"/>
                <w:szCs w:val="21"/>
              </w:rPr>
              <w:t>/</w:t>
            </w:r>
          </w:p>
        </w:tc>
        <w:tc>
          <w:tcPr>
            <w:tcW w:w="1093" w:type="dxa"/>
            <w:tcBorders>
              <w:right w:val="single" w:color="000000" w:sz="4" w:space="0"/>
            </w:tcBorders>
            <w:vAlign w:val="center"/>
          </w:tcPr>
          <w:p>
            <w:pPr>
              <w:spacing w:line="300" w:lineRule="exact"/>
              <w:jc w:val="center"/>
              <w:rPr>
                <w:bCs/>
                <w:color w:val="auto"/>
                <w:szCs w:val="21"/>
              </w:rPr>
            </w:pPr>
            <w:r>
              <w:rPr>
                <w:rFonts w:hint="eastAsia"/>
                <w:bCs/>
                <w:color w:val="auto"/>
                <w:szCs w:val="21"/>
              </w:rPr>
              <w:t>0.01L</w:t>
            </w:r>
          </w:p>
        </w:tc>
        <w:tc>
          <w:tcPr>
            <w:tcW w:w="1369" w:type="dxa"/>
            <w:tcBorders>
              <w:right w:val="single" w:color="000000" w:sz="4" w:space="0"/>
            </w:tcBorders>
            <w:vAlign w:val="center"/>
          </w:tcPr>
          <w:p>
            <w:pPr>
              <w:spacing w:line="300" w:lineRule="exact"/>
              <w:jc w:val="center"/>
              <w:rPr>
                <w:bCs/>
                <w:color w:val="auto"/>
                <w:szCs w:val="21"/>
              </w:rPr>
            </w:pPr>
            <w:r>
              <w:rPr>
                <w:bCs/>
                <w:color w:val="auto"/>
                <w:szCs w:val="21"/>
              </w:rPr>
              <w:t>/</w:t>
            </w:r>
          </w:p>
        </w:tc>
        <w:tc>
          <w:tcPr>
            <w:tcW w:w="1261" w:type="dxa"/>
            <w:tcBorders>
              <w:right w:val="single" w:color="000000" w:sz="4" w:space="0"/>
            </w:tcBorders>
            <w:vAlign w:val="center"/>
          </w:tcPr>
          <w:p>
            <w:pPr>
              <w:spacing w:line="300" w:lineRule="exact"/>
              <w:jc w:val="center"/>
              <w:rPr>
                <w:bCs/>
                <w:color w:val="auto"/>
                <w:szCs w:val="21"/>
              </w:rPr>
            </w:pPr>
            <w:r>
              <w:rPr>
                <w:rFonts w:hint="eastAsia"/>
                <w:bCs/>
                <w:color w:val="auto"/>
                <w:szCs w:val="21"/>
              </w:rPr>
              <w:t>0.01L</w:t>
            </w:r>
          </w:p>
        </w:tc>
        <w:tc>
          <w:tcPr>
            <w:tcW w:w="1248" w:type="dxa"/>
            <w:tcBorders>
              <w:right w:val="single" w:color="000000" w:sz="4" w:space="0"/>
            </w:tcBorders>
            <w:vAlign w:val="center"/>
          </w:tcPr>
          <w:p>
            <w:pPr>
              <w:spacing w:line="300" w:lineRule="exact"/>
              <w:jc w:val="center"/>
              <w:rPr>
                <w:bCs/>
                <w:color w:val="auto"/>
                <w:szCs w:val="21"/>
              </w:rPr>
            </w:pPr>
            <w:r>
              <w:rPr>
                <w:bCs/>
                <w:color w:val="auto"/>
                <w:szCs w:val="21"/>
              </w:rPr>
              <w:t>/</w:t>
            </w:r>
          </w:p>
        </w:tc>
        <w:tc>
          <w:tcPr>
            <w:tcW w:w="1238" w:type="dxa"/>
            <w:tcBorders>
              <w:right w:val="single" w:color="000000" w:sz="4" w:space="0"/>
            </w:tcBorders>
            <w:vAlign w:val="center"/>
          </w:tcPr>
          <w:p>
            <w:pPr>
              <w:spacing w:line="300" w:lineRule="exact"/>
              <w:jc w:val="center"/>
              <w:rPr>
                <w:bCs/>
                <w:color w:val="auto"/>
                <w:szCs w:val="21"/>
              </w:rPr>
            </w:pPr>
            <w:r>
              <w:rPr>
                <w:bCs/>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03" w:type="dxa"/>
            <w:vAlign w:val="center"/>
          </w:tcPr>
          <w:p>
            <w:pPr>
              <w:spacing w:line="300" w:lineRule="exact"/>
              <w:jc w:val="center"/>
              <w:rPr>
                <w:bCs/>
                <w:color w:val="auto"/>
                <w:szCs w:val="21"/>
                <w:lang w:val="zh-TW" w:eastAsia="zh-TW"/>
              </w:rPr>
            </w:pPr>
            <w:r>
              <w:rPr>
                <w:rFonts w:hint="eastAsia"/>
                <w:bCs/>
                <w:color w:val="auto"/>
                <w:szCs w:val="21"/>
              </w:rPr>
              <w:t>镉</w:t>
            </w:r>
          </w:p>
        </w:tc>
        <w:tc>
          <w:tcPr>
            <w:tcW w:w="1140" w:type="dxa"/>
            <w:vAlign w:val="center"/>
          </w:tcPr>
          <w:p>
            <w:pPr>
              <w:spacing w:line="300" w:lineRule="exact"/>
              <w:jc w:val="center"/>
              <w:rPr>
                <w:bCs/>
                <w:color w:val="auto"/>
                <w:szCs w:val="21"/>
                <w:lang w:eastAsia="en-US"/>
              </w:rPr>
            </w:pPr>
            <w:r>
              <w:rPr>
                <w:bCs/>
                <w:color w:val="auto"/>
                <w:szCs w:val="21"/>
              </w:rPr>
              <w:t>/</w:t>
            </w:r>
          </w:p>
        </w:tc>
        <w:tc>
          <w:tcPr>
            <w:tcW w:w="1093" w:type="dxa"/>
            <w:tcBorders>
              <w:right w:val="single" w:color="000000" w:sz="4" w:space="0"/>
            </w:tcBorders>
            <w:vAlign w:val="center"/>
          </w:tcPr>
          <w:p>
            <w:pPr>
              <w:spacing w:line="300" w:lineRule="exact"/>
              <w:jc w:val="center"/>
              <w:rPr>
                <w:bCs/>
                <w:color w:val="auto"/>
                <w:szCs w:val="21"/>
              </w:rPr>
            </w:pPr>
            <w:r>
              <w:rPr>
                <w:rFonts w:hint="eastAsia"/>
                <w:bCs/>
                <w:color w:val="auto"/>
                <w:szCs w:val="21"/>
              </w:rPr>
              <w:t>0.001L</w:t>
            </w:r>
          </w:p>
        </w:tc>
        <w:tc>
          <w:tcPr>
            <w:tcW w:w="1369" w:type="dxa"/>
            <w:tcBorders>
              <w:right w:val="single" w:color="000000" w:sz="4" w:space="0"/>
            </w:tcBorders>
            <w:vAlign w:val="center"/>
          </w:tcPr>
          <w:p>
            <w:pPr>
              <w:spacing w:line="300" w:lineRule="exact"/>
              <w:jc w:val="center"/>
              <w:rPr>
                <w:bCs/>
                <w:color w:val="auto"/>
                <w:szCs w:val="21"/>
              </w:rPr>
            </w:pPr>
            <w:r>
              <w:rPr>
                <w:bCs/>
                <w:color w:val="auto"/>
                <w:szCs w:val="21"/>
              </w:rPr>
              <w:t>/</w:t>
            </w:r>
          </w:p>
        </w:tc>
        <w:tc>
          <w:tcPr>
            <w:tcW w:w="1261" w:type="dxa"/>
            <w:tcBorders>
              <w:right w:val="single" w:color="000000" w:sz="4" w:space="0"/>
            </w:tcBorders>
            <w:vAlign w:val="center"/>
          </w:tcPr>
          <w:p>
            <w:pPr>
              <w:spacing w:line="300" w:lineRule="exact"/>
              <w:jc w:val="center"/>
              <w:rPr>
                <w:bCs/>
                <w:color w:val="auto"/>
                <w:szCs w:val="21"/>
              </w:rPr>
            </w:pPr>
            <w:r>
              <w:rPr>
                <w:rFonts w:hint="eastAsia"/>
                <w:bCs/>
                <w:color w:val="auto"/>
                <w:szCs w:val="21"/>
              </w:rPr>
              <w:t>0.001L</w:t>
            </w:r>
          </w:p>
        </w:tc>
        <w:tc>
          <w:tcPr>
            <w:tcW w:w="1248" w:type="dxa"/>
            <w:tcBorders>
              <w:right w:val="single" w:color="000000" w:sz="4" w:space="0"/>
            </w:tcBorders>
            <w:vAlign w:val="center"/>
          </w:tcPr>
          <w:p>
            <w:pPr>
              <w:spacing w:line="300" w:lineRule="exact"/>
              <w:jc w:val="center"/>
              <w:rPr>
                <w:bCs/>
                <w:color w:val="auto"/>
                <w:szCs w:val="21"/>
              </w:rPr>
            </w:pPr>
            <w:r>
              <w:rPr>
                <w:bCs/>
                <w:color w:val="auto"/>
                <w:szCs w:val="21"/>
              </w:rPr>
              <w:t>/</w:t>
            </w:r>
          </w:p>
        </w:tc>
        <w:tc>
          <w:tcPr>
            <w:tcW w:w="1238" w:type="dxa"/>
            <w:tcBorders>
              <w:right w:val="single" w:color="000000" w:sz="4" w:space="0"/>
            </w:tcBorders>
            <w:vAlign w:val="center"/>
          </w:tcPr>
          <w:p>
            <w:pPr>
              <w:spacing w:line="300" w:lineRule="exact"/>
              <w:jc w:val="center"/>
              <w:rPr>
                <w:bCs/>
                <w:color w:val="auto"/>
                <w:szCs w:val="21"/>
              </w:rPr>
            </w:pPr>
            <w:r>
              <w:rPr>
                <w:bCs/>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03" w:type="dxa"/>
            <w:vAlign w:val="center"/>
          </w:tcPr>
          <w:p>
            <w:pPr>
              <w:spacing w:line="300" w:lineRule="exact"/>
              <w:jc w:val="center"/>
              <w:rPr>
                <w:bCs/>
                <w:color w:val="auto"/>
                <w:szCs w:val="21"/>
                <w:lang w:val="zh-TW" w:eastAsia="zh-TW"/>
              </w:rPr>
            </w:pPr>
            <w:r>
              <w:rPr>
                <w:rFonts w:hint="eastAsia"/>
                <w:bCs/>
                <w:color w:val="auto"/>
                <w:szCs w:val="21"/>
              </w:rPr>
              <w:t>铁</w:t>
            </w:r>
          </w:p>
        </w:tc>
        <w:tc>
          <w:tcPr>
            <w:tcW w:w="1140" w:type="dxa"/>
            <w:vAlign w:val="center"/>
          </w:tcPr>
          <w:p>
            <w:pPr>
              <w:spacing w:line="300" w:lineRule="exact"/>
              <w:jc w:val="center"/>
              <w:rPr>
                <w:bCs/>
                <w:color w:val="auto"/>
                <w:szCs w:val="21"/>
                <w:lang w:eastAsia="en-US"/>
              </w:rPr>
            </w:pPr>
            <w:r>
              <w:rPr>
                <w:bCs/>
                <w:color w:val="auto"/>
                <w:szCs w:val="21"/>
              </w:rPr>
              <w:t>0.1</w:t>
            </w:r>
          </w:p>
        </w:tc>
        <w:tc>
          <w:tcPr>
            <w:tcW w:w="1093" w:type="dxa"/>
            <w:tcBorders>
              <w:right w:val="single" w:color="000000" w:sz="4" w:space="0"/>
            </w:tcBorders>
            <w:vAlign w:val="center"/>
          </w:tcPr>
          <w:p>
            <w:pPr>
              <w:spacing w:line="300" w:lineRule="exact"/>
              <w:jc w:val="center"/>
              <w:rPr>
                <w:bCs/>
                <w:color w:val="auto"/>
                <w:szCs w:val="21"/>
              </w:rPr>
            </w:pPr>
            <w:r>
              <w:rPr>
                <w:rFonts w:hint="eastAsia"/>
                <w:bCs/>
                <w:color w:val="auto"/>
                <w:szCs w:val="21"/>
              </w:rPr>
              <w:t>0.28</w:t>
            </w:r>
          </w:p>
        </w:tc>
        <w:tc>
          <w:tcPr>
            <w:tcW w:w="1369" w:type="dxa"/>
            <w:tcBorders>
              <w:right w:val="single" w:color="000000" w:sz="4" w:space="0"/>
            </w:tcBorders>
            <w:vAlign w:val="center"/>
          </w:tcPr>
          <w:p>
            <w:pPr>
              <w:spacing w:line="300" w:lineRule="exact"/>
              <w:jc w:val="center"/>
              <w:rPr>
                <w:bCs/>
                <w:color w:val="auto"/>
                <w:szCs w:val="21"/>
              </w:rPr>
            </w:pPr>
            <w:r>
              <w:rPr>
                <w:bCs/>
                <w:color w:val="auto"/>
                <w:szCs w:val="21"/>
              </w:rPr>
              <w:t>0.93</w:t>
            </w:r>
          </w:p>
        </w:tc>
        <w:tc>
          <w:tcPr>
            <w:tcW w:w="1261" w:type="dxa"/>
            <w:tcBorders>
              <w:right w:val="single" w:color="000000" w:sz="4" w:space="0"/>
            </w:tcBorders>
            <w:vAlign w:val="center"/>
          </w:tcPr>
          <w:p>
            <w:pPr>
              <w:spacing w:line="300" w:lineRule="exact"/>
              <w:jc w:val="center"/>
              <w:rPr>
                <w:bCs/>
                <w:color w:val="auto"/>
                <w:szCs w:val="21"/>
              </w:rPr>
            </w:pPr>
            <w:r>
              <w:rPr>
                <w:rFonts w:hint="eastAsia"/>
                <w:bCs/>
                <w:color w:val="auto"/>
                <w:szCs w:val="21"/>
              </w:rPr>
              <w:t>0.03L</w:t>
            </w:r>
          </w:p>
        </w:tc>
        <w:tc>
          <w:tcPr>
            <w:tcW w:w="1248" w:type="dxa"/>
            <w:tcBorders>
              <w:right w:val="single" w:color="000000" w:sz="4" w:space="0"/>
            </w:tcBorders>
            <w:vAlign w:val="center"/>
          </w:tcPr>
          <w:p>
            <w:pPr>
              <w:spacing w:line="300" w:lineRule="exact"/>
              <w:jc w:val="center"/>
              <w:rPr>
                <w:bCs/>
                <w:color w:val="auto"/>
                <w:szCs w:val="21"/>
              </w:rPr>
            </w:pPr>
            <w:r>
              <w:rPr>
                <w:bCs/>
                <w:color w:val="auto"/>
                <w:szCs w:val="21"/>
              </w:rPr>
              <w:t>/</w:t>
            </w:r>
          </w:p>
        </w:tc>
        <w:tc>
          <w:tcPr>
            <w:tcW w:w="1238" w:type="dxa"/>
            <w:tcBorders>
              <w:right w:val="single" w:color="000000" w:sz="4" w:space="0"/>
            </w:tcBorders>
            <w:vAlign w:val="center"/>
          </w:tcPr>
          <w:p>
            <w:pPr>
              <w:spacing w:line="300" w:lineRule="exact"/>
              <w:jc w:val="center"/>
              <w:rPr>
                <w:bCs/>
                <w:color w:val="auto"/>
                <w:szCs w:val="21"/>
              </w:rPr>
            </w:pPr>
            <w:r>
              <w:rPr>
                <w:bCs/>
                <w:color w:val="auto"/>
                <w:szCs w:val="21"/>
              </w:rPr>
              <w:t>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03" w:type="dxa"/>
            <w:vAlign w:val="center"/>
          </w:tcPr>
          <w:p>
            <w:pPr>
              <w:spacing w:line="300" w:lineRule="exact"/>
              <w:jc w:val="center"/>
              <w:rPr>
                <w:bCs/>
                <w:color w:val="auto"/>
                <w:szCs w:val="21"/>
                <w:lang w:val="zh-TW" w:eastAsia="zh-TW"/>
              </w:rPr>
            </w:pPr>
            <w:r>
              <w:rPr>
                <w:rFonts w:hint="eastAsia"/>
                <w:bCs/>
                <w:color w:val="auto"/>
                <w:szCs w:val="21"/>
              </w:rPr>
              <w:t>锰</w:t>
            </w:r>
          </w:p>
        </w:tc>
        <w:tc>
          <w:tcPr>
            <w:tcW w:w="1140" w:type="dxa"/>
            <w:vAlign w:val="center"/>
          </w:tcPr>
          <w:p>
            <w:pPr>
              <w:spacing w:line="300" w:lineRule="exact"/>
              <w:jc w:val="center"/>
              <w:rPr>
                <w:bCs/>
                <w:color w:val="auto"/>
                <w:szCs w:val="21"/>
              </w:rPr>
            </w:pPr>
            <w:r>
              <w:rPr>
                <w:bCs/>
                <w:color w:val="auto"/>
                <w:szCs w:val="21"/>
              </w:rPr>
              <w:t>/</w:t>
            </w:r>
          </w:p>
        </w:tc>
        <w:tc>
          <w:tcPr>
            <w:tcW w:w="1093" w:type="dxa"/>
            <w:tcBorders>
              <w:right w:val="single" w:color="000000" w:sz="4" w:space="0"/>
            </w:tcBorders>
            <w:vAlign w:val="center"/>
          </w:tcPr>
          <w:p>
            <w:pPr>
              <w:spacing w:line="300" w:lineRule="exact"/>
              <w:jc w:val="center"/>
              <w:rPr>
                <w:bCs/>
                <w:color w:val="auto"/>
                <w:szCs w:val="21"/>
              </w:rPr>
            </w:pPr>
            <w:r>
              <w:rPr>
                <w:rFonts w:hint="eastAsia"/>
                <w:bCs/>
                <w:color w:val="auto"/>
                <w:szCs w:val="21"/>
              </w:rPr>
              <w:t>0.01L</w:t>
            </w:r>
          </w:p>
        </w:tc>
        <w:tc>
          <w:tcPr>
            <w:tcW w:w="1369" w:type="dxa"/>
            <w:tcBorders>
              <w:right w:val="single" w:color="000000" w:sz="4" w:space="0"/>
            </w:tcBorders>
            <w:vAlign w:val="center"/>
          </w:tcPr>
          <w:p>
            <w:pPr>
              <w:spacing w:line="300" w:lineRule="exact"/>
              <w:jc w:val="center"/>
              <w:rPr>
                <w:bCs/>
                <w:color w:val="auto"/>
                <w:szCs w:val="21"/>
              </w:rPr>
            </w:pPr>
            <w:r>
              <w:rPr>
                <w:bCs/>
                <w:color w:val="auto"/>
                <w:szCs w:val="21"/>
              </w:rPr>
              <w:t>/</w:t>
            </w:r>
          </w:p>
        </w:tc>
        <w:tc>
          <w:tcPr>
            <w:tcW w:w="1261" w:type="dxa"/>
            <w:tcBorders>
              <w:right w:val="single" w:color="000000" w:sz="4" w:space="0"/>
            </w:tcBorders>
            <w:vAlign w:val="center"/>
          </w:tcPr>
          <w:p>
            <w:pPr>
              <w:spacing w:line="300" w:lineRule="exact"/>
              <w:jc w:val="center"/>
              <w:rPr>
                <w:bCs/>
                <w:color w:val="auto"/>
                <w:szCs w:val="21"/>
              </w:rPr>
            </w:pPr>
            <w:r>
              <w:rPr>
                <w:rFonts w:hint="eastAsia"/>
                <w:bCs/>
                <w:color w:val="auto"/>
                <w:szCs w:val="21"/>
              </w:rPr>
              <w:t>0.03</w:t>
            </w:r>
          </w:p>
        </w:tc>
        <w:tc>
          <w:tcPr>
            <w:tcW w:w="1248" w:type="dxa"/>
            <w:tcBorders>
              <w:right w:val="single" w:color="000000" w:sz="4" w:space="0"/>
            </w:tcBorders>
            <w:vAlign w:val="center"/>
          </w:tcPr>
          <w:p>
            <w:pPr>
              <w:spacing w:line="300" w:lineRule="exact"/>
              <w:jc w:val="center"/>
              <w:rPr>
                <w:bCs/>
                <w:color w:val="auto"/>
                <w:szCs w:val="21"/>
              </w:rPr>
            </w:pPr>
            <w:r>
              <w:rPr>
                <w:bCs/>
                <w:color w:val="auto"/>
                <w:szCs w:val="21"/>
              </w:rPr>
              <w:t>0.3</w:t>
            </w:r>
          </w:p>
        </w:tc>
        <w:tc>
          <w:tcPr>
            <w:tcW w:w="1238" w:type="dxa"/>
            <w:tcBorders>
              <w:right w:val="single" w:color="000000" w:sz="4" w:space="0"/>
            </w:tcBorders>
            <w:vAlign w:val="center"/>
          </w:tcPr>
          <w:p>
            <w:pPr>
              <w:spacing w:line="300" w:lineRule="exact"/>
              <w:jc w:val="center"/>
              <w:rPr>
                <w:bCs/>
                <w:color w:val="auto"/>
                <w:szCs w:val="21"/>
              </w:rPr>
            </w:pPr>
            <w:r>
              <w:rPr>
                <w:bCs/>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03" w:type="dxa"/>
            <w:vAlign w:val="center"/>
          </w:tcPr>
          <w:p>
            <w:pPr>
              <w:spacing w:line="300" w:lineRule="exact"/>
              <w:jc w:val="center"/>
              <w:rPr>
                <w:bCs/>
                <w:color w:val="auto"/>
                <w:szCs w:val="21"/>
                <w:lang w:val="zh-TW" w:eastAsia="zh-TW"/>
              </w:rPr>
            </w:pPr>
            <w:r>
              <w:rPr>
                <w:rFonts w:hint="eastAsia"/>
                <w:bCs/>
                <w:color w:val="auto"/>
                <w:szCs w:val="21"/>
              </w:rPr>
              <w:t>钾</w:t>
            </w:r>
          </w:p>
        </w:tc>
        <w:tc>
          <w:tcPr>
            <w:tcW w:w="1140" w:type="dxa"/>
            <w:vAlign w:val="center"/>
          </w:tcPr>
          <w:p>
            <w:pPr>
              <w:spacing w:line="300" w:lineRule="exact"/>
              <w:jc w:val="center"/>
              <w:rPr>
                <w:bCs/>
                <w:color w:val="auto"/>
                <w:szCs w:val="21"/>
                <w:lang w:eastAsia="en-US"/>
              </w:rPr>
            </w:pPr>
            <w:r>
              <w:rPr>
                <w:bCs/>
                <w:color w:val="auto"/>
                <w:szCs w:val="21"/>
              </w:rPr>
              <w:t>/</w:t>
            </w:r>
          </w:p>
        </w:tc>
        <w:tc>
          <w:tcPr>
            <w:tcW w:w="1093" w:type="dxa"/>
            <w:tcBorders>
              <w:right w:val="single" w:color="000000" w:sz="4" w:space="0"/>
            </w:tcBorders>
            <w:vAlign w:val="center"/>
          </w:tcPr>
          <w:p>
            <w:pPr>
              <w:spacing w:line="300" w:lineRule="exact"/>
              <w:jc w:val="center"/>
              <w:rPr>
                <w:bCs/>
                <w:color w:val="auto"/>
                <w:szCs w:val="21"/>
              </w:rPr>
            </w:pPr>
            <w:r>
              <w:rPr>
                <w:rFonts w:hint="eastAsia"/>
                <w:bCs/>
                <w:color w:val="auto"/>
                <w:szCs w:val="21"/>
              </w:rPr>
              <w:t>0.48</w:t>
            </w:r>
          </w:p>
        </w:tc>
        <w:tc>
          <w:tcPr>
            <w:tcW w:w="1369" w:type="dxa"/>
            <w:tcBorders>
              <w:right w:val="single" w:color="000000" w:sz="4" w:space="0"/>
            </w:tcBorders>
            <w:vAlign w:val="center"/>
          </w:tcPr>
          <w:p>
            <w:pPr>
              <w:spacing w:line="300" w:lineRule="exact"/>
              <w:jc w:val="center"/>
              <w:rPr>
                <w:bCs/>
                <w:color w:val="auto"/>
                <w:szCs w:val="21"/>
              </w:rPr>
            </w:pPr>
            <w:r>
              <w:rPr>
                <w:bCs/>
                <w:color w:val="auto"/>
                <w:szCs w:val="21"/>
              </w:rPr>
              <w:t>/</w:t>
            </w:r>
          </w:p>
        </w:tc>
        <w:tc>
          <w:tcPr>
            <w:tcW w:w="1261" w:type="dxa"/>
            <w:tcBorders>
              <w:right w:val="single" w:color="000000" w:sz="4" w:space="0"/>
            </w:tcBorders>
            <w:vAlign w:val="center"/>
          </w:tcPr>
          <w:p>
            <w:pPr>
              <w:spacing w:line="300" w:lineRule="exact"/>
              <w:jc w:val="center"/>
              <w:rPr>
                <w:bCs/>
                <w:color w:val="auto"/>
                <w:szCs w:val="21"/>
              </w:rPr>
            </w:pPr>
            <w:r>
              <w:rPr>
                <w:rFonts w:hint="eastAsia"/>
                <w:bCs/>
                <w:color w:val="auto"/>
                <w:szCs w:val="21"/>
              </w:rPr>
              <w:t>0.97</w:t>
            </w:r>
          </w:p>
        </w:tc>
        <w:tc>
          <w:tcPr>
            <w:tcW w:w="1248" w:type="dxa"/>
            <w:tcBorders>
              <w:right w:val="single" w:color="000000" w:sz="4" w:space="0"/>
            </w:tcBorders>
            <w:vAlign w:val="center"/>
          </w:tcPr>
          <w:p>
            <w:pPr>
              <w:spacing w:line="300" w:lineRule="exact"/>
              <w:jc w:val="center"/>
              <w:rPr>
                <w:bCs/>
                <w:color w:val="auto"/>
                <w:szCs w:val="21"/>
              </w:rPr>
            </w:pPr>
            <w:r>
              <w:rPr>
                <w:bCs/>
                <w:color w:val="auto"/>
                <w:szCs w:val="21"/>
              </w:rPr>
              <w:t>/</w:t>
            </w:r>
          </w:p>
        </w:tc>
        <w:tc>
          <w:tcPr>
            <w:tcW w:w="1238" w:type="dxa"/>
            <w:tcBorders>
              <w:right w:val="single" w:color="000000" w:sz="4" w:space="0"/>
            </w:tcBorders>
            <w:vAlign w:val="center"/>
          </w:tcPr>
          <w:p>
            <w:pPr>
              <w:spacing w:line="300" w:lineRule="exact"/>
              <w:jc w:val="center"/>
              <w:rPr>
                <w:bCs/>
                <w:color w:val="auto"/>
                <w:szCs w:val="21"/>
              </w:rPr>
            </w:pPr>
            <w:r>
              <w:rPr>
                <w:bCs/>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03" w:type="dxa"/>
            <w:vAlign w:val="center"/>
          </w:tcPr>
          <w:p>
            <w:pPr>
              <w:spacing w:line="300" w:lineRule="exact"/>
              <w:jc w:val="center"/>
              <w:rPr>
                <w:bCs/>
                <w:color w:val="auto"/>
                <w:szCs w:val="21"/>
                <w:lang w:val="zh-TW" w:eastAsia="zh-TW"/>
              </w:rPr>
            </w:pPr>
            <w:r>
              <w:rPr>
                <w:rFonts w:hint="eastAsia"/>
                <w:bCs/>
                <w:color w:val="auto"/>
                <w:szCs w:val="21"/>
              </w:rPr>
              <w:t>钠</w:t>
            </w:r>
          </w:p>
        </w:tc>
        <w:tc>
          <w:tcPr>
            <w:tcW w:w="1140" w:type="dxa"/>
            <w:vAlign w:val="center"/>
          </w:tcPr>
          <w:p>
            <w:pPr>
              <w:spacing w:line="300" w:lineRule="exact"/>
              <w:jc w:val="center"/>
              <w:rPr>
                <w:bCs/>
                <w:color w:val="auto"/>
                <w:szCs w:val="21"/>
                <w:lang w:eastAsia="en-US"/>
              </w:rPr>
            </w:pPr>
            <w:r>
              <w:rPr>
                <w:bCs/>
                <w:color w:val="auto"/>
                <w:szCs w:val="21"/>
              </w:rPr>
              <w:t>0.525</w:t>
            </w:r>
          </w:p>
        </w:tc>
        <w:tc>
          <w:tcPr>
            <w:tcW w:w="1093" w:type="dxa"/>
            <w:tcBorders>
              <w:right w:val="single" w:color="000000" w:sz="4" w:space="0"/>
            </w:tcBorders>
            <w:vAlign w:val="center"/>
          </w:tcPr>
          <w:p>
            <w:pPr>
              <w:spacing w:line="300" w:lineRule="exact"/>
              <w:jc w:val="center"/>
              <w:rPr>
                <w:bCs/>
                <w:color w:val="auto"/>
                <w:szCs w:val="21"/>
              </w:rPr>
            </w:pPr>
            <w:r>
              <w:rPr>
                <w:rFonts w:hint="eastAsia"/>
                <w:bCs/>
                <w:color w:val="auto"/>
                <w:szCs w:val="21"/>
              </w:rPr>
              <w:t>51.8</w:t>
            </w:r>
          </w:p>
        </w:tc>
        <w:tc>
          <w:tcPr>
            <w:tcW w:w="1369" w:type="dxa"/>
            <w:tcBorders>
              <w:right w:val="single" w:color="000000" w:sz="4" w:space="0"/>
            </w:tcBorders>
            <w:vAlign w:val="center"/>
          </w:tcPr>
          <w:p>
            <w:pPr>
              <w:spacing w:line="300" w:lineRule="exact"/>
              <w:jc w:val="center"/>
              <w:rPr>
                <w:bCs/>
                <w:color w:val="auto"/>
                <w:szCs w:val="21"/>
              </w:rPr>
            </w:pPr>
            <w:r>
              <w:rPr>
                <w:bCs/>
                <w:color w:val="auto"/>
                <w:szCs w:val="21"/>
              </w:rPr>
              <w:t>0.259</w:t>
            </w:r>
          </w:p>
        </w:tc>
        <w:tc>
          <w:tcPr>
            <w:tcW w:w="1261" w:type="dxa"/>
            <w:tcBorders>
              <w:right w:val="single" w:color="000000" w:sz="4" w:space="0"/>
            </w:tcBorders>
            <w:vAlign w:val="center"/>
          </w:tcPr>
          <w:p>
            <w:pPr>
              <w:spacing w:line="300" w:lineRule="exact"/>
              <w:jc w:val="center"/>
              <w:rPr>
                <w:bCs/>
                <w:color w:val="auto"/>
                <w:szCs w:val="21"/>
              </w:rPr>
            </w:pPr>
            <w:r>
              <w:rPr>
                <w:rFonts w:hint="eastAsia"/>
                <w:bCs/>
                <w:color w:val="auto"/>
                <w:szCs w:val="21"/>
              </w:rPr>
              <w:t>157</w:t>
            </w:r>
          </w:p>
        </w:tc>
        <w:tc>
          <w:tcPr>
            <w:tcW w:w="1248" w:type="dxa"/>
            <w:tcBorders>
              <w:right w:val="single" w:color="000000" w:sz="4" w:space="0"/>
            </w:tcBorders>
            <w:vAlign w:val="center"/>
          </w:tcPr>
          <w:p>
            <w:pPr>
              <w:spacing w:line="300" w:lineRule="exact"/>
              <w:jc w:val="center"/>
              <w:rPr>
                <w:bCs/>
                <w:color w:val="auto"/>
                <w:szCs w:val="21"/>
              </w:rPr>
            </w:pPr>
            <w:r>
              <w:rPr>
                <w:bCs/>
                <w:color w:val="auto"/>
                <w:szCs w:val="21"/>
              </w:rPr>
              <w:t>0.785</w:t>
            </w:r>
          </w:p>
        </w:tc>
        <w:tc>
          <w:tcPr>
            <w:tcW w:w="1238" w:type="dxa"/>
            <w:tcBorders>
              <w:right w:val="single" w:color="000000" w:sz="4" w:space="0"/>
            </w:tcBorders>
            <w:vAlign w:val="center"/>
          </w:tcPr>
          <w:p>
            <w:pPr>
              <w:spacing w:line="300" w:lineRule="exact"/>
              <w:jc w:val="center"/>
              <w:rPr>
                <w:bCs/>
                <w:color w:val="auto"/>
                <w:szCs w:val="21"/>
              </w:rPr>
            </w:pPr>
            <w:r>
              <w:rPr>
                <w:bCs/>
                <w:color w:val="auto"/>
                <w:szCs w:val="21"/>
              </w:rPr>
              <w:t>0.525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03" w:type="dxa"/>
            <w:vAlign w:val="center"/>
          </w:tcPr>
          <w:p>
            <w:pPr>
              <w:spacing w:line="300" w:lineRule="exact"/>
              <w:jc w:val="center"/>
              <w:rPr>
                <w:bCs/>
                <w:color w:val="auto"/>
                <w:szCs w:val="21"/>
                <w:lang w:val="zh-TW" w:eastAsia="zh-TW"/>
              </w:rPr>
            </w:pPr>
            <w:r>
              <w:rPr>
                <w:rFonts w:hint="eastAsia"/>
                <w:bCs/>
                <w:color w:val="auto"/>
                <w:szCs w:val="21"/>
              </w:rPr>
              <w:t>钙</w:t>
            </w:r>
          </w:p>
        </w:tc>
        <w:tc>
          <w:tcPr>
            <w:tcW w:w="1140" w:type="dxa"/>
            <w:vAlign w:val="center"/>
          </w:tcPr>
          <w:p>
            <w:pPr>
              <w:spacing w:line="300" w:lineRule="exact"/>
              <w:jc w:val="center"/>
              <w:rPr>
                <w:bCs/>
                <w:color w:val="auto"/>
                <w:szCs w:val="21"/>
                <w:lang w:eastAsia="en-US"/>
              </w:rPr>
            </w:pPr>
            <w:r>
              <w:rPr>
                <w:bCs/>
                <w:color w:val="auto"/>
                <w:szCs w:val="21"/>
              </w:rPr>
              <w:t>/</w:t>
            </w:r>
          </w:p>
        </w:tc>
        <w:tc>
          <w:tcPr>
            <w:tcW w:w="1093" w:type="dxa"/>
            <w:tcBorders>
              <w:right w:val="single" w:color="000000" w:sz="4" w:space="0"/>
            </w:tcBorders>
            <w:vAlign w:val="center"/>
          </w:tcPr>
          <w:p>
            <w:pPr>
              <w:spacing w:line="300" w:lineRule="exact"/>
              <w:jc w:val="center"/>
              <w:rPr>
                <w:bCs/>
                <w:color w:val="auto"/>
                <w:szCs w:val="21"/>
              </w:rPr>
            </w:pPr>
            <w:r>
              <w:rPr>
                <w:rFonts w:hint="eastAsia"/>
                <w:bCs/>
                <w:color w:val="auto"/>
                <w:szCs w:val="21"/>
              </w:rPr>
              <w:t>0.27</w:t>
            </w:r>
          </w:p>
        </w:tc>
        <w:tc>
          <w:tcPr>
            <w:tcW w:w="1369" w:type="dxa"/>
            <w:tcBorders>
              <w:right w:val="single" w:color="000000" w:sz="4" w:space="0"/>
            </w:tcBorders>
            <w:vAlign w:val="center"/>
          </w:tcPr>
          <w:p>
            <w:pPr>
              <w:spacing w:line="300" w:lineRule="exact"/>
              <w:jc w:val="center"/>
              <w:rPr>
                <w:bCs/>
                <w:color w:val="auto"/>
                <w:szCs w:val="21"/>
              </w:rPr>
            </w:pPr>
            <w:r>
              <w:rPr>
                <w:bCs/>
                <w:color w:val="auto"/>
                <w:szCs w:val="21"/>
              </w:rPr>
              <w:t>/</w:t>
            </w:r>
          </w:p>
        </w:tc>
        <w:tc>
          <w:tcPr>
            <w:tcW w:w="1261" w:type="dxa"/>
            <w:tcBorders>
              <w:right w:val="single" w:color="000000" w:sz="4" w:space="0"/>
            </w:tcBorders>
            <w:vAlign w:val="center"/>
          </w:tcPr>
          <w:p>
            <w:pPr>
              <w:spacing w:line="300" w:lineRule="exact"/>
              <w:jc w:val="center"/>
              <w:rPr>
                <w:bCs/>
                <w:color w:val="auto"/>
                <w:szCs w:val="21"/>
              </w:rPr>
            </w:pPr>
            <w:r>
              <w:rPr>
                <w:rFonts w:hint="eastAsia"/>
                <w:bCs/>
                <w:color w:val="auto"/>
                <w:szCs w:val="21"/>
              </w:rPr>
              <w:t>13</w:t>
            </w:r>
          </w:p>
        </w:tc>
        <w:tc>
          <w:tcPr>
            <w:tcW w:w="1248" w:type="dxa"/>
            <w:tcBorders>
              <w:right w:val="single" w:color="000000" w:sz="4" w:space="0"/>
            </w:tcBorders>
            <w:vAlign w:val="center"/>
          </w:tcPr>
          <w:p>
            <w:pPr>
              <w:spacing w:line="300" w:lineRule="exact"/>
              <w:jc w:val="center"/>
              <w:rPr>
                <w:bCs/>
                <w:color w:val="auto"/>
                <w:szCs w:val="21"/>
              </w:rPr>
            </w:pPr>
            <w:r>
              <w:rPr>
                <w:bCs/>
                <w:color w:val="auto"/>
                <w:szCs w:val="21"/>
              </w:rPr>
              <w:t>/</w:t>
            </w:r>
          </w:p>
        </w:tc>
        <w:tc>
          <w:tcPr>
            <w:tcW w:w="1238" w:type="dxa"/>
            <w:tcBorders>
              <w:right w:val="single" w:color="000000" w:sz="4" w:space="0"/>
            </w:tcBorders>
            <w:vAlign w:val="center"/>
          </w:tcPr>
          <w:p>
            <w:pPr>
              <w:spacing w:line="300" w:lineRule="exact"/>
              <w:jc w:val="center"/>
              <w:rPr>
                <w:bCs/>
                <w:color w:val="auto"/>
                <w:szCs w:val="21"/>
              </w:rPr>
            </w:pPr>
            <w:r>
              <w:rPr>
                <w:bCs/>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03" w:type="dxa"/>
            <w:vAlign w:val="center"/>
          </w:tcPr>
          <w:p>
            <w:pPr>
              <w:spacing w:line="300" w:lineRule="exact"/>
              <w:jc w:val="center"/>
              <w:rPr>
                <w:bCs/>
                <w:color w:val="auto"/>
                <w:szCs w:val="21"/>
                <w:lang w:val="zh-TW" w:eastAsia="zh-TW"/>
              </w:rPr>
            </w:pPr>
            <w:r>
              <w:rPr>
                <w:rFonts w:hint="eastAsia"/>
                <w:bCs/>
                <w:color w:val="auto"/>
                <w:szCs w:val="21"/>
              </w:rPr>
              <w:t>镁</w:t>
            </w:r>
          </w:p>
        </w:tc>
        <w:tc>
          <w:tcPr>
            <w:tcW w:w="1140" w:type="dxa"/>
            <w:vAlign w:val="center"/>
          </w:tcPr>
          <w:p>
            <w:pPr>
              <w:spacing w:line="300" w:lineRule="exact"/>
              <w:jc w:val="center"/>
              <w:rPr>
                <w:bCs/>
                <w:color w:val="auto"/>
                <w:szCs w:val="21"/>
                <w:lang w:eastAsia="en-US"/>
              </w:rPr>
            </w:pPr>
            <w:r>
              <w:rPr>
                <w:bCs/>
                <w:color w:val="auto"/>
                <w:szCs w:val="21"/>
              </w:rPr>
              <w:t>/</w:t>
            </w:r>
          </w:p>
        </w:tc>
        <w:tc>
          <w:tcPr>
            <w:tcW w:w="1093" w:type="dxa"/>
            <w:tcBorders>
              <w:right w:val="single" w:color="000000" w:sz="4" w:space="0"/>
            </w:tcBorders>
            <w:vAlign w:val="center"/>
          </w:tcPr>
          <w:p>
            <w:pPr>
              <w:spacing w:line="300" w:lineRule="exact"/>
              <w:jc w:val="center"/>
              <w:rPr>
                <w:bCs/>
                <w:color w:val="auto"/>
                <w:szCs w:val="21"/>
              </w:rPr>
            </w:pPr>
            <w:r>
              <w:rPr>
                <w:rFonts w:hint="eastAsia"/>
                <w:bCs/>
                <w:color w:val="auto"/>
                <w:szCs w:val="21"/>
              </w:rPr>
              <w:t>2.34</w:t>
            </w:r>
          </w:p>
        </w:tc>
        <w:tc>
          <w:tcPr>
            <w:tcW w:w="1369" w:type="dxa"/>
            <w:tcBorders>
              <w:right w:val="single" w:color="000000" w:sz="4" w:space="0"/>
            </w:tcBorders>
            <w:vAlign w:val="center"/>
          </w:tcPr>
          <w:p>
            <w:pPr>
              <w:spacing w:line="300" w:lineRule="exact"/>
              <w:jc w:val="center"/>
              <w:rPr>
                <w:bCs/>
                <w:color w:val="auto"/>
                <w:szCs w:val="21"/>
              </w:rPr>
            </w:pPr>
            <w:r>
              <w:rPr>
                <w:bCs/>
                <w:color w:val="auto"/>
                <w:szCs w:val="21"/>
              </w:rPr>
              <w:t>/</w:t>
            </w:r>
          </w:p>
        </w:tc>
        <w:tc>
          <w:tcPr>
            <w:tcW w:w="1261" w:type="dxa"/>
            <w:tcBorders>
              <w:right w:val="single" w:color="000000" w:sz="4" w:space="0"/>
            </w:tcBorders>
            <w:vAlign w:val="center"/>
          </w:tcPr>
          <w:p>
            <w:pPr>
              <w:spacing w:line="300" w:lineRule="exact"/>
              <w:jc w:val="center"/>
              <w:rPr>
                <w:bCs/>
                <w:color w:val="auto"/>
                <w:szCs w:val="21"/>
              </w:rPr>
            </w:pPr>
            <w:r>
              <w:rPr>
                <w:rFonts w:hint="eastAsia"/>
                <w:bCs/>
                <w:color w:val="auto"/>
                <w:szCs w:val="21"/>
              </w:rPr>
              <w:t>9.37</w:t>
            </w:r>
          </w:p>
        </w:tc>
        <w:tc>
          <w:tcPr>
            <w:tcW w:w="1248" w:type="dxa"/>
            <w:tcBorders>
              <w:right w:val="single" w:color="000000" w:sz="4" w:space="0"/>
            </w:tcBorders>
            <w:vAlign w:val="center"/>
          </w:tcPr>
          <w:p>
            <w:pPr>
              <w:spacing w:line="300" w:lineRule="exact"/>
              <w:jc w:val="center"/>
              <w:rPr>
                <w:bCs/>
                <w:color w:val="auto"/>
                <w:szCs w:val="21"/>
              </w:rPr>
            </w:pPr>
            <w:r>
              <w:rPr>
                <w:bCs/>
                <w:color w:val="auto"/>
                <w:szCs w:val="21"/>
              </w:rPr>
              <w:t>/</w:t>
            </w:r>
          </w:p>
        </w:tc>
        <w:tc>
          <w:tcPr>
            <w:tcW w:w="1238" w:type="dxa"/>
            <w:tcBorders>
              <w:right w:val="single" w:color="000000" w:sz="4" w:space="0"/>
            </w:tcBorders>
            <w:vAlign w:val="center"/>
          </w:tcPr>
          <w:p>
            <w:pPr>
              <w:spacing w:line="300" w:lineRule="exact"/>
              <w:jc w:val="center"/>
              <w:rPr>
                <w:bCs/>
                <w:color w:val="auto"/>
                <w:szCs w:val="21"/>
              </w:rPr>
            </w:pPr>
            <w:r>
              <w:rPr>
                <w:bCs/>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952" w:type="dxa"/>
            <w:gridSpan w:val="7"/>
            <w:tcBorders>
              <w:right w:val="single" w:color="000000" w:sz="4" w:space="0"/>
            </w:tcBorders>
          </w:tcPr>
          <w:p>
            <w:pPr>
              <w:spacing w:line="300" w:lineRule="exact"/>
              <w:jc w:val="center"/>
              <w:rPr>
                <w:bCs/>
                <w:color w:val="auto"/>
                <w:szCs w:val="21"/>
              </w:rPr>
            </w:pPr>
            <w:r>
              <w:rPr>
                <w:bCs/>
                <w:color w:val="auto"/>
                <w:szCs w:val="21"/>
              </w:rPr>
              <w:t>备注：“</w:t>
            </w:r>
            <w:r>
              <w:rPr>
                <w:rFonts w:hint="eastAsia"/>
                <w:bCs/>
                <w:color w:val="auto"/>
                <w:szCs w:val="21"/>
              </w:rPr>
              <w:t>L</w:t>
            </w:r>
            <w:r>
              <w:rPr>
                <w:bCs/>
                <w:color w:val="auto"/>
                <w:szCs w:val="21"/>
              </w:rPr>
              <w:t>”表示未检出</w:t>
            </w:r>
          </w:p>
        </w:tc>
      </w:tr>
    </w:tbl>
    <w:p>
      <w:pPr>
        <w:spacing w:line="500" w:lineRule="exact"/>
        <w:ind w:firstLine="480" w:firstLineChars="200"/>
        <w:rPr>
          <w:color w:val="auto"/>
          <w:sz w:val="24"/>
        </w:rPr>
      </w:pPr>
      <w:r>
        <w:rPr>
          <w:rFonts w:hint="eastAsia"/>
          <w:color w:val="auto"/>
          <w:sz w:val="24"/>
        </w:rPr>
        <w:t>从上表可知，</w:t>
      </w:r>
      <w:r>
        <w:rPr>
          <w:color w:val="auto"/>
          <w:sz w:val="24"/>
        </w:rPr>
        <w:t>项目区域地下水水质能够满足《地下水质量标准》（GB/T14848-2017）中Ⅲ类标准。</w:t>
      </w:r>
    </w:p>
    <w:p>
      <w:pPr>
        <w:pStyle w:val="2"/>
        <w:rPr>
          <w:color w:val="auto"/>
          <w:sz w:val="24"/>
        </w:rPr>
      </w:pPr>
    </w:p>
    <w:p>
      <w:pPr>
        <w:spacing w:line="520" w:lineRule="exact"/>
        <w:ind w:firstLine="480" w:firstLineChars="200"/>
        <w:rPr>
          <w:color w:val="auto"/>
          <w:kern w:val="0"/>
          <w:sz w:val="24"/>
          <w:szCs w:val="20"/>
        </w:rPr>
      </w:pPr>
      <w:r>
        <w:rPr>
          <w:rFonts w:hint="eastAsia"/>
          <w:color w:val="auto"/>
          <w:sz w:val="24"/>
        </w:rPr>
        <w:t>综上所述</w:t>
      </w:r>
      <w:r>
        <w:rPr>
          <w:color w:val="auto"/>
          <w:kern w:val="0"/>
          <w:sz w:val="24"/>
          <w:szCs w:val="20"/>
        </w:rPr>
        <w:t>项目所在区域空气环境</w:t>
      </w:r>
      <w:r>
        <w:rPr>
          <w:rFonts w:hint="eastAsia"/>
          <w:color w:val="auto"/>
          <w:kern w:val="0"/>
          <w:sz w:val="24"/>
          <w:szCs w:val="20"/>
          <w:lang w:eastAsia="zh-CN"/>
        </w:rPr>
        <w:t>不满足</w:t>
      </w:r>
      <w:r>
        <w:rPr>
          <w:color w:val="auto"/>
          <w:kern w:val="0"/>
          <w:sz w:val="24"/>
        </w:rPr>
        <w:t>相应标准</w:t>
      </w:r>
      <w:r>
        <w:rPr>
          <w:rFonts w:hint="eastAsia"/>
          <w:color w:val="auto"/>
          <w:kern w:val="0"/>
          <w:sz w:val="24"/>
          <w:szCs w:val="20"/>
        </w:rPr>
        <w:t>、地表水</w:t>
      </w:r>
      <w:r>
        <w:rPr>
          <w:rFonts w:hint="eastAsia"/>
          <w:color w:val="auto"/>
          <w:kern w:val="0"/>
          <w:sz w:val="24"/>
          <w:szCs w:val="20"/>
          <w:lang w:eastAsia="zh-CN"/>
        </w:rPr>
        <w:t>、</w:t>
      </w:r>
      <w:r>
        <w:rPr>
          <w:color w:val="auto"/>
          <w:kern w:val="0"/>
          <w:sz w:val="24"/>
          <w:szCs w:val="20"/>
        </w:rPr>
        <w:t>声环境</w:t>
      </w:r>
      <w:r>
        <w:rPr>
          <w:rFonts w:hint="eastAsia"/>
          <w:color w:val="auto"/>
          <w:kern w:val="0"/>
          <w:sz w:val="24"/>
          <w:szCs w:val="20"/>
          <w:lang w:eastAsia="zh-CN"/>
        </w:rPr>
        <w:t>、地下水环境</w:t>
      </w:r>
      <w:r>
        <w:rPr>
          <w:color w:val="auto"/>
          <w:kern w:val="0"/>
          <w:sz w:val="24"/>
          <w:szCs w:val="20"/>
        </w:rPr>
        <w:t>满足</w:t>
      </w:r>
      <w:r>
        <w:rPr>
          <w:color w:val="auto"/>
          <w:kern w:val="0"/>
          <w:sz w:val="24"/>
        </w:rPr>
        <w:t>相应标准</w:t>
      </w:r>
      <w:r>
        <w:rPr>
          <w:color w:val="auto"/>
          <w:kern w:val="0"/>
          <w:sz w:val="24"/>
          <w:szCs w:val="20"/>
        </w:rPr>
        <w:t>，区域环境质量</w:t>
      </w:r>
      <w:r>
        <w:rPr>
          <w:rFonts w:hint="eastAsia"/>
          <w:color w:val="auto"/>
          <w:kern w:val="0"/>
          <w:sz w:val="24"/>
          <w:szCs w:val="20"/>
          <w:lang w:eastAsia="zh-CN"/>
        </w:rPr>
        <w:t>基本</w:t>
      </w:r>
      <w:r>
        <w:rPr>
          <w:color w:val="auto"/>
          <w:kern w:val="0"/>
          <w:sz w:val="24"/>
          <w:szCs w:val="20"/>
        </w:rPr>
        <w:t>良好。</w:t>
      </w:r>
    </w:p>
    <w:p>
      <w:pPr>
        <w:pStyle w:val="2"/>
      </w:pPr>
    </w:p>
    <w:p>
      <w:pPr>
        <w:sectPr>
          <w:pgSz w:w="11911" w:h="16849"/>
          <w:pgMar w:top="1440" w:right="1587" w:bottom="1440" w:left="1587" w:header="680" w:footer="652" w:gutter="0"/>
          <w:pgBorders>
            <w:top w:val="none" w:sz="0" w:space="0"/>
            <w:left w:val="none" w:sz="0" w:space="0"/>
            <w:bottom w:val="none" w:sz="0" w:space="0"/>
            <w:right w:val="none" w:sz="0" w:space="0"/>
          </w:pgBorders>
          <w:cols w:space="720" w:num="1"/>
          <w:docGrid w:linePitch="322" w:charSpace="0"/>
        </w:sectPr>
      </w:pPr>
    </w:p>
    <w:p>
      <w:pPr>
        <w:pStyle w:val="3"/>
        <w:spacing w:before="120" w:after="0" w:line="360" w:lineRule="auto"/>
        <w:jc w:val="center"/>
        <w:rPr>
          <w:bCs w:val="0"/>
          <w:color w:val="auto"/>
          <w:sz w:val="36"/>
          <w:szCs w:val="36"/>
        </w:rPr>
      </w:pPr>
      <w:bookmarkStart w:id="251" w:name="_Toc2057"/>
      <w:bookmarkStart w:id="252" w:name="_Toc367091877"/>
      <w:bookmarkStart w:id="253" w:name="_Toc335291767"/>
      <w:bookmarkStart w:id="254" w:name="_Toc333388607"/>
      <w:bookmarkStart w:id="255" w:name="_Toc333178020"/>
      <w:bookmarkStart w:id="256" w:name="_Toc366874118"/>
      <w:bookmarkStart w:id="257" w:name="_Toc206896771"/>
      <w:bookmarkStart w:id="258" w:name="_Toc333178564"/>
      <w:bookmarkStart w:id="259" w:name="_Toc502"/>
      <w:bookmarkStart w:id="260" w:name="_Toc287813401"/>
      <w:r>
        <w:rPr>
          <w:color w:val="auto"/>
          <w:sz w:val="36"/>
          <w:szCs w:val="36"/>
        </w:rPr>
        <w:t>第</w:t>
      </w:r>
      <w:r>
        <w:rPr>
          <w:rFonts w:hint="eastAsia"/>
          <w:color w:val="auto"/>
          <w:sz w:val="36"/>
          <w:szCs w:val="36"/>
        </w:rPr>
        <w:t>六</w:t>
      </w:r>
      <w:r>
        <w:rPr>
          <w:color w:val="auto"/>
          <w:sz w:val="36"/>
          <w:szCs w:val="36"/>
        </w:rPr>
        <w:t>章 环境影响预测与评价</w:t>
      </w:r>
      <w:bookmarkEnd w:id="251"/>
      <w:bookmarkEnd w:id="252"/>
      <w:bookmarkEnd w:id="253"/>
      <w:bookmarkEnd w:id="254"/>
      <w:bookmarkEnd w:id="255"/>
      <w:bookmarkEnd w:id="256"/>
      <w:bookmarkEnd w:id="257"/>
      <w:bookmarkEnd w:id="258"/>
      <w:bookmarkEnd w:id="259"/>
      <w:bookmarkEnd w:id="260"/>
    </w:p>
    <w:p>
      <w:pPr>
        <w:pStyle w:val="4"/>
        <w:spacing w:line="580" w:lineRule="exact"/>
        <w:rPr>
          <w:rFonts w:ascii="Times New Roman" w:hAnsi="Times New Roman"/>
          <w:b/>
          <w:color w:val="auto"/>
        </w:rPr>
      </w:pPr>
      <w:bookmarkStart w:id="261" w:name="_Toc11327"/>
      <w:bookmarkStart w:id="262" w:name="_Toc5005"/>
      <w:r>
        <w:rPr>
          <w:rFonts w:hint="eastAsia" w:ascii="Times New Roman" w:hAnsi="Times New Roman"/>
          <w:b/>
          <w:color w:val="auto"/>
        </w:rPr>
        <w:t>6</w:t>
      </w:r>
      <w:r>
        <w:rPr>
          <w:rFonts w:ascii="Times New Roman" w:hAnsi="Times New Roman"/>
          <w:b/>
          <w:color w:val="auto"/>
        </w:rPr>
        <w:t>.1施工期环境影响分析</w:t>
      </w:r>
      <w:bookmarkEnd w:id="261"/>
      <w:bookmarkEnd w:id="262"/>
    </w:p>
    <w:p>
      <w:pPr>
        <w:spacing w:line="360" w:lineRule="auto"/>
        <w:ind w:firstLine="480" w:firstLineChars="200"/>
        <w:rPr>
          <w:color w:val="auto"/>
          <w:sz w:val="24"/>
        </w:rPr>
      </w:pPr>
      <w:bookmarkStart w:id="263" w:name="_Toc9058"/>
      <w:r>
        <w:rPr>
          <w:color w:val="auto"/>
          <w:sz w:val="24"/>
        </w:rPr>
        <w:t>本项目工程分析按施工期和营运期两方面进行，本项目系</w:t>
      </w:r>
      <w:r>
        <w:rPr>
          <w:rFonts w:hint="eastAsia"/>
          <w:color w:val="auto"/>
          <w:sz w:val="24"/>
          <w:lang w:eastAsia="zh-CN"/>
        </w:rPr>
        <w:t>在</w:t>
      </w:r>
      <w:r>
        <w:rPr>
          <w:color w:val="auto"/>
          <w:sz w:val="24"/>
        </w:rPr>
        <w:t>现有厂房建成建设生产，无土建工程。因此施工期对环境的主要影响是设备安装产生的噪声，属于局部和短期性质，不会造成长期影响。</w:t>
      </w:r>
    </w:p>
    <w:p>
      <w:pPr>
        <w:pStyle w:val="4"/>
        <w:spacing w:line="520" w:lineRule="exact"/>
        <w:rPr>
          <w:rFonts w:ascii="Times New Roman" w:hAnsi="Times New Roman"/>
          <w:b/>
          <w:color w:val="auto"/>
        </w:rPr>
      </w:pPr>
      <w:bookmarkStart w:id="264" w:name="_Toc10175"/>
      <w:r>
        <w:rPr>
          <w:rFonts w:hint="eastAsia" w:ascii="Times New Roman" w:hAnsi="Times New Roman"/>
          <w:b/>
          <w:color w:val="auto"/>
        </w:rPr>
        <w:t>6</w:t>
      </w:r>
      <w:r>
        <w:rPr>
          <w:rFonts w:ascii="Times New Roman" w:hAnsi="Times New Roman"/>
          <w:b/>
          <w:color w:val="auto"/>
        </w:rPr>
        <w:t>.2运营期环境影响分析</w:t>
      </w:r>
      <w:bookmarkEnd w:id="263"/>
      <w:bookmarkEnd w:id="264"/>
    </w:p>
    <w:p>
      <w:pPr>
        <w:pStyle w:val="5"/>
        <w:spacing w:before="0" w:after="0" w:line="520" w:lineRule="exact"/>
        <w:rPr>
          <w:color w:val="auto"/>
          <w:sz w:val="24"/>
          <w:szCs w:val="24"/>
        </w:rPr>
      </w:pPr>
      <w:bookmarkStart w:id="265" w:name="_Toc367091878"/>
      <w:bookmarkStart w:id="266" w:name="_Toc366874119"/>
      <w:r>
        <w:rPr>
          <w:rFonts w:hint="eastAsia"/>
          <w:color w:val="auto"/>
          <w:sz w:val="24"/>
          <w:szCs w:val="24"/>
        </w:rPr>
        <w:t>6.2</w:t>
      </w:r>
      <w:r>
        <w:rPr>
          <w:color w:val="auto"/>
          <w:sz w:val="24"/>
          <w:szCs w:val="24"/>
        </w:rPr>
        <w:t>.1环境空气影响分析</w:t>
      </w:r>
      <w:bookmarkEnd w:id="265"/>
      <w:bookmarkEnd w:id="266"/>
    </w:p>
    <w:p>
      <w:pPr>
        <w:pStyle w:val="5"/>
        <w:spacing w:before="0" w:after="0" w:line="520" w:lineRule="exact"/>
        <w:ind w:firstLine="482" w:firstLineChars="200"/>
        <w:rPr>
          <w:color w:val="auto"/>
          <w:sz w:val="24"/>
          <w:szCs w:val="24"/>
        </w:rPr>
      </w:pPr>
      <w:r>
        <w:rPr>
          <w:color w:val="auto"/>
          <w:sz w:val="24"/>
          <w:szCs w:val="24"/>
        </w:rPr>
        <w:t>（1）气象资料的分析</w:t>
      </w:r>
    </w:p>
    <w:p>
      <w:pPr>
        <w:spacing w:line="520" w:lineRule="exact"/>
        <w:ind w:firstLine="480" w:firstLineChars="200"/>
        <w:rPr>
          <w:b/>
          <w:color w:val="auto"/>
          <w:sz w:val="24"/>
        </w:rPr>
      </w:pPr>
      <w:r>
        <w:rPr>
          <w:color w:val="auto"/>
          <w:sz w:val="24"/>
        </w:rPr>
        <w:t>宁国市属北亚热带季风湿润气候区，其特点是气候温和、四季分明、雨量适中、湿度大，无霜期长、季风气候明显。根据当地气象站提供的近20年的长期气象统计资料，宁国市基本气象资料概述如下。</w:t>
      </w:r>
    </w:p>
    <w:p>
      <w:pPr>
        <w:spacing w:line="480" w:lineRule="exact"/>
        <w:jc w:val="center"/>
        <w:rPr>
          <w:color w:val="auto"/>
        </w:rPr>
      </w:pPr>
      <w:r>
        <w:rPr>
          <w:rFonts w:hint="eastAsia"/>
          <w:b/>
          <w:color w:val="auto"/>
          <w:sz w:val="24"/>
        </w:rPr>
        <w:t>表6</w:t>
      </w:r>
      <w:r>
        <w:rPr>
          <w:b/>
          <w:color w:val="auto"/>
          <w:sz w:val="24"/>
        </w:rPr>
        <w:t xml:space="preserve">-1 宁国市基本气象资料    </w:t>
      </w:r>
    </w:p>
    <w:tbl>
      <w:tblPr>
        <w:tblStyle w:val="5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2732"/>
        <w:gridCol w:w="3042"/>
        <w:gridCol w:w="297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732" w:type="dxa"/>
            <w:tcBorders>
              <w:tl2br w:val="nil"/>
              <w:tr2bl w:val="nil"/>
            </w:tcBorders>
          </w:tcPr>
          <w:p>
            <w:pPr>
              <w:pStyle w:val="107"/>
              <w:jc w:val="center"/>
              <w:rPr>
                <w:color w:val="auto"/>
                <w:sz w:val="21"/>
                <w:szCs w:val="21"/>
              </w:rPr>
            </w:pPr>
            <w:r>
              <w:rPr>
                <w:color w:val="auto"/>
                <w:sz w:val="21"/>
                <w:szCs w:val="21"/>
              </w:rPr>
              <w:t>年平均风速：1.8m/s</w:t>
            </w:r>
          </w:p>
        </w:tc>
        <w:tc>
          <w:tcPr>
            <w:tcW w:w="3042" w:type="dxa"/>
            <w:tcBorders>
              <w:tl2br w:val="nil"/>
              <w:tr2bl w:val="nil"/>
            </w:tcBorders>
          </w:tcPr>
          <w:p>
            <w:pPr>
              <w:pStyle w:val="107"/>
              <w:jc w:val="center"/>
              <w:rPr>
                <w:color w:val="auto"/>
                <w:sz w:val="21"/>
                <w:szCs w:val="21"/>
              </w:rPr>
            </w:pPr>
            <w:r>
              <w:rPr>
                <w:color w:val="auto"/>
                <w:sz w:val="21"/>
                <w:szCs w:val="21"/>
              </w:rPr>
              <w:t>年平均气温：16.3℃</w:t>
            </w:r>
          </w:p>
        </w:tc>
        <w:tc>
          <w:tcPr>
            <w:tcW w:w="2973" w:type="dxa"/>
            <w:tcBorders>
              <w:tl2br w:val="nil"/>
              <w:tr2bl w:val="nil"/>
            </w:tcBorders>
          </w:tcPr>
          <w:p>
            <w:pPr>
              <w:pStyle w:val="107"/>
              <w:jc w:val="center"/>
              <w:rPr>
                <w:color w:val="auto"/>
                <w:sz w:val="21"/>
                <w:szCs w:val="21"/>
              </w:rPr>
            </w:pPr>
            <w:r>
              <w:rPr>
                <w:color w:val="auto"/>
                <w:sz w:val="21"/>
                <w:szCs w:val="21"/>
              </w:rPr>
              <w:t>极端高温：40.4℃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95" w:hRule="atLeast"/>
          <w:jc w:val="center"/>
        </w:trPr>
        <w:tc>
          <w:tcPr>
            <w:tcW w:w="2732" w:type="dxa"/>
            <w:tcBorders>
              <w:tl2br w:val="nil"/>
              <w:tr2bl w:val="nil"/>
            </w:tcBorders>
          </w:tcPr>
          <w:p>
            <w:pPr>
              <w:pStyle w:val="107"/>
              <w:jc w:val="center"/>
              <w:rPr>
                <w:color w:val="auto"/>
                <w:sz w:val="21"/>
                <w:szCs w:val="21"/>
              </w:rPr>
            </w:pPr>
            <w:r>
              <w:rPr>
                <w:color w:val="auto"/>
                <w:sz w:val="21"/>
                <w:szCs w:val="21"/>
              </w:rPr>
              <w:t>极端低温：-8.7℃</w:t>
            </w:r>
          </w:p>
        </w:tc>
        <w:tc>
          <w:tcPr>
            <w:tcW w:w="3042" w:type="dxa"/>
            <w:tcBorders>
              <w:tl2br w:val="nil"/>
              <w:tr2bl w:val="nil"/>
            </w:tcBorders>
          </w:tcPr>
          <w:p>
            <w:pPr>
              <w:pStyle w:val="107"/>
              <w:jc w:val="center"/>
              <w:rPr>
                <w:color w:val="auto"/>
                <w:sz w:val="21"/>
                <w:szCs w:val="21"/>
              </w:rPr>
            </w:pPr>
            <w:r>
              <w:rPr>
                <w:color w:val="auto"/>
                <w:sz w:val="21"/>
                <w:szCs w:val="21"/>
              </w:rPr>
              <w:t>年平均相对湿度：80%</w:t>
            </w:r>
          </w:p>
        </w:tc>
        <w:tc>
          <w:tcPr>
            <w:tcW w:w="2973" w:type="dxa"/>
            <w:tcBorders>
              <w:tl2br w:val="nil"/>
              <w:tr2bl w:val="nil"/>
            </w:tcBorders>
          </w:tcPr>
          <w:p>
            <w:pPr>
              <w:pStyle w:val="107"/>
              <w:jc w:val="center"/>
              <w:rPr>
                <w:color w:val="auto"/>
                <w:sz w:val="21"/>
                <w:szCs w:val="21"/>
              </w:rPr>
            </w:pPr>
            <w:r>
              <w:rPr>
                <w:color w:val="auto"/>
                <w:sz w:val="21"/>
                <w:szCs w:val="21"/>
              </w:rPr>
              <w:t>年均降水量：1471.4mm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732" w:type="dxa"/>
            <w:tcBorders>
              <w:tl2br w:val="nil"/>
              <w:tr2bl w:val="nil"/>
            </w:tcBorders>
          </w:tcPr>
          <w:p>
            <w:pPr>
              <w:pStyle w:val="107"/>
              <w:jc w:val="center"/>
              <w:rPr>
                <w:color w:val="auto"/>
                <w:sz w:val="21"/>
                <w:szCs w:val="21"/>
              </w:rPr>
            </w:pPr>
            <w:r>
              <w:rPr>
                <w:color w:val="auto"/>
                <w:sz w:val="21"/>
                <w:szCs w:val="21"/>
              </w:rPr>
              <w:t>年均气压：1007.3hPa</w:t>
            </w:r>
          </w:p>
        </w:tc>
        <w:tc>
          <w:tcPr>
            <w:tcW w:w="3042" w:type="dxa"/>
            <w:tcBorders>
              <w:tl2br w:val="nil"/>
              <w:tr2bl w:val="nil"/>
            </w:tcBorders>
          </w:tcPr>
          <w:p>
            <w:pPr>
              <w:pStyle w:val="107"/>
              <w:jc w:val="center"/>
              <w:rPr>
                <w:color w:val="auto"/>
                <w:sz w:val="21"/>
                <w:szCs w:val="21"/>
              </w:rPr>
            </w:pPr>
            <w:r>
              <w:rPr>
                <w:color w:val="auto"/>
                <w:sz w:val="21"/>
                <w:szCs w:val="21"/>
              </w:rPr>
              <w:t>年均无霜期：224天</w:t>
            </w:r>
          </w:p>
        </w:tc>
        <w:tc>
          <w:tcPr>
            <w:tcW w:w="2973" w:type="dxa"/>
            <w:tcBorders>
              <w:tl2br w:val="nil"/>
              <w:tr2bl w:val="nil"/>
            </w:tcBorders>
          </w:tcPr>
          <w:p>
            <w:pPr>
              <w:pStyle w:val="107"/>
              <w:jc w:val="center"/>
              <w:rPr>
                <w:color w:val="auto"/>
                <w:sz w:val="21"/>
                <w:szCs w:val="21"/>
              </w:rPr>
            </w:pPr>
            <w:r>
              <w:rPr>
                <w:color w:val="auto"/>
                <w:sz w:val="21"/>
                <w:szCs w:val="21"/>
              </w:rPr>
              <w:t>长期主导风向：NNW</w:t>
            </w:r>
          </w:p>
        </w:tc>
      </w:tr>
    </w:tbl>
    <w:p>
      <w:pPr>
        <w:spacing w:line="520" w:lineRule="exact"/>
        <w:ind w:firstLine="480" w:firstLineChars="200"/>
        <w:rPr>
          <w:color w:val="auto"/>
        </w:rPr>
      </w:pPr>
      <w:r>
        <w:rPr>
          <w:color w:val="auto"/>
          <w:sz w:val="24"/>
        </w:rPr>
        <w:t>①温度</w:t>
      </w:r>
    </w:p>
    <w:p>
      <w:pPr>
        <w:spacing w:line="520" w:lineRule="exact"/>
        <w:ind w:firstLine="480" w:firstLineChars="200"/>
        <w:rPr>
          <w:color w:val="auto"/>
          <w:sz w:val="24"/>
        </w:rPr>
      </w:pPr>
      <w:r>
        <w:rPr>
          <w:color w:val="auto"/>
          <w:sz w:val="24"/>
        </w:rPr>
        <w:t>根据宁国市气象站提供的气象观测资料，统计出区域内年平均温度的月变化情况见下表和下图所示。</w:t>
      </w:r>
    </w:p>
    <w:p>
      <w:pPr>
        <w:spacing w:line="480" w:lineRule="exact"/>
        <w:jc w:val="center"/>
        <w:rPr>
          <w:b/>
          <w:color w:val="auto"/>
          <w:sz w:val="24"/>
        </w:rPr>
      </w:pPr>
      <w:r>
        <w:rPr>
          <w:rFonts w:hint="eastAsia"/>
          <w:b/>
          <w:color w:val="auto"/>
          <w:sz w:val="24"/>
        </w:rPr>
        <w:t>表6</w:t>
      </w:r>
      <w:r>
        <w:rPr>
          <w:b/>
          <w:color w:val="auto"/>
          <w:sz w:val="24"/>
        </w:rPr>
        <w:t>-2 年平均温度的月变化    单位：℃</w:t>
      </w:r>
    </w:p>
    <w:tbl>
      <w:tblPr>
        <w:tblStyle w:val="53"/>
        <w:tblW w:w="0" w:type="auto"/>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914"/>
        <w:gridCol w:w="546"/>
        <w:gridCol w:w="666"/>
        <w:gridCol w:w="653"/>
        <w:gridCol w:w="667"/>
        <w:gridCol w:w="666"/>
        <w:gridCol w:w="667"/>
        <w:gridCol w:w="666"/>
        <w:gridCol w:w="666"/>
        <w:gridCol w:w="654"/>
        <w:gridCol w:w="666"/>
        <w:gridCol w:w="667"/>
        <w:gridCol w:w="653"/>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868" w:hRule="atLeast"/>
          <w:jc w:val="center"/>
        </w:trPr>
        <w:tc>
          <w:tcPr>
            <w:tcW w:w="914" w:type="dxa"/>
            <w:vAlign w:val="center"/>
          </w:tcPr>
          <w:p>
            <w:pPr>
              <w:pStyle w:val="107"/>
              <w:jc w:val="center"/>
              <w:rPr>
                <w:color w:val="auto"/>
                <w:sz w:val="18"/>
              </w:rPr>
            </w:pPr>
            <w:r>
              <w:rPr>
                <w:color w:val="auto"/>
                <w:sz w:val="18"/>
              </w:rPr>
              <w:t>月份</w:t>
            </w:r>
          </w:p>
          <w:p>
            <w:pPr>
              <w:pStyle w:val="107"/>
              <w:jc w:val="center"/>
              <w:rPr>
                <w:color w:val="auto"/>
                <w:sz w:val="18"/>
              </w:rPr>
            </w:pPr>
            <w:r>
              <w:rPr>
                <w:color w:val="auto"/>
                <w:sz w:val="18"/>
              </w:rPr>
              <w:t>时刻</w:t>
            </w:r>
          </w:p>
        </w:tc>
        <w:tc>
          <w:tcPr>
            <w:tcW w:w="546" w:type="dxa"/>
            <w:vAlign w:val="center"/>
          </w:tcPr>
          <w:p>
            <w:pPr>
              <w:pStyle w:val="107"/>
              <w:jc w:val="center"/>
              <w:rPr>
                <w:color w:val="auto"/>
                <w:sz w:val="18"/>
              </w:rPr>
            </w:pPr>
            <w:r>
              <w:rPr>
                <w:color w:val="auto"/>
                <w:sz w:val="18"/>
              </w:rPr>
              <w:t>1 月</w:t>
            </w:r>
          </w:p>
        </w:tc>
        <w:tc>
          <w:tcPr>
            <w:tcW w:w="666" w:type="dxa"/>
            <w:vAlign w:val="center"/>
          </w:tcPr>
          <w:p>
            <w:pPr>
              <w:pStyle w:val="107"/>
              <w:jc w:val="center"/>
              <w:rPr>
                <w:color w:val="auto"/>
                <w:sz w:val="18"/>
              </w:rPr>
            </w:pPr>
            <w:r>
              <w:rPr>
                <w:color w:val="auto"/>
                <w:sz w:val="18"/>
              </w:rPr>
              <w:t>2 月</w:t>
            </w:r>
          </w:p>
        </w:tc>
        <w:tc>
          <w:tcPr>
            <w:tcW w:w="653" w:type="dxa"/>
            <w:vAlign w:val="center"/>
          </w:tcPr>
          <w:p>
            <w:pPr>
              <w:pStyle w:val="107"/>
              <w:jc w:val="center"/>
              <w:rPr>
                <w:color w:val="auto"/>
                <w:sz w:val="18"/>
              </w:rPr>
            </w:pPr>
            <w:r>
              <w:rPr>
                <w:color w:val="auto"/>
                <w:sz w:val="18"/>
              </w:rPr>
              <w:t>3 月</w:t>
            </w:r>
          </w:p>
        </w:tc>
        <w:tc>
          <w:tcPr>
            <w:tcW w:w="667" w:type="dxa"/>
            <w:vAlign w:val="center"/>
          </w:tcPr>
          <w:p>
            <w:pPr>
              <w:pStyle w:val="107"/>
              <w:jc w:val="center"/>
              <w:rPr>
                <w:color w:val="auto"/>
                <w:sz w:val="18"/>
              </w:rPr>
            </w:pPr>
            <w:r>
              <w:rPr>
                <w:color w:val="auto"/>
                <w:sz w:val="18"/>
              </w:rPr>
              <w:t>4 月</w:t>
            </w:r>
          </w:p>
        </w:tc>
        <w:tc>
          <w:tcPr>
            <w:tcW w:w="666" w:type="dxa"/>
            <w:vAlign w:val="center"/>
          </w:tcPr>
          <w:p>
            <w:pPr>
              <w:pStyle w:val="107"/>
              <w:jc w:val="center"/>
              <w:rPr>
                <w:color w:val="auto"/>
                <w:sz w:val="18"/>
              </w:rPr>
            </w:pPr>
            <w:r>
              <w:rPr>
                <w:color w:val="auto"/>
                <w:sz w:val="18"/>
              </w:rPr>
              <w:t>5 月</w:t>
            </w:r>
          </w:p>
        </w:tc>
        <w:tc>
          <w:tcPr>
            <w:tcW w:w="667" w:type="dxa"/>
            <w:vAlign w:val="center"/>
          </w:tcPr>
          <w:p>
            <w:pPr>
              <w:pStyle w:val="107"/>
              <w:jc w:val="center"/>
              <w:rPr>
                <w:color w:val="auto"/>
                <w:sz w:val="18"/>
              </w:rPr>
            </w:pPr>
            <w:r>
              <w:rPr>
                <w:color w:val="auto"/>
                <w:sz w:val="18"/>
              </w:rPr>
              <w:t>6 月</w:t>
            </w:r>
          </w:p>
        </w:tc>
        <w:tc>
          <w:tcPr>
            <w:tcW w:w="666" w:type="dxa"/>
            <w:vAlign w:val="center"/>
          </w:tcPr>
          <w:p>
            <w:pPr>
              <w:pStyle w:val="107"/>
              <w:jc w:val="center"/>
              <w:rPr>
                <w:color w:val="auto"/>
                <w:sz w:val="18"/>
              </w:rPr>
            </w:pPr>
            <w:r>
              <w:rPr>
                <w:color w:val="auto"/>
                <w:sz w:val="18"/>
              </w:rPr>
              <w:t>7 月</w:t>
            </w:r>
          </w:p>
        </w:tc>
        <w:tc>
          <w:tcPr>
            <w:tcW w:w="666" w:type="dxa"/>
            <w:vAlign w:val="center"/>
          </w:tcPr>
          <w:p>
            <w:pPr>
              <w:pStyle w:val="107"/>
              <w:jc w:val="center"/>
              <w:rPr>
                <w:color w:val="auto"/>
                <w:sz w:val="18"/>
              </w:rPr>
            </w:pPr>
            <w:r>
              <w:rPr>
                <w:color w:val="auto"/>
                <w:sz w:val="18"/>
              </w:rPr>
              <w:t>8 月</w:t>
            </w:r>
          </w:p>
        </w:tc>
        <w:tc>
          <w:tcPr>
            <w:tcW w:w="654" w:type="dxa"/>
            <w:vAlign w:val="center"/>
          </w:tcPr>
          <w:p>
            <w:pPr>
              <w:pStyle w:val="107"/>
              <w:jc w:val="center"/>
              <w:rPr>
                <w:color w:val="auto"/>
                <w:sz w:val="18"/>
              </w:rPr>
            </w:pPr>
            <w:r>
              <w:rPr>
                <w:color w:val="auto"/>
                <w:sz w:val="18"/>
              </w:rPr>
              <w:t>9 月</w:t>
            </w:r>
          </w:p>
        </w:tc>
        <w:tc>
          <w:tcPr>
            <w:tcW w:w="666" w:type="dxa"/>
            <w:vAlign w:val="center"/>
          </w:tcPr>
          <w:p>
            <w:pPr>
              <w:pStyle w:val="107"/>
              <w:jc w:val="center"/>
              <w:rPr>
                <w:color w:val="auto"/>
                <w:sz w:val="18"/>
              </w:rPr>
            </w:pPr>
            <w:r>
              <w:rPr>
                <w:color w:val="auto"/>
                <w:sz w:val="18"/>
              </w:rPr>
              <w:t>10 月</w:t>
            </w:r>
          </w:p>
        </w:tc>
        <w:tc>
          <w:tcPr>
            <w:tcW w:w="667" w:type="dxa"/>
            <w:vAlign w:val="center"/>
          </w:tcPr>
          <w:p>
            <w:pPr>
              <w:pStyle w:val="107"/>
              <w:jc w:val="center"/>
              <w:rPr>
                <w:color w:val="auto"/>
                <w:sz w:val="18"/>
              </w:rPr>
            </w:pPr>
            <w:r>
              <w:rPr>
                <w:color w:val="auto"/>
                <w:sz w:val="18"/>
              </w:rPr>
              <w:t>11 月</w:t>
            </w:r>
          </w:p>
        </w:tc>
        <w:tc>
          <w:tcPr>
            <w:tcW w:w="653" w:type="dxa"/>
            <w:vAlign w:val="center"/>
          </w:tcPr>
          <w:p>
            <w:pPr>
              <w:pStyle w:val="107"/>
              <w:jc w:val="center"/>
              <w:rPr>
                <w:color w:val="auto"/>
                <w:sz w:val="18"/>
              </w:rPr>
            </w:pPr>
            <w:r>
              <w:rPr>
                <w:color w:val="auto"/>
                <w:sz w:val="18"/>
              </w:rPr>
              <w:t>12 月</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6" w:hRule="atLeast"/>
          <w:jc w:val="center"/>
        </w:trPr>
        <w:tc>
          <w:tcPr>
            <w:tcW w:w="914" w:type="dxa"/>
            <w:vAlign w:val="center"/>
          </w:tcPr>
          <w:p>
            <w:pPr>
              <w:pStyle w:val="107"/>
              <w:jc w:val="center"/>
              <w:rPr>
                <w:color w:val="auto"/>
                <w:sz w:val="18"/>
              </w:rPr>
            </w:pPr>
            <w:r>
              <w:rPr>
                <w:color w:val="auto"/>
                <w:sz w:val="18"/>
              </w:rPr>
              <w:t>月平均</w:t>
            </w:r>
          </w:p>
        </w:tc>
        <w:tc>
          <w:tcPr>
            <w:tcW w:w="546" w:type="dxa"/>
            <w:vAlign w:val="center"/>
          </w:tcPr>
          <w:p>
            <w:pPr>
              <w:pStyle w:val="107"/>
              <w:jc w:val="center"/>
              <w:rPr>
                <w:color w:val="auto"/>
                <w:sz w:val="18"/>
              </w:rPr>
            </w:pPr>
            <w:r>
              <w:rPr>
                <w:color w:val="auto"/>
                <w:sz w:val="18"/>
              </w:rPr>
              <w:t>1.82</w:t>
            </w:r>
          </w:p>
        </w:tc>
        <w:tc>
          <w:tcPr>
            <w:tcW w:w="666" w:type="dxa"/>
            <w:vAlign w:val="center"/>
          </w:tcPr>
          <w:p>
            <w:pPr>
              <w:pStyle w:val="107"/>
              <w:jc w:val="center"/>
              <w:rPr>
                <w:color w:val="auto"/>
                <w:sz w:val="18"/>
              </w:rPr>
            </w:pPr>
            <w:r>
              <w:rPr>
                <w:color w:val="auto"/>
                <w:sz w:val="18"/>
              </w:rPr>
              <w:t>2.35</w:t>
            </w:r>
          </w:p>
        </w:tc>
        <w:tc>
          <w:tcPr>
            <w:tcW w:w="653" w:type="dxa"/>
            <w:vAlign w:val="center"/>
          </w:tcPr>
          <w:p>
            <w:pPr>
              <w:pStyle w:val="107"/>
              <w:jc w:val="center"/>
              <w:rPr>
                <w:color w:val="auto"/>
                <w:sz w:val="18"/>
              </w:rPr>
            </w:pPr>
            <w:r>
              <w:rPr>
                <w:color w:val="auto"/>
                <w:sz w:val="18"/>
              </w:rPr>
              <w:t>11.54</w:t>
            </w:r>
          </w:p>
        </w:tc>
        <w:tc>
          <w:tcPr>
            <w:tcW w:w="667" w:type="dxa"/>
            <w:vAlign w:val="center"/>
          </w:tcPr>
          <w:p>
            <w:pPr>
              <w:pStyle w:val="107"/>
              <w:jc w:val="center"/>
              <w:rPr>
                <w:color w:val="auto"/>
                <w:sz w:val="18"/>
              </w:rPr>
            </w:pPr>
            <w:r>
              <w:rPr>
                <w:color w:val="auto"/>
                <w:sz w:val="18"/>
              </w:rPr>
              <w:t>16.57</w:t>
            </w:r>
          </w:p>
        </w:tc>
        <w:tc>
          <w:tcPr>
            <w:tcW w:w="666" w:type="dxa"/>
            <w:vAlign w:val="center"/>
          </w:tcPr>
          <w:p>
            <w:pPr>
              <w:pStyle w:val="107"/>
              <w:jc w:val="center"/>
              <w:rPr>
                <w:color w:val="auto"/>
                <w:sz w:val="18"/>
              </w:rPr>
            </w:pPr>
            <w:r>
              <w:rPr>
                <w:color w:val="auto"/>
                <w:sz w:val="18"/>
              </w:rPr>
              <w:t>22.49</w:t>
            </w:r>
          </w:p>
        </w:tc>
        <w:tc>
          <w:tcPr>
            <w:tcW w:w="667" w:type="dxa"/>
            <w:vAlign w:val="center"/>
          </w:tcPr>
          <w:p>
            <w:pPr>
              <w:pStyle w:val="107"/>
              <w:jc w:val="center"/>
              <w:rPr>
                <w:color w:val="auto"/>
                <w:sz w:val="18"/>
              </w:rPr>
            </w:pPr>
            <w:r>
              <w:rPr>
                <w:color w:val="auto"/>
                <w:sz w:val="18"/>
              </w:rPr>
              <w:t>23.82</w:t>
            </w:r>
          </w:p>
        </w:tc>
        <w:tc>
          <w:tcPr>
            <w:tcW w:w="666" w:type="dxa"/>
            <w:vAlign w:val="center"/>
          </w:tcPr>
          <w:p>
            <w:pPr>
              <w:pStyle w:val="107"/>
              <w:jc w:val="center"/>
              <w:rPr>
                <w:color w:val="auto"/>
                <w:sz w:val="18"/>
              </w:rPr>
            </w:pPr>
            <w:r>
              <w:rPr>
                <w:color w:val="auto"/>
                <w:sz w:val="18"/>
              </w:rPr>
              <w:t>28.55</w:t>
            </w:r>
          </w:p>
        </w:tc>
        <w:tc>
          <w:tcPr>
            <w:tcW w:w="666" w:type="dxa"/>
            <w:vAlign w:val="center"/>
          </w:tcPr>
          <w:p>
            <w:pPr>
              <w:pStyle w:val="107"/>
              <w:jc w:val="center"/>
              <w:rPr>
                <w:color w:val="auto"/>
                <w:sz w:val="18"/>
              </w:rPr>
            </w:pPr>
            <w:r>
              <w:rPr>
                <w:color w:val="auto"/>
                <w:sz w:val="18"/>
              </w:rPr>
              <w:t>26.90</w:t>
            </w:r>
          </w:p>
        </w:tc>
        <w:tc>
          <w:tcPr>
            <w:tcW w:w="654" w:type="dxa"/>
            <w:vAlign w:val="center"/>
          </w:tcPr>
          <w:p>
            <w:pPr>
              <w:pStyle w:val="107"/>
              <w:jc w:val="center"/>
              <w:rPr>
                <w:color w:val="auto"/>
                <w:sz w:val="18"/>
              </w:rPr>
            </w:pPr>
            <w:r>
              <w:rPr>
                <w:color w:val="auto"/>
                <w:sz w:val="18"/>
              </w:rPr>
              <w:t>24.47</w:t>
            </w:r>
          </w:p>
        </w:tc>
        <w:tc>
          <w:tcPr>
            <w:tcW w:w="666" w:type="dxa"/>
            <w:vAlign w:val="center"/>
          </w:tcPr>
          <w:p>
            <w:pPr>
              <w:pStyle w:val="107"/>
              <w:jc w:val="center"/>
              <w:rPr>
                <w:color w:val="auto"/>
                <w:sz w:val="18"/>
              </w:rPr>
            </w:pPr>
            <w:r>
              <w:rPr>
                <w:color w:val="auto"/>
                <w:sz w:val="18"/>
              </w:rPr>
              <w:t>18.58</w:t>
            </w:r>
          </w:p>
        </w:tc>
        <w:tc>
          <w:tcPr>
            <w:tcW w:w="667" w:type="dxa"/>
            <w:vAlign w:val="center"/>
          </w:tcPr>
          <w:p>
            <w:pPr>
              <w:pStyle w:val="107"/>
              <w:jc w:val="center"/>
              <w:rPr>
                <w:color w:val="auto"/>
                <w:sz w:val="18"/>
              </w:rPr>
            </w:pPr>
            <w:r>
              <w:rPr>
                <w:color w:val="auto"/>
                <w:sz w:val="18"/>
              </w:rPr>
              <w:t>10.76</w:t>
            </w:r>
          </w:p>
        </w:tc>
        <w:tc>
          <w:tcPr>
            <w:tcW w:w="653" w:type="dxa"/>
            <w:vAlign w:val="center"/>
          </w:tcPr>
          <w:p>
            <w:pPr>
              <w:pStyle w:val="107"/>
              <w:jc w:val="center"/>
              <w:rPr>
                <w:color w:val="auto"/>
                <w:sz w:val="18"/>
              </w:rPr>
            </w:pPr>
            <w:r>
              <w:rPr>
                <w:color w:val="auto"/>
                <w:sz w:val="18"/>
              </w:rPr>
              <w:t>5.53</w:t>
            </w:r>
          </w:p>
        </w:tc>
      </w:tr>
    </w:tbl>
    <w:p>
      <w:pPr>
        <w:spacing w:line="520" w:lineRule="exact"/>
        <w:ind w:firstLine="480" w:firstLineChars="200"/>
        <w:rPr>
          <w:color w:val="auto"/>
          <w:sz w:val="24"/>
        </w:rPr>
      </w:pPr>
    </w:p>
    <w:p>
      <w:pPr>
        <w:pStyle w:val="2"/>
        <w:rPr>
          <w:color w:val="auto"/>
          <w:sz w:val="24"/>
        </w:rPr>
      </w:pPr>
    </w:p>
    <w:p>
      <w:pPr>
        <w:rPr>
          <w:color w:val="auto"/>
          <w:sz w:val="24"/>
        </w:rPr>
      </w:pPr>
    </w:p>
    <w:p>
      <w:pPr>
        <w:pStyle w:val="2"/>
        <w:rPr>
          <w:color w:val="auto"/>
          <w:sz w:val="24"/>
        </w:rPr>
      </w:pPr>
    </w:p>
    <w:p>
      <w:pPr>
        <w:rPr>
          <w:color w:val="auto"/>
          <w:sz w:val="24"/>
        </w:rPr>
      </w:pPr>
    </w:p>
    <w:p>
      <w:pPr>
        <w:pStyle w:val="2"/>
        <w:rPr>
          <w:color w:val="auto"/>
          <w:sz w:val="24"/>
        </w:rPr>
      </w:pPr>
    </w:p>
    <w:p>
      <w:pPr>
        <w:rPr>
          <w:color w:val="auto"/>
        </w:rPr>
      </w:pPr>
    </w:p>
    <w:p>
      <w:pPr>
        <w:spacing w:line="520" w:lineRule="exact"/>
        <w:ind w:firstLine="480" w:firstLineChars="200"/>
        <w:rPr>
          <w:color w:val="auto"/>
          <w:sz w:val="24"/>
        </w:rPr>
      </w:pPr>
      <w:r>
        <w:rPr>
          <w:color w:val="auto"/>
          <w:sz w:val="24"/>
        </w:rPr>
        <w:drawing>
          <wp:anchor distT="0" distB="0" distL="114300" distR="114300" simplePos="0" relativeHeight="251659264" behindDoc="1" locked="0" layoutInCell="1" allowOverlap="1">
            <wp:simplePos x="0" y="0"/>
            <wp:positionH relativeFrom="page">
              <wp:posOffset>998855</wp:posOffset>
            </wp:positionH>
            <wp:positionV relativeFrom="paragraph">
              <wp:posOffset>58420</wp:posOffset>
            </wp:positionV>
            <wp:extent cx="5591175" cy="1924685"/>
            <wp:effectExtent l="0" t="0" r="1905" b="10795"/>
            <wp:wrapNone/>
            <wp:docPr id="1" name="image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40.png"/>
                    <pic:cNvPicPr>
                      <a:picLocks noChangeAspect="1"/>
                    </pic:cNvPicPr>
                  </pic:nvPicPr>
                  <pic:blipFill>
                    <a:blip r:embed="rId46"/>
                    <a:stretch>
                      <a:fillRect/>
                    </a:stretch>
                  </pic:blipFill>
                  <pic:spPr>
                    <a:xfrm>
                      <a:off x="0" y="0"/>
                      <a:ext cx="5591175" cy="1924685"/>
                    </a:xfrm>
                    <a:prstGeom prst="rect">
                      <a:avLst/>
                    </a:prstGeom>
                    <a:noFill/>
                    <a:ln>
                      <a:noFill/>
                    </a:ln>
                  </pic:spPr>
                </pic:pic>
              </a:graphicData>
            </a:graphic>
          </wp:anchor>
        </w:drawing>
      </w:r>
    </w:p>
    <w:p>
      <w:pPr>
        <w:spacing w:line="520" w:lineRule="exact"/>
        <w:ind w:firstLine="480" w:firstLineChars="200"/>
        <w:rPr>
          <w:color w:val="auto"/>
          <w:sz w:val="24"/>
        </w:rPr>
      </w:pPr>
    </w:p>
    <w:p>
      <w:pPr>
        <w:pStyle w:val="2"/>
        <w:rPr>
          <w:color w:val="auto"/>
          <w:sz w:val="24"/>
        </w:rPr>
      </w:pPr>
    </w:p>
    <w:p>
      <w:pPr>
        <w:rPr>
          <w:color w:val="auto"/>
          <w:sz w:val="24"/>
        </w:rPr>
      </w:pPr>
    </w:p>
    <w:p>
      <w:pPr>
        <w:pStyle w:val="2"/>
        <w:rPr>
          <w:color w:val="auto"/>
          <w:sz w:val="24"/>
        </w:rPr>
      </w:pPr>
    </w:p>
    <w:p>
      <w:pPr>
        <w:rPr>
          <w:color w:val="auto"/>
        </w:rPr>
      </w:pPr>
    </w:p>
    <w:p>
      <w:pPr>
        <w:spacing w:line="520" w:lineRule="exact"/>
        <w:rPr>
          <w:color w:val="auto"/>
          <w:sz w:val="24"/>
        </w:rPr>
      </w:pPr>
    </w:p>
    <w:p>
      <w:pPr>
        <w:spacing w:line="520" w:lineRule="exact"/>
        <w:ind w:firstLine="480" w:firstLineChars="200"/>
        <w:rPr>
          <w:color w:val="auto"/>
          <w:sz w:val="24"/>
        </w:rPr>
      </w:pPr>
    </w:p>
    <w:p>
      <w:pPr>
        <w:jc w:val="center"/>
        <w:rPr>
          <w:b/>
          <w:color w:val="auto"/>
          <w:sz w:val="24"/>
        </w:rPr>
      </w:pPr>
      <w:r>
        <w:rPr>
          <w:b/>
          <w:color w:val="auto"/>
          <w:sz w:val="24"/>
        </w:rPr>
        <w:t>图</w:t>
      </w:r>
      <w:r>
        <w:rPr>
          <w:rFonts w:hint="eastAsia"/>
          <w:b/>
          <w:color w:val="auto"/>
          <w:sz w:val="24"/>
        </w:rPr>
        <w:t>6</w:t>
      </w:r>
      <w:r>
        <w:rPr>
          <w:b/>
          <w:color w:val="auto"/>
          <w:sz w:val="24"/>
        </w:rPr>
        <w:t>-1  年平均温度月变化情况一览表    单位：℃</w:t>
      </w:r>
    </w:p>
    <w:p>
      <w:pPr>
        <w:spacing w:line="520" w:lineRule="exact"/>
        <w:ind w:firstLine="480" w:firstLineChars="200"/>
        <w:rPr>
          <w:color w:val="auto"/>
          <w:sz w:val="24"/>
        </w:rPr>
      </w:pPr>
      <w:r>
        <w:rPr>
          <w:color w:val="auto"/>
          <w:sz w:val="24"/>
        </w:rPr>
        <w:t>②风速</w:t>
      </w:r>
    </w:p>
    <w:p>
      <w:pPr>
        <w:spacing w:line="520" w:lineRule="exact"/>
        <w:ind w:firstLine="480" w:firstLineChars="200"/>
        <w:rPr>
          <w:color w:val="auto"/>
          <w:sz w:val="24"/>
        </w:rPr>
      </w:pPr>
      <w:r>
        <w:rPr>
          <w:color w:val="auto"/>
          <w:sz w:val="24"/>
        </w:rPr>
        <w:t>根据宁国市气象站提供的气象观测资料，平均风速的月变化情况见下表和下图所示。</w:t>
      </w:r>
    </w:p>
    <w:p>
      <w:pPr>
        <w:jc w:val="center"/>
        <w:rPr>
          <w:b/>
          <w:color w:val="auto"/>
          <w:sz w:val="24"/>
        </w:rPr>
      </w:pPr>
      <w:r>
        <w:rPr>
          <w:rFonts w:hint="eastAsia"/>
          <w:b/>
          <w:color w:val="auto"/>
          <w:sz w:val="24"/>
        </w:rPr>
        <w:t>表6</w:t>
      </w:r>
      <w:r>
        <w:rPr>
          <w:b/>
          <w:color w:val="auto"/>
          <w:sz w:val="24"/>
        </w:rPr>
        <w:t>-3  年平均风速的月变化    单位：m/s</w:t>
      </w:r>
    </w:p>
    <w:tbl>
      <w:tblPr>
        <w:tblStyle w:val="53"/>
        <w:tblW w:w="0" w:type="auto"/>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876"/>
        <w:gridCol w:w="647"/>
        <w:gridCol w:w="646"/>
        <w:gridCol w:w="662"/>
        <w:gridCol w:w="661"/>
        <w:gridCol w:w="661"/>
        <w:gridCol w:w="661"/>
        <w:gridCol w:w="660"/>
        <w:gridCol w:w="647"/>
        <w:gridCol w:w="661"/>
        <w:gridCol w:w="661"/>
        <w:gridCol w:w="661"/>
        <w:gridCol w:w="647"/>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39" w:hRule="atLeast"/>
          <w:jc w:val="center"/>
        </w:trPr>
        <w:tc>
          <w:tcPr>
            <w:tcW w:w="876" w:type="dxa"/>
            <w:vAlign w:val="center"/>
          </w:tcPr>
          <w:p>
            <w:pPr>
              <w:pStyle w:val="107"/>
              <w:jc w:val="center"/>
              <w:rPr>
                <w:color w:val="auto"/>
                <w:sz w:val="18"/>
              </w:rPr>
            </w:pPr>
            <w:r>
              <w:rPr>
                <w:color w:val="auto"/>
                <w:sz w:val="18"/>
              </w:rPr>
              <w:t>月份</w:t>
            </w:r>
          </w:p>
          <w:p>
            <w:pPr>
              <w:pStyle w:val="107"/>
              <w:spacing w:line="220" w:lineRule="exact"/>
              <w:jc w:val="center"/>
              <w:rPr>
                <w:color w:val="auto"/>
                <w:sz w:val="18"/>
              </w:rPr>
            </w:pPr>
            <w:r>
              <w:rPr>
                <w:color w:val="auto"/>
                <w:sz w:val="18"/>
              </w:rPr>
              <w:t>时刻</w:t>
            </w:r>
          </w:p>
        </w:tc>
        <w:tc>
          <w:tcPr>
            <w:tcW w:w="647" w:type="dxa"/>
            <w:vAlign w:val="center"/>
          </w:tcPr>
          <w:p>
            <w:pPr>
              <w:pStyle w:val="107"/>
              <w:jc w:val="center"/>
              <w:rPr>
                <w:color w:val="auto"/>
                <w:sz w:val="18"/>
              </w:rPr>
            </w:pPr>
            <w:r>
              <w:rPr>
                <w:color w:val="auto"/>
                <w:sz w:val="18"/>
              </w:rPr>
              <w:t>1 月</w:t>
            </w:r>
          </w:p>
        </w:tc>
        <w:tc>
          <w:tcPr>
            <w:tcW w:w="646" w:type="dxa"/>
            <w:vAlign w:val="center"/>
          </w:tcPr>
          <w:p>
            <w:pPr>
              <w:pStyle w:val="107"/>
              <w:jc w:val="center"/>
              <w:rPr>
                <w:color w:val="auto"/>
                <w:sz w:val="18"/>
              </w:rPr>
            </w:pPr>
            <w:r>
              <w:rPr>
                <w:color w:val="auto"/>
                <w:sz w:val="18"/>
              </w:rPr>
              <w:t>2 月</w:t>
            </w:r>
          </w:p>
        </w:tc>
        <w:tc>
          <w:tcPr>
            <w:tcW w:w="662" w:type="dxa"/>
            <w:vAlign w:val="center"/>
          </w:tcPr>
          <w:p>
            <w:pPr>
              <w:pStyle w:val="107"/>
              <w:jc w:val="center"/>
              <w:rPr>
                <w:color w:val="auto"/>
                <w:sz w:val="18"/>
              </w:rPr>
            </w:pPr>
            <w:r>
              <w:rPr>
                <w:color w:val="auto"/>
                <w:sz w:val="18"/>
              </w:rPr>
              <w:t>3 月</w:t>
            </w:r>
          </w:p>
        </w:tc>
        <w:tc>
          <w:tcPr>
            <w:tcW w:w="661" w:type="dxa"/>
            <w:vAlign w:val="center"/>
          </w:tcPr>
          <w:p>
            <w:pPr>
              <w:pStyle w:val="107"/>
              <w:jc w:val="center"/>
              <w:rPr>
                <w:color w:val="auto"/>
                <w:sz w:val="18"/>
              </w:rPr>
            </w:pPr>
            <w:r>
              <w:rPr>
                <w:color w:val="auto"/>
                <w:sz w:val="18"/>
              </w:rPr>
              <w:t>4 月</w:t>
            </w:r>
          </w:p>
        </w:tc>
        <w:tc>
          <w:tcPr>
            <w:tcW w:w="661" w:type="dxa"/>
            <w:vAlign w:val="center"/>
          </w:tcPr>
          <w:p>
            <w:pPr>
              <w:pStyle w:val="107"/>
              <w:jc w:val="center"/>
              <w:rPr>
                <w:color w:val="auto"/>
                <w:sz w:val="18"/>
              </w:rPr>
            </w:pPr>
            <w:r>
              <w:rPr>
                <w:color w:val="auto"/>
                <w:sz w:val="18"/>
              </w:rPr>
              <w:t>5 月</w:t>
            </w:r>
          </w:p>
        </w:tc>
        <w:tc>
          <w:tcPr>
            <w:tcW w:w="661" w:type="dxa"/>
            <w:vAlign w:val="center"/>
          </w:tcPr>
          <w:p>
            <w:pPr>
              <w:pStyle w:val="107"/>
              <w:jc w:val="center"/>
              <w:rPr>
                <w:color w:val="auto"/>
                <w:sz w:val="18"/>
              </w:rPr>
            </w:pPr>
            <w:r>
              <w:rPr>
                <w:color w:val="auto"/>
                <w:sz w:val="18"/>
              </w:rPr>
              <w:t>6 月</w:t>
            </w:r>
          </w:p>
        </w:tc>
        <w:tc>
          <w:tcPr>
            <w:tcW w:w="660" w:type="dxa"/>
            <w:vAlign w:val="center"/>
          </w:tcPr>
          <w:p>
            <w:pPr>
              <w:pStyle w:val="107"/>
              <w:jc w:val="center"/>
              <w:rPr>
                <w:color w:val="auto"/>
                <w:sz w:val="18"/>
              </w:rPr>
            </w:pPr>
            <w:r>
              <w:rPr>
                <w:color w:val="auto"/>
                <w:sz w:val="18"/>
              </w:rPr>
              <w:t>7 月</w:t>
            </w:r>
          </w:p>
        </w:tc>
        <w:tc>
          <w:tcPr>
            <w:tcW w:w="647" w:type="dxa"/>
            <w:vAlign w:val="center"/>
          </w:tcPr>
          <w:p>
            <w:pPr>
              <w:pStyle w:val="107"/>
              <w:jc w:val="center"/>
              <w:rPr>
                <w:color w:val="auto"/>
                <w:sz w:val="18"/>
              </w:rPr>
            </w:pPr>
            <w:r>
              <w:rPr>
                <w:color w:val="auto"/>
                <w:sz w:val="18"/>
              </w:rPr>
              <w:t>8 月</w:t>
            </w:r>
          </w:p>
        </w:tc>
        <w:tc>
          <w:tcPr>
            <w:tcW w:w="661" w:type="dxa"/>
            <w:vAlign w:val="center"/>
          </w:tcPr>
          <w:p>
            <w:pPr>
              <w:pStyle w:val="107"/>
              <w:jc w:val="center"/>
              <w:rPr>
                <w:color w:val="auto"/>
                <w:sz w:val="18"/>
              </w:rPr>
            </w:pPr>
            <w:r>
              <w:rPr>
                <w:color w:val="auto"/>
                <w:sz w:val="18"/>
              </w:rPr>
              <w:t>9 月</w:t>
            </w:r>
          </w:p>
        </w:tc>
        <w:tc>
          <w:tcPr>
            <w:tcW w:w="661" w:type="dxa"/>
            <w:vAlign w:val="center"/>
          </w:tcPr>
          <w:p>
            <w:pPr>
              <w:pStyle w:val="107"/>
              <w:jc w:val="center"/>
              <w:rPr>
                <w:color w:val="auto"/>
                <w:sz w:val="18"/>
              </w:rPr>
            </w:pPr>
            <w:r>
              <w:rPr>
                <w:color w:val="auto"/>
                <w:sz w:val="18"/>
              </w:rPr>
              <w:t>10 月</w:t>
            </w:r>
          </w:p>
        </w:tc>
        <w:tc>
          <w:tcPr>
            <w:tcW w:w="661" w:type="dxa"/>
            <w:vAlign w:val="center"/>
          </w:tcPr>
          <w:p>
            <w:pPr>
              <w:pStyle w:val="107"/>
              <w:jc w:val="center"/>
              <w:rPr>
                <w:color w:val="auto"/>
                <w:sz w:val="18"/>
              </w:rPr>
            </w:pPr>
            <w:r>
              <w:rPr>
                <w:color w:val="auto"/>
                <w:sz w:val="18"/>
              </w:rPr>
              <w:t>11 月</w:t>
            </w:r>
          </w:p>
        </w:tc>
        <w:tc>
          <w:tcPr>
            <w:tcW w:w="647" w:type="dxa"/>
            <w:vAlign w:val="center"/>
          </w:tcPr>
          <w:p>
            <w:pPr>
              <w:pStyle w:val="107"/>
              <w:jc w:val="center"/>
              <w:rPr>
                <w:color w:val="auto"/>
                <w:sz w:val="18"/>
              </w:rPr>
            </w:pPr>
            <w:r>
              <w:rPr>
                <w:color w:val="auto"/>
                <w:sz w:val="18"/>
              </w:rPr>
              <w:t>12 月</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8" w:hRule="atLeast"/>
          <w:jc w:val="center"/>
        </w:trPr>
        <w:tc>
          <w:tcPr>
            <w:tcW w:w="876" w:type="dxa"/>
            <w:vAlign w:val="center"/>
          </w:tcPr>
          <w:p>
            <w:pPr>
              <w:pStyle w:val="107"/>
              <w:jc w:val="center"/>
              <w:rPr>
                <w:color w:val="auto"/>
                <w:sz w:val="18"/>
              </w:rPr>
            </w:pPr>
            <w:r>
              <w:rPr>
                <w:color w:val="auto"/>
                <w:sz w:val="18"/>
              </w:rPr>
              <w:t>月平均</w:t>
            </w:r>
          </w:p>
        </w:tc>
        <w:tc>
          <w:tcPr>
            <w:tcW w:w="647" w:type="dxa"/>
            <w:vAlign w:val="center"/>
          </w:tcPr>
          <w:p>
            <w:pPr>
              <w:pStyle w:val="107"/>
              <w:jc w:val="center"/>
              <w:rPr>
                <w:color w:val="auto"/>
                <w:sz w:val="18"/>
              </w:rPr>
            </w:pPr>
            <w:r>
              <w:rPr>
                <w:color w:val="auto"/>
                <w:sz w:val="18"/>
              </w:rPr>
              <w:t>1.74</w:t>
            </w:r>
          </w:p>
        </w:tc>
        <w:tc>
          <w:tcPr>
            <w:tcW w:w="646" w:type="dxa"/>
            <w:vAlign w:val="center"/>
          </w:tcPr>
          <w:p>
            <w:pPr>
              <w:pStyle w:val="107"/>
              <w:jc w:val="center"/>
              <w:rPr>
                <w:color w:val="auto"/>
                <w:sz w:val="18"/>
              </w:rPr>
            </w:pPr>
            <w:r>
              <w:rPr>
                <w:color w:val="auto"/>
                <w:sz w:val="18"/>
              </w:rPr>
              <w:t>1.74</w:t>
            </w:r>
          </w:p>
        </w:tc>
        <w:tc>
          <w:tcPr>
            <w:tcW w:w="662" w:type="dxa"/>
            <w:vAlign w:val="center"/>
          </w:tcPr>
          <w:p>
            <w:pPr>
              <w:pStyle w:val="107"/>
              <w:jc w:val="center"/>
              <w:rPr>
                <w:color w:val="auto"/>
                <w:sz w:val="18"/>
              </w:rPr>
            </w:pPr>
            <w:r>
              <w:rPr>
                <w:color w:val="auto"/>
                <w:sz w:val="18"/>
              </w:rPr>
              <w:t>1.83</w:t>
            </w:r>
          </w:p>
        </w:tc>
        <w:tc>
          <w:tcPr>
            <w:tcW w:w="661" w:type="dxa"/>
            <w:vAlign w:val="center"/>
          </w:tcPr>
          <w:p>
            <w:pPr>
              <w:pStyle w:val="107"/>
              <w:jc w:val="center"/>
              <w:rPr>
                <w:color w:val="auto"/>
                <w:sz w:val="18"/>
              </w:rPr>
            </w:pPr>
            <w:r>
              <w:rPr>
                <w:color w:val="auto"/>
                <w:sz w:val="18"/>
              </w:rPr>
              <w:t>1.75</w:t>
            </w:r>
          </w:p>
        </w:tc>
        <w:tc>
          <w:tcPr>
            <w:tcW w:w="661" w:type="dxa"/>
            <w:vAlign w:val="center"/>
          </w:tcPr>
          <w:p>
            <w:pPr>
              <w:pStyle w:val="107"/>
              <w:jc w:val="center"/>
              <w:rPr>
                <w:color w:val="auto"/>
                <w:sz w:val="18"/>
              </w:rPr>
            </w:pPr>
            <w:r>
              <w:rPr>
                <w:color w:val="auto"/>
                <w:sz w:val="18"/>
              </w:rPr>
              <w:t>1.67</w:t>
            </w:r>
          </w:p>
        </w:tc>
        <w:tc>
          <w:tcPr>
            <w:tcW w:w="661" w:type="dxa"/>
            <w:vAlign w:val="center"/>
          </w:tcPr>
          <w:p>
            <w:pPr>
              <w:pStyle w:val="107"/>
              <w:jc w:val="center"/>
              <w:rPr>
                <w:color w:val="auto"/>
                <w:sz w:val="18"/>
              </w:rPr>
            </w:pPr>
            <w:r>
              <w:rPr>
                <w:color w:val="auto"/>
                <w:sz w:val="18"/>
              </w:rPr>
              <w:t>1.66</w:t>
            </w:r>
          </w:p>
        </w:tc>
        <w:tc>
          <w:tcPr>
            <w:tcW w:w="660" w:type="dxa"/>
            <w:vAlign w:val="center"/>
          </w:tcPr>
          <w:p>
            <w:pPr>
              <w:pStyle w:val="107"/>
              <w:jc w:val="center"/>
              <w:rPr>
                <w:color w:val="auto"/>
                <w:sz w:val="18"/>
              </w:rPr>
            </w:pPr>
            <w:r>
              <w:rPr>
                <w:color w:val="auto"/>
                <w:sz w:val="18"/>
              </w:rPr>
              <w:t>2.12</w:t>
            </w:r>
          </w:p>
        </w:tc>
        <w:tc>
          <w:tcPr>
            <w:tcW w:w="647" w:type="dxa"/>
            <w:vAlign w:val="center"/>
          </w:tcPr>
          <w:p>
            <w:pPr>
              <w:pStyle w:val="107"/>
              <w:jc w:val="center"/>
              <w:rPr>
                <w:color w:val="auto"/>
                <w:sz w:val="18"/>
              </w:rPr>
            </w:pPr>
            <w:r>
              <w:rPr>
                <w:color w:val="auto"/>
                <w:sz w:val="18"/>
              </w:rPr>
              <w:t>1.53</w:t>
            </w:r>
          </w:p>
        </w:tc>
        <w:tc>
          <w:tcPr>
            <w:tcW w:w="661" w:type="dxa"/>
            <w:vAlign w:val="center"/>
          </w:tcPr>
          <w:p>
            <w:pPr>
              <w:pStyle w:val="107"/>
              <w:jc w:val="center"/>
              <w:rPr>
                <w:color w:val="auto"/>
                <w:sz w:val="18"/>
              </w:rPr>
            </w:pPr>
            <w:r>
              <w:rPr>
                <w:color w:val="auto"/>
                <w:sz w:val="18"/>
              </w:rPr>
              <w:t>1.45</w:t>
            </w:r>
          </w:p>
        </w:tc>
        <w:tc>
          <w:tcPr>
            <w:tcW w:w="661" w:type="dxa"/>
            <w:vAlign w:val="center"/>
          </w:tcPr>
          <w:p>
            <w:pPr>
              <w:pStyle w:val="107"/>
              <w:jc w:val="center"/>
              <w:rPr>
                <w:color w:val="auto"/>
                <w:sz w:val="18"/>
              </w:rPr>
            </w:pPr>
            <w:r>
              <w:rPr>
                <w:color w:val="auto"/>
                <w:sz w:val="18"/>
              </w:rPr>
              <w:t>1.17</w:t>
            </w:r>
          </w:p>
        </w:tc>
        <w:tc>
          <w:tcPr>
            <w:tcW w:w="661" w:type="dxa"/>
            <w:vAlign w:val="center"/>
          </w:tcPr>
          <w:p>
            <w:pPr>
              <w:pStyle w:val="107"/>
              <w:jc w:val="center"/>
              <w:rPr>
                <w:color w:val="auto"/>
                <w:sz w:val="18"/>
              </w:rPr>
            </w:pPr>
            <w:r>
              <w:rPr>
                <w:color w:val="auto"/>
                <w:sz w:val="18"/>
              </w:rPr>
              <w:t>1.36</w:t>
            </w:r>
          </w:p>
        </w:tc>
        <w:tc>
          <w:tcPr>
            <w:tcW w:w="647" w:type="dxa"/>
            <w:vAlign w:val="center"/>
          </w:tcPr>
          <w:p>
            <w:pPr>
              <w:pStyle w:val="107"/>
              <w:jc w:val="center"/>
              <w:rPr>
                <w:color w:val="auto"/>
                <w:sz w:val="18"/>
              </w:rPr>
            </w:pPr>
            <w:r>
              <w:rPr>
                <w:color w:val="auto"/>
                <w:sz w:val="18"/>
              </w:rPr>
              <w:t>1.90</w:t>
            </w:r>
          </w:p>
        </w:tc>
      </w:tr>
    </w:tbl>
    <w:p>
      <w:pPr>
        <w:spacing w:line="520" w:lineRule="exact"/>
        <w:ind w:firstLine="420" w:firstLineChars="200"/>
        <w:rPr>
          <w:color w:val="auto"/>
          <w:sz w:val="24"/>
        </w:rPr>
      </w:pPr>
      <w:r>
        <w:rPr>
          <w:color w:val="auto"/>
        </w:rPr>
        <w:drawing>
          <wp:anchor distT="0" distB="0" distL="114300" distR="114300" simplePos="0" relativeHeight="251660288" behindDoc="1" locked="0" layoutInCell="1" allowOverlap="1">
            <wp:simplePos x="0" y="0"/>
            <wp:positionH relativeFrom="page">
              <wp:posOffset>987425</wp:posOffset>
            </wp:positionH>
            <wp:positionV relativeFrom="page">
              <wp:posOffset>5461000</wp:posOffset>
            </wp:positionV>
            <wp:extent cx="5566410" cy="2051685"/>
            <wp:effectExtent l="0" t="0" r="11430" b="5715"/>
            <wp:wrapNone/>
            <wp:docPr id="2" name="image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41.png"/>
                    <pic:cNvPicPr>
                      <a:picLocks noChangeAspect="1"/>
                    </pic:cNvPicPr>
                  </pic:nvPicPr>
                  <pic:blipFill>
                    <a:blip r:embed="rId47"/>
                    <a:stretch>
                      <a:fillRect/>
                    </a:stretch>
                  </pic:blipFill>
                  <pic:spPr>
                    <a:xfrm>
                      <a:off x="0" y="0"/>
                      <a:ext cx="5566410" cy="2051685"/>
                    </a:xfrm>
                    <a:prstGeom prst="rect">
                      <a:avLst/>
                    </a:prstGeom>
                    <a:noFill/>
                    <a:ln>
                      <a:noFill/>
                    </a:ln>
                  </pic:spPr>
                </pic:pic>
              </a:graphicData>
            </a:graphic>
          </wp:anchor>
        </w:drawing>
      </w:r>
    </w:p>
    <w:p>
      <w:pPr>
        <w:spacing w:line="520" w:lineRule="exact"/>
        <w:rPr>
          <w:color w:val="auto"/>
          <w:sz w:val="24"/>
        </w:rPr>
      </w:pPr>
    </w:p>
    <w:p>
      <w:pPr>
        <w:spacing w:line="520" w:lineRule="exact"/>
        <w:ind w:firstLine="480" w:firstLineChars="200"/>
        <w:rPr>
          <w:color w:val="auto"/>
          <w:sz w:val="24"/>
        </w:rPr>
      </w:pPr>
    </w:p>
    <w:p>
      <w:pPr>
        <w:jc w:val="center"/>
        <w:rPr>
          <w:b/>
          <w:color w:val="auto"/>
          <w:sz w:val="24"/>
        </w:rPr>
      </w:pPr>
    </w:p>
    <w:p>
      <w:pPr>
        <w:jc w:val="center"/>
        <w:rPr>
          <w:b/>
          <w:color w:val="auto"/>
          <w:sz w:val="24"/>
        </w:rPr>
      </w:pPr>
    </w:p>
    <w:p>
      <w:pPr>
        <w:jc w:val="center"/>
        <w:rPr>
          <w:b/>
          <w:color w:val="auto"/>
          <w:sz w:val="24"/>
        </w:rPr>
      </w:pPr>
    </w:p>
    <w:p>
      <w:pPr>
        <w:jc w:val="center"/>
        <w:rPr>
          <w:b/>
          <w:color w:val="auto"/>
          <w:sz w:val="24"/>
        </w:rPr>
      </w:pPr>
    </w:p>
    <w:p>
      <w:pPr>
        <w:pStyle w:val="2"/>
        <w:rPr>
          <w:b/>
          <w:color w:val="auto"/>
          <w:sz w:val="24"/>
        </w:rPr>
      </w:pPr>
    </w:p>
    <w:p>
      <w:pPr>
        <w:rPr>
          <w:b/>
          <w:color w:val="auto"/>
          <w:sz w:val="24"/>
        </w:rPr>
      </w:pPr>
    </w:p>
    <w:p>
      <w:pPr>
        <w:rPr>
          <w:b/>
          <w:color w:val="auto"/>
          <w:sz w:val="24"/>
        </w:rPr>
      </w:pPr>
    </w:p>
    <w:p>
      <w:pPr>
        <w:jc w:val="center"/>
        <w:rPr>
          <w:b/>
          <w:color w:val="auto"/>
          <w:sz w:val="24"/>
        </w:rPr>
      </w:pPr>
    </w:p>
    <w:p>
      <w:pPr>
        <w:jc w:val="center"/>
        <w:rPr>
          <w:b/>
          <w:color w:val="auto"/>
          <w:sz w:val="24"/>
        </w:rPr>
      </w:pPr>
      <w:r>
        <w:rPr>
          <w:b/>
          <w:color w:val="auto"/>
          <w:sz w:val="24"/>
        </w:rPr>
        <w:t>图</w:t>
      </w:r>
      <w:r>
        <w:rPr>
          <w:rFonts w:hint="eastAsia"/>
          <w:b/>
          <w:color w:val="auto"/>
          <w:sz w:val="24"/>
        </w:rPr>
        <w:t>6</w:t>
      </w:r>
      <w:r>
        <w:rPr>
          <w:b/>
          <w:color w:val="auto"/>
          <w:sz w:val="24"/>
        </w:rPr>
        <w:t>-2  年平均风速月变化情况一览表    单位：m/s</w:t>
      </w:r>
    </w:p>
    <w:p>
      <w:pPr>
        <w:spacing w:line="520" w:lineRule="exact"/>
        <w:ind w:firstLine="480" w:firstLineChars="200"/>
        <w:rPr>
          <w:color w:val="auto"/>
          <w:sz w:val="24"/>
        </w:rPr>
      </w:pPr>
      <w:r>
        <w:rPr>
          <w:color w:val="auto"/>
          <w:sz w:val="24"/>
        </w:rPr>
        <w:t>③风向、风频</w:t>
      </w:r>
    </w:p>
    <w:p>
      <w:pPr>
        <w:spacing w:line="520" w:lineRule="exact"/>
        <w:ind w:firstLine="480" w:firstLineChars="200"/>
        <w:rPr>
          <w:b/>
          <w:color w:val="auto"/>
          <w:sz w:val="24"/>
        </w:rPr>
      </w:pPr>
      <w:r>
        <w:rPr>
          <w:color w:val="auto"/>
          <w:sz w:val="24"/>
        </w:rPr>
        <w:t>根据宁国市气象站提供的气象观测资料，统计出区域内每月、各季及长期平均各风向频率变化情况变化见下表所示。</w:t>
      </w:r>
    </w:p>
    <w:p>
      <w:pPr>
        <w:jc w:val="center"/>
        <w:rPr>
          <w:b/>
          <w:color w:val="auto"/>
          <w:sz w:val="24"/>
        </w:rPr>
      </w:pPr>
      <w:r>
        <w:rPr>
          <w:rFonts w:hint="eastAsia"/>
          <w:b/>
          <w:color w:val="auto"/>
          <w:sz w:val="24"/>
        </w:rPr>
        <w:t>表6</w:t>
      </w:r>
      <w:r>
        <w:rPr>
          <w:b/>
          <w:color w:val="auto"/>
          <w:sz w:val="24"/>
        </w:rPr>
        <w:t>-4  全年及各季风向频率变化一览表    单位：%</w:t>
      </w:r>
    </w:p>
    <w:tbl>
      <w:tblPr>
        <w:tblStyle w:val="53"/>
        <w:tblW w:w="0" w:type="auto"/>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101"/>
        <w:gridCol w:w="650"/>
        <w:gridCol w:w="650"/>
        <w:gridCol w:w="663"/>
        <w:gridCol w:w="650"/>
        <w:gridCol w:w="663"/>
        <w:gridCol w:w="649"/>
        <w:gridCol w:w="650"/>
        <w:gridCol w:w="663"/>
        <w:gridCol w:w="650"/>
        <w:gridCol w:w="663"/>
        <w:gridCol w:w="650"/>
        <w:gridCol w:w="650"/>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18" w:hRule="atLeast"/>
          <w:jc w:val="center"/>
        </w:trPr>
        <w:tc>
          <w:tcPr>
            <w:tcW w:w="1101" w:type="dxa"/>
            <w:vAlign w:val="center"/>
          </w:tcPr>
          <w:p>
            <w:pPr>
              <w:pStyle w:val="107"/>
              <w:ind w:left="247" w:right="232"/>
              <w:jc w:val="center"/>
              <w:rPr>
                <w:color w:val="auto"/>
                <w:sz w:val="18"/>
              </w:rPr>
            </w:pPr>
            <w:r>
              <w:rPr>
                <w:color w:val="auto"/>
                <w:sz w:val="18"/>
              </w:rPr>
              <w:t>月份风向</w:t>
            </w:r>
          </w:p>
        </w:tc>
        <w:tc>
          <w:tcPr>
            <w:tcW w:w="650" w:type="dxa"/>
            <w:vAlign w:val="center"/>
          </w:tcPr>
          <w:p>
            <w:pPr>
              <w:pStyle w:val="107"/>
              <w:jc w:val="center"/>
              <w:rPr>
                <w:color w:val="auto"/>
                <w:sz w:val="18"/>
              </w:rPr>
            </w:pPr>
            <w:r>
              <w:rPr>
                <w:color w:val="auto"/>
                <w:sz w:val="18"/>
              </w:rPr>
              <w:t>1 月</w:t>
            </w:r>
          </w:p>
        </w:tc>
        <w:tc>
          <w:tcPr>
            <w:tcW w:w="650" w:type="dxa"/>
            <w:vAlign w:val="center"/>
          </w:tcPr>
          <w:p>
            <w:pPr>
              <w:pStyle w:val="107"/>
              <w:jc w:val="center"/>
              <w:rPr>
                <w:color w:val="auto"/>
                <w:sz w:val="18"/>
              </w:rPr>
            </w:pPr>
            <w:r>
              <w:rPr>
                <w:color w:val="auto"/>
                <w:sz w:val="18"/>
              </w:rPr>
              <w:t>2 月</w:t>
            </w:r>
          </w:p>
        </w:tc>
        <w:tc>
          <w:tcPr>
            <w:tcW w:w="663" w:type="dxa"/>
            <w:vAlign w:val="center"/>
          </w:tcPr>
          <w:p>
            <w:pPr>
              <w:pStyle w:val="107"/>
              <w:jc w:val="center"/>
              <w:rPr>
                <w:color w:val="auto"/>
                <w:sz w:val="18"/>
              </w:rPr>
            </w:pPr>
            <w:r>
              <w:rPr>
                <w:color w:val="auto"/>
                <w:sz w:val="18"/>
              </w:rPr>
              <w:t>3 月</w:t>
            </w:r>
          </w:p>
        </w:tc>
        <w:tc>
          <w:tcPr>
            <w:tcW w:w="650" w:type="dxa"/>
            <w:vAlign w:val="center"/>
          </w:tcPr>
          <w:p>
            <w:pPr>
              <w:pStyle w:val="107"/>
              <w:jc w:val="center"/>
              <w:rPr>
                <w:color w:val="auto"/>
                <w:sz w:val="18"/>
              </w:rPr>
            </w:pPr>
            <w:r>
              <w:rPr>
                <w:color w:val="auto"/>
                <w:sz w:val="18"/>
              </w:rPr>
              <w:t>4 月</w:t>
            </w:r>
          </w:p>
        </w:tc>
        <w:tc>
          <w:tcPr>
            <w:tcW w:w="663" w:type="dxa"/>
            <w:vAlign w:val="center"/>
          </w:tcPr>
          <w:p>
            <w:pPr>
              <w:pStyle w:val="107"/>
              <w:jc w:val="center"/>
              <w:rPr>
                <w:color w:val="auto"/>
                <w:sz w:val="18"/>
              </w:rPr>
            </w:pPr>
            <w:r>
              <w:rPr>
                <w:color w:val="auto"/>
                <w:sz w:val="18"/>
              </w:rPr>
              <w:t>5 月</w:t>
            </w:r>
          </w:p>
        </w:tc>
        <w:tc>
          <w:tcPr>
            <w:tcW w:w="649" w:type="dxa"/>
            <w:vAlign w:val="center"/>
          </w:tcPr>
          <w:p>
            <w:pPr>
              <w:pStyle w:val="107"/>
              <w:jc w:val="center"/>
              <w:rPr>
                <w:color w:val="auto"/>
                <w:sz w:val="18"/>
              </w:rPr>
            </w:pPr>
            <w:r>
              <w:rPr>
                <w:color w:val="auto"/>
                <w:sz w:val="18"/>
              </w:rPr>
              <w:t>6 月</w:t>
            </w:r>
          </w:p>
        </w:tc>
        <w:tc>
          <w:tcPr>
            <w:tcW w:w="650" w:type="dxa"/>
            <w:vAlign w:val="center"/>
          </w:tcPr>
          <w:p>
            <w:pPr>
              <w:pStyle w:val="107"/>
              <w:jc w:val="center"/>
              <w:rPr>
                <w:color w:val="auto"/>
                <w:sz w:val="18"/>
              </w:rPr>
            </w:pPr>
            <w:r>
              <w:rPr>
                <w:color w:val="auto"/>
                <w:sz w:val="18"/>
              </w:rPr>
              <w:t>7 月</w:t>
            </w:r>
          </w:p>
        </w:tc>
        <w:tc>
          <w:tcPr>
            <w:tcW w:w="663" w:type="dxa"/>
            <w:vAlign w:val="center"/>
          </w:tcPr>
          <w:p>
            <w:pPr>
              <w:pStyle w:val="107"/>
              <w:jc w:val="center"/>
              <w:rPr>
                <w:color w:val="auto"/>
                <w:sz w:val="18"/>
              </w:rPr>
            </w:pPr>
            <w:r>
              <w:rPr>
                <w:color w:val="auto"/>
                <w:sz w:val="18"/>
              </w:rPr>
              <w:t>8 月</w:t>
            </w:r>
          </w:p>
        </w:tc>
        <w:tc>
          <w:tcPr>
            <w:tcW w:w="650" w:type="dxa"/>
            <w:vAlign w:val="center"/>
          </w:tcPr>
          <w:p>
            <w:pPr>
              <w:pStyle w:val="107"/>
              <w:jc w:val="center"/>
              <w:rPr>
                <w:color w:val="auto"/>
                <w:sz w:val="18"/>
              </w:rPr>
            </w:pPr>
            <w:r>
              <w:rPr>
                <w:color w:val="auto"/>
                <w:sz w:val="18"/>
              </w:rPr>
              <w:t>9 月</w:t>
            </w:r>
          </w:p>
        </w:tc>
        <w:tc>
          <w:tcPr>
            <w:tcW w:w="663" w:type="dxa"/>
            <w:vAlign w:val="center"/>
          </w:tcPr>
          <w:p>
            <w:pPr>
              <w:pStyle w:val="107"/>
              <w:jc w:val="center"/>
              <w:rPr>
                <w:color w:val="auto"/>
                <w:sz w:val="18"/>
              </w:rPr>
            </w:pPr>
            <w:r>
              <w:rPr>
                <w:color w:val="auto"/>
                <w:sz w:val="18"/>
              </w:rPr>
              <w:t>10 月</w:t>
            </w:r>
          </w:p>
        </w:tc>
        <w:tc>
          <w:tcPr>
            <w:tcW w:w="650" w:type="dxa"/>
            <w:vAlign w:val="center"/>
          </w:tcPr>
          <w:p>
            <w:pPr>
              <w:pStyle w:val="107"/>
              <w:jc w:val="center"/>
              <w:rPr>
                <w:color w:val="auto"/>
                <w:sz w:val="18"/>
              </w:rPr>
            </w:pPr>
            <w:r>
              <w:rPr>
                <w:color w:val="auto"/>
                <w:sz w:val="18"/>
              </w:rPr>
              <w:t>11 月</w:t>
            </w:r>
          </w:p>
        </w:tc>
        <w:tc>
          <w:tcPr>
            <w:tcW w:w="650" w:type="dxa"/>
            <w:vAlign w:val="center"/>
          </w:tcPr>
          <w:p>
            <w:pPr>
              <w:pStyle w:val="107"/>
              <w:jc w:val="center"/>
              <w:rPr>
                <w:color w:val="auto"/>
                <w:sz w:val="18"/>
              </w:rPr>
            </w:pPr>
            <w:r>
              <w:rPr>
                <w:color w:val="auto"/>
                <w:sz w:val="18"/>
              </w:rPr>
              <w:t>12 月</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7" w:hRule="atLeast"/>
          <w:jc w:val="center"/>
        </w:trPr>
        <w:tc>
          <w:tcPr>
            <w:tcW w:w="1101" w:type="dxa"/>
            <w:vAlign w:val="center"/>
          </w:tcPr>
          <w:p>
            <w:pPr>
              <w:pStyle w:val="107"/>
              <w:ind w:left="24"/>
              <w:jc w:val="center"/>
              <w:rPr>
                <w:color w:val="auto"/>
                <w:sz w:val="18"/>
              </w:rPr>
            </w:pPr>
            <w:r>
              <w:rPr>
                <w:color w:val="auto"/>
                <w:w w:val="99"/>
                <w:sz w:val="18"/>
              </w:rPr>
              <w:t>N</w:t>
            </w:r>
          </w:p>
        </w:tc>
        <w:tc>
          <w:tcPr>
            <w:tcW w:w="650" w:type="dxa"/>
            <w:vAlign w:val="center"/>
          </w:tcPr>
          <w:p>
            <w:pPr>
              <w:pStyle w:val="107"/>
              <w:ind w:left="138" w:right="108"/>
              <w:jc w:val="center"/>
              <w:rPr>
                <w:color w:val="auto"/>
                <w:sz w:val="18"/>
              </w:rPr>
            </w:pPr>
            <w:r>
              <w:rPr>
                <w:color w:val="auto"/>
                <w:sz w:val="18"/>
              </w:rPr>
              <w:t>23.39</w:t>
            </w:r>
          </w:p>
        </w:tc>
        <w:tc>
          <w:tcPr>
            <w:tcW w:w="650" w:type="dxa"/>
            <w:vAlign w:val="center"/>
          </w:tcPr>
          <w:p>
            <w:pPr>
              <w:pStyle w:val="107"/>
              <w:ind w:left="153" w:right="123"/>
              <w:jc w:val="center"/>
              <w:rPr>
                <w:color w:val="auto"/>
                <w:sz w:val="18"/>
              </w:rPr>
            </w:pPr>
            <w:r>
              <w:rPr>
                <w:color w:val="auto"/>
                <w:sz w:val="18"/>
              </w:rPr>
              <w:t>7.76</w:t>
            </w:r>
          </w:p>
        </w:tc>
        <w:tc>
          <w:tcPr>
            <w:tcW w:w="663" w:type="dxa"/>
            <w:vAlign w:val="center"/>
          </w:tcPr>
          <w:p>
            <w:pPr>
              <w:pStyle w:val="107"/>
              <w:ind w:left="153" w:right="109"/>
              <w:jc w:val="center"/>
              <w:rPr>
                <w:color w:val="auto"/>
                <w:sz w:val="18"/>
              </w:rPr>
            </w:pPr>
            <w:r>
              <w:rPr>
                <w:color w:val="auto"/>
                <w:sz w:val="18"/>
              </w:rPr>
              <w:t>9.68</w:t>
            </w:r>
          </w:p>
        </w:tc>
        <w:tc>
          <w:tcPr>
            <w:tcW w:w="650" w:type="dxa"/>
            <w:vAlign w:val="center"/>
          </w:tcPr>
          <w:p>
            <w:pPr>
              <w:pStyle w:val="107"/>
              <w:ind w:left="217"/>
              <w:jc w:val="center"/>
              <w:rPr>
                <w:color w:val="auto"/>
                <w:sz w:val="18"/>
              </w:rPr>
            </w:pPr>
            <w:r>
              <w:rPr>
                <w:color w:val="auto"/>
                <w:sz w:val="18"/>
              </w:rPr>
              <w:t>2.50</w:t>
            </w:r>
          </w:p>
        </w:tc>
        <w:tc>
          <w:tcPr>
            <w:tcW w:w="663" w:type="dxa"/>
            <w:vAlign w:val="center"/>
          </w:tcPr>
          <w:p>
            <w:pPr>
              <w:pStyle w:val="107"/>
              <w:ind w:left="153" w:right="109"/>
              <w:jc w:val="center"/>
              <w:rPr>
                <w:color w:val="auto"/>
                <w:sz w:val="18"/>
              </w:rPr>
            </w:pPr>
            <w:r>
              <w:rPr>
                <w:color w:val="auto"/>
                <w:sz w:val="18"/>
              </w:rPr>
              <w:t>4.84</w:t>
            </w:r>
          </w:p>
        </w:tc>
        <w:tc>
          <w:tcPr>
            <w:tcW w:w="649" w:type="dxa"/>
            <w:vAlign w:val="center"/>
          </w:tcPr>
          <w:p>
            <w:pPr>
              <w:pStyle w:val="107"/>
              <w:ind w:left="137" w:right="107"/>
              <w:jc w:val="center"/>
              <w:rPr>
                <w:color w:val="auto"/>
                <w:sz w:val="18"/>
              </w:rPr>
            </w:pPr>
            <w:r>
              <w:rPr>
                <w:color w:val="auto"/>
                <w:sz w:val="18"/>
              </w:rPr>
              <w:t>8.33</w:t>
            </w:r>
          </w:p>
        </w:tc>
        <w:tc>
          <w:tcPr>
            <w:tcW w:w="650" w:type="dxa"/>
            <w:vAlign w:val="center"/>
          </w:tcPr>
          <w:p>
            <w:pPr>
              <w:pStyle w:val="107"/>
              <w:ind w:left="153" w:right="123"/>
              <w:jc w:val="center"/>
              <w:rPr>
                <w:color w:val="auto"/>
                <w:sz w:val="18"/>
              </w:rPr>
            </w:pPr>
            <w:r>
              <w:rPr>
                <w:color w:val="auto"/>
                <w:sz w:val="18"/>
              </w:rPr>
              <w:t>1.61</w:t>
            </w:r>
          </w:p>
        </w:tc>
        <w:tc>
          <w:tcPr>
            <w:tcW w:w="663" w:type="dxa"/>
            <w:vAlign w:val="center"/>
          </w:tcPr>
          <w:p>
            <w:pPr>
              <w:pStyle w:val="107"/>
              <w:ind w:left="153" w:right="107"/>
              <w:jc w:val="center"/>
              <w:rPr>
                <w:color w:val="auto"/>
                <w:sz w:val="18"/>
              </w:rPr>
            </w:pPr>
            <w:r>
              <w:rPr>
                <w:color w:val="auto"/>
                <w:sz w:val="18"/>
              </w:rPr>
              <w:t>5.65</w:t>
            </w:r>
          </w:p>
        </w:tc>
        <w:tc>
          <w:tcPr>
            <w:tcW w:w="650" w:type="dxa"/>
            <w:vAlign w:val="center"/>
          </w:tcPr>
          <w:p>
            <w:pPr>
              <w:pStyle w:val="107"/>
              <w:ind w:left="153" w:right="123"/>
              <w:jc w:val="center"/>
              <w:rPr>
                <w:color w:val="auto"/>
                <w:sz w:val="18"/>
              </w:rPr>
            </w:pPr>
            <w:r>
              <w:rPr>
                <w:color w:val="auto"/>
                <w:sz w:val="18"/>
              </w:rPr>
              <w:t>8.33</w:t>
            </w:r>
          </w:p>
        </w:tc>
        <w:tc>
          <w:tcPr>
            <w:tcW w:w="663" w:type="dxa"/>
            <w:vAlign w:val="center"/>
          </w:tcPr>
          <w:p>
            <w:pPr>
              <w:pStyle w:val="107"/>
              <w:ind w:left="153" w:right="107"/>
              <w:jc w:val="center"/>
              <w:rPr>
                <w:color w:val="auto"/>
                <w:sz w:val="18"/>
              </w:rPr>
            </w:pPr>
            <w:r>
              <w:rPr>
                <w:color w:val="auto"/>
                <w:sz w:val="18"/>
              </w:rPr>
              <w:t>5.65</w:t>
            </w:r>
          </w:p>
        </w:tc>
        <w:tc>
          <w:tcPr>
            <w:tcW w:w="650" w:type="dxa"/>
            <w:vAlign w:val="center"/>
          </w:tcPr>
          <w:p>
            <w:pPr>
              <w:pStyle w:val="107"/>
              <w:ind w:left="218"/>
              <w:jc w:val="center"/>
              <w:rPr>
                <w:color w:val="auto"/>
                <w:sz w:val="18"/>
              </w:rPr>
            </w:pPr>
            <w:r>
              <w:rPr>
                <w:color w:val="auto"/>
                <w:sz w:val="18"/>
              </w:rPr>
              <w:t>7.50</w:t>
            </w:r>
          </w:p>
        </w:tc>
        <w:tc>
          <w:tcPr>
            <w:tcW w:w="650" w:type="dxa"/>
            <w:vAlign w:val="center"/>
          </w:tcPr>
          <w:p>
            <w:pPr>
              <w:pStyle w:val="107"/>
              <w:ind w:left="153" w:right="123"/>
              <w:jc w:val="center"/>
              <w:rPr>
                <w:color w:val="auto"/>
                <w:sz w:val="18"/>
              </w:rPr>
            </w:pPr>
            <w:r>
              <w:rPr>
                <w:color w:val="auto"/>
                <w:sz w:val="18"/>
              </w:rPr>
              <w:t>8.87</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4" w:hRule="atLeast"/>
          <w:jc w:val="center"/>
        </w:trPr>
        <w:tc>
          <w:tcPr>
            <w:tcW w:w="1101" w:type="dxa"/>
            <w:vAlign w:val="center"/>
          </w:tcPr>
          <w:p>
            <w:pPr>
              <w:pStyle w:val="107"/>
              <w:ind w:left="64" w:right="25"/>
              <w:jc w:val="center"/>
              <w:rPr>
                <w:color w:val="auto"/>
                <w:sz w:val="18"/>
              </w:rPr>
            </w:pPr>
            <w:r>
              <w:rPr>
                <w:color w:val="auto"/>
                <w:sz w:val="18"/>
              </w:rPr>
              <w:t>NNE</w:t>
            </w:r>
          </w:p>
        </w:tc>
        <w:tc>
          <w:tcPr>
            <w:tcW w:w="650" w:type="dxa"/>
            <w:vAlign w:val="center"/>
          </w:tcPr>
          <w:p>
            <w:pPr>
              <w:pStyle w:val="107"/>
              <w:ind w:left="138" w:right="108"/>
              <w:jc w:val="center"/>
              <w:rPr>
                <w:color w:val="auto"/>
                <w:sz w:val="18"/>
              </w:rPr>
            </w:pPr>
            <w:r>
              <w:rPr>
                <w:color w:val="auto"/>
                <w:sz w:val="18"/>
              </w:rPr>
              <w:t>10.48</w:t>
            </w:r>
          </w:p>
        </w:tc>
        <w:tc>
          <w:tcPr>
            <w:tcW w:w="650" w:type="dxa"/>
            <w:vAlign w:val="center"/>
          </w:tcPr>
          <w:p>
            <w:pPr>
              <w:pStyle w:val="107"/>
              <w:ind w:left="153" w:right="123"/>
              <w:jc w:val="center"/>
              <w:rPr>
                <w:color w:val="auto"/>
                <w:sz w:val="18"/>
              </w:rPr>
            </w:pPr>
            <w:r>
              <w:rPr>
                <w:color w:val="auto"/>
                <w:sz w:val="18"/>
              </w:rPr>
              <w:t>1.72</w:t>
            </w:r>
          </w:p>
        </w:tc>
        <w:tc>
          <w:tcPr>
            <w:tcW w:w="663" w:type="dxa"/>
            <w:vAlign w:val="center"/>
          </w:tcPr>
          <w:p>
            <w:pPr>
              <w:pStyle w:val="107"/>
              <w:ind w:left="153" w:right="109"/>
              <w:jc w:val="center"/>
              <w:rPr>
                <w:color w:val="auto"/>
                <w:sz w:val="18"/>
              </w:rPr>
            </w:pPr>
            <w:r>
              <w:rPr>
                <w:color w:val="auto"/>
                <w:sz w:val="18"/>
              </w:rPr>
              <w:t>7.26</w:t>
            </w:r>
          </w:p>
        </w:tc>
        <w:tc>
          <w:tcPr>
            <w:tcW w:w="650" w:type="dxa"/>
            <w:vAlign w:val="center"/>
          </w:tcPr>
          <w:p>
            <w:pPr>
              <w:pStyle w:val="107"/>
              <w:ind w:left="217"/>
              <w:jc w:val="center"/>
              <w:rPr>
                <w:color w:val="auto"/>
                <w:sz w:val="18"/>
              </w:rPr>
            </w:pPr>
            <w:r>
              <w:rPr>
                <w:color w:val="auto"/>
                <w:sz w:val="18"/>
              </w:rPr>
              <w:t>8.33</w:t>
            </w:r>
          </w:p>
        </w:tc>
        <w:tc>
          <w:tcPr>
            <w:tcW w:w="663" w:type="dxa"/>
            <w:vAlign w:val="center"/>
          </w:tcPr>
          <w:p>
            <w:pPr>
              <w:pStyle w:val="107"/>
              <w:ind w:left="153" w:right="109"/>
              <w:jc w:val="center"/>
              <w:rPr>
                <w:color w:val="auto"/>
                <w:sz w:val="18"/>
              </w:rPr>
            </w:pPr>
            <w:r>
              <w:rPr>
                <w:color w:val="auto"/>
                <w:sz w:val="18"/>
              </w:rPr>
              <w:t>5.65</w:t>
            </w:r>
          </w:p>
        </w:tc>
        <w:tc>
          <w:tcPr>
            <w:tcW w:w="649" w:type="dxa"/>
            <w:vAlign w:val="center"/>
          </w:tcPr>
          <w:p>
            <w:pPr>
              <w:pStyle w:val="107"/>
              <w:ind w:left="137" w:right="107"/>
              <w:jc w:val="center"/>
              <w:rPr>
                <w:color w:val="auto"/>
                <w:sz w:val="18"/>
              </w:rPr>
            </w:pPr>
            <w:r>
              <w:rPr>
                <w:color w:val="auto"/>
                <w:sz w:val="18"/>
              </w:rPr>
              <w:t>5.83</w:t>
            </w:r>
          </w:p>
        </w:tc>
        <w:tc>
          <w:tcPr>
            <w:tcW w:w="650" w:type="dxa"/>
            <w:vAlign w:val="center"/>
          </w:tcPr>
          <w:p>
            <w:pPr>
              <w:pStyle w:val="107"/>
              <w:ind w:left="153" w:right="123"/>
              <w:jc w:val="center"/>
              <w:rPr>
                <w:color w:val="auto"/>
                <w:sz w:val="18"/>
              </w:rPr>
            </w:pPr>
            <w:r>
              <w:rPr>
                <w:color w:val="auto"/>
                <w:sz w:val="18"/>
              </w:rPr>
              <w:t>0.00</w:t>
            </w:r>
          </w:p>
        </w:tc>
        <w:tc>
          <w:tcPr>
            <w:tcW w:w="663" w:type="dxa"/>
            <w:vAlign w:val="center"/>
          </w:tcPr>
          <w:p>
            <w:pPr>
              <w:pStyle w:val="107"/>
              <w:ind w:left="153" w:right="107"/>
              <w:jc w:val="center"/>
              <w:rPr>
                <w:color w:val="auto"/>
                <w:sz w:val="18"/>
              </w:rPr>
            </w:pPr>
            <w:r>
              <w:rPr>
                <w:color w:val="auto"/>
                <w:sz w:val="18"/>
              </w:rPr>
              <w:t>4.84</w:t>
            </w:r>
          </w:p>
        </w:tc>
        <w:tc>
          <w:tcPr>
            <w:tcW w:w="650" w:type="dxa"/>
            <w:vAlign w:val="center"/>
          </w:tcPr>
          <w:p>
            <w:pPr>
              <w:pStyle w:val="107"/>
              <w:ind w:left="153" w:right="123"/>
              <w:jc w:val="center"/>
              <w:rPr>
                <w:color w:val="auto"/>
                <w:sz w:val="18"/>
              </w:rPr>
            </w:pPr>
            <w:r>
              <w:rPr>
                <w:color w:val="auto"/>
                <w:sz w:val="18"/>
              </w:rPr>
              <w:t>7.50</w:t>
            </w:r>
          </w:p>
        </w:tc>
        <w:tc>
          <w:tcPr>
            <w:tcW w:w="663" w:type="dxa"/>
            <w:vAlign w:val="center"/>
          </w:tcPr>
          <w:p>
            <w:pPr>
              <w:pStyle w:val="107"/>
              <w:ind w:left="153" w:right="107"/>
              <w:jc w:val="center"/>
              <w:rPr>
                <w:color w:val="auto"/>
                <w:sz w:val="18"/>
              </w:rPr>
            </w:pPr>
            <w:r>
              <w:rPr>
                <w:color w:val="auto"/>
                <w:sz w:val="18"/>
              </w:rPr>
              <w:t>8.06</w:t>
            </w:r>
          </w:p>
        </w:tc>
        <w:tc>
          <w:tcPr>
            <w:tcW w:w="650" w:type="dxa"/>
            <w:vAlign w:val="center"/>
          </w:tcPr>
          <w:p>
            <w:pPr>
              <w:pStyle w:val="107"/>
              <w:ind w:left="218"/>
              <w:jc w:val="center"/>
              <w:rPr>
                <w:color w:val="auto"/>
                <w:sz w:val="18"/>
              </w:rPr>
            </w:pPr>
            <w:r>
              <w:rPr>
                <w:color w:val="auto"/>
                <w:sz w:val="18"/>
              </w:rPr>
              <w:t>4.17</w:t>
            </w:r>
          </w:p>
        </w:tc>
        <w:tc>
          <w:tcPr>
            <w:tcW w:w="650" w:type="dxa"/>
            <w:vAlign w:val="center"/>
          </w:tcPr>
          <w:p>
            <w:pPr>
              <w:pStyle w:val="107"/>
              <w:ind w:left="153" w:right="123"/>
              <w:jc w:val="center"/>
              <w:rPr>
                <w:color w:val="auto"/>
                <w:sz w:val="18"/>
              </w:rPr>
            </w:pPr>
            <w:r>
              <w:rPr>
                <w:color w:val="auto"/>
                <w:sz w:val="18"/>
              </w:rPr>
              <w:t>4.03</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59" w:hRule="atLeast"/>
          <w:jc w:val="center"/>
        </w:trPr>
        <w:tc>
          <w:tcPr>
            <w:tcW w:w="1101" w:type="dxa"/>
            <w:vAlign w:val="center"/>
          </w:tcPr>
          <w:p>
            <w:pPr>
              <w:pStyle w:val="107"/>
              <w:ind w:left="64" w:right="40"/>
              <w:jc w:val="center"/>
              <w:rPr>
                <w:color w:val="auto"/>
                <w:sz w:val="18"/>
              </w:rPr>
            </w:pPr>
            <w:r>
              <w:rPr>
                <w:color w:val="auto"/>
                <w:sz w:val="18"/>
              </w:rPr>
              <w:t>NE</w:t>
            </w:r>
          </w:p>
        </w:tc>
        <w:tc>
          <w:tcPr>
            <w:tcW w:w="650" w:type="dxa"/>
            <w:vAlign w:val="center"/>
          </w:tcPr>
          <w:p>
            <w:pPr>
              <w:pStyle w:val="107"/>
              <w:ind w:left="153" w:right="123"/>
              <w:jc w:val="center"/>
              <w:rPr>
                <w:color w:val="auto"/>
                <w:sz w:val="18"/>
              </w:rPr>
            </w:pPr>
            <w:r>
              <w:rPr>
                <w:color w:val="auto"/>
                <w:sz w:val="18"/>
              </w:rPr>
              <w:t>4.03</w:t>
            </w:r>
          </w:p>
        </w:tc>
        <w:tc>
          <w:tcPr>
            <w:tcW w:w="650" w:type="dxa"/>
            <w:vAlign w:val="center"/>
          </w:tcPr>
          <w:p>
            <w:pPr>
              <w:pStyle w:val="107"/>
              <w:ind w:left="153" w:right="123"/>
              <w:jc w:val="center"/>
              <w:rPr>
                <w:color w:val="auto"/>
                <w:sz w:val="18"/>
              </w:rPr>
            </w:pPr>
            <w:r>
              <w:rPr>
                <w:color w:val="auto"/>
                <w:sz w:val="18"/>
              </w:rPr>
              <w:t>2.59</w:t>
            </w:r>
          </w:p>
        </w:tc>
        <w:tc>
          <w:tcPr>
            <w:tcW w:w="663" w:type="dxa"/>
            <w:vAlign w:val="center"/>
          </w:tcPr>
          <w:p>
            <w:pPr>
              <w:pStyle w:val="107"/>
              <w:ind w:left="153" w:right="109"/>
              <w:jc w:val="center"/>
              <w:rPr>
                <w:color w:val="auto"/>
                <w:sz w:val="18"/>
              </w:rPr>
            </w:pPr>
            <w:r>
              <w:rPr>
                <w:color w:val="auto"/>
                <w:sz w:val="18"/>
              </w:rPr>
              <w:t>6.45</w:t>
            </w:r>
          </w:p>
        </w:tc>
        <w:tc>
          <w:tcPr>
            <w:tcW w:w="650" w:type="dxa"/>
            <w:vAlign w:val="center"/>
          </w:tcPr>
          <w:p>
            <w:pPr>
              <w:pStyle w:val="107"/>
              <w:ind w:left="217"/>
              <w:jc w:val="center"/>
              <w:rPr>
                <w:color w:val="auto"/>
                <w:sz w:val="18"/>
              </w:rPr>
            </w:pPr>
            <w:r>
              <w:rPr>
                <w:color w:val="auto"/>
                <w:sz w:val="18"/>
              </w:rPr>
              <w:t>6.67</w:t>
            </w:r>
          </w:p>
        </w:tc>
        <w:tc>
          <w:tcPr>
            <w:tcW w:w="663" w:type="dxa"/>
            <w:vAlign w:val="center"/>
          </w:tcPr>
          <w:p>
            <w:pPr>
              <w:pStyle w:val="107"/>
              <w:ind w:left="153" w:right="109"/>
              <w:jc w:val="center"/>
              <w:rPr>
                <w:color w:val="auto"/>
                <w:sz w:val="18"/>
              </w:rPr>
            </w:pPr>
            <w:r>
              <w:rPr>
                <w:color w:val="auto"/>
                <w:sz w:val="18"/>
              </w:rPr>
              <w:t>5.65</w:t>
            </w:r>
          </w:p>
        </w:tc>
        <w:tc>
          <w:tcPr>
            <w:tcW w:w="649" w:type="dxa"/>
            <w:vAlign w:val="center"/>
          </w:tcPr>
          <w:p>
            <w:pPr>
              <w:pStyle w:val="107"/>
              <w:ind w:left="137" w:right="107"/>
              <w:jc w:val="center"/>
              <w:rPr>
                <w:color w:val="auto"/>
                <w:sz w:val="18"/>
              </w:rPr>
            </w:pPr>
            <w:r>
              <w:rPr>
                <w:color w:val="auto"/>
                <w:sz w:val="18"/>
              </w:rPr>
              <w:t>4.17</w:t>
            </w:r>
          </w:p>
        </w:tc>
        <w:tc>
          <w:tcPr>
            <w:tcW w:w="650" w:type="dxa"/>
            <w:vAlign w:val="center"/>
          </w:tcPr>
          <w:p>
            <w:pPr>
              <w:pStyle w:val="107"/>
              <w:ind w:left="153" w:right="123"/>
              <w:jc w:val="center"/>
              <w:rPr>
                <w:color w:val="auto"/>
                <w:sz w:val="18"/>
              </w:rPr>
            </w:pPr>
            <w:r>
              <w:rPr>
                <w:color w:val="auto"/>
                <w:sz w:val="18"/>
              </w:rPr>
              <w:t>3.23</w:t>
            </w:r>
          </w:p>
        </w:tc>
        <w:tc>
          <w:tcPr>
            <w:tcW w:w="663" w:type="dxa"/>
            <w:vAlign w:val="center"/>
          </w:tcPr>
          <w:p>
            <w:pPr>
              <w:pStyle w:val="107"/>
              <w:ind w:left="153" w:right="107"/>
              <w:jc w:val="center"/>
              <w:rPr>
                <w:color w:val="auto"/>
                <w:sz w:val="18"/>
              </w:rPr>
            </w:pPr>
            <w:r>
              <w:rPr>
                <w:color w:val="auto"/>
                <w:sz w:val="18"/>
              </w:rPr>
              <w:t>3.23</w:t>
            </w:r>
          </w:p>
        </w:tc>
        <w:tc>
          <w:tcPr>
            <w:tcW w:w="650" w:type="dxa"/>
            <w:vAlign w:val="center"/>
          </w:tcPr>
          <w:p>
            <w:pPr>
              <w:pStyle w:val="107"/>
              <w:ind w:left="138" w:right="108"/>
              <w:jc w:val="center"/>
              <w:rPr>
                <w:color w:val="auto"/>
                <w:sz w:val="18"/>
              </w:rPr>
            </w:pPr>
            <w:r>
              <w:rPr>
                <w:color w:val="auto"/>
                <w:sz w:val="18"/>
              </w:rPr>
              <w:t>12.50</w:t>
            </w:r>
          </w:p>
        </w:tc>
        <w:tc>
          <w:tcPr>
            <w:tcW w:w="663" w:type="dxa"/>
            <w:vAlign w:val="center"/>
          </w:tcPr>
          <w:p>
            <w:pPr>
              <w:pStyle w:val="107"/>
              <w:ind w:left="153" w:right="107"/>
              <w:jc w:val="center"/>
              <w:rPr>
                <w:color w:val="auto"/>
                <w:sz w:val="18"/>
              </w:rPr>
            </w:pPr>
            <w:r>
              <w:rPr>
                <w:color w:val="auto"/>
                <w:sz w:val="18"/>
              </w:rPr>
              <w:t>4.84</w:t>
            </w:r>
          </w:p>
        </w:tc>
        <w:tc>
          <w:tcPr>
            <w:tcW w:w="650" w:type="dxa"/>
            <w:vAlign w:val="center"/>
          </w:tcPr>
          <w:p>
            <w:pPr>
              <w:pStyle w:val="107"/>
              <w:ind w:left="218"/>
              <w:jc w:val="center"/>
              <w:rPr>
                <w:color w:val="auto"/>
                <w:sz w:val="18"/>
              </w:rPr>
            </w:pPr>
            <w:r>
              <w:rPr>
                <w:color w:val="auto"/>
                <w:sz w:val="18"/>
              </w:rPr>
              <w:t>2.50</w:t>
            </w:r>
          </w:p>
        </w:tc>
        <w:tc>
          <w:tcPr>
            <w:tcW w:w="650" w:type="dxa"/>
            <w:vAlign w:val="center"/>
          </w:tcPr>
          <w:p>
            <w:pPr>
              <w:pStyle w:val="107"/>
              <w:ind w:left="153" w:right="123"/>
              <w:jc w:val="center"/>
              <w:rPr>
                <w:color w:val="auto"/>
                <w:sz w:val="18"/>
              </w:rPr>
            </w:pPr>
            <w:r>
              <w:rPr>
                <w:color w:val="auto"/>
                <w:sz w:val="18"/>
              </w:rPr>
              <w:t>3.23</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59" w:hRule="atLeast"/>
          <w:jc w:val="center"/>
        </w:trPr>
        <w:tc>
          <w:tcPr>
            <w:tcW w:w="1101" w:type="dxa"/>
            <w:vAlign w:val="center"/>
          </w:tcPr>
          <w:p>
            <w:pPr>
              <w:pStyle w:val="107"/>
              <w:ind w:left="64" w:right="30"/>
              <w:jc w:val="center"/>
              <w:rPr>
                <w:color w:val="auto"/>
                <w:sz w:val="18"/>
              </w:rPr>
            </w:pPr>
            <w:r>
              <w:rPr>
                <w:color w:val="auto"/>
                <w:sz w:val="18"/>
              </w:rPr>
              <w:t>ENE</w:t>
            </w:r>
          </w:p>
        </w:tc>
        <w:tc>
          <w:tcPr>
            <w:tcW w:w="650" w:type="dxa"/>
            <w:vAlign w:val="center"/>
          </w:tcPr>
          <w:p>
            <w:pPr>
              <w:pStyle w:val="107"/>
              <w:ind w:left="153" w:right="123"/>
              <w:jc w:val="center"/>
              <w:rPr>
                <w:color w:val="auto"/>
                <w:sz w:val="18"/>
              </w:rPr>
            </w:pPr>
            <w:r>
              <w:rPr>
                <w:color w:val="auto"/>
                <w:sz w:val="18"/>
              </w:rPr>
              <w:t>4.84</w:t>
            </w:r>
          </w:p>
        </w:tc>
        <w:tc>
          <w:tcPr>
            <w:tcW w:w="650" w:type="dxa"/>
            <w:vAlign w:val="center"/>
          </w:tcPr>
          <w:p>
            <w:pPr>
              <w:pStyle w:val="107"/>
              <w:ind w:left="153" w:right="123"/>
              <w:jc w:val="center"/>
              <w:rPr>
                <w:color w:val="auto"/>
                <w:sz w:val="18"/>
              </w:rPr>
            </w:pPr>
            <w:r>
              <w:rPr>
                <w:color w:val="auto"/>
                <w:sz w:val="18"/>
              </w:rPr>
              <w:t>3.45</w:t>
            </w:r>
          </w:p>
        </w:tc>
        <w:tc>
          <w:tcPr>
            <w:tcW w:w="663" w:type="dxa"/>
            <w:vAlign w:val="center"/>
          </w:tcPr>
          <w:p>
            <w:pPr>
              <w:pStyle w:val="107"/>
              <w:ind w:left="153" w:right="109"/>
              <w:jc w:val="center"/>
              <w:rPr>
                <w:color w:val="auto"/>
                <w:sz w:val="18"/>
              </w:rPr>
            </w:pPr>
            <w:r>
              <w:rPr>
                <w:color w:val="auto"/>
                <w:sz w:val="18"/>
              </w:rPr>
              <w:t>2.42</w:t>
            </w:r>
          </w:p>
        </w:tc>
        <w:tc>
          <w:tcPr>
            <w:tcW w:w="650" w:type="dxa"/>
            <w:vAlign w:val="center"/>
          </w:tcPr>
          <w:p>
            <w:pPr>
              <w:pStyle w:val="107"/>
              <w:ind w:left="217"/>
              <w:jc w:val="center"/>
              <w:rPr>
                <w:color w:val="auto"/>
                <w:sz w:val="18"/>
              </w:rPr>
            </w:pPr>
            <w:r>
              <w:rPr>
                <w:color w:val="auto"/>
                <w:sz w:val="18"/>
              </w:rPr>
              <w:t>2.50</w:t>
            </w:r>
          </w:p>
        </w:tc>
        <w:tc>
          <w:tcPr>
            <w:tcW w:w="663" w:type="dxa"/>
            <w:vAlign w:val="center"/>
          </w:tcPr>
          <w:p>
            <w:pPr>
              <w:pStyle w:val="107"/>
              <w:ind w:left="153" w:right="109"/>
              <w:jc w:val="center"/>
              <w:rPr>
                <w:color w:val="auto"/>
                <w:sz w:val="18"/>
              </w:rPr>
            </w:pPr>
            <w:r>
              <w:rPr>
                <w:color w:val="auto"/>
                <w:sz w:val="18"/>
              </w:rPr>
              <w:t>4.03</w:t>
            </w:r>
          </w:p>
        </w:tc>
        <w:tc>
          <w:tcPr>
            <w:tcW w:w="649" w:type="dxa"/>
            <w:vAlign w:val="center"/>
          </w:tcPr>
          <w:p>
            <w:pPr>
              <w:pStyle w:val="107"/>
              <w:ind w:left="137" w:right="107"/>
              <w:jc w:val="center"/>
              <w:rPr>
                <w:color w:val="auto"/>
                <w:sz w:val="18"/>
              </w:rPr>
            </w:pPr>
            <w:r>
              <w:rPr>
                <w:color w:val="auto"/>
                <w:sz w:val="18"/>
              </w:rPr>
              <w:t>4.17</w:t>
            </w:r>
          </w:p>
        </w:tc>
        <w:tc>
          <w:tcPr>
            <w:tcW w:w="650" w:type="dxa"/>
            <w:vAlign w:val="center"/>
          </w:tcPr>
          <w:p>
            <w:pPr>
              <w:pStyle w:val="107"/>
              <w:ind w:left="153" w:right="123"/>
              <w:jc w:val="center"/>
              <w:rPr>
                <w:color w:val="auto"/>
                <w:sz w:val="18"/>
              </w:rPr>
            </w:pPr>
            <w:r>
              <w:rPr>
                <w:color w:val="auto"/>
                <w:sz w:val="18"/>
              </w:rPr>
              <w:t>7.26</w:t>
            </w:r>
          </w:p>
        </w:tc>
        <w:tc>
          <w:tcPr>
            <w:tcW w:w="663" w:type="dxa"/>
            <w:vAlign w:val="center"/>
          </w:tcPr>
          <w:p>
            <w:pPr>
              <w:pStyle w:val="107"/>
              <w:ind w:left="153" w:right="107"/>
              <w:jc w:val="center"/>
              <w:rPr>
                <w:color w:val="auto"/>
                <w:sz w:val="18"/>
              </w:rPr>
            </w:pPr>
            <w:r>
              <w:rPr>
                <w:color w:val="auto"/>
                <w:sz w:val="18"/>
              </w:rPr>
              <w:t>3.23</w:t>
            </w:r>
          </w:p>
        </w:tc>
        <w:tc>
          <w:tcPr>
            <w:tcW w:w="650" w:type="dxa"/>
            <w:vAlign w:val="center"/>
          </w:tcPr>
          <w:p>
            <w:pPr>
              <w:pStyle w:val="107"/>
              <w:ind w:left="153" w:right="123"/>
              <w:jc w:val="center"/>
              <w:rPr>
                <w:color w:val="auto"/>
                <w:sz w:val="18"/>
              </w:rPr>
            </w:pPr>
            <w:r>
              <w:rPr>
                <w:color w:val="auto"/>
                <w:sz w:val="18"/>
              </w:rPr>
              <w:t>8.33</w:t>
            </w:r>
          </w:p>
        </w:tc>
        <w:tc>
          <w:tcPr>
            <w:tcW w:w="663" w:type="dxa"/>
            <w:vAlign w:val="center"/>
          </w:tcPr>
          <w:p>
            <w:pPr>
              <w:pStyle w:val="107"/>
              <w:ind w:left="153" w:right="107"/>
              <w:jc w:val="center"/>
              <w:rPr>
                <w:color w:val="auto"/>
                <w:sz w:val="18"/>
              </w:rPr>
            </w:pPr>
            <w:r>
              <w:rPr>
                <w:color w:val="auto"/>
                <w:sz w:val="18"/>
              </w:rPr>
              <w:t>0.81</w:t>
            </w:r>
          </w:p>
        </w:tc>
        <w:tc>
          <w:tcPr>
            <w:tcW w:w="650" w:type="dxa"/>
            <w:vAlign w:val="center"/>
          </w:tcPr>
          <w:p>
            <w:pPr>
              <w:pStyle w:val="107"/>
              <w:ind w:left="218"/>
              <w:jc w:val="center"/>
              <w:rPr>
                <w:color w:val="auto"/>
                <w:sz w:val="18"/>
              </w:rPr>
            </w:pPr>
            <w:r>
              <w:rPr>
                <w:color w:val="auto"/>
                <w:sz w:val="18"/>
              </w:rPr>
              <w:t>0.00</w:t>
            </w:r>
          </w:p>
        </w:tc>
        <w:tc>
          <w:tcPr>
            <w:tcW w:w="650" w:type="dxa"/>
            <w:vAlign w:val="center"/>
          </w:tcPr>
          <w:p>
            <w:pPr>
              <w:pStyle w:val="107"/>
              <w:ind w:left="153" w:right="123"/>
              <w:jc w:val="center"/>
              <w:rPr>
                <w:color w:val="auto"/>
                <w:sz w:val="18"/>
              </w:rPr>
            </w:pPr>
            <w:r>
              <w:rPr>
                <w:color w:val="auto"/>
                <w:sz w:val="18"/>
              </w:rPr>
              <w:t>0.81</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4" w:hRule="atLeast"/>
          <w:jc w:val="center"/>
        </w:trPr>
        <w:tc>
          <w:tcPr>
            <w:tcW w:w="1101" w:type="dxa"/>
            <w:vAlign w:val="center"/>
          </w:tcPr>
          <w:p>
            <w:pPr>
              <w:pStyle w:val="107"/>
              <w:ind w:left="34"/>
              <w:jc w:val="center"/>
              <w:rPr>
                <w:color w:val="auto"/>
                <w:sz w:val="18"/>
              </w:rPr>
            </w:pPr>
            <w:r>
              <w:rPr>
                <w:color w:val="auto"/>
                <w:sz w:val="18"/>
              </w:rPr>
              <w:t>E</w:t>
            </w:r>
          </w:p>
        </w:tc>
        <w:tc>
          <w:tcPr>
            <w:tcW w:w="650" w:type="dxa"/>
            <w:vAlign w:val="center"/>
          </w:tcPr>
          <w:p>
            <w:pPr>
              <w:pStyle w:val="107"/>
              <w:ind w:left="153" w:right="123"/>
              <w:jc w:val="center"/>
              <w:rPr>
                <w:color w:val="auto"/>
                <w:sz w:val="18"/>
              </w:rPr>
            </w:pPr>
            <w:r>
              <w:rPr>
                <w:color w:val="auto"/>
                <w:sz w:val="18"/>
              </w:rPr>
              <w:t>2.42</w:t>
            </w:r>
          </w:p>
        </w:tc>
        <w:tc>
          <w:tcPr>
            <w:tcW w:w="650" w:type="dxa"/>
            <w:vAlign w:val="center"/>
          </w:tcPr>
          <w:p>
            <w:pPr>
              <w:pStyle w:val="107"/>
              <w:ind w:left="153" w:right="123"/>
              <w:jc w:val="center"/>
              <w:rPr>
                <w:color w:val="auto"/>
                <w:sz w:val="18"/>
              </w:rPr>
            </w:pPr>
            <w:r>
              <w:rPr>
                <w:color w:val="auto"/>
                <w:sz w:val="18"/>
              </w:rPr>
              <w:t>0.00</w:t>
            </w:r>
          </w:p>
        </w:tc>
        <w:tc>
          <w:tcPr>
            <w:tcW w:w="663" w:type="dxa"/>
            <w:vAlign w:val="center"/>
          </w:tcPr>
          <w:p>
            <w:pPr>
              <w:pStyle w:val="107"/>
              <w:ind w:left="153" w:right="109"/>
              <w:jc w:val="center"/>
              <w:rPr>
                <w:color w:val="auto"/>
                <w:sz w:val="18"/>
              </w:rPr>
            </w:pPr>
            <w:r>
              <w:rPr>
                <w:color w:val="auto"/>
                <w:sz w:val="18"/>
              </w:rPr>
              <w:t>2.42</w:t>
            </w:r>
          </w:p>
        </w:tc>
        <w:tc>
          <w:tcPr>
            <w:tcW w:w="650" w:type="dxa"/>
            <w:vAlign w:val="center"/>
          </w:tcPr>
          <w:p>
            <w:pPr>
              <w:pStyle w:val="107"/>
              <w:ind w:left="217"/>
              <w:jc w:val="center"/>
              <w:rPr>
                <w:color w:val="auto"/>
                <w:sz w:val="18"/>
              </w:rPr>
            </w:pPr>
            <w:r>
              <w:rPr>
                <w:color w:val="auto"/>
                <w:sz w:val="18"/>
              </w:rPr>
              <w:t>7.50</w:t>
            </w:r>
          </w:p>
        </w:tc>
        <w:tc>
          <w:tcPr>
            <w:tcW w:w="663" w:type="dxa"/>
            <w:vAlign w:val="center"/>
          </w:tcPr>
          <w:p>
            <w:pPr>
              <w:pStyle w:val="107"/>
              <w:ind w:left="153" w:right="109"/>
              <w:jc w:val="center"/>
              <w:rPr>
                <w:color w:val="auto"/>
                <w:sz w:val="18"/>
              </w:rPr>
            </w:pPr>
            <w:r>
              <w:rPr>
                <w:color w:val="auto"/>
                <w:sz w:val="18"/>
              </w:rPr>
              <w:t>4.03</w:t>
            </w:r>
          </w:p>
        </w:tc>
        <w:tc>
          <w:tcPr>
            <w:tcW w:w="649" w:type="dxa"/>
            <w:vAlign w:val="center"/>
          </w:tcPr>
          <w:p>
            <w:pPr>
              <w:pStyle w:val="107"/>
              <w:ind w:left="137" w:right="107"/>
              <w:jc w:val="center"/>
              <w:rPr>
                <w:color w:val="auto"/>
                <w:sz w:val="18"/>
              </w:rPr>
            </w:pPr>
            <w:r>
              <w:rPr>
                <w:color w:val="auto"/>
                <w:sz w:val="18"/>
              </w:rPr>
              <w:t>5.83</w:t>
            </w:r>
          </w:p>
        </w:tc>
        <w:tc>
          <w:tcPr>
            <w:tcW w:w="650" w:type="dxa"/>
            <w:vAlign w:val="center"/>
          </w:tcPr>
          <w:p>
            <w:pPr>
              <w:pStyle w:val="107"/>
              <w:ind w:left="153" w:right="123"/>
              <w:jc w:val="center"/>
              <w:rPr>
                <w:color w:val="auto"/>
                <w:sz w:val="18"/>
              </w:rPr>
            </w:pPr>
            <w:r>
              <w:rPr>
                <w:color w:val="auto"/>
                <w:sz w:val="18"/>
              </w:rPr>
              <w:t>0.81</w:t>
            </w:r>
          </w:p>
        </w:tc>
        <w:tc>
          <w:tcPr>
            <w:tcW w:w="663" w:type="dxa"/>
            <w:vAlign w:val="center"/>
          </w:tcPr>
          <w:p>
            <w:pPr>
              <w:pStyle w:val="107"/>
              <w:ind w:left="153" w:right="107"/>
              <w:jc w:val="center"/>
              <w:rPr>
                <w:color w:val="auto"/>
                <w:sz w:val="18"/>
              </w:rPr>
            </w:pPr>
            <w:r>
              <w:rPr>
                <w:color w:val="auto"/>
                <w:sz w:val="18"/>
              </w:rPr>
              <w:t>4.03</w:t>
            </w:r>
          </w:p>
        </w:tc>
        <w:tc>
          <w:tcPr>
            <w:tcW w:w="650" w:type="dxa"/>
            <w:vAlign w:val="center"/>
          </w:tcPr>
          <w:p>
            <w:pPr>
              <w:pStyle w:val="107"/>
              <w:ind w:left="153" w:right="123"/>
              <w:jc w:val="center"/>
              <w:rPr>
                <w:color w:val="auto"/>
                <w:sz w:val="18"/>
              </w:rPr>
            </w:pPr>
            <w:r>
              <w:rPr>
                <w:color w:val="auto"/>
                <w:sz w:val="18"/>
              </w:rPr>
              <w:t>3.33</w:t>
            </w:r>
          </w:p>
        </w:tc>
        <w:tc>
          <w:tcPr>
            <w:tcW w:w="663" w:type="dxa"/>
            <w:vAlign w:val="center"/>
          </w:tcPr>
          <w:p>
            <w:pPr>
              <w:pStyle w:val="107"/>
              <w:ind w:left="153" w:right="107"/>
              <w:jc w:val="center"/>
              <w:rPr>
                <w:color w:val="auto"/>
                <w:sz w:val="18"/>
              </w:rPr>
            </w:pPr>
            <w:r>
              <w:rPr>
                <w:color w:val="auto"/>
                <w:sz w:val="18"/>
              </w:rPr>
              <w:t>2.42</w:t>
            </w:r>
          </w:p>
        </w:tc>
        <w:tc>
          <w:tcPr>
            <w:tcW w:w="650" w:type="dxa"/>
            <w:vAlign w:val="center"/>
          </w:tcPr>
          <w:p>
            <w:pPr>
              <w:pStyle w:val="107"/>
              <w:ind w:left="218"/>
              <w:jc w:val="center"/>
              <w:rPr>
                <w:color w:val="auto"/>
                <w:sz w:val="18"/>
              </w:rPr>
            </w:pPr>
            <w:r>
              <w:rPr>
                <w:color w:val="auto"/>
                <w:sz w:val="18"/>
              </w:rPr>
              <w:t>1.67</w:t>
            </w:r>
          </w:p>
        </w:tc>
        <w:tc>
          <w:tcPr>
            <w:tcW w:w="650" w:type="dxa"/>
            <w:vAlign w:val="center"/>
          </w:tcPr>
          <w:p>
            <w:pPr>
              <w:pStyle w:val="107"/>
              <w:ind w:left="153" w:right="123"/>
              <w:jc w:val="center"/>
              <w:rPr>
                <w:color w:val="auto"/>
                <w:sz w:val="18"/>
              </w:rPr>
            </w:pPr>
            <w:r>
              <w:rPr>
                <w:color w:val="auto"/>
                <w:sz w:val="18"/>
              </w:rPr>
              <w:t>1.61</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59" w:hRule="atLeast"/>
          <w:jc w:val="center"/>
        </w:trPr>
        <w:tc>
          <w:tcPr>
            <w:tcW w:w="1101" w:type="dxa"/>
            <w:vAlign w:val="center"/>
          </w:tcPr>
          <w:p>
            <w:pPr>
              <w:pStyle w:val="107"/>
              <w:ind w:left="64" w:right="45"/>
              <w:jc w:val="center"/>
              <w:rPr>
                <w:color w:val="auto"/>
                <w:sz w:val="18"/>
              </w:rPr>
            </w:pPr>
            <w:r>
              <w:rPr>
                <w:color w:val="auto"/>
                <w:sz w:val="18"/>
              </w:rPr>
              <w:t>ESE</w:t>
            </w:r>
          </w:p>
        </w:tc>
        <w:tc>
          <w:tcPr>
            <w:tcW w:w="650" w:type="dxa"/>
            <w:vAlign w:val="center"/>
          </w:tcPr>
          <w:p>
            <w:pPr>
              <w:pStyle w:val="107"/>
              <w:ind w:left="153" w:right="123"/>
              <w:jc w:val="center"/>
              <w:rPr>
                <w:color w:val="auto"/>
                <w:sz w:val="18"/>
              </w:rPr>
            </w:pPr>
            <w:r>
              <w:rPr>
                <w:color w:val="auto"/>
                <w:sz w:val="18"/>
              </w:rPr>
              <w:t>1.61</w:t>
            </w:r>
          </w:p>
        </w:tc>
        <w:tc>
          <w:tcPr>
            <w:tcW w:w="650" w:type="dxa"/>
            <w:vAlign w:val="center"/>
          </w:tcPr>
          <w:p>
            <w:pPr>
              <w:pStyle w:val="107"/>
              <w:ind w:left="138" w:right="109"/>
              <w:jc w:val="center"/>
              <w:rPr>
                <w:color w:val="auto"/>
                <w:sz w:val="18"/>
              </w:rPr>
            </w:pPr>
            <w:r>
              <w:rPr>
                <w:color w:val="auto"/>
                <w:sz w:val="18"/>
              </w:rPr>
              <w:t>12.93</w:t>
            </w:r>
          </w:p>
        </w:tc>
        <w:tc>
          <w:tcPr>
            <w:tcW w:w="663" w:type="dxa"/>
            <w:vAlign w:val="center"/>
          </w:tcPr>
          <w:p>
            <w:pPr>
              <w:pStyle w:val="107"/>
              <w:ind w:left="153" w:right="109"/>
              <w:jc w:val="center"/>
              <w:rPr>
                <w:color w:val="auto"/>
                <w:sz w:val="18"/>
              </w:rPr>
            </w:pPr>
            <w:r>
              <w:rPr>
                <w:color w:val="auto"/>
                <w:sz w:val="18"/>
              </w:rPr>
              <w:t>8.06</w:t>
            </w:r>
          </w:p>
        </w:tc>
        <w:tc>
          <w:tcPr>
            <w:tcW w:w="650" w:type="dxa"/>
            <w:vAlign w:val="center"/>
          </w:tcPr>
          <w:p>
            <w:pPr>
              <w:pStyle w:val="107"/>
              <w:ind w:left="217"/>
              <w:jc w:val="center"/>
              <w:rPr>
                <w:color w:val="auto"/>
                <w:sz w:val="18"/>
              </w:rPr>
            </w:pPr>
            <w:r>
              <w:rPr>
                <w:color w:val="auto"/>
                <w:sz w:val="18"/>
              </w:rPr>
              <w:t>8.33</w:t>
            </w:r>
          </w:p>
        </w:tc>
        <w:tc>
          <w:tcPr>
            <w:tcW w:w="663" w:type="dxa"/>
            <w:vAlign w:val="center"/>
          </w:tcPr>
          <w:p>
            <w:pPr>
              <w:pStyle w:val="107"/>
              <w:ind w:left="153" w:right="109"/>
              <w:jc w:val="center"/>
              <w:rPr>
                <w:color w:val="auto"/>
                <w:sz w:val="18"/>
              </w:rPr>
            </w:pPr>
            <w:r>
              <w:rPr>
                <w:color w:val="auto"/>
                <w:sz w:val="18"/>
              </w:rPr>
              <w:t>1.61</w:t>
            </w:r>
          </w:p>
        </w:tc>
        <w:tc>
          <w:tcPr>
            <w:tcW w:w="649" w:type="dxa"/>
            <w:vAlign w:val="center"/>
          </w:tcPr>
          <w:p>
            <w:pPr>
              <w:pStyle w:val="107"/>
              <w:ind w:left="137" w:right="107"/>
              <w:jc w:val="center"/>
              <w:rPr>
                <w:color w:val="auto"/>
                <w:sz w:val="18"/>
              </w:rPr>
            </w:pPr>
            <w:r>
              <w:rPr>
                <w:color w:val="auto"/>
                <w:sz w:val="18"/>
              </w:rPr>
              <w:t>6.67</w:t>
            </w:r>
          </w:p>
        </w:tc>
        <w:tc>
          <w:tcPr>
            <w:tcW w:w="650" w:type="dxa"/>
            <w:vAlign w:val="center"/>
          </w:tcPr>
          <w:p>
            <w:pPr>
              <w:pStyle w:val="107"/>
              <w:ind w:left="153" w:right="123"/>
              <w:jc w:val="center"/>
              <w:rPr>
                <w:color w:val="auto"/>
                <w:sz w:val="18"/>
              </w:rPr>
            </w:pPr>
            <w:r>
              <w:rPr>
                <w:color w:val="auto"/>
                <w:sz w:val="18"/>
              </w:rPr>
              <w:t>9.68</w:t>
            </w:r>
          </w:p>
        </w:tc>
        <w:tc>
          <w:tcPr>
            <w:tcW w:w="663" w:type="dxa"/>
            <w:vAlign w:val="center"/>
          </w:tcPr>
          <w:p>
            <w:pPr>
              <w:pStyle w:val="107"/>
              <w:ind w:left="153" w:right="107"/>
              <w:jc w:val="center"/>
              <w:rPr>
                <w:color w:val="auto"/>
                <w:sz w:val="18"/>
              </w:rPr>
            </w:pPr>
            <w:r>
              <w:rPr>
                <w:color w:val="auto"/>
                <w:sz w:val="18"/>
              </w:rPr>
              <w:t>9.68</w:t>
            </w:r>
          </w:p>
        </w:tc>
        <w:tc>
          <w:tcPr>
            <w:tcW w:w="650" w:type="dxa"/>
            <w:vAlign w:val="center"/>
          </w:tcPr>
          <w:p>
            <w:pPr>
              <w:pStyle w:val="107"/>
              <w:ind w:left="153" w:right="123"/>
              <w:jc w:val="center"/>
              <w:rPr>
                <w:color w:val="auto"/>
                <w:sz w:val="18"/>
              </w:rPr>
            </w:pPr>
            <w:r>
              <w:rPr>
                <w:color w:val="auto"/>
                <w:sz w:val="18"/>
              </w:rPr>
              <w:t>2.50</w:t>
            </w:r>
          </w:p>
        </w:tc>
        <w:tc>
          <w:tcPr>
            <w:tcW w:w="663" w:type="dxa"/>
            <w:vAlign w:val="center"/>
          </w:tcPr>
          <w:p>
            <w:pPr>
              <w:pStyle w:val="107"/>
              <w:ind w:left="153" w:right="107"/>
              <w:jc w:val="center"/>
              <w:rPr>
                <w:color w:val="auto"/>
                <w:sz w:val="18"/>
              </w:rPr>
            </w:pPr>
            <w:r>
              <w:rPr>
                <w:color w:val="auto"/>
                <w:sz w:val="18"/>
              </w:rPr>
              <w:t>4.84</w:t>
            </w:r>
          </w:p>
        </w:tc>
        <w:tc>
          <w:tcPr>
            <w:tcW w:w="650" w:type="dxa"/>
            <w:vAlign w:val="center"/>
          </w:tcPr>
          <w:p>
            <w:pPr>
              <w:pStyle w:val="107"/>
              <w:ind w:left="218"/>
              <w:jc w:val="center"/>
              <w:rPr>
                <w:color w:val="auto"/>
                <w:sz w:val="18"/>
              </w:rPr>
            </w:pPr>
            <w:r>
              <w:rPr>
                <w:color w:val="auto"/>
                <w:sz w:val="18"/>
              </w:rPr>
              <w:t>6.67</w:t>
            </w:r>
          </w:p>
        </w:tc>
        <w:tc>
          <w:tcPr>
            <w:tcW w:w="650" w:type="dxa"/>
            <w:vAlign w:val="center"/>
          </w:tcPr>
          <w:p>
            <w:pPr>
              <w:pStyle w:val="107"/>
              <w:ind w:left="153" w:right="123"/>
              <w:jc w:val="center"/>
              <w:rPr>
                <w:color w:val="auto"/>
                <w:sz w:val="18"/>
              </w:rPr>
            </w:pPr>
            <w:r>
              <w:rPr>
                <w:color w:val="auto"/>
                <w:sz w:val="18"/>
              </w:rPr>
              <w:t>7.26</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59" w:hRule="atLeast"/>
          <w:jc w:val="center"/>
        </w:trPr>
        <w:tc>
          <w:tcPr>
            <w:tcW w:w="1101" w:type="dxa"/>
            <w:vAlign w:val="center"/>
          </w:tcPr>
          <w:p>
            <w:pPr>
              <w:pStyle w:val="107"/>
              <w:ind w:left="51" w:right="54"/>
              <w:jc w:val="center"/>
              <w:rPr>
                <w:color w:val="auto"/>
                <w:sz w:val="18"/>
              </w:rPr>
            </w:pPr>
            <w:r>
              <w:rPr>
                <w:color w:val="auto"/>
                <w:sz w:val="18"/>
              </w:rPr>
              <w:t>SE</w:t>
            </w:r>
          </w:p>
        </w:tc>
        <w:tc>
          <w:tcPr>
            <w:tcW w:w="650" w:type="dxa"/>
            <w:vAlign w:val="center"/>
          </w:tcPr>
          <w:p>
            <w:pPr>
              <w:pStyle w:val="107"/>
              <w:ind w:left="153" w:right="123"/>
              <w:jc w:val="center"/>
              <w:rPr>
                <w:color w:val="auto"/>
                <w:sz w:val="18"/>
              </w:rPr>
            </w:pPr>
            <w:r>
              <w:rPr>
                <w:color w:val="auto"/>
                <w:sz w:val="18"/>
              </w:rPr>
              <w:t>4.03</w:t>
            </w:r>
          </w:p>
        </w:tc>
        <w:tc>
          <w:tcPr>
            <w:tcW w:w="650" w:type="dxa"/>
            <w:vAlign w:val="center"/>
          </w:tcPr>
          <w:p>
            <w:pPr>
              <w:pStyle w:val="107"/>
              <w:ind w:left="153" w:right="123"/>
              <w:jc w:val="center"/>
              <w:rPr>
                <w:color w:val="auto"/>
                <w:sz w:val="18"/>
              </w:rPr>
            </w:pPr>
            <w:r>
              <w:rPr>
                <w:color w:val="auto"/>
                <w:sz w:val="18"/>
              </w:rPr>
              <w:t>8.62</w:t>
            </w:r>
          </w:p>
        </w:tc>
        <w:tc>
          <w:tcPr>
            <w:tcW w:w="663" w:type="dxa"/>
            <w:vAlign w:val="center"/>
          </w:tcPr>
          <w:p>
            <w:pPr>
              <w:pStyle w:val="107"/>
              <w:ind w:left="153" w:right="109"/>
              <w:jc w:val="center"/>
              <w:rPr>
                <w:color w:val="auto"/>
                <w:sz w:val="18"/>
              </w:rPr>
            </w:pPr>
            <w:r>
              <w:rPr>
                <w:color w:val="auto"/>
                <w:sz w:val="18"/>
              </w:rPr>
              <w:t>15.32</w:t>
            </w:r>
          </w:p>
        </w:tc>
        <w:tc>
          <w:tcPr>
            <w:tcW w:w="650" w:type="dxa"/>
            <w:vAlign w:val="center"/>
          </w:tcPr>
          <w:p>
            <w:pPr>
              <w:pStyle w:val="107"/>
              <w:ind w:left="217"/>
              <w:jc w:val="center"/>
              <w:rPr>
                <w:color w:val="auto"/>
                <w:sz w:val="18"/>
              </w:rPr>
            </w:pPr>
            <w:r>
              <w:rPr>
                <w:color w:val="auto"/>
                <w:sz w:val="18"/>
              </w:rPr>
              <w:t>8.33</w:t>
            </w:r>
          </w:p>
        </w:tc>
        <w:tc>
          <w:tcPr>
            <w:tcW w:w="663" w:type="dxa"/>
            <w:vAlign w:val="center"/>
          </w:tcPr>
          <w:p>
            <w:pPr>
              <w:pStyle w:val="107"/>
              <w:ind w:left="153" w:right="109"/>
              <w:jc w:val="center"/>
              <w:rPr>
                <w:color w:val="auto"/>
                <w:sz w:val="18"/>
              </w:rPr>
            </w:pPr>
            <w:r>
              <w:rPr>
                <w:color w:val="auto"/>
                <w:sz w:val="18"/>
              </w:rPr>
              <w:t>9.68</w:t>
            </w:r>
          </w:p>
        </w:tc>
        <w:tc>
          <w:tcPr>
            <w:tcW w:w="649" w:type="dxa"/>
            <w:vAlign w:val="center"/>
          </w:tcPr>
          <w:p>
            <w:pPr>
              <w:pStyle w:val="107"/>
              <w:ind w:left="137" w:right="107"/>
              <w:jc w:val="center"/>
              <w:rPr>
                <w:color w:val="auto"/>
                <w:sz w:val="18"/>
              </w:rPr>
            </w:pPr>
            <w:r>
              <w:rPr>
                <w:color w:val="auto"/>
                <w:sz w:val="18"/>
              </w:rPr>
              <w:t>7.50</w:t>
            </w:r>
          </w:p>
        </w:tc>
        <w:tc>
          <w:tcPr>
            <w:tcW w:w="650" w:type="dxa"/>
            <w:vAlign w:val="center"/>
          </w:tcPr>
          <w:p>
            <w:pPr>
              <w:pStyle w:val="107"/>
              <w:ind w:left="138" w:right="108"/>
              <w:jc w:val="center"/>
              <w:rPr>
                <w:color w:val="auto"/>
                <w:sz w:val="18"/>
              </w:rPr>
            </w:pPr>
            <w:r>
              <w:rPr>
                <w:color w:val="auto"/>
                <w:sz w:val="18"/>
              </w:rPr>
              <w:t>13.71</w:t>
            </w:r>
          </w:p>
        </w:tc>
        <w:tc>
          <w:tcPr>
            <w:tcW w:w="663" w:type="dxa"/>
            <w:vAlign w:val="center"/>
          </w:tcPr>
          <w:p>
            <w:pPr>
              <w:pStyle w:val="107"/>
              <w:ind w:left="153" w:right="107"/>
              <w:jc w:val="center"/>
              <w:rPr>
                <w:color w:val="auto"/>
                <w:sz w:val="18"/>
              </w:rPr>
            </w:pPr>
            <w:r>
              <w:rPr>
                <w:color w:val="auto"/>
                <w:sz w:val="18"/>
              </w:rPr>
              <w:t>11.29</w:t>
            </w:r>
          </w:p>
        </w:tc>
        <w:tc>
          <w:tcPr>
            <w:tcW w:w="650" w:type="dxa"/>
            <w:vAlign w:val="center"/>
          </w:tcPr>
          <w:p>
            <w:pPr>
              <w:pStyle w:val="107"/>
              <w:ind w:left="153" w:right="123"/>
              <w:jc w:val="center"/>
              <w:rPr>
                <w:color w:val="auto"/>
                <w:sz w:val="18"/>
              </w:rPr>
            </w:pPr>
            <w:r>
              <w:rPr>
                <w:color w:val="auto"/>
                <w:sz w:val="18"/>
              </w:rPr>
              <w:t>4.17</w:t>
            </w:r>
          </w:p>
        </w:tc>
        <w:tc>
          <w:tcPr>
            <w:tcW w:w="663" w:type="dxa"/>
            <w:vAlign w:val="center"/>
          </w:tcPr>
          <w:p>
            <w:pPr>
              <w:pStyle w:val="107"/>
              <w:ind w:left="153" w:right="107"/>
              <w:jc w:val="center"/>
              <w:rPr>
                <w:color w:val="auto"/>
                <w:sz w:val="18"/>
              </w:rPr>
            </w:pPr>
            <w:r>
              <w:rPr>
                <w:color w:val="auto"/>
                <w:sz w:val="18"/>
              </w:rPr>
              <w:t>6.45</w:t>
            </w:r>
          </w:p>
        </w:tc>
        <w:tc>
          <w:tcPr>
            <w:tcW w:w="650" w:type="dxa"/>
            <w:vAlign w:val="center"/>
          </w:tcPr>
          <w:p>
            <w:pPr>
              <w:pStyle w:val="107"/>
              <w:ind w:left="172"/>
              <w:jc w:val="center"/>
              <w:rPr>
                <w:color w:val="auto"/>
                <w:sz w:val="18"/>
              </w:rPr>
            </w:pPr>
            <w:r>
              <w:rPr>
                <w:color w:val="auto"/>
                <w:sz w:val="18"/>
              </w:rPr>
              <w:t>13.33</w:t>
            </w:r>
          </w:p>
        </w:tc>
        <w:tc>
          <w:tcPr>
            <w:tcW w:w="650" w:type="dxa"/>
            <w:vAlign w:val="center"/>
          </w:tcPr>
          <w:p>
            <w:pPr>
              <w:pStyle w:val="107"/>
              <w:ind w:left="138" w:right="108"/>
              <w:jc w:val="center"/>
              <w:rPr>
                <w:color w:val="auto"/>
                <w:sz w:val="18"/>
              </w:rPr>
            </w:pPr>
            <w:r>
              <w:rPr>
                <w:color w:val="auto"/>
                <w:sz w:val="18"/>
              </w:rPr>
              <w:t>15.32</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4" w:hRule="atLeast"/>
          <w:jc w:val="center"/>
        </w:trPr>
        <w:tc>
          <w:tcPr>
            <w:tcW w:w="1101" w:type="dxa"/>
            <w:vAlign w:val="center"/>
          </w:tcPr>
          <w:p>
            <w:pPr>
              <w:pStyle w:val="107"/>
              <w:ind w:left="64" w:right="45"/>
              <w:jc w:val="center"/>
              <w:rPr>
                <w:color w:val="auto"/>
                <w:sz w:val="18"/>
              </w:rPr>
            </w:pPr>
            <w:r>
              <w:rPr>
                <w:color w:val="auto"/>
                <w:sz w:val="18"/>
              </w:rPr>
              <w:t>SSE</w:t>
            </w:r>
          </w:p>
        </w:tc>
        <w:tc>
          <w:tcPr>
            <w:tcW w:w="650" w:type="dxa"/>
            <w:vAlign w:val="center"/>
          </w:tcPr>
          <w:p>
            <w:pPr>
              <w:pStyle w:val="107"/>
              <w:ind w:left="153" w:right="123"/>
              <w:jc w:val="center"/>
              <w:rPr>
                <w:color w:val="auto"/>
                <w:sz w:val="18"/>
              </w:rPr>
            </w:pPr>
            <w:r>
              <w:rPr>
                <w:color w:val="auto"/>
                <w:sz w:val="18"/>
              </w:rPr>
              <w:t>3.23</w:t>
            </w:r>
          </w:p>
        </w:tc>
        <w:tc>
          <w:tcPr>
            <w:tcW w:w="650" w:type="dxa"/>
            <w:vAlign w:val="center"/>
          </w:tcPr>
          <w:p>
            <w:pPr>
              <w:pStyle w:val="107"/>
              <w:ind w:left="138" w:right="109"/>
              <w:jc w:val="center"/>
              <w:rPr>
                <w:color w:val="auto"/>
                <w:sz w:val="18"/>
              </w:rPr>
            </w:pPr>
            <w:r>
              <w:rPr>
                <w:color w:val="auto"/>
                <w:sz w:val="18"/>
              </w:rPr>
              <w:t>12.07</w:t>
            </w:r>
          </w:p>
        </w:tc>
        <w:tc>
          <w:tcPr>
            <w:tcW w:w="663" w:type="dxa"/>
            <w:vAlign w:val="center"/>
          </w:tcPr>
          <w:p>
            <w:pPr>
              <w:pStyle w:val="107"/>
              <w:ind w:left="153" w:right="109"/>
              <w:jc w:val="center"/>
              <w:rPr>
                <w:color w:val="auto"/>
                <w:sz w:val="18"/>
              </w:rPr>
            </w:pPr>
            <w:r>
              <w:rPr>
                <w:color w:val="auto"/>
                <w:sz w:val="18"/>
              </w:rPr>
              <w:t>12.90</w:t>
            </w:r>
          </w:p>
        </w:tc>
        <w:tc>
          <w:tcPr>
            <w:tcW w:w="650" w:type="dxa"/>
            <w:vAlign w:val="center"/>
          </w:tcPr>
          <w:p>
            <w:pPr>
              <w:pStyle w:val="107"/>
              <w:ind w:left="217"/>
              <w:jc w:val="center"/>
              <w:rPr>
                <w:color w:val="auto"/>
                <w:sz w:val="18"/>
              </w:rPr>
            </w:pPr>
            <w:r>
              <w:rPr>
                <w:color w:val="auto"/>
                <w:sz w:val="18"/>
              </w:rPr>
              <w:t>8.33</w:t>
            </w:r>
          </w:p>
        </w:tc>
        <w:tc>
          <w:tcPr>
            <w:tcW w:w="663" w:type="dxa"/>
            <w:vAlign w:val="center"/>
          </w:tcPr>
          <w:p>
            <w:pPr>
              <w:pStyle w:val="107"/>
              <w:ind w:left="153" w:right="109"/>
              <w:jc w:val="center"/>
              <w:rPr>
                <w:color w:val="auto"/>
                <w:sz w:val="18"/>
              </w:rPr>
            </w:pPr>
            <w:r>
              <w:rPr>
                <w:color w:val="auto"/>
                <w:sz w:val="18"/>
              </w:rPr>
              <w:t>13.71</w:t>
            </w:r>
          </w:p>
        </w:tc>
        <w:tc>
          <w:tcPr>
            <w:tcW w:w="649" w:type="dxa"/>
            <w:vAlign w:val="center"/>
          </w:tcPr>
          <w:p>
            <w:pPr>
              <w:pStyle w:val="107"/>
              <w:ind w:left="137" w:right="107"/>
              <w:jc w:val="center"/>
              <w:rPr>
                <w:color w:val="auto"/>
                <w:sz w:val="18"/>
              </w:rPr>
            </w:pPr>
            <w:r>
              <w:rPr>
                <w:color w:val="auto"/>
                <w:sz w:val="18"/>
              </w:rPr>
              <w:t>5.83</w:t>
            </w:r>
          </w:p>
        </w:tc>
        <w:tc>
          <w:tcPr>
            <w:tcW w:w="650" w:type="dxa"/>
            <w:vAlign w:val="center"/>
          </w:tcPr>
          <w:p>
            <w:pPr>
              <w:pStyle w:val="107"/>
              <w:ind w:left="138" w:right="108"/>
              <w:jc w:val="center"/>
              <w:rPr>
                <w:color w:val="auto"/>
                <w:sz w:val="18"/>
              </w:rPr>
            </w:pPr>
            <w:r>
              <w:rPr>
                <w:color w:val="auto"/>
                <w:sz w:val="18"/>
              </w:rPr>
              <w:t>10.48</w:t>
            </w:r>
          </w:p>
        </w:tc>
        <w:tc>
          <w:tcPr>
            <w:tcW w:w="663" w:type="dxa"/>
            <w:vAlign w:val="center"/>
          </w:tcPr>
          <w:p>
            <w:pPr>
              <w:pStyle w:val="107"/>
              <w:ind w:left="153" w:right="107"/>
              <w:jc w:val="center"/>
              <w:rPr>
                <w:color w:val="auto"/>
                <w:sz w:val="18"/>
              </w:rPr>
            </w:pPr>
            <w:r>
              <w:rPr>
                <w:color w:val="auto"/>
                <w:sz w:val="18"/>
              </w:rPr>
              <w:t>8.06</w:t>
            </w:r>
          </w:p>
        </w:tc>
        <w:tc>
          <w:tcPr>
            <w:tcW w:w="650" w:type="dxa"/>
            <w:vAlign w:val="center"/>
          </w:tcPr>
          <w:p>
            <w:pPr>
              <w:pStyle w:val="107"/>
              <w:ind w:left="153" w:right="123"/>
              <w:jc w:val="center"/>
              <w:rPr>
                <w:color w:val="auto"/>
                <w:sz w:val="18"/>
              </w:rPr>
            </w:pPr>
            <w:r>
              <w:rPr>
                <w:color w:val="auto"/>
                <w:sz w:val="18"/>
              </w:rPr>
              <w:t>5.83</w:t>
            </w:r>
          </w:p>
        </w:tc>
        <w:tc>
          <w:tcPr>
            <w:tcW w:w="663" w:type="dxa"/>
            <w:vAlign w:val="center"/>
          </w:tcPr>
          <w:p>
            <w:pPr>
              <w:pStyle w:val="107"/>
              <w:ind w:left="153" w:right="107"/>
              <w:jc w:val="center"/>
              <w:rPr>
                <w:color w:val="auto"/>
                <w:sz w:val="18"/>
              </w:rPr>
            </w:pPr>
            <w:r>
              <w:rPr>
                <w:color w:val="auto"/>
                <w:sz w:val="18"/>
              </w:rPr>
              <w:t>10.48</w:t>
            </w:r>
          </w:p>
        </w:tc>
        <w:tc>
          <w:tcPr>
            <w:tcW w:w="650" w:type="dxa"/>
            <w:vAlign w:val="center"/>
          </w:tcPr>
          <w:p>
            <w:pPr>
              <w:pStyle w:val="107"/>
              <w:ind w:left="172"/>
              <w:jc w:val="center"/>
              <w:rPr>
                <w:color w:val="auto"/>
                <w:sz w:val="18"/>
              </w:rPr>
            </w:pPr>
            <w:r>
              <w:rPr>
                <w:color w:val="auto"/>
                <w:sz w:val="18"/>
              </w:rPr>
              <w:t>10.00</w:t>
            </w:r>
          </w:p>
        </w:tc>
        <w:tc>
          <w:tcPr>
            <w:tcW w:w="650" w:type="dxa"/>
            <w:vAlign w:val="center"/>
          </w:tcPr>
          <w:p>
            <w:pPr>
              <w:pStyle w:val="107"/>
              <w:ind w:left="153" w:right="123"/>
              <w:jc w:val="center"/>
              <w:rPr>
                <w:color w:val="auto"/>
                <w:sz w:val="18"/>
              </w:rPr>
            </w:pPr>
            <w:r>
              <w:rPr>
                <w:color w:val="auto"/>
                <w:sz w:val="18"/>
              </w:rPr>
              <w:t>7.26</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59" w:hRule="atLeast"/>
          <w:jc w:val="center"/>
        </w:trPr>
        <w:tc>
          <w:tcPr>
            <w:tcW w:w="1101" w:type="dxa"/>
            <w:vAlign w:val="center"/>
          </w:tcPr>
          <w:p>
            <w:pPr>
              <w:pStyle w:val="107"/>
              <w:ind w:left="25"/>
              <w:jc w:val="center"/>
              <w:rPr>
                <w:color w:val="auto"/>
                <w:sz w:val="18"/>
              </w:rPr>
            </w:pPr>
            <w:r>
              <w:rPr>
                <w:color w:val="auto"/>
                <w:w w:val="99"/>
                <w:sz w:val="18"/>
              </w:rPr>
              <w:t>S</w:t>
            </w:r>
          </w:p>
        </w:tc>
        <w:tc>
          <w:tcPr>
            <w:tcW w:w="650" w:type="dxa"/>
            <w:vAlign w:val="center"/>
          </w:tcPr>
          <w:p>
            <w:pPr>
              <w:pStyle w:val="107"/>
              <w:ind w:left="153" w:right="123"/>
              <w:jc w:val="center"/>
              <w:rPr>
                <w:color w:val="auto"/>
                <w:sz w:val="18"/>
              </w:rPr>
            </w:pPr>
            <w:r>
              <w:rPr>
                <w:color w:val="auto"/>
                <w:sz w:val="18"/>
              </w:rPr>
              <w:t>7.26</w:t>
            </w:r>
          </w:p>
        </w:tc>
        <w:tc>
          <w:tcPr>
            <w:tcW w:w="650" w:type="dxa"/>
            <w:vAlign w:val="center"/>
          </w:tcPr>
          <w:p>
            <w:pPr>
              <w:pStyle w:val="107"/>
              <w:ind w:left="138" w:right="109"/>
              <w:jc w:val="center"/>
              <w:rPr>
                <w:color w:val="auto"/>
                <w:sz w:val="18"/>
              </w:rPr>
            </w:pPr>
            <w:r>
              <w:rPr>
                <w:color w:val="auto"/>
                <w:sz w:val="18"/>
              </w:rPr>
              <w:t>12.07</w:t>
            </w:r>
          </w:p>
        </w:tc>
        <w:tc>
          <w:tcPr>
            <w:tcW w:w="663" w:type="dxa"/>
            <w:vAlign w:val="center"/>
          </w:tcPr>
          <w:p>
            <w:pPr>
              <w:pStyle w:val="107"/>
              <w:ind w:left="153" w:right="109"/>
              <w:jc w:val="center"/>
              <w:rPr>
                <w:color w:val="auto"/>
                <w:sz w:val="18"/>
              </w:rPr>
            </w:pPr>
            <w:r>
              <w:rPr>
                <w:color w:val="auto"/>
                <w:sz w:val="18"/>
              </w:rPr>
              <w:t>8.06</w:t>
            </w:r>
          </w:p>
        </w:tc>
        <w:tc>
          <w:tcPr>
            <w:tcW w:w="650" w:type="dxa"/>
            <w:vAlign w:val="center"/>
          </w:tcPr>
          <w:p>
            <w:pPr>
              <w:pStyle w:val="107"/>
              <w:ind w:left="217"/>
              <w:jc w:val="center"/>
              <w:rPr>
                <w:color w:val="auto"/>
                <w:sz w:val="18"/>
              </w:rPr>
            </w:pPr>
            <w:r>
              <w:rPr>
                <w:color w:val="auto"/>
                <w:sz w:val="18"/>
              </w:rPr>
              <w:t>8.33</w:t>
            </w:r>
          </w:p>
        </w:tc>
        <w:tc>
          <w:tcPr>
            <w:tcW w:w="663" w:type="dxa"/>
            <w:vAlign w:val="center"/>
          </w:tcPr>
          <w:p>
            <w:pPr>
              <w:pStyle w:val="107"/>
              <w:ind w:left="153" w:right="109"/>
              <w:jc w:val="center"/>
              <w:rPr>
                <w:color w:val="auto"/>
                <w:sz w:val="18"/>
              </w:rPr>
            </w:pPr>
            <w:r>
              <w:rPr>
                <w:color w:val="auto"/>
                <w:sz w:val="18"/>
              </w:rPr>
              <w:t>13.71</w:t>
            </w:r>
          </w:p>
        </w:tc>
        <w:tc>
          <w:tcPr>
            <w:tcW w:w="649" w:type="dxa"/>
            <w:vAlign w:val="center"/>
          </w:tcPr>
          <w:p>
            <w:pPr>
              <w:pStyle w:val="107"/>
              <w:ind w:left="137" w:right="107"/>
              <w:jc w:val="center"/>
              <w:rPr>
                <w:color w:val="auto"/>
                <w:sz w:val="18"/>
              </w:rPr>
            </w:pPr>
            <w:r>
              <w:rPr>
                <w:color w:val="auto"/>
                <w:sz w:val="18"/>
              </w:rPr>
              <w:t>10.83</w:t>
            </w:r>
          </w:p>
        </w:tc>
        <w:tc>
          <w:tcPr>
            <w:tcW w:w="650" w:type="dxa"/>
            <w:vAlign w:val="center"/>
          </w:tcPr>
          <w:p>
            <w:pPr>
              <w:pStyle w:val="107"/>
              <w:ind w:left="138" w:right="108"/>
              <w:jc w:val="center"/>
              <w:rPr>
                <w:color w:val="auto"/>
                <w:sz w:val="18"/>
              </w:rPr>
            </w:pPr>
            <w:r>
              <w:rPr>
                <w:color w:val="auto"/>
                <w:sz w:val="18"/>
              </w:rPr>
              <w:t>16.94</w:t>
            </w:r>
          </w:p>
        </w:tc>
        <w:tc>
          <w:tcPr>
            <w:tcW w:w="663" w:type="dxa"/>
            <w:vAlign w:val="center"/>
          </w:tcPr>
          <w:p>
            <w:pPr>
              <w:pStyle w:val="107"/>
              <w:ind w:left="153" w:right="107"/>
              <w:jc w:val="center"/>
              <w:rPr>
                <w:color w:val="auto"/>
                <w:sz w:val="18"/>
              </w:rPr>
            </w:pPr>
            <w:r>
              <w:rPr>
                <w:color w:val="auto"/>
                <w:sz w:val="18"/>
              </w:rPr>
              <w:t>12.10</w:t>
            </w:r>
          </w:p>
        </w:tc>
        <w:tc>
          <w:tcPr>
            <w:tcW w:w="650" w:type="dxa"/>
            <w:vAlign w:val="center"/>
          </w:tcPr>
          <w:p>
            <w:pPr>
              <w:pStyle w:val="107"/>
              <w:ind w:left="138" w:right="108"/>
              <w:jc w:val="center"/>
              <w:rPr>
                <w:color w:val="auto"/>
                <w:sz w:val="18"/>
              </w:rPr>
            </w:pPr>
            <w:r>
              <w:rPr>
                <w:color w:val="auto"/>
                <w:sz w:val="18"/>
              </w:rPr>
              <w:t>10.00</w:t>
            </w:r>
          </w:p>
        </w:tc>
        <w:tc>
          <w:tcPr>
            <w:tcW w:w="663" w:type="dxa"/>
            <w:vAlign w:val="center"/>
          </w:tcPr>
          <w:p>
            <w:pPr>
              <w:pStyle w:val="107"/>
              <w:ind w:left="153" w:right="107"/>
              <w:jc w:val="center"/>
              <w:rPr>
                <w:color w:val="auto"/>
                <w:sz w:val="18"/>
              </w:rPr>
            </w:pPr>
            <w:r>
              <w:rPr>
                <w:color w:val="auto"/>
                <w:sz w:val="18"/>
              </w:rPr>
              <w:t>10.48</w:t>
            </w:r>
          </w:p>
        </w:tc>
        <w:tc>
          <w:tcPr>
            <w:tcW w:w="650" w:type="dxa"/>
            <w:vAlign w:val="center"/>
          </w:tcPr>
          <w:p>
            <w:pPr>
              <w:pStyle w:val="107"/>
              <w:ind w:left="218"/>
              <w:jc w:val="center"/>
              <w:rPr>
                <w:color w:val="auto"/>
                <w:sz w:val="18"/>
              </w:rPr>
            </w:pPr>
            <w:r>
              <w:rPr>
                <w:color w:val="auto"/>
                <w:sz w:val="18"/>
              </w:rPr>
              <w:t>9.17</w:t>
            </w:r>
          </w:p>
        </w:tc>
        <w:tc>
          <w:tcPr>
            <w:tcW w:w="650" w:type="dxa"/>
            <w:vAlign w:val="center"/>
          </w:tcPr>
          <w:p>
            <w:pPr>
              <w:pStyle w:val="107"/>
              <w:ind w:left="138" w:right="108"/>
              <w:jc w:val="center"/>
              <w:rPr>
                <w:color w:val="auto"/>
                <w:sz w:val="18"/>
              </w:rPr>
            </w:pPr>
            <w:r>
              <w:rPr>
                <w:color w:val="auto"/>
                <w:sz w:val="18"/>
              </w:rPr>
              <w:t>11.29</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59" w:hRule="atLeast"/>
          <w:jc w:val="center"/>
        </w:trPr>
        <w:tc>
          <w:tcPr>
            <w:tcW w:w="1101" w:type="dxa"/>
            <w:vAlign w:val="center"/>
          </w:tcPr>
          <w:p>
            <w:pPr>
              <w:pStyle w:val="107"/>
              <w:ind w:left="64" w:right="45"/>
              <w:jc w:val="center"/>
              <w:rPr>
                <w:color w:val="auto"/>
                <w:sz w:val="18"/>
              </w:rPr>
            </w:pPr>
            <w:r>
              <w:rPr>
                <w:color w:val="auto"/>
                <w:sz w:val="18"/>
              </w:rPr>
              <w:t>SSW</w:t>
            </w:r>
          </w:p>
        </w:tc>
        <w:tc>
          <w:tcPr>
            <w:tcW w:w="650" w:type="dxa"/>
            <w:vAlign w:val="center"/>
          </w:tcPr>
          <w:p>
            <w:pPr>
              <w:pStyle w:val="107"/>
              <w:ind w:left="153" w:right="123"/>
              <w:jc w:val="center"/>
              <w:rPr>
                <w:color w:val="auto"/>
                <w:sz w:val="18"/>
              </w:rPr>
            </w:pPr>
            <w:r>
              <w:rPr>
                <w:color w:val="auto"/>
                <w:sz w:val="18"/>
              </w:rPr>
              <w:t>0.81</w:t>
            </w:r>
          </w:p>
        </w:tc>
        <w:tc>
          <w:tcPr>
            <w:tcW w:w="650" w:type="dxa"/>
            <w:vAlign w:val="center"/>
          </w:tcPr>
          <w:p>
            <w:pPr>
              <w:pStyle w:val="107"/>
              <w:ind w:left="153" w:right="123"/>
              <w:jc w:val="center"/>
              <w:rPr>
                <w:color w:val="auto"/>
                <w:sz w:val="18"/>
              </w:rPr>
            </w:pPr>
            <w:r>
              <w:rPr>
                <w:color w:val="auto"/>
                <w:sz w:val="18"/>
              </w:rPr>
              <w:t>1.72</w:t>
            </w:r>
          </w:p>
        </w:tc>
        <w:tc>
          <w:tcPr>
            <w:tcW w:w="663" w:type="dxa"/>
            <w:vAlign w:val="center"/>
          </w:tcPr>
          <w:p>
            <w:pPr>
              <w:pStyle w:val="107"/>
              <w:ind w:left="153" w:right="109"/>
              <w:jc w:val="center"/>
              <w:rPr>
                <w:color w:val="auto"/>
                <w:sz w:val="18"/>
              </w:rPr>
            </w:pPr>
            <w:r>
              <w:rPr>
                <w:color w:val="auto"/>
                <w:sz w:val="18"/>
              </w:rPr>
              <w:t>4.03</w:t>
            </w:r>
          </w:p>
        </w:tc>
        <w:tc>
          <w:tcPr>
            <w:tcW w:w="650" w:type="dxa"/>
            <w:vAlign w:val="center"/>
          </w:tcPr>
          <w:p>
            <w:pPr>
              <w:pStyle w:val="107"/>
              <w:ind w:left="217"/>
              <w:jc w:val="center"/>
              <w:rPr>
                <w:color w:val="auto"/>
                <w:sz w:val="18"/>
              </w:rPr>
            </w:pPr>
            <w:r>
              <w:rPr>
                <w:color w:val="auto"/>
                <w:sz w:val="18"/>
              </w:rPr>
              <w:t>6.67</w:t>
            </w:r>
          </w:p>
        </w:tc>
        <w:tc>
          <w:tcPr>
            <w:tcW w:w="663" w:type="dxa"/>
            <w:vAlign w:val="center"/>
          </w:tcPr>
          <w:p>
            <w:pPr>
              <w:pStyle w:val="107"/>
              <w:ind w:left="153" w:right="109"/>
              <w:jc w:val="center"/>
              <w:rPr>
                <w:color w:val="auto"/>
                <w:sz w:val="18"/>
              </w:rPr>
            </w:pPr>
            <w:r>
              <w:rPr>
                <w:color w:val="auto"/>
                <w:sz w:val="18"/>
              </w:rPr>
              <w:t>7.26</w:t>
            </w:r>
          </w:p>
        </w:tc>
        <w:tc>
          <w:tcPr>
            <w:tcW w:w="649" w:type="dxa"/>
            <w:vAlign w:val="center"/>
          </w:tcPr>
          <w:p>
            <w:pPr>
              <w:pStyle w:val="107"/>
              <w:ind w:left="137" w:right="107"/>
              <w:jc w:val="center"/>
              <w:rPr>
                <w:color w:val="auto"/>
                <w:sz w:val="18"/>
              </w:rPr>
            </w:pPr>
            <w:r>
              <w:rPr>
                <w:color w:val="auto"/>
                <w:sz w:val="18"/>
              </w:rPr>
              <w:t>8.33</w:t>
            </w:r>
          </w:p>
        </w:tc>
        <w:tc>
          <w:tcPr>
            <w:tcW w:w="650" w:type="dxa"/>
            <w:vAlign w:val="center"/>
          </w:tcPr>
          <w:p>
            <w:pPr>
              <w:pStyle w:val="107"/>
              <w:ind w:left="138" w:right="108"/>
              <w:jc w:val="center"/>
              <w:rPr>
                <w:color w:val="auto"/>
                <w:sz w:val="18"/>
              </w:rPr>
            </w:pPr>
            <w:r>
              <w:rPr>
                <w:color w:val="auto"/>
                <w:sz w:val="18"/>
              </w:rPr>
              <w:t>12.10</w:t>
            </w:r>
          </w:p>
        </w:tc>
        <w:tc>
          <w:tcPr>
            <w:tcW w:w="663" w:type="dxa"/>
            <w:vAlign w:val="center"/>
          </w:tcPr>
          <w:p>
            <w:pPr>
              <w:pStyle w:val="107"/>
              <w:ind w:left="153" w:right="107"/>
              <w:jc w:val="center"/>
              <w:rPr>
                <w:color w:val="auto"/>
                <w:sz w:val="18"/>
              </w:rPr>
            </w:pPr>
            <w:r>
              <w:rPr>
                <w:color w:val="auto"/>
                <w:sz w:val="18"/>
              </w:rPr>
              <w:t>8.87</w:t>
            </w:r>
          </w:p>
        </w:tc>
        <w:tc>
          <w:tcPr>
            <w:tcW w:w="650" w:type="dxa"/>
            <w:vAlign w:val="center"/>
          </w:tcPr>
          <w:p>
            <w:pPr>
              <w:pStyle w:val="107"/>
              <w:ind w:left="153" w:right="123"/>
              <w:jc w:val="center"/>
              <w:rPr>
                <w:color w:val="auto"/>
                <w:sz w:val="18"/>
              </w:rPr>
            </w:pPr>
            <w:r>
              <w:rPr>
                <w:color w:val="auto"/>
                <w:sz w:val="18"/>
              </w:rPr>
              <w:t>5.00</w:t>
            </w:r>
          </w:p>
        </w:tc>
        <w:tc>
          <w:tcPr>
            <w:tcW w:w="663" w:type="dxa"/>
            <w:vAlign w:val="center"/>
          </w:tcPr>
          <w:p>
            <w:pPr>
              <w:pStyle w:val="107"/>
              <w:ind w:left="153" w:right="107"/>
              <w:jc w:val="center"/>
              <w:rPr>
                <w:color w:val="auto"/>
                <w:sz w:val="18"/>
              </w:rPr>
            </w:pPr>
            <w:r>
              <w:rPr>
                <w:color w:val="auto"/>
                <w:sz w:val="18"/>
              </w:rPr>
              <w:t>4.03</w:t>
            </w:r>
          </w:p>
        </w:tc>
        <w:tc>
          <w:tcPr>
            <w:tcW w:w="650" w:type="dxa"/>
            <w:vAlign w:val="center"/>
          </w:tcPr>
          <w:p>
            <w:pPr>
              <w:pStyle w:val="107"/>
              <w:ind w:left="218"/>
              <w:jc w:val="center"/>
              <w:rPr>
                <w:color w:val="auto"/>
                <w:sz w:val="18"/>
              </w:rPr>
            </w:pPr>
            <w:r>
              <w:rPr>
                <w:color w:val="auto"/>
                <w:sz w:val="18"/>
              </w:rPr>
              <w:t>2.50</w:t>
            </w:r>
          </w:p>
        </w:tc>
        <w:tc>
          <w:tcPr>
            <w:tcW w:w="650" w:type="dxa"/>
            <w:vAlign w:val="center"/>
          </w:tcPr>
          <w:p>
            <w:pPr>
              <w:pStyle w:val="107"/>
              <w:ind w:left="153" w:right="123"/>
              <w:jc w:val="center"/>
              <w:rPr>
                <w:color w:val="auto"/>
                <w:sz w:val="18"/>
              </w:rPr>
            </w:pPr>
            <w:r>
              <w:rPr>
                <w:color w:val="auto"/>
                <w:sz w:val="18"/>
              </w:rPr>
              <w:t>4.84</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4" w:hRule="atLeast"/>
          <w:jc w:val="center"/>
        </w:trPr>
        <w:tc>
          <w:tcPr>
            <w:tcW w:w="1101" w:type="dxa"/>
            <w:vAlign w:val="center"/>
          </w:tcPr>
          <w:p>
            <w:pPr>
              <w:pStyle w:val="107"/>
              <w:ind w:left="51" w:right="54"/>
              <w:jc w:val="center"/>
              <w:rPr>
                <w:color w:val="auto"/>
                <w:sz w:val="18"/>
              </w:rPr>
            </w:pPr>
            <w:r>
              <w:rPr>
                <w:color w:val="auto"/>
                <w:sz w:val="18"/>
              </w:rPr>
              <w:t>SW</w:t>
            </w:r>
          </w:p>
        </w:tc>
        <w:tc>
          <w:tcPr>
            <w:tcW w:w="650" w:type="dxa"/>
            <w:vAlign w:val="center"/>
          </w:tcPr>
          <w:p>
            <w:pPr>
              <w:pStyle w:val="107"/>
              <w:ind w:left="153" w:right="123"/>
              <w:jc w:val="center"/>
              <w:rPr>
                <w:color w:val="auto"/>
                <w:sz w:val="18"/>
              </w:rPr>
            </w:pPr>
            <w:r>
              <w:rPr>
                <w:color w:val="auto"/>
                <w:sz w:val="18"/>
              </w:rPr>
              <w:t>1.61</w:t>
            </w:r>
          </w:p>
        </w:tc>
        <w:tc>
          <w:tcPr>
            <w:tcW w:w="650" w:type="dxa"/>
            <w:vAlign w:val="center"/>
          </w:tcPr>
          <w:p>
            <w:pPr>
              <w:pStyle w:val="107"/>
              <w:ind w:left="153" w:right="123"/>
              <w:jc w:val="center"/>
              <w:rPr>
                <w:color w:val="auto"/>
                <w:sz w:val="18"/>
              </w:rPr>
            </w:pPr>
            <w:r>
              <w:rPr>
                <w:color w:val="auto"/>
                <w:sz w:val="18"/>
              </w:rPr>
              <w:t>1.72</w:t>
            </w:r>
          </w:p>
        </w:tc>
        <w:tc>
          <w:tcPr>
            <w:tcW w:w="663" w:type="dxa"/>
            <w:vAlign w:val="center"/>
          </w:tcPr>
          <w:p>
            <w:pPr>
              <w:pStyle w:val="107"/>
              <w:ind w:left="153" w:right="109"/>
              <w:jc w:val="center"/>
              <w:rPr>
                <w:color w:val="auto"/>
                <w:sz w:val="18"/>
              </w:rPr>
            </w:pPr>
            <w:r>
              <w:rPr>
                <w:color w:val="auto"/>
                <w:sz w:val="18"/>
              </w:rPr>
              <w:t>2.42</w:t>
            </w:r>
          </w:p>
        </w:tc>
        <w:tc>
          <w:tcPr>
            <w:tcW w:w="650" w:type="dxa"/>
            <w:vAlign w:val="center"/>
          </w:tcPr>
          <w:p>
            <w:pPr>
              <w:pStyle w:val="107"/>
              <w:ind w:left="217"/>
              <w:jc w:val="center"/>
              <w:rPr>
                <w:color w:val="auto"/>
                <w:sz w:val="18"/>
              </w:rPr>
            </w:pPr>
            <w:r>
              <w:rPr>
                <w:color w:val="auto"/>
                <w:sz w:val="18"/>
              </w:rPr>
              <w:t>2.50</w:t>
            </w:r>
          </w:p>
        </w:tc>
        <w:tc>
          <w:tcPr>
            <w:tcW w:w="663" w:type="dxa"/>
            <w:vAlign w:val="center"/>
          </w:tcPr>
          <w:p>
            <w:pPr>
              <w:pStyle w:val="107"/>
              <w:ind w:left="153" w:right="109"/>
              <w:jc w:val="center"/>
              <w:rPr>
                <w:color w:val="auto"/>
                <w:sz w:val="18"/>
              </w:rPr>
            </w:pPr>
            <w:r>
              <w:rPr>
                <w:color w:val="auto"/>
                <w:sz w:val="18"/>
              </w:rPr>
              <w:t>4.03</w:t>
            </w:r>
          </w:p>
        </w:tc>
        <w:tc>
          <w:tcPr>
            <w:tcW w:w="649" w:type="dxa"/>
            <w:vAlign w:val="center"/>
          </w:tcPr>
          <w:p>
            <w:pPr>
              <w:pStyle w:val="107"/>
              <w:ind w:left="137" w:right="107"/>
              <w:jc w:val="center"/>
              <w:rPr>
                <w:color w:val="auto"/>
                <w:sz w:val="18"/>
              </w:rPr>
            </w:pPr>
            <w:r>
              <w:rPr>
                <w:color w:val="auto"/>
                <w:sz w:val="18"/>
              </w:rPr>
              <w:t>1.67</w:t>
            </w:r>
          </w:p>
        </w:tc>
        <w:tc>
          <w:tcPr>
            <w:tcW w:w="650" w:type="dxa"/>
            <w:vAlign w:val="center"/>
          </w:tcPr>
          <w:p>
            <w:pPr>
              <w:pStyle w:val="107"/>
              <w:ind w:left="153" w:right="123"/>
              <w:jc w:val="center"/>
              <w:rPr>
                <w:color w:val="auto"/>
                <w:sz w:val="18"/>
              </w:rPr>
            </w:pPr>
            <w:r>
              <w:rPr>
                <w:color w:val="auto"/>
                <w:sz w:val="18"/>
              </w:rPr>
              <w:t>4.84</w:t>
            </w:r>
          </w:p>
        </w:tc>
        <w:tc>
          <w:tcPr>
            <w:tcW w:w="663" w:type="dxa"/>
            <w:vAlign w:val="center"/>
          </w:tcPr>
          <w:p>
            <w:pPr>
              <w:pStyle w:val="107"/>
              <w:ind w:left="153" w:right="107"/>
              <w:jc w:val="center"/>
              <w:rPr>
                <w:color w:val="auto"/>
                <w:sz w:val="18"/>
              </w:rPr>
            </w:pPr>
            <w:r>
              <w:rPr>
                <w:color w:val="auto"/>
                <w:sz w:val="18"/>
              </w:rPr>
              <w:t>2.42</w:t>
            </w:r>
          </w:p>
        </w:tc>
        <w:tc>
          <w:tcPr>
            <w:tcW w:w="650" w:type="dxa"/>
            <w:vAlign w:val="center"/>
          </w:tcPr>
          <w:p>
            <w:pPr>
              <w:pStyle w:val="107"/>
              <w:ind w:left="153" w:right="123"/>
              <w:jc w:val="center"/>
              <w:rPr>
                <w:color w:val="auto"/>
                <w:sz w:val="18"/>
              </w:rPr>
            </w:pPr>
            <w:r>
              <w:rPr>
                <w:color w:val="auto"/>
                <w:sz w:val="18"/>
              </w:rPr>
              <w:t>0.83</w:t>
            </w:r>
          </w:p>
        </w:tc>
        <w:tc>
          <w:tcPr>
            <w:tcW w:w="663" w:type="dxa"/>
            <w:vAlign w:val="center"/>
          </w:tcPr>
          <w:p>
            <w:pPr>
              <w:pStyle w:val="107"/>
              <w:ind w:left="153" w:right="107"/>
              <w:jc w:val="center"/>
              <w:rPr>
                <w:color w:val="auto"/>
                <w:sz w:val="18"/>
              </w:rPr>
            </w:pPr>
            <w:r>
              <w:rPr>
                <w:color w:val="auto"/>
                <w:sz w:val="18"/>
              </w:rPr>
              <w:t>2.42</w:t>
            </w:r>
          </w:p>
        </w:tc>
        <w:tc>
          <w:tcPr>
            <w:tcW w:w="650" w:type="dxa"/>
            <w:vAlign w:val="center"/>
          </w:tcPr>
          <w:p>
            <w:pPr>
              <w:pStyle w:val="107"/>
              <w:ind w:left="218"/>
              <w:jc w:val="center"/>
              <w:rPr>
                <w:color w:val="auto"/>
                <w:sz w:val="18"/>
              </w:rPr>
            </w:pPr>
            <w:r>
              <w:rPr>
                <w:color w:val="auto"/>
                <w:sz w:val="18"/>
              </w:rPr>
              <w:t>0.00</w:t>
            </w:r>
          </w:p>
        </w:tc>
        <w:tc>
          <w:tcPr>
            <w:tcW w:w="650" w:type="dxa"/>
            <w:vAlign w:val="center"/>
          </w:tcPr>
          <w:p>
            <w:pPr>
              <w:pStyle w:val="107"/>
              <w:ind w:left="153" w:right="123"/>
              <w:jc w:val="center"/>
              <w:rPr>
                <w:color w:val="auto"/>
                <w:sz w:val="18"/>
              </w:rPr>
            </w:pPr>
            <w:r>
              <w:rPr>
                <w:color w:val="auto"/>
                <w:sz w:val="18"/>
              </w:rPr>
              <w:t>1.61</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59" w:hRule="atLeast"/>
          <w:jc w:val="center"/>
        </w:trPr>
        <w:tc>
          <w:tcPr>
            <w:tcW w:w="1101" w:type="dxa"/>
            <w:vAlign w:val="center"/>
          </w:tcPr>
          <w:p>
            <w:pPr>
              <w:pStyle w:val="107"/>
              <w:ind w:left="64" w:right="46"/>
              <w:jc w:val="center"/>
              <w:rPr>
                <w:color w:val="auto"/>
                <w:sz w:val="18"/>
              </w:rPr>
            </w:pPr>
            <w:r>
              <w:rPr>
                <w:color w:val="auto"/>
                <w:sz w:val="18"/>
              </w:rPr>
              <w:t>WSW</w:t>
            </w:r>
          </w:p>
        </w:tc>
        <w:tc>
          <w:tcPr>
            <w:tcW w:w="650" w:type="dxa"/>
            <w:vAlign w:val="center"/>
          </w:tcPr>
          <w:p>
            <w:pPr>
              <w:pStyle w:val="107"/>
              <w:ind w:left="153" w:right="123"/>
              <w:jc w:val="center"/>
              <w:rPr>
                <w:color w:val="auto"/>
                <w:sz w:val="18"/>
              </w:rPr>
            </w:pPr>
            <w:r>
              <w:rPr>
                <w:color w:val="auto"/>
                <w:sz w:val="18"/>
              </w:rPr>
              <w:t>1.61</w:t>
            </w:r>
          </w:p>
        </w:tc>
        <w:tc>
          <w:tcPr>
            <w:tcW w:w="650" w:type="dxa"/>
            <w:vAlign w:val="center"/>
          </w:tcPr>
          <w:p>
            <w:pPr>
              <w:pStyle w:val="107"/>
              <w:ind w:left="153" w:right="123"/>
              <w:jc w:val="center"/>
              <w:rPr>
                <w:color w:val="auto"/>
                <w:sz w:val="18"/>
              </w:rPr>
            </w:pPr>
            <w:r>
              <w:rPr>
                <w:color w:val="auto"/>
                <w:sz w:val="18"/>
              </w:rPr>
              <w:t>0.86</w:t>
            </w:r>
          </w:p>
        </w:tc>
        <w:tc>
          <w:tcPr>
            <w:tcW w:w="663" w:type="dxa"/>
            <w:vAlign w:val="center"/>
          </w:tcPr>
          <w:p>
            <w:pPr>
              <w:pStyle w:val="107"/>
              <w:ind w:left="153" w:right="109"/>
              <w:jc w:val="center"/>
              <w:rPr>
                <w:color w:val="auto"/>
                <w:sz w:val="18"/>
              </w:rPr>
            </w:pPr>
            <w:r>
              <w:rPr>
                <w:color w:val="auto"/>
                <w:sz w:val="18"/>
              </w:rPr>
              <w:t>0.81</w:t>
            </w:r>
          </w:p>
        </w:tc>
        <w:tc>
          <w:tcPr>
            <w:tcW w:w="650" w:type="dxa"/>
            <w:vAlign w:val="center"/>
          </w:tcPr>
          <w:p>
            <w:pPr>
              <w:pStyle w:val="107"/>
              <w:ind w:left="217"/>
              <w:jc w:val="center"/>
              <w:rPr>
                <w:color w:val="auto"/>
                <w:sz w:val="18"/>
              </w:rPr>
            </w:pPr>
            <w:r>
              <w:rPr>
                <w:color w:val="auto"/>
                <w:sz w:val="18"/>
              </w:rPr>
              <w:t>0.83</w:t>
            </w:r>
          </w:p>
        </w:tc>
        <w:tc>
          <w:tcPr>
            <w:tcW w:w="663" w:type="dxa"/>
            <w:vAlign w:val="center"/>
          </w:tcPr>
          <w:p>
            <w:pPr>
              <w:pStyle w:val="107"/>
              <w:ind w:left="153" w:right="109"/>
              <w:jc w:val="center"/>
              <w:rPr>
                <w:color w:val="auto"/>
                <w:sz w:val="18"/>
              </w:rPr>
            </w:pPr>
            <w:r>
              <w:rPr>
                <w:color w:val="auto"/>
                <w:sz w:val="18"/>
              </w:rPr>
              <w:t>2.42</w:t>
            </w:r>
          </w:p>
        </w:tc>
        <w:tc>
          <w:tcPr>
            <w:tcW w:w="649" w:type="dxa"/>
            <w:vAlign w:val="center"/>
          </w:tcPr>
          <w:p>
            <w:pPr>
              <w:pStyle w:val="107"/>
              <w:ind w:left="137" w:right="107"/>
              <w:jc w:val="center"/>
              <w:rPr>
                <w:color w:val="auto"/>
                <w:sz w:val="18"/>
              </w:rPr>
            </w:pPr>
            <w:r>
              <w:rPr>
                <w:color w:val="auto"/>
                <w:sz w:val="18"/>
              </w:rPr>
              <w:t>1.67</w:t>
            </w:r>
          </w:p>
        </w:tc>
        <w:tc>
          <w:tcPr>
            <w:tcW w:w="650" w:type="dxa"/>
            <w:vAlign w:val="center"/>
          </w:tcPr>
          <w:p>
            <w:pPr>
              <w:pStyle w:val="107"/>
              <w:ind w:left="153" w:right="123"/>
              <w:jc w:val="center"/>
              <w:rPr>
                <w:color w:val="auto"/>
                <w:sz w:val="18"/>
              </w:rPr>
            </w:pPr>
            <w:r>
              <w:rPr>
                <w:color w:val="auto"/>
                <w:sz w:val="18"/>
              </w:rPr>
              <w:t>0.00</w:t>
            </w:r>
          </w:p>
        </w:tc>
        <w:tc>
          <w:tcPr>
            <w:tcW w:w="663" w:type="dxa"/>
            <w:vAlign w:val="center"/>
          </w:tcPr>
          <w:p>
            <w:pPr>
              <w:pStyle w:val="107"/>
              <w:ind w:left="153" w:right="107"/>
              <w:jc w:val="center"/>
              <w:rPr>
                <w:color w:val="auto"/>
                <w:sz w:val="18"/>
              </w:rPr>
            </w:pPr>
            <w:r>
              <w:rPr>
                <w:color w:val="auto"/>
                <w:sz w:val="18"/>
              </w:rPr>
              <w:t>0.81</w:t>
            </w:r>
          </w:p>
        </w:tc>
        <w:tc>
          <w:tcPr>
            <w:tcW w:w="650" w:type="dxa"/>
            <w:vAlign w:val="center"/>
          </w:tcPr>
          <w:p>
            <w:pPr>
              <w:pStyle w:val="107"/>
              <w:ind w:left="153" w:right="123"/>
              <w:jc w:val="center"/>
              <w:rPr>
                <w:color w:val="auto"/>
                <w:sz w:val="18"/>
              </w:rPr>
            </w:pPr>
            <w:r>
              <w:rPr>
                <w:color w:val="auto"/>
                <w:sz w:val="18"/>
              </w:rPr>
              <w:t>0.00</w:t>
            </w:r>
          </w:p>
        </w:tc>
        <w:tc>
          <w:tcPr>
            <w:tcW w:w="663" w:type="dxa"/>
            <w:vAlign w:val="center"/>
          </w:tcPr>
          <w:p>
            <w:pPr>
              <w:pStyle w:val="107"/>
              <w:ind w:left="153" w:right="107"/>
              <w:jc w:val="center"/>
              <w:rPr>
                <w:color w:val="auto"/>
                <w:sz w:val="18"/>
              </w:rPr>
            </w:pPr>
            <w:r>
              <w:rPr>
                <w:color w:val="auto"/>
                <w:sz w:val="18"/>
              </w:rPr>
              <w:t>0.81</w:t>
            </w:r>
          </w:p>
        </w:tc>
        <w:tc>
          <w:tcPr>
            <w:tcW w:w="650" w:type="dxa"/>
            <w:vAlign w:val="center"/>
          </w:tcPr>
          <w:p>
            <w:pPr>
              <w:pStyle w:val="107"/>
              <w:ind w:left="218"/>
              <w:jc w:val="center"/>
              <w:rPr>
                <w:color w:val="auto"/>
                <w:sz w:val="18"/>
              </w:rPr>
            </w:pPr>
            <w:r>
              <w:rPr>
                <w:color w:val="auto"/>
                <w:sz w:val="18"/>
              </w:rPr>
              <w:t>1.67</w:t>
            </w:r>
          </w:p>
        </w:tc>
        <w:tc>
          <w:tcPr>
            <w:tcW w:w="650" w:type="dxa"/>
            <w:vAlign w:val="center"/>
          </w:tcPr>
          <w:p>
            <w:pPr>
              <w:pStyle w:val="107"/>
              <w:ind w:left="153" w:right="123"/>
              <w:jc w:val="center"/>
              <w:rPr>
                <w:color w:val="auto"/>
                <w:sz w:val="18"/>
              </w:rPr>
            </w:pPr>
            <w:r>
              <w:rPr>
                <w:color w:val="auto"/>
                <w:sz w:val="18"/>
              </w:rPr>
              <w:t>0.81</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59" w:hRule="atLeast"/>
          <w:jc w:val="center"/>
        </w:trPr>
        <w:tc>
          <w:tcPr>
            <w:tcW w:w="1101" w:type="dxa"/>
            <w:vAlign w:val="center"/>
          </w:tcPr>
          <w:p>
            <w:pPr>
              <w:pStyle w:val="107"/>
              <w:ind w:left="34"/>
              <w:jc w:val="center"/>
              <w:rPr>
                <w:color w:val="auto"/>
                <w:sz w:val="18"/>
              </w:rPr>
            </w:pPr>
            <w:r>
              <w:rPr>
                <w:color w:val="auto"/>
                <w:sz w:val="18"/>
              </w:rPr>
              <w:t>W</w:t>
            </w:r>
          </w:p>
        </w:tc>
        <w:tc>
          <w:tcPr>
            <w:tcW w:w="650" w:type="dxa"/>
            <w:vAlign w:val="center"/>
          </w:tcPr>
          <w:p>
            <w:pPr>
              <w:pStyle w:val="107"/>
              <w:ind w:left="153" w:right="123"/>
              <w:jc w:val="center"/>
              <w:rPr>
                <w:color w:val="auto"/>
                <w:sz w:val="18"/>
              </w:rPr>
            </w:pPr>
            <w:r>
              <w:rPr>
                <w:color w:val="auto"/>
                <w:sz w:val="18"/>
              </w:rPr>
              <w:t>1.61</w:t>
            </w:r>
          </w:p>
        </w:tc>
        <w:tc>
          <w:tcPr>
            <w:tcW w:w="650" w:type="dxa"/>
            <w:vAlign w:val="center"/>
          </w:tcPr>
          <w:p>
            <w:pPr>
              <w:pStyle w:val="107"/>
              <w:ind w:left="153" w:right="123"/>
              <w:jc w:val="center"/>
              <w:rPr>
                <w:color w:val="auto"/>
                <w:sz w:val="18"/>
              </w:rPr>
            </w:pPr>
            <w:r>
              <w:rPr>
                <w:color w:val="auto"/>
                <w:sz w:val="18"/>
              </w:rPr>
              <w:t>3.45</w:t>
            </w:r>
          </w:p>
        </w:tc>
        <w:tc>
          <w:tcPr>
            <w:tcW w:w="663" w:type="dxa"/>
            <w:vAlign w:val="center"/>
          </w:tcPr>
          <w:p>
            <w:pPr>
              <w:pStyle w:val="107"/>
              <w:ind w:left="153" w:right="109"/>
              <w:jc w:val="center"/>
              <w:rPr>
                <w:color w:val="auto"/>
                <w:sz w:val="18"/>
              </w:rPr>
            </w:pPr>
            <w:r>
              <w:rPr>
                <w:color w:val="auto"/>
                <w:sz w:val="18"/>
              </w:rPr>
              <w:t>3.23</w:t>
            </w:r>
          </w:p>
        </w:tc>
        <w:tc>
          <w:tcPr>
            <w:tcW w:w="650" w:type="dxa"/>
            <w:vAlign w:val="center"/>
          </w:tcPr>
          <w:p>
            <w:pPr>
              <w:pStyle w:val="107"/>
              <w:ind w:left="217"/>
              <w:jc w:val="center"/>
              <w:rPr>
                <w:color w:val="auto"/>
                <w:sz w:val="18"/>
              </w:rPr>
            </w:pPr>
            <w:r>
              <w:rPr>
                <w:color w:val="auto"/>
                <w:sz w:val="18"/>
              </w:rPr>
              <w:t>1.67</w:t>
            </w:r>
          </w:p>
        </w:tc>
        <w:tc>
          <w:tcPr>
            <w:tcW w:w="663" w:type="dxa"/>
            <w:vAlign w:val="center"/>
          </w:tcPr>
          <w:p>
            <w:pPr>
              <w:pStyle w:val="107"/>
              <w:ind w:left="153" w:right="109"/>
              <w:jc w:val="center"/>
              <w:rPr>
                <w:color w:val="auto"/>
                <w:sz w:val="18"/>
              </w:rPr>
            </w:pPr>
            <w:r>
              <w:rPr>
                <w:color w:val="auto"/>
                <w:sz w:val="18"/>
              </w:rPr>
              <w:t>3.23</w:t>
            </w:r>
          </w:p>
        </w:tc>
        <w:tc>
          <w:tcPr>
            <w:tcW w:w="649" w:type="dxa"/>
            <w:vAlign w:val="center"/>
          </w:tcPr>
          <w:p>
            <w:pPr>
              <w:pStyle w:val="107"/>
              <w:ind w:left="137" w:right="107"/>
              <w:jc w:val="center"/>
              <w:rPr>
                <w:color w:val="auto"/>
                <w:sz w:val="18"/>
              </w:rPr>
            </w:pPr>
            <w:r>
              <w:rPr>
                <w:color w:val="auto"/>
                <w:sz w:val="18"/>
              </w:rPr>
              <w:t>3.33</w:t>
            </w:r>
          </w:p>
        </w:tc>
        <w:tc>
          <w:tcPr>
            <w:tcW w:w="650" w:type="dxa"/>
            <w:vAlign w:val="center"/>
          </w:tcPr>
          <w:p>
            <w:pPr>
              <w:pStyle w:val="107"/>
              <w:ind w:left="153" w:right="123"/>
              <w:jc w:val="center"/>
              <w:rPr>
                <w:color w:val="auto"/>
                <w:sz w:val="18"/>
              </w:rPr>
            </w:pPr>
            <w:r>
              <w:rPr>
                <w:color w:val="auto"/>
                <w:sz w:val="18"/>
              </w:rPr>
              <w:t>2.42</w:t>
            </w:r>
          </w:p>
        </w:tc>
        <w:tc>
          <w:tcPr>
            <w:tcW w:w="663" w:type="dxa"/>
            <w:vAlign w:val="center"/>
          </w:tcPr>
          <w:p>
            <w:pPr>
              <w:pStyle w:val="107"/>
              <w:ind w:left="153" w:right="107"/>
              <w:jc w:val="center"/>
              <w:rPr>
                <w:color w:val="auto"/>
                <w:sz w:val="18"/>
              </w:rPr>
            </w:pPr>
            <w:r>
              <w:rPr>
                <w:color w:val="auto"/>
                <w:sz w:val="18"/>
              </w:rPr>
              <w:t>1.61</w:t>
            </w:r>
          </w:p>
        </w:tc>
        <w:tc>
          <w:tcPr>
            <w:tcW w:w="650" w:type="dxa"/>
            <w:vAlign w:val="center"/>
          </w:tcPr>
          <w:p>
            <w:pPr>
              <w:pStyle w:val="107"/>
              <w:ind w:left="153" w:right="123"/>
              <w:jc w:val="center"/>
              <w:rPr>
                <w:color w:val="auto"/>
                <w:sz w:val="18"/>
              </w:rPr>
            </w:pPr>
            <w:r>
              <w:rPr>
                <w:color w:val="auto"/>
                <w:sz w:val="18"/>
              </w:rPr>
              <w:t>0.83</w:t>
            </w:r>
          </w:p>
        </w:tc>
        <w:tc>
          <w:tcPr>
            <w:tcW w:w="663" w:type="dxa"/>
            <w:vAlign w:val="center"/>
          </w:tcPr>
          <w:p>
            <w:pPr>
              <w:pStyle w:val="107"/>
              <w:ind w:left="153" w:right="107"/>
              <w:jc w:val="center"/>
              <w:rPr>
                <w:color w:val="auto"/>
                <w:sz w:val="18"/>
              </w:rPr>
            </w:pPr>
            <w:r>
              <w:rPr>
                <w:color w:val="auto"/>
                <w:sz w:val="18"/>
              </w:rPr>
              <w:t>2.42</w:t>
            </w:r>
          </w:p>
        </w:tc>
        <w:tc>
          <w:tcPr>
            <w:tcW w:w="650" w:type="dxa"/>
            <w:vAlign w:val="center"/>
          </w:tcPr>
          <w:p>
            <w:pPr>
              <w:pStyle w:val="107"/>
              <w:ind w:left="218"/>
              <w:jc w:val="center"/>
              <w:rPr>
                <w:color w:val="auto"/>
                <w:sz w:val="18"/>
              </w:rPr>
            </w:pPr>
            <w:r>
              <w:rPr>
                <w:color w:val="auto"/>
                <w:sz w:val="18"/>
              </w:rPr>
              <w:t>0.83</w:t>
            </w:r>
          </w:p>
        </w:tc>
        <w:tc>
          <w:tcPr>
            <w:tcW w:w="650" w:type="dxa"/>
            <w:vAlign w:val="center"/>
          </w:tcPr>
          <w:p>
            <w:pPr>
              <w:pStyle w:val="107"/>
              <w:ind w:left="153" w:right="123"/>
              <w:jc w:val="center"/>
              <w:rPr>
                <w:color w:val="auto"/>
                <w:sz w:val="18"/>
              </w:rPr>
            </w:pPr>
            <w:r>
              <w:rPr>
                <w:color w:val="auto"/>
                <w:sz w:val="18"/>
              </w:rPr>
              <w:t>0.81</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4" w:hRule="atLeast"/>
          <w:jc w:val="center"/>
        </w:trPr>
        <w:tc>
          <w:tcPr>
            <w:tcW w:w="1101" w:type="dxa"/>
            <w:vAlign w:val="center"/>
          </w:tcPr>
          <w:p>
            <w:pPr>
              <w:pStyle w:val="107"/>
              <w:ind w:left="64" w:right="31"/>
              <w:jc w:val="center"/>
              <w:rPr>
                <w:color w:val="auto"/>
                <w:sz w:val="18"/>
              </w:rPr>
            </w:pPr>
            <w:r>
              <w:rPr>
                <w:color w:val="auto"/>
                <w:sz w:val="18"/>
              </w:rPr>
              <w:t>WNW</w:t>
            </w:r>
          </w:p>
        </w:tc>
        <w:tc>
          <w:tcPr>
            <w:tcW w:w="650" w:type="dxa"/>
            <w:vAlign w:val="center"/>
          </w:tcPr>
          <w:p>
            <w:pPr>
              <w:pStyle w:val="107"/>
              <w:ind w:left="153" w:right="123"/>
              <w:jc w:val="center"/>
              <w:rPr>
                <w:color w:val="auto"/>
                <w:sz w:val="18"/>
              </w:rPr>
            </w:pPr>
            <w:r>
              <w:rPr>
                <w:color w:val="auto"/>
                <w:sz w:val="18"/>
              </w:rPr>
              <w:t>2.42</w:t>
            </w:r>
          </w:p>
        </w:tc>
        <w:tc>
          <w:tcPr>
            <w:tcW w:w="650" w:type="dxa"/>
            <w:vAlign w:val="center"/>
          </w:tcPr>
          <w:p>
            <w:pPr>
              <w:pStyle w:val="107"/>
              <w:ind w:left="153" w:right="123"/>
              <w:jc w:val="center"/>
              <w:rPr>
                <w:color w:val="auto"/>
                <w:sz w:val="18"/>
              </w:rPr>
            </w:pPr>
            <w:r>
              <w:rPr>
                <w:color w:val="auto"/>
                <w:sz w:val="18"/>
              </w:rPr>
              <w:t>2.59</w:t>
            </w:r>
          </w:p>
        </w:tc>
        <w:tc>
          <w:tcPr>
            <w:tcW w:w="663" w:type="dxa"/>
            <w:vAlign w:val="center"/>
          </w:tcPr>
          <w:p>
            <w:pPr>
              <w:pStyle w:val="107"/>
              <w:ind w:left="153" w:right="109"/>
              <w:jc w:val="center"/>
              <w:rPr>
                <w:color w:val="auto"/>
                <w:sz w:val="18"/>
              </w:rPr>
            </w:pPr>
            <w:r>
              <w:rPr>
                <w:color w:val="auto"/>
                <w:sz w:val="18"/>
              </w:rPr>
              <w:t>3.23</w:t>
            </w:r>
          </w:p>
        </w:tc>
        <w:tc>
          <w:tcPr>
            <w:tcW w:w="650" w:type="dxa"/>
            <w:vAlign w:val="center"/>
          </w:tcPr>
          <w:p>
            <w:pPr>
              <w:pStyle w:val="107"/>
              <w:ind w:left="217"/>
              <w:jc w:val="center"/>
              <w:rPr>
                <w:color w:val="auto"/>
                <w:sz w:val="18"/>
              </w:rPr>
            </w:pPr>
            <w:r>
              <w:rPr>
                <w:color w:val="auto"/>
                <w:sz w:val="18"/>
              </w:rPr>
              <w:t>3.33</w:t>
            </w:r>
          </w:p>
        </w:tc>
        <w:tc>
          <w:tcPr>
            <w:tcW w:w="663" w:type="dxa"/>
            <w:vAlign w:val="center"/>
          </w:tcPr>
          <w:p>
            <w:pPr>
              <w:pStyle w:val="107"/>
              <w:ind w:left="153" w:right="109"/>
              <w:jc w:val="center"/>
              <w:rPr>
                <w:color w:val="auto"/>
                <w:sz w:val="18"/>
              </w:rPr>
            </w:pPr>
            <w:r>
              <w:rPr>
                <w:color w:val="auto"/>
                <w:sz w:val="18"/>
              </w:rPr>
              <w:t>4.03</w:t>
            </w:r>
          </w:p>
        </w:tc>
        <w:tc>
          <w:tcPr>
            <w:tcW w:w="649" w:type="dxa"/>
            <w:vAlign w:val="center"/>
          </w:tcPr>
          <w:p>
            <w:pPr>
              <w:pStyle w:val="107"/>
              <w:ind w:left="137" w:right="107"/>
              <w:jc w:val="center"/>
              <w:rPr>
                <w:color w:val="auto"/>
                <w:sz w:val="18"/>
              </w:rPr>
            </w:pPr>
            <w:r>
              <w:rPr>
                <w:color w:val="auto"/>
                <w:sz w:val="18"/>
              </w:rPr>
              <w:t>0.83</w:t>
            </w:r>
          </w:p>
        </w:tc>
        <w:tc>
          <w:tcPr>
            <w:tcW w:w="650" w:type="dxa"/>
            <w:vAlign w:val="center"/>
          </w:tcPr>
          <w:p>
            <w:pPr>
              <w:pStyle w:val="107"/>
              <w:ind w:left="153" w:right="123"/>
              <w:jc w:val="center"/>
              <w:rPr>
                <w:color w:val="auto"/>
                <w:sz w:val="18"/>
              </w:rPr>
            </w:pPr>
            <w:r>
              <w:rPr>
                <w:color w:val="auto"/>
                <w:sz w:val="18"/>
              </w:rPr>
              <w:t>2.42</w:t>
            </w:r>
          </w:p>
        </w:tc>
        <w:tc>
          <w:tcPr>
            <w:tcW w:w="663" w:type="dxa"/>
            <w:vAlign w:val="center"/>
          </w:tcPr>
          <w:p>
            <w:pPr>
              <w:pStyle w:val="107"/>
              <w:ind w:left="153" w:right="107"/>
              <w:jc w:val="center"/>
              <w:rPr>
                <w:color w:val="auto"/>
                <w:sz w:val="18"/>
              </w:rPr>
            </w:pPr>
            <w:r>
              <w:rPr>
                <w:color w:val="auto"/>
                <w:sz w:val="18"/>
              </w:rPr>
              <w:t>1.61</w:t>
            </w:r>
          </w:p>
        </w:tc>
        <w:tc>
          <w:tcPr>
            <w:tcW w:w="650" w:type="dxa"/>
            <w:vAlign w:val="center"/>
          </w:tcPr>
          <w:p>
            <w:pPr>
              <w:pStyle w:val="107"/>
              <w:ind w:left="153" w:right="123"/>
              <w:jc w:val="center"/>
              <w:rPr>
                <w:color w:val="auto"/>
                <w:sz w:val="18"/>
              </w:rPr>
            </w:pPr>
            <w:r>
              <w:rPr>
                <w:color w:val="auto"/>
                <w:sz w:val="18"/>
              </w:rPr>
              <w:t>1.67</w:t>
            </w:r>
          </w:p>
        </w:tc>
        <w:tc>
          <w:tcPr>
            <w:tcW w:w="663" w:type="dxa"/>
            <w:vAlign w:val="center"/>
          </w:tcPr>
          <w:p>
            <w:pPr>
              <w:pStyle w:val="107"/>
              <w:ind w:left="153" w:right="107"/>
              <w:jc w:val="center"/>
              <w:rPr>
                <w:color w:val="auto"/>
                <w:sz w:val="18"/>
              </w:rPr>
            </w:pPr>
            <w:r>
              <w:rPr>
                <w:color w:val="auto"/>
                <w:sz w:val="18"/>
              </w:rPr>
              <w:t>0.81</w:t>
            </w:r>
          </w:p>
        </w:tc>
        <w:tc>
          <w:tcPr>
            <w:tcW w:w="650" w:type="dxa"/>
            <w:vAlign w:val="center"/>
          </w:tcPr>
          <w:p>
            <w:pPr>
              <w:pStyle w:val="107"/>
              <w:ind w:left="218"/>
              <w:jc w:val="center"/>
              <w:rPr>
                <w:color w:val="auto"/>
                <w:sz w:val="18"/>
              </w:rPr>
            </w:pPr>
            <w:r>
              <w:rPr>
                <w:color w:val="auto"/>
                <w:sz w:val="18"/>
              </w:rPr>
              <w:t>5.00</w:t>
            </w:r>
          </w:p>
        </w:tc>
        <w:tc>
          <w:tcPr>
            <w:tcW w:w="650" w:type="dxa"/>
            <w:vAlign w:val="center"/>
          </w:tcPr>
          <w:p>
            <w:pPr>
              <w:pStyle w:val="107"/>
              <w:ind w:left="153" w:right="123"/>
              <w:jc w:val="center"/>
              <w:rPr>
                <w:color w:val="auto"/>
                <w:sz w:val="18"/>
              </w:rPr>
            </w:pPr>
            <w:r>
              <w:rPr>
                <w:color w:val="auto"/>
                <w:sz w:val="18"/>
              </w:rPr>
              <w:t>0.81</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56" w:hRule="atLeast"/>
          <w:jc w:val="center"/>
        </w:trPr>
        <w:tc>
          <w:tcPr>
            <w:tcW w:w="1101" w:type="dxa"/>
            <w:tcBorders>
              <w:bottom w:val="single" w:color="000000" w:sz="8" w:space="0"/>
            </w:tcBorders>
            <w:vAlign w:val="center"/>
          </w:tcPr>
          <w:p>
            <w:pPr>
              <w:pStyle w:val="107"/>
              <w:ind w:left="64" w:right="40"/>
              <w:jc w:val="center"/>
              <w:rPr>
                <w:color w:val="auto"/>
                <w:sz w:val="18"/>
              </w:rPr>
            </w:pPr>
            <w:r>
              <w:rPr>
                <w:color w:val="auto"/>
                <w:sz w:val="18"/>
              </w:rPr>
              <w:t>NW</w:t>
            </w:r>
          </w:p>
        </w:tc>
        <w:tc>
          <w:tcPr>
            <w:tcW w:w="650" w:type="dxa"/>
            <w:tcBorders>
              <w:bottom w:val="single" w:color="000000" w:sz="8" w:space="0"/>
            </w:tcBorders>
            <w:vAlign w:val="center"/>
          </w:tcPr>
          <w:p>
            <w:pPr>
              <w:pStyle w:val="107"/>
              <w:ind w:left="153" w:right="123"/>
              <w:jc w:val="center"/>
              <w:rPr>
                <w:color w:val="auto"/>
                <w:sz w:val="18"/>
              </w:rPr>
            </w:pPr>
            <w:r>
              <w:rPr>
                <w:color w:val="auto"/>
                <w:sz w:val="18"/>
              </w:rPr>
              <w:t>4.84</w:t>
            </w:r>
          </w:p>
        </w:tc>
        <w:tc>
          <w:tcPr>
            <w:tcW w:w="650" w:type="dxa"/>
            <w:tcBorders>
              <w:bottom w:val="single" w:color="000000" w:sz="8" w:space="0"/>
            </w:tcBorders>
            <w:vAlign w:val="center"/>
          </w:tcPr>
          <w:p>
            <w:pPr>
              <w:pStyle w:val="107"/>
              <w:ind w:left="153" w:right="123"/>
              <w:jc w:val="center"/>
              <w:rPr>
                <w:color w:val="auto"/>
                <w:sz w:val="18"/>
              </w:rPr>
            </w:pPr>
            <w:r>
              <w:rPr>
                <w:color w:val="auto"/>
                <w:sz w:val="18"/>
              </w:rPr>
              <w:t>9.48</w:t>
            </w:r>
          </w:p>
        </w:tc>
        <w:tc>
          <w:tcPr>
            <w:tcW w:w="663" w:type="dxa"/>
            <w:tcBorders>
              <w:bottom w:val="single" w:color="000000" w:sz="8" w:space="0"/>
            </w:tcBorders>
            <w:vAlign w:val="center"/>
          </w:tcPr>
          <w:p>
            <w:pPr>
              <w:pStyle w:val="107"/>
              <w:ind w:left="153" w:right="109"/>
              <w:jc w:val="center"/>
              <w:rPr>
                <w:color w:val="auto"/>
                <w:sz w:val="18"/>
              </w:rPr>
            </w:pPr>
            <w:r>
              <w:rPr>
                <w:color w:val="auto"/>
                <w:sz w:val="18"/>
              </w:rPr>
              <w:t>1.61</w:t>
            </w:r>
          </w:p>
        </w:tc>
        <w:tc>
          <w:tcPr>
            <w:tcW w:w="650" w:type="dxa"/>
            <w:tcBorders>
              <w:bottom w:val="single" w:color="000000" w:sz="8" w:space="0"/>
            </w:tcBorders>
            <w:vAlign w:val="center"/>
          </w:tcPr>
          <w:p>
            <w:pPr>
              <w:pStyle w:val="107"/>
              <w:ind w:left="217"/>
              <w:jc w:val="center"/>
              <w:rPr>
                <w:color w:val="auto"/>
                <w:sz w:val="18"/>
              </w:rPr>
            </w:pPr>
            <w:r>
              <w:rPr>
                <w:color w:val="auto"/>
                <w:sz w:val="18"/>
              </w:rPr>
              <w:t>9.17</w:t>
            </w:r>
          </w:p>
        </w:tc>
        <w:tc>
          <w:tcPr>
            <w:tcW w:w="663" w:type="dxa"/>
            <w:tcBorders>
              <w:bottom w:val="single" w:color="000000" w:sz="8" w:space="0"/>
            </w:tcBorders>
            <w:vAlign w:val="center"/>
          </w:tcPr>
          <w:p>
            <w:pPr>
              <w:pStyle w:val="107"/>
              <w:ind w:left="153" w:right="109"/>
              <w:jc w:val="center"/>
              <w:rPr>
                <w:color w:val="auto"/>
                <w:sz w:val="18"/>
              </w:rPr>
            </w:pPr>
            <w:r>
              <w:rPr>
                <w:color w:val="auto"/>
                <w:sz w:val="18"/>
              </w:rPr>
              <w:t>5.65</w:t>
            </w:r>
          </w:p>
        </w:tc>
        <w:tc>
          <w:tcPr>
            <w:tcW w:w="649" w:type="dxa"/>
            <w:tcBorders>
              <w:bottom w:val="single" w:color="000000" w:sz="8" w:space="0"/>
            </w:tcBorders>
            <w:vAlign w:val="center"/>
          </w:tcPr>
          <w:p>
            <w:pPr>
              <w:pStyle w:val="107"/>
              <w:ind w:left="137" w:right="107"/>
              <w:jc w:val="center"/>
              <w:rPr>
                <w:color w:val="auto"/>
                <w:sz w:val="18"/>
              </w:rPr>
            </w:pPr>
            <w:r>
              <w:rPr>
                <w:color w:val="auto"/>
                <w:sz w:val="18"/>
              </w:rPr>
              <w:t>2.50</w:t>
            </w:r>
          </w:p>
        </w:tc>
        <w:tc>
          <w:tcPr>
            <w:tcW w:w="650" w:type="dxa"/>
            <w:tcBorders>
              <w:bottom w:val="single" w:color="000000" w:sz="8" w:space="0"/>
            </w:tcBorders>
            <w:vAlign w:val="center"/>
          </w:tcPr>
          <w:p>
            <w:pPr>
              <w:pStyle w:val="107"/>
              <w:ind w:left="153" w:right="123"/>
              <w:jc w:val="center"/>
              <w:rPr>
                <w:color w:val="auto"/>
                <w:sz w:val="18"/>
              </w:rPr>
            </w:pPr>
            <w:r>
              <w:rPr>
                <w:color w:val="auto"/>
                <w:sz w:val="18"/>
              </w:rPr>
              <w:t>2.42</w:t>
            </w:r>
          </w:p>
        </w:tc>
        <w:tc>
          <w:tcPr>
            <w:tcW w:w="663" w:type="dxa"/>
            <w:tcBorders>
              <w:bottom w:val="single" w:color="000000" w:sz="8" w:space="0"/>
            </w:tcBorders>
            <w:vAlign w:val="center"/>
          </w:tcPr>
          <w:p>
            <w:pPr>
              <w:pStyle w:val="107"/>
              <w:ind w:left="153" w:right="107"/>
              <w:jc w:val="center"/>
              <w:rPr>
                <w:color w:val="auto"/>
                <w:sz w:val="18"/>
              </w:rPr>
            </w:pPr>
            <w:r>
              <w:rPr>
                <w:color w:val="auto"/>
                <w:sz w:val="18"/>
              </w:rPr>
              <w:t>5.65</w:t>
            </w:r>
          </w:p>
        </w:tc>
        <w:tc>
          <w:tcPr>
            <w:tcW w:w="650" w:type="dxa"/>
            <w:tcBorders>
              <w:bottom w:val="single" w:color="000000" w:sz="8" w:space="0"/>
            </w:tcBorders>
            <w:vAlign w:val="center"/>
          </w:tcPr>
          <w:p>
            <w:pPr>
              <w:pStyle w:val="107"/>
              <w:ind w:left="153" w:right="123"/>
              <w:jc w:val="center"/>
              <w:rPr>
                <w:color w:val="auto"/>
                <w:sz w:val="18"/>
              </w:rPr>
            </w:pPr>
            <w:r>
              <w:rPr>
                <w:color w:val="auto"/>
                <w:sz w:val="18"/>
              </w:rPr>
              <w:t>3.33</w:t>
            </w:r>
          </w:p>
        </w:tc>
        <w:tc>
          <w:tcPr>
            <w:tcW w:w="663" w:type="dxa"/>
            <w:tcBorders>
              <w:bottom w:val="single" w:color="000000" w:sz="8" w:space="0"/>
            </w:tcBorders>
            <w:vAlign w:val="center"/>
          </w:tcPr>
          <w:p>
            <w:pPr>
              <w:pStyle w:val="107"/>
              <w:ind w:left="153" w:right="107"/>
              <w:jc w:val="center"/>
              <w:rPr>
                <w:color w:val="auto"/>
                <w:sz w:val="18"/>
              </w:rPr>
            </w:pPr>
            <w:r>
              <w:rPr>
                <w:color w:val="auto"/>
                <w:sz w:val="18"/>
              </w:rPr>
              <w:t>3.23</w:t>
            </w:r>
          </w:p>
        </w:tc>
        <w:tc>
          <w:tcPr>
            <w:tcW w:w="650" w:type="dxa"/>
            <w:tcBorders>
              <w:bottom w:val="single" w:color="000000" w:sz="8" w:space="0"/>
            </w:tcBorders>
            <w:vAlign w:val="center"/>
          </w:tcPr>
          <w:p>
            <w:pPr>
              <w:pStyle w:val="107"/>
              <w:ind w:left="218"/>
              <w:jc w:val="center"/>
              <w:rPr>
                <w:color w:val="auto"/>
                <w:sz w:val="18"/>
              </w:rPr>
            </w:pPr>
            <w:r>
              <w:rPr>
                <w:color w:val="auto"/>
                <w:sz w:val="18"/>
              </w:rPr>
              <w:t>3.33</w:t>
            </w:r>
          </w:p>
        </w:tc>
        <w:tc>
          <w:tcPr>
            <w:tcW w:w="650" w:type="dxa"/>
            <w:tcBorders>
              <w:bottom w:val="single" w:color="000000" w:sz="8" w:space="0"/>
            </w:tcBorders>
            <w:vAlign w:val="center"/>
          </w:tcPr>
          <w:p>
            <w:pPr>
              <w:pStyle w:val="107"/>
              <w:ind w:left="153" w:right="123"/>
              <w:jc w:val="center"/>
              <w:rPr>
                <w:color w:val="auto"/>
                <w:sz w:val="18"/>
              </w:rPr>
            </w:pPr>
            <w:r>
              <w:rPr>
                <w:color w:val="auto"/>
                <w:sz w:val="18"/>
              </w:rPr>
              <w:t>7.26</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56" w:hRule="atLeast"/>
          <w:jc w:val="center"/>
        </w:trPr>
        <w:tc>
          <w:tcPr>
            <w:tcW w:w="1101" w:type="dxa"/>
            <w:tcBorders>
              <w:top w:val="single" w:color="000000" w:sz="8" w:space="0"/>
            </w:tcBorders>
            <w:vAlign w:val="center"/>
          </w:tcPr>
          <w:p>
            <w:pPr>
              <w:pStyle w:val="107"/>
              <w:ind w:left="64" w:right="26"/>
              <w:jc w:val="center"/>
              <w:rPr>
                <w:color w:val="auto"/>
                <w:sz w:val="18"/>
              </w:rPr>
            </w:pPr>
            <w:r>
              <w:rPr>
                <w:color w:val="auto"/>
                <w:sz w:val="18"/>
              </w:rPr>
              <w:t>NNW</w:t>
            </w:r>
          </w:p>
        </w:tc>
        <w:tc>
          <w:tcPr>
            <w:tcW w:w="650" w:type="dxa"/>
            <w:tcBorders>
              <w:top w:val="single" w:color="000000" w:sz="8" w:space="0"/>
            </w:tcBorders>
            <w:vAlign w:val="center"/>
          </w:tcPr>
          <w:p>
            <w:pPr>
              <w:pStyle w:val="107"/>
              <w:ind w:left="138" w:right="108"/>
              <w:jc w:val="center"/>
              <w:rPr>
                <w:color w:val="auto"/>
                <w:sz w:val="18"/>
              </w:rPr>
            </w:pPr>
            <w:r>
              <w:rPr>
                <w:color w:val="auto"/>
                <w:sz w:val="18"/>
              </w:rPr>
              <w:t>22.58</w:t>
            </w:r>
          </w:p>
        </w:tc>
        <w:tc>
          <w:tcPr>
            <w:tcW w:w="650" w:type="dxa"/>
            <w:tcBorders>
              <w:top w:val="single" w:color="000000" w:sz="8" w:space="0"/>
            </w:tcBorders>
            <w:vAlign w:val="center"/>
          </w:tcPr>
          <w:p>
            <w:pPr>
              <w:pStyle w:val="107"/>
              <w:ind w:left="138" w:right="109"/>
              <w:jc w:val="center"/>
              <w:rPr>
                <w:color w:val="auto"/>
                <w:sz w:val="18"/>
              </w:rPr>
            </w:pPr>
            <w:r>
              <w:rPr>
                <w:color w:val="auto"/>
                <w:sz w:val="18"/>
              </w:rPr>
              <w:t>11.21</w:t>
            </w:r>
          </w:p>
        </w:tc>
        <w:tc>
          <w:tcPr>
            <w:tcW w:w="663" w:type="dxa"/>
            <w:tcBorders>
              <w:top w:val="single" w:color="000000" w:sz="8" w:space="0"/>
            </w:tcBorders>
            <w:vAlign w:val="center"/>
          </w:tcPr>
          <w:p>
            <w:pPr>
              <w:pStyle w:val="107"/>
              <w:ind w:left="153" w:right="109"/>
              <w:jc w:val="center"/>
              <w:rPr>
                <w:color w:val="auto"/>
                <w:sz w:val="18"/>
              </w:rPr>
            </w:pPr>
            <w:r>
              <w:rPr>
                <w:color w:val="auto"/>
                <w:sz w:val="18"/>
              </w:rPr>
              <w:t>9.68</w:t>
            </w:r>
          </w:p>
        </w:tc>
        <w:tc>
          <w:tcPr>
            <w:tcW w:w="650" w:type="dxa"/>
            <w:tcBorders>
              <w:top w:val="single" w:color="000000" w:sz="8" w:space="0"/>
            </w:tcBorders>
            <w:vAlign w:val="center"/>
          </w:tcPr>
          <w:p>
            <w:pPr>
              <w:pStyle w:val="107"/>
              <w:ind w:left="217"/>
              <w:jc w:val="center"/>
              <w:rPr>
                <w:color w:val="auto"/>
                <w:sz w:val="18"/>
              </w:rPr>
            </w:pPr>
            <w:r>
              <w:rPr>
                <w:color w:val="auto"/>
                <w:sz w:val="18"/>
              </w:rPr>
              <w:t>8.33</w:t>
            </w:r>
          </w:p>
        </w:tc>
        <w:tc>
          <w:tcPr>
            <w:tcW w:w="663" w:type="dxa"/>
            <w:tcBorders>
              <w:top w:val="single" w:color="000000" w:sz="8" w:space="0"/>
            </w:tcBorders>
            <w:vAlign w:val="center"/>
          </w:tcPr>
          <w:p>
            <w:pPr>
              <w:pStyle w:val="107"/>
              <w:ind w:left="153" w:right="109"/>
              <w:jc w:val="center"/>
              <w:rPr>
                <w:color w:val="auto"/>
                <w:sz w:val="18"/>
              </w:rPr>
            </w:pPr>
            <w:r>
              <w:rPr>
                <w:color w:val="auto"/>
                <w:sz w:val="18"/>
              </w:rPr>
              <w:t>8.87</w:t>
            </w:r>
          </w:p>
        </w:tc>
        <w:tc>
          <w:tcPr>
            <w:tcW w:w="649" w:type="dxa"/>
            <w:tcBorders>
              <w:top w:val="single" w:color="000000" w:sz="8" w:space="0"/>
            </w:tcBorders>
            <w:vAlign w:val="center"/>
          </w:tcPr>
          <w:p>
            <w:pPr>
              <w:pStyle w:val="107"/>
              <w:ind w:left="137" w:right="107"/>
              <w:jc w:val="center"/>
              <w:rPr>
                <w:color w:val="auto"/>
                <w:sz w:val="18"/>
              </w:rPr>
            </w:pPr>
            <w:r>
              <w:rPr>
                <w:color w:val="auto"/>
                <w:sz w:val="18"/>
              </w:rPr>
              <w:t>12.50</w:t>
            </w:r>
          </w:p>
        </w:tc>
        <w:tc>
          <w:tcPr>
            <w:tcW w:w="650" w:type="dxa"/>
            <w:tcBorders>
              <w:top w:val="single" w:color="000000" w:sz="8" w:space="0"/>
            </w:tcBorders>
            <w:vAlign w:val="center"/>
          </w:tcPr>
          <w:p>
            <w:pPr>
              <w:pStyle w:val="107"/>
              <w:ind w:left="153" w:right="123"/>
              <w:jc w:val="center"/>
              <w:rPr>
                <w:color w:val="auto"/>
                <w:sz w:val="18"/>
              </w:rPr>
            </w:pPr>
            <w:r>
              <w:rPr>
                <w:color w:val="auto"/>
                <w:sz w:val="18"/>
              </w:rPr>
              <w:t>7.26</w:t>
            </w:r>
          </w:p>
        </w:tc>
        <w:tc>
          <w:tcPr>
            <w:tcW w:w="663" w:type="dxa"/>
            <w:tcBorders>
              <w:top w:val="single" w:color="000000" w:sz="8" w:space="0"/>
            </w:tcBorders>
            <w:vAlign w:val="center"/>
          </w:tcPr>
          <w:p>
            <w:pPr>
              <w:pStyle w:val="107"/>
              <w:ind w:left="153" w:right="107"/>
              <w:jc w:val="center"/>
              <w:rPr>
                <w:color w:val="auto"/>
                <w:sz w:val="18"/>
              </w:rPr>
            </w:pPr>
            <w:r>
              <w:rPr>
                <w:color w:val="auto"/>
                <w:sz w:val="18"/>
              </w:rPr>
              <w:t>4.03</w:t>
            </w:r>
          </w:p>
        </w:tc>
        <w:tc>
          <w:tcPr>
            <w:tcW w:w="650" w:type="dxa"/>
            <w:tcBorders>
              <w:top w:val="single" w:color="000000" w:sz="8" w:space="0"/>
            </w:tcBorders>
            <w:vAlign w:val="center"/>
          </w:tcPr>
          <w:p>
            <w:pPr>
              <w:pStyle w:val="107"/>
              <w:ind w:left="138" w:right="108"/>
              <w:jc w:val="center"/>
              <w:rPr>
                <w:color w:val="auto"/>
                <w:sz w:val="18"/>
              </w:rPr>
            </w:pPr>
            <w:r>
              <w:rPr>
                <w:color w:val="auto"/>
                <w:sz w:val="18"/>
              </w:rPr>
              <w:t>11.67</w:t>
            </w:r>
          </w:p>
        </w:tc>
        <w:tc>
          <w:tcPr>
            <w:tcW w:w="663" w:type="dxa"/>
            <w:tcBorders>
              <w:top w:val="single" w:color="000000" w:sz="8" w:space="0"/>
            </w:tcBorders>
            <w:vAlign w:val="center"/>
          </w:tcPr>
          <w:p>
            <w:pPr>
              <w:pStyle w:val="107"/>
              <w:ind w:left="153" w:right="107"/>
              <w:jc w:val="center"/>
              <w:rPr>
                <w:color w:val="auto"/>
                <w:sz w:val="18"/>
              </w:rPr>
            </w:pPr>
            <w:r>
              <w:rPr>
                <w:color w:val="auto"/>
                <w:sz w:val="18"/>
              </w:rPr>
              <w:t>8.87</w:t>
            </w:r>
          </w:p>
        </w:tc>
        <w:tc>
          <w:tcPr>
            <w:tcW w:w="650" w:type="dxa"/>
            <w:tcBorders>
              <w:top w:val="single" w:color="000000" w:sz="8" w:space="0"/>
            </w:tcBorders>
            <w:vAlign w:val="center"/>
          </w:tcPr>
          <w:p>
            <w:pPr>
              <w:pStyle w:val="107"/>
              <w:ind w:left="172"/>
              <w:jc w:val="center"/>
              <w:rPr>
                <w:color w:val="auto"/>
                <w:sz w:val="18"/>
              </w:rPr>
            </w:pPr>
            <w:r>
              <w:rPr>
                <w:color w:val="auto"/>
                <w:sz w:val="18"/>
              </w:rPr>
              <w:t>11.67</w:t>
            </w:r>
          </w:p>
        </w:tc>
        <w:tc>
          <w:tcPr>
            <w:tcW w:w="650" w:type="dxa"/>
            <w:tcBorders>
              <w:top w:val="single" w:color="000000" w:sz="8" w:space="0"/>
            </w:tcBorders>
            <w:vAlign w:val="center"/>
          </w:tcPr>
          <w:p>
            <w:pPr>
              <w:pStyle w:val="107"/>
              <w:ind w:left="138" w:right="108"/>
              <w:jc w:val="center"/>
              <w:rPr>
                <w:color w:val="auto"/>
                <w:sz w:val="18"/>
              </w:rPr>
            </w:pPr>
            <w:r>
              <w:rPr>
                <w:color w:val="auto"/>
                <w:sz w:val="18"/>
              </w:rPr>
              <w:t>15.32</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4" w:hRule="atLeast"/>
          <w:jc w:val="center"/>
        </w:trPr>
        <w:tc>
          <w:tcPr>
            <w:tcW w:w="1101" w:type="dxa"/>
            <w:vAlign w:val="center"/>
          </w:tcPr>
          <w:p>
            <w:pPr>
              <w:pStyle w:val="107"/>
              <w:ind w:left="15"/>
              <w:jc w:val="center"/>
              <w:rPr>
                <w:color w:val="auto"/>
                <w:sz w:val="18"/>
              </w:rPr>
            </w:pPr>
            <w:r>
              <w:rPr>
                <w:color w:val="auto"/>
                <w:sz w:val="18"/>
              </w:rPr>
              <w:t>C</w:t>
            </w:r>
          </w:p>
        </w:tc>
        <w:tc>
          <w:tcPr>
            <w:tcW w:w="650" w:type="dxa"/>
            <w:vAlign w:val="center"/>
          </w:tcPr>
          <w:p>
            <w:pPr>
              <w:pStyle w:val="107"/>
              <w:ind w:left="153" w:right="123"/>
              <w:jc w:val="center"/>
              <w:rPr>
                <w:color w:val="auto"/>
                <w:sz w:val="18"/>
              </w:rPr>
            </w:pPr>
            <w:r>
              <w:rPr>
                <w:color w:val="auto"/>
                <w:sz w:val="18"/>
              </w:rPr>
              <w:t>3.23</w:t>
            </w:r>
          </w:p>
        </w:tc>
        <w:tc>
          <w:tcPr>
            <w:tcW w:w="650" w:type="dxa"/>
            <w:vAlign w:val="center"/>
          </w:tcPr>
          <w:p>
            <w:pPr>
              <w:pStyle w:val="107"/>
              <w:ind w:left="153" w:right="123"/>
              <w:jc w:val="center"/>
              <w:rPr>
                <w:color w:val="auto"/>
                <w:sz w:val="18"/>
              </w:rPr>
            </w:pPr>
            <w:r>
              <w:rPr>
                <w:color w:val="auto"/>
                <w:sz w:val="18"/>
              </w:rPr>
              <w:t>7.76</w:t>
            </w:r>
          </w:p>
        </w:tc>
        <w:tc>
          <w:tcPr>
            <w:tcW w:w="663" w:type="dxa"/>
            <w:vAlign w:val="center"/>
          </w:tcPr>
          <w:p>
            <w:pPr>
              <w:pStyle w:val="107"/>
              <w:ind w:left="153" w:right="109"/>
              <w:jc w:val="center"/>
              <w:rPr>
                <w:color w:val="auto"/>
                <w:sz w:val="18"/>
              </w:rPr>
            </w:pPr>
            <w:r>
              <w:rPr>
                <w:color w:val="auto"/>
                <w:sz w:val="18"/>
              </w:rPr>
              <w:t>2.42</w:t>
            </w:r>
          </w:p>
        </w:tc>
        <w:tc>
          <w:tcPr>
            <w:tcW w:w="650" w:type="dxa"/>
            <w:vAlign w:val="center"/>
          </w:tcPr>
          <w:p>
            <w:pPr>
              <w:pStyle w:val="107"/>
              <w:ind w:left="217"/>
              <w:jc w:val="center"/>
              <w:rPr>
                <w:color w:val="auto"/>
                <w:sz w:val="18"/>
              </w:rPr>
            </w:pPr>
            <w:r>
              <w:rPr>
                <w:color w:val="auto"/>
                <w:sz w:val="18"/>
              </w:rPr>
              <w:t>6.67</w:t>
            </w:r>
          </w:p>
        </w:tc>
        <w:tc>
          <w:tcPr>
            <w:tcW w:w="663" w:type="dxa"/>
            <w:vAlign w:val="center"/>
          </w:tcPr>
          <w:p>
            <w:pPr>
              <w:pStyle w:val="107"/>
              <w:ind w:left="153" w:right="109"/>
              <w:jc w:val="center"/>
              <w:rPr>
                <w:color w:val="auto"/>
                <w:sz w:val="18"/>
              </w:rPr>
            </w:pPr>
            <w:r>
              <w:rPr>
                <w:color w:val="auto"/>
                <w:sz w:val="18"/>
              </w:rPr>
              <w:t>1.61</w:t>
            </w:r>
          </w:p>
        </w:tc>
        <w:tc>
          <w:tcPr>
            <w:tcW w:w="649" w:type="dxa"/>
            <w:vAlign w:val="center"/>
          </w:tcPr>
          <w:p>
            <w:pPr>
              <w:pStyle w:val="107"/>
              <w:ind w:left="137" w:right="107"/>
              <w:jc w:val="center"/>
              <w:rPr>
                <w:color w:val="auto"/>
                <w:sz w:val="18"/>
              </w:rPr>
            </w:pPr>
            <w:r>
              <w:rPr>
                <w:color w:val="auto"/>
                <w:sz w:val="18"/>
              </w:rPr>
              <w:t>10.00</w:t>
            </w:r>
          </w:p>
        </w:tc>
        <w:tc>
          <w:tcPr>
            <w:tcW w:w="650" w:type="dxa"/>
            <w:vAlign w:val="center"/>
          </w:tcPr>
          <w:p>
            <w:pPr>
              <w:pStyle w:val="107"/>
              <w:ind w:left="153" w:right="123"/>
              <w:jc w:val="center"/>
              <w:rPr>
                <w:color w:val="auto"/>
                <w:sz w:val="18"/>
              </w:rPr>
            </w:pPr>
            <w:r>
              <w:rPr>
                <w:color w:val="auto"/>
                <w:sz w:val="18"/>
              </w:rPr>
              <w:t>4.84</w:t>
            </w:r>
          </w:p>
        </w:tc>
        <w:tc>
          <w:tcPr>
            <w:tcW w:w="663" w:type="dxa"/>
            <w:vAlign w:val="center"/>
          </w:tcPr>
          <w:p>
            <w:pPr>
              <w:pStyle w:val="107"/>
              <w:ind w:left="153" w:right="107"/>
              <w:jc w:val="center"/>
              <w:rPr>
                <w:color w:val="auto"/>
                <w:sz w:val="18"/>
              </w:rPr>
            </w:pPr>
            <w:r>
              <w:rPr>
                <w:color w:val="auto"/>
                <w:sz w:val="18"/>
              </w:rPr>
              <w:t>12.90</w:t>
            </w:r>
          </w:p>
        </w:tc>
        <w:tc>
          <w:tcPr>
            <w:tcW w:w="650" w:type="dxa"/>
            <w:vAlign w:val="center"/>
          </w:tcPr>
          <w:p>
            <w:pPr>
              <w:pStyle w:val="107"/>
              <w:ind w:left="138" w:right="108"/>
              <w:jc w:val="center"/>
              <w:rPr>
                <w:color w:val="auto"/>
                <w:sz w:val="18"/>
              </w:rPr>
            </w:pPr>
            <w:r>
              <w:rPr>
                <w:color w:val="auto"/>
                <w:sz w:val="18"/>
              </w:rPr>
              <w:t>14.17</w:t>
            </w:r>
          </w:p>
        </w:tc>
        <w:tc>
          <w:tcPr>
            <w:tcW w:w="663" w:type="dxa"/>
            <w:vAlign w:val="center"/>
          </w:tcPr>
          <w:p>
            <w:pPr>
              <w:pStyle w:val="107"/>
              <w:ind w:left="153" w:right="107"/>
              <w:jc w:val="center"/>
              <w:rPr>
                <w:color w:val="auto"/>
                <w:sz w:val="18"/>
              </w:rPr>
            </w:pPr>
            <w:r>
              <w:rPr>
                <w:color w:val="auto"/>
                <w:sz w:val="18"/>
              </w:rPr>
              <w:t>23.39</w:t>
            </w:r>
          </w:p>
        </w:tc>
        <w:tc>
          <w:tcPr>
            <w:tcW w:w="650" w:type="dxa"/>
            <w:vAlign w:val="center"/>
          </w:tcPr>
          <w:p>
            <w:pPr>
              <w:pStyle w:val="107"/>
              <w:ind w:left="172"/>
              <w:jc w:val="center"/>
              <w:rPr>
                <w:color w:val="auto"/>
                <w:sz w:val="18"/>
              </w:rPr>
            </w:pPr>
            <w:r>
              <w:rPr>
                <w:color w:val="auto"/>
                <w:sz w:val="18"/>
              </w:rPr>
              <w:t>20.00</w:t>
            </w:r>
          </w:p>
        </w:tc>
        <w:tc>
          <w:tcPr>
            <w:tcW w:w="650" w:type="dxa"/>
            <w:vAlign w:val="center"/>
          </w:tcPr>
          <w:p>
            <w:pPr>
              <w:pStyle w:val="107"/>
              <w:ind w:left="153" w:right="123"/>
              <w:jc w:val="center"/>
              <w:rPr>
                <w:color w:val="auto"/>
                <w:sz w:val="18"/>
              </w:rPr>
            </w:pPr>
            <w:r>
              <w:rPr>
                <w:color w:val="auto"/>
                <w:sz w:val="18"/>
              </w:rPr>
              <w:t>8.87</w:t>
            </w:r>
          </w:p>
        </w:tc>
      </w:tr>
    </w:tbl>
    <w:p>
      <w:pPr>
        <w:pStyle w:val="5"/>
        <w:spacing w:before="0" w:after="0" w:line="520" w:lineRule="exact"/>
        <w:ind w:firstLine="241" w:firstLineChars="100"/>
        <w:rPr>
          <w:color w:val="auto"/>
          <w:sz w:val="24"/>
          <w:szCs w:val="24"/>
        </w:rPr>
      </w:pPr>
      <w:r>
        <w:rPr>
          <w:color w:val="auto"/>
          <w:sz w:val="24"/>
          <w:szCs w:val="24"/>
        </w:rPr>
        <w:t>（2）</w:t>
      </w:r>
      <w:r>
        <w:rPr>
          <w:color w:val="auto"/>
          <w:sz w:val="24"/>
          <w:szCs w:val="24"/>
          <w:lang w:val="en-GB"/>
        </w:rPr>
        <w:t>环境空气影响预测</w:t>
      </w:r>
    </w:p>
    <w:p>
      <w:pPr>
        <w:spacing w:line="520" w:lineRule="exact"/>
        <w:ind w:firstLine="480" w:firstLineChars="200"/>
        <w:rPr>
          <w:color w:val="auto"/>
          <w:sz w:val="24"/>
        </w:rPr>
      </w:pPr>
      <w:r>
        <w:rPr>
          <w:color w:val="auto"/>
          <w:sz w:val="24"/>
        </w:rPr>
        <w:t>①预测范围、因子、内容</w:t>
      </w:r>
    </w:p>
    <w:p>
      <w:pPr>
        <w:spacing w:line="520" w:lineRule="exact"/>
        <w:ind w:firstLine="480" w:firstLineChars="200"/>
        <w:rPr>
          <w:color w:val="auto"/>
          <w:sz w:val="24"/>
        </w:rPr>
      </w:pPr>
      <w:r>
        <w:rPr>
          <w:color w:val="auto"/>
          <w:sz w:val="24"/>
        </w:rPr>
        <w:t>A、预测范围</w:t>
      </w:r>
    </w:p>
    <w:p>
      <w:pPr>
        <w:spacing w:line="520" w:lineRule="exact"/>
        <w:ind w:firstLine="480" w:firstLineChars="200"/>
        <w:rPr>
          <w:color w:val="auto"/>
          <w:sz w:val="24"/>
        </w:rPr>
      </w:pPr>
      <w:r>
        <w:rPr>
          <w:color w:val="auto"/>
          <w:sz w:val="24"/>
        </w:rPr>
        <w:t>以项目废气排放源为中心，以正东方向为坐标系X轴，正北方向为坐标系Y轴，建立坐标系，大气环境影响评价范围为边长5km。</w:t>
      </w:r>
    </w:p>
    <w:p>
      <w:pPr>
        <w:spacing w:line="520" w:lineRule="exact"/>
        <w:ind w:firstLine="480" w:firstLineChars="200"/>
        <w:rPr>
          <w:color w:val="auto"/>
          <w:sz w:val="24"/>
        </w:rPr>
      </w:pPr>
      <w:r>
        <w:rPr>
          <w:color w:val="auto"/>
          <w:sz w:val="24"/>
        </w:rPr>
        <w:t>B、预测因子</w:t>
      </w:r>
    </w:p>
    <w:p>
      <w:pPr>
        <w:spacing w:line="520" w:lineRule="exact"/>
        <w:ind w:firstLine="480" w:firstLineChars="200"/>
        <w:rPr>
          <w:color w:val="auto"/>
          <w:sz w:val="24"/>
        </w:rPr>
      </w:pPr>
      <w:r>
        <w:rPr>
          <w:color w:val="auto"/>
          <w:sz w:val="24"/>
        </w:rPr>
        <w:t>本项目主要大气污染物为非甲烷总烃、颗粒物、H</w:t>
      </w:r>
      <w:r>
        <w:rPr>
          <w:bCs/>
          <w:color w:val="auto"/>
          <w:sz w:val="24"/>
          <w:vertAlign w:val="subscript"/>
        </w:rPr>
        <w:t>2</w:t>
      </w:r>
      <w:r>
        <w:rPr>
          <w:bCs/>
          <w:color w:val="auto"/>
          <w:sz w:val="24"/>
        </w:rPr>
        <w:t>S</w:t>
      </w:r>
      <w:r>
        <w:rPr>
          <w:color w:val="auto"/>
          <w:sz w:val="24"/>
        </w:rPr>
        <w:t>。</w:t>
      </w:r>
    </w:p>
    <w:p>
      <w:pPr>
        <w:spacing w:line="520" w:lineRule="exact"/>
        <w:ind w:firstLine="480" w:firstLineChars="200"/>
        <w:rPr>
          <w:color w:val="auto"/>
          <w:sz w:val="24"/>
        </w:rPr>
      </w:pPr>
      <w:r>
        <w:rPr>
          <w:color w:val="auto"/>
          <w:sz w:val="24"/>
        </w:rPr>
        <w:t>C、预测模式的选取</w:t>
      </w:r>
    </w:p>
    <w:p>
      <w:pPr>
        <w:spacing w:line="520" w:lineRule="exact"/>
        <w:ind w:firstLine="480" w:firstLineChars="200"/>
        <w:rPr>
          <w:color w:val="auto"/>
          <w:sz w:val="24"/>
        </w:rPr>
      </w:pPr>
      <w:r>
        <w:rPr>
          <w:color w:val="auto"/>
          <w:sz w:val="24"/>
        </w:rPr>
        <w:t>采用《环境影响评价技术导则—大气环境》（HJ 2.2-2018）推荐的估算模型进行预测。</w:t>
      </w:r>
    </w:p>
    <w:p>
      <w:pPr>
        <w:spacing w:line="520" w:lineRule="exact"/>
        <w:ind w:firstLine="480" w:firstLineChars="200"/>
        <w:rPr>
          <w:color w:val="auto"/>
          <w:sz w:val="24"/>
        </w:rPr>
      </w:pPr>
      <w:r>
        <w:rPr>
          <w:color w:val="auto"/>
          <w:sz w:val="24"/>
        </w:rPr>
        <w:t>D、评价标准</w:t>
      </w:r>
    </w:p>
    <w:p>
      <w:pPr>
        <w:spacing w:line="520" w:lineRule="exact"/>
        <w:ind w:firstLine="480" w:firstLineChars="200"/>
        <w:rPr>
          <w:color w:val="auto"/>
          <w:sz w:val="24"/>
        </w:rPr>
      </w:pPr>
      <w:r>
        <w:rPr>
          <w:color w:val="auto"/>
          <w:sz w:val="24"/>
        </w:rPr>
        <w:t>颗粒物执行《环境空气质量标准》（GB3095-2012）中的二级标准，</w:t>
      </w:r>
      <w:r>
        <w:rPr>
          <w:iCs/>
          <w:color w:val="auto"/>
          <w:sz w:val="24"/>
        </w:rPr>
        <w:t>非甲烷总烃质量标准引用国家环境保护局科技标准司《大气污染物综合排放标准详解》中规定值，</w:t>
      </w:r>
      <w:r>
        <w:rPr>
          <w:snapToGrid w:val="0"/>
          <w:color w:val="auto"/>
          <w:sz w:val="24"/>
        </w:rPr>
        <w:t>H</w:t>
      </w:r>
      <w:r>
        <w:rPr>
          <w:snapToGrid w:val="0"/>
          <w:color w:val="auto"/>
          <w:sz w:val="24"/>
          <w:vertAlign w:val="subscript"/>
        </w:rPr>
        <w:t>2</w:t>
      </w:r>
      <w:r>
        <w:rPr>
          <w:snapToGrid w:val="0"/>
          <w:color w:val="auto"/>
          <w:sz w:val="24"/>
        </w:rPr>
        <w:t>S参照执行《环境影响评价技术导则 大气环境》（HJ2.2-2018）附录D中表D.1的规定标准</w:t>
      </w:r>
      <w:r>
        <w:rPr>
          <w:color w:val="auto"/>
          <w:sz w:val="24"/>
        </w:rPr>
        <w:t>。</w:t>
      </w:r>
    </w:p>
    <w:p>
      <w:pPr>
        <w:spacing w:line="520" w:lineRule="exact"/>
        <w:ind w:firstLine="480" w:firstLineChars="200"/>
        <w:rPr>
          <w:color w:val="auto"/>
          <w:sz w:val="24"/>
        </w:rPr>
      </w:pPr>
      <w:r>
        <w:rPr>
          <w:color w:val="auto"/>
          <w:sz w:val="24"/>
        </w:rPr>
        <w:t>②污染源强参数</w:t>
      </w:r>
    </w:p>
    <w:p>
      <w:pPr>
        <w:spacing w:line="520" w:lineRule="exact"/>
        <w:ind w:firstLine="480" w:firstLineChars="200"/>
        <w:rPr>
          <w:color w:val="auto"/>
          <w:sz w:val="24"/>
        </w:rPr>
      </w:pPr>
      <w:r>
        <w:rPr>
          <w:color w:val="auto"/>
          <w:sz w:val="24"/>
        </w:rPr>
        <w:t>根据本项目的工程分析，废气排放情况下见表。</w:t>
      </w:r>
    </w:p>
    <w:p>
      <w:pPr>
        <w:jc w:val="center"/>
        <w:rPr>
          <w:b/>
          <w:color w:val="auto"/>
          <w:sz w:val="24"/>
        </w:rPr>
      </w:pPr>
      <w:r>
        <w:rPr>
          <w:rFonts w:hint="eastAsia"/>
          <w:b/>
          <w:color w:val="auto"/>
          <w:sz w:val="24"/>
        </w:rPr>
        <w:t>表6</w:t>
      </w:r>
      <w:r>
        <w:rPr>
          <w:b/>
          <w:color w:val="auto"/>
          <w:sz w:val="24"/>
        </w:rPr>
        <w:t>-5  有组织废气污染源源强参数一览表</w:t>
      </w:r>
    </w:p>
    <w:tbl>
      <w:tblPr>
        <w:tblStyle w:val="53"/>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84"/>
        <w:gridCol w:w="813"/>
        <w:gridCol w:w="1207"/>
        <w:gridCol w:w="1185"/>
        <w:gridCol w:w="609"/>
        <w:gridCol w:w="478"/>
        <w:gridCol w:w="575"/>
        <w:gridCol w:w="501"/>
        <w:gridCol w:w="679"/>
        <w:gridCol w:w="403"/>
        <w:gridCol w:w="765"/>
        <w:gridCol w:w="84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2" w:hRule="atLeast"/>
          <w:jc w:val="center"/>
        </w:trPr>
        <w:tc>
          <w:tcPr>
            <w:tcW w:w="494" w:type="pct"/>
            <w:vMerge w:val="restart"/>
            <w:tcBorders>
              <w:top w:val="single" w:color="auto" w:sz="4" w:space="0"/>
              <w:left w:val="single" w:color="auto" w:sz="4" w:space="0"/>
              <w:bottom w:val="single" w:color="auto" w:sz="4" w:space="0"/>
              <w:right w:val="single" w:color="auto" w:sz="4" w:space="0"/>
            </w:tcBorders>
            <w:noWrap w:val="0"/>
            <w:vAlign w:val="center"/>
          </w:tcPr>
          <w:p>
            <w:pPr>
              <w:spacing w:line="320" w:lineRule="exact"/>
              <w:jc w:val="center"/>
              <w:rPr>
                <w:b/>
                <w:color w:val="auto"/>
                <w:szCs w:val="21"/>
              </w:rPr>
            </w:pPr>
            <w:r>
              <w:rPr>
                <w:rFonts w:hint="eastAsia"/>
                <w:b/>
                <w:color w:val="auto"/>
                <w:szCs w:val="21"/>
              </w:rPr>
              <w:t>编号</w:t>
            </w:r>
          </w:p>
        </w:tc>
        <w:tc>
          <w:tcPr>
            <w:tcW w:w="454" w:type="pct"/>
            <w:vMerge w:val="restart"/>
            <w:tcBorders>
              <w:top w:val="single" w:color="auto" w:sz="4" w:space="0"/>
              <w:left w:val="single" w:color="auto" w:sz="4" w:space="0"/>
              <w:bottom w:val="single" w:color="auto" w:sz="4" w:space="0"/>
              <w:right w:val="single" w:color="auto" w:sz="4" w:space="0"/>
            </w:tcBorders>
            <w:noWrap w:val="0"/>
            <w:vAlign w:val="center"/>
          </w:tcPr>
          <w:p>
            <w:pPr>
              <w:spacing w:line="320" w:lineRule="exact"/>
              <w:jc w:val="center"/>
              <w:rPr>
                <w:b/>
                <w:color w:val="auto"/>
                <w:szCs w:val="21"/>
              </w:rPr>
            </w:pPr>
            <w:r>
              <w:rPr>
                <w:rFonts w:hint="eastAsia"/>
                <w:b/>
                <w:color w:val="auto"/>
                <w:szCs w:val="21"/>
              </w:rPr>
              <w:t>名称</w:t>
            </w:r>
          </w:p>
        </w:tc>
        <w:tc>
          <w:tcPr>
            <w:tcW w:w="1336" w:type="pct"/>
            <w:gridSpan w:val="2"/>
            <w:tcBorders>
              <w:top w:val="single" w:color="auto" w:sz="4" w:space="0"/>
              <w:left w:val="single" w:color="auto" w:sz="4" w:space="0"/>
              <w:bottom w:val="single" w:color="auto" w:sz="4" w:space="0"/>
              <w:right w:val="single" w:color="auto" w:sz="4" w:space="0"/>
            </w:tcBorders>
            <w:noWrap w:val="0"/>
            <w:vAlign w:val="center"/>
          </w:tcPr>
          <w:p>
            <w:pPr>
              <w:spacing w:line="320" w:lineRule="exact"/>
              <w:ind w:left="-63" w:leftChars="-30" w:right="-63" w:rightChars="-30"/>
              <w:jc w:val="center"/>
              <w:rPr>
                <w:b/>
                <w:color w:val="auto"/>
                <w:szCs w:val="21"/>
              </w:rPr>
            </w:pPr>
            <w:r>
              <w:rPr>
                <w:rFonts w:hint="eastAsia"/>
                <w:b/>
                <w:color w:val="auto"/>
                <w:szCs w:val="21"/>
              </w:rPr>
              <w:t>排气筒底部中心坐标</w:t>
            </w:r>
          </w:p>
          <w:p>
            <w:pPr>
              <w:spacing w:line="320" w:lineRule="exact"/>
              <w:ind w:left="-63" w:leftChars="-30" w:right="-63" w:rightChars="-30"/>
              <w:jc w:val="center"/>
              <w:rPr>
                <w:b/>
                <w:color w:val="auto"/>
                <w:szCs w:val="21"/>
              </w:rPr>
            </w:pPr>
            <w:r>
              <w:rPr>
                <w:rFonts w:hint="eastAsia"/>
                <w:b/>
                <w:color w:val="auto"/>
                <w:szCs w:val="21"/>
              </w:rPr>
              <w:t>（经纬度）</w:t>
            </w:r>
          </w:p>
        </w:tc>
        <w:tc>
          <w:tcPr>
            <w:tcW w:w="340" w:type="pct"/>
            <w:vMerge w:val="restart"/>
            <w:tcBorders>
              <w:top w:val="single" w:color="auto" w:sz="4" w:space="0"/>
              <w:left w:val="single" w:color="auto" w:sz="4" w:space="0"/>
              <w:bottom w:val="single" w:color="auto" w:sz="4" w:space="0"/>
              <w:right w:val="single" w:color="auto" w:sz="4" w:space="0"/>
            </w:tcBorders>
            <w:noWrap w:val="0"/>
            <w:vAlign w:val="center"/>
          </w:tcPr>
          <w:p>
            <w:pPr>
              <w:spacing w:line="320" w:lineRule="exact"/>
              <w:ind w:left="-63" w:leftChars="-30" w:right="-63" w:rightChars="-30"/>
              <w:jc w:val="center"/>
              <w:rPr>
                <w:b/>
                <w:color w:val="auto"/>
                <w:szCs w:val="21"/>
              </w:rPr>
            </w:pPr>
            <w:r>
              <w:rPr>
                <w:rFonts w:hint="eastAsia"/>
                <w:b/>
                <w:color w:val="auto"/>
                <w:szCs w:val="21"/>
              </w:rPr>
              <w:t>排气筒底部海拔高度</w:t>
            </w:r>
            <w:r>
              <w:rPr>
                <w:b/>
                <w:color w:val="auto"/>
                <w:szCs w:val="21"/>
              </w:rPr>
              <w:t>/m</w:t>
            </w:r>
          </w:p>
        </w:tc>
        <w:tc>
          <w:tcPr>
            <w:tcW w:w="267" w:type="pct"/>
            <w:vMerge w:val="restart"/>
            <w:tcBorders>
              <w:top w:val="single" w:color="auto" w:sz="4" w:space="0"/>
              <w:left w:val="single" w:color="auto" w:sz="4" w:space="0"/>
              <w:bottom w:val="single" w:color="auto" w:sz="4" w:space="0"/>
              <w:right w:val="single" w:color="auto" w:sz="4" w:space="0"/>
            </w:tcBorders>
            <w:noWrap w:val="0"/>
            <w:vAlign w:val="center"/>
          </w:tcPr>
          <w:p>
            <w:pPr>
              <w:spacing w:line="320" w:lineRule="exact"/>
              <w:ind w:left="-63" w:leftChars="-30" w:right="-63" w:rightChars="-30"/>
              <w:jc w:val="center"/>
              <w:rPr>
                <w:b/>
                <w:color w:val="auto"/>
                <w:szCs w:val="21"/>
              </w:rPr>
            </w:pPr>
            <w:r>
              <w:rPr>
                <w:rFonts w:hint="eastAsia"/>
                <w:b/>
                <w:color w:val="auto"/>
                <w:szCs w:val="21"/>
              </w:rPr>
              <w:t>排气筒高度</w:t>
            </w:r>
            <w:r>
              <w:rPr>
                <w:b/>
                <w:color w:val="auto"/>
                <w:szCs w:val="21"/>
              </w:rPr>
              <w:t>/m</w:t>
            </w:r>
          </w:p>
        </w:tc>
        <w:tc>
          <w:tcPr>
            <w:tcW w:w="321" w:type="pct"/>
            <w:vMerge w:val="restart"/>
            <w:tcBorders>
              <w:top w:val="single" w:color="auto" w:sz="4" w:space="0"/>
              <w:left w:val="single" w:color="auto" w:sz="4" w:space="0"/>
              <w:bottom w:val="single" w:color="auto" w:sz="4" w:space="0"/>
              <w:right w:val="single" w:color="auto" w:sz="4" w:space="0"/>
            </w:tcBorders>
            <w:noWrap w:val="0"/>
            <w:vAlign w:val="center"/>
          </w:tcPr>
          <w:p>
            <w:pPr>
              <w:spacing w:line="320" w:lineRule="exact"/>
              <w:ind w:left="-63" w:leftChars="-30" w:right="-63" w:rightChars="-30"/>
              <w:jc w:val="center"/>
              <w:rPr>
                <w:b/>
                <w:color w:val="auto"/>
                <w:szCs w:val="21"/>
              </w:rPr>
            </w:pPr>
            <w:r>
              <w:rPr>
                <w:rFonts w:hint="eastAsia"/>
                <w:b/>
                <w:color w:val="auto"/>
                <w:szCs w:val="21"/>
              </w:rPr>
              <w:t>排气筒出口内径</w:t>
            </w:r>
            <w:r>
              <w:rPr>
                <w:b/>
                <w:color w:val="auto"/>
                <w:szCs w:val="21"/>
              </w:rPr>
              <w:t>/m</w:t>
            </w:r>
          </w:p>
        </w:tc>
        <w:tc>
          <w:tcPr>
            <w:tcW w:w="280" w:type="pct"/>
            <w:vMerge w:val="restart"/>
            <w:tcBorders>
              <w:top w:val="single" w:color="auto" w:sz="4" w:space="0"/>
              <w:left w:val="single" w:color="auto" w:sz="4" w:space="0"/>
              <w:bottom w:val="single" w:color="auto" w:sz="4" w:space="0"/>
              <w:right w:val="single" w:color="auto" w:sz="4" w:space="0"/>
            </w:tcBorders>
            <w:noWrap w:val="0"/>
            <w:vAlign w:val="center"/>
          </w:tcPr>
          <w:p>
            <w:pPr>
              <w:spacing w:line="320" w:lineRule="exact"/>
              <w:ind w:left="-63" w:leftChars="-30" w:right="-63" w:rightChars="-30"/>
              <w:jc w:val="center"/>
              <w:rPr>
                <w:b/>
                <w:color w:val="auto"/>
                <w:szCs w:val="21"/>
              </w:rPr>
            </w:pPr>
            <w:r>
              <w:rPr>
                <w:rFonts w:hint="eastAsia"/>
                <w:b/>
                <w:color w:val="auto"/>
                <w:szCs w:val="21"/>
              </w:rPr>
              <w:t>烟气温度</w:t>
            </w:r>
            <w:r>
              <w:rPr>
                <w:rFonts w:hint="eastAsia" w:ascii="宋体" w:hAnsi="宋体"/>
                <w:b/>
                <w:color w:val="auto"/>
                <w:szCs w:val="21"/>
              </w:rPr>
              <w:t>/℃</w:t>
            </w:r>
          </w:p>
        </w:tc>
        <w:tc>
          <w:tcPr>
            <w:tcW w:w="379" w:type="pct"/>
            <w:vMerge w:val="restart"/>
            <w:tcBorders>
              <w:top w:val="single" w:color="auto" w:sz="4" w:space="0"/>
              <w:left w:val="single" w:color="auto" w:sz="4" w:space="0"/>
              <w:bottom w:val="single" w:color="auto" w:sz="4" w:space="0"/>
              <w:right w:val="single" w:color="auto" w:sz="4" w:space="0"/>
            </w:tcBorders>
            <w:noWrap w:val="0"/>
            <w:vAlign w:val="center"/>
          </w:tcPr>
          <w:p>
            <w:pPr>
              <w:spacing w:line="320" w:lineRule="exact"/>
              <w:ind w:left="-63" w:leftChars="-30" w:right="-63" w:rightChars="-30"/>
              <w:jc w:val="center"/>
              <w:rPr>
                <w:b/>
                <w:color w:val="auto"/>
                <w:szCs w:val="21"/>
              </w:rPr>
            </w:pPr>
            <w:r>
              <w:rPr>
                <w:rFonts w:hint="eastAsia"/>
                <w:b/>
                <w:color w:val="auto"/>
                <w:szCs w:val="21"/>
              </w:rPr>
              <w:t>年排放小时数</w:t>
            </w:r>
            <w:r>
              <w:rPr>
                <w:b/>
                <w:color w:val="auto"/>
                <w:szCs w:val="21"/>
              </w:rPr>
              <w:t>/h</w:t>
            </w:r>
          </w:p>
        </w:tc>
        <w:tc>
          <w:tcPr>
            <w:tcW w:w="225" w:type="pct"/>
            <w:vMerge w:val="restart"/>
            <w:tcBorders>
              <w:top w:val="single" w:color="auto" w:sz="4" w:space="0"/>
              <w:left w:val="single" w:color="auto" w:sz="4" w:space="0"/>
              <w:bottom w:val="single" w:color="auto" w:sz="4" w:space="0"/>
              <w:right w:val="single" w:color="auto" w:sz="4" w:space="0"/>
            </w:tcBorders>
            <w:noWrap w:val="0"/>
            <w:vAlign w:val="center"/>
          </w:tcPr>
          <w:p>
            <w:pPr>
              <w:spacing w:line="320" w:lineRule="exact"/>
              <w:ind w:left="-63" w:leftChars="-30" w:right="-63" w:rightChars="-30"/>
              <w:jc w:val="center"/>
              <w:rPr>
                <w:b/>
                <w:color w:val="auto"/>
                <w:szCs w:val="21"/>
              </w:rPr>
            </w:pPr>
            <w:r>
              <w:rPr>
                <w:rFonts w:hint="eastAsia"/>
                <w:b/>
                <w:color w:val="auto"/>
                <w:szCs w:val="21"/>
              </w:rPr>
              <w:t>排放</w:t>
            </w:r>
          </w:p>
          <w:p>
            <w:pPr>
              <w:spacing w:line="320" w:lineRule="exact"/>
              <w:ind w:left="-63" w:leftChars="-30" w:right="-63" w:rightChars="-30"/>
              <w:jc w:val="center"/>
              <w:rPr>
                <w:b/>
                <w:color w:val="auto"/>
                <w:szCs w:val="21"/>
              </w:rPr>
            </w:pPr>
            <w:r>
              <w:rPr>
                <w:rFonts w:hint="eastAsia"/>
                <w:b/>
                <w:color w:val="auto"/>
                <w:szCs w:val="21"/>
              </w:rPr>
              <w:t>工况</w:t>
            </w:r>
          </w:p>
        </w:tc>
        <w:tc>
          <w:tcPr>
            <w:tcW w:w="900" w:type="pct"/>
            <w:gridSpan w:val="2"/>
            <w:vMerge w:val="restart"/>
            <w:tcBorders>
              <w:top w:val="single" w:color="auto" w:sz="4" w:space="0"/>
              <w:left w:val="single" w:color="auto" w:sz="4" w:space="0"/>
              <w:bottom w:val="single" w:color="auto" w:sz="4" w:space="0"/>
              <w:right w:val="single" w:color="auto" w:sz="4" w:space="0"/>
            </w:tcBorders>
            <w:noWrap w:val="0"/>
            <w:vAlign w:val="center"/>
          </w:tcPr>
          <w:p>
            <w:pPr>
              <w:spacing w:line="320" w:lineRule="exact"/>
              <w:ind w:left="-63" w:leftChars="-30" w:right="-63" w:rightChars="-30"/>
              <w:jc w:val="center"/>
              <w:rPr>
                <w:b/>
                <w:color w:val="auto"/>
                <w:szCs w:val="21"/>
              </w:rPr>
            </w:pPr>
            <w:r>
              <w:rPr>
                <w:rFonts w:hint="eastAsia"/>
                <w:b/>
                <w:color w:val="auto"/>
                <w:szCs w:val="21"/>
              </w:rPr>
              <w:t>污染物排放速率（</w:t>
            </w:r>
            <w:r>
              <w:rPr>
                <w:b/>
                <w:color w:val="auto"/>
                <w:szCs w:val="21"/>
              </w:rPr>
              <w:t>kg/h</w:t>
            </w:r>
            <w:r>
              <w:rPr>
                <w:rFonts w:hint="eastAsia"/>
                <w:b/>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 w:hRule="atLeast"/>
          <w:jc w:val="center"/>
        </w:trPr>
        <w:tc>
          <w:tcPr>
            <w:tcW w:w="494" w:type="pct"/>
            <w:vMerge w:val="continue"/>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left"/>
              <w:rPr>
                <w:b/>
                <w:color w:val="auto"/>
                <w:szCs w:val="21"/>
              </w:rPr>
            </w:pPr>
          </w:p>
        </w:tc>
        <w:tc>
          <w:tcPr>
            <w:tcW w:w="454" w:type="pct"/>
            <w:vMerge w:val="continue"/>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left"/>
              <w:rPr>
                <w:b/>
                <w:color w:val="auto"/>
                <w:szCs w:val="21"/>
              </w:rPr>
            </w:pPr>
          </w:p>
        </w:tc>
        <w:tc>
          <w:tcPr>
            <w:tcW w:w="674" w:type="pct"/>
            <w:tcBorders>
              <w:top w:val="single" w:color="auto" w:sz="4" w:space="0"/>
              <w:left w:val="single" w:color="auto" w:sz="4" w:space="0"/>
              <w:bottom w:val="single" w:color="auto" w:sz="4" w:space="0"/>
              <w:right w:val="single" w:color="auto" w:sz="4" w:space="0"/>
            </w:tcBorders>
            <w:noWrap w:val="0"/>
            <w:vAlign w:val="top"/>
          </w:tcPr>
          <w:p>
            <w:pPr>
              <w:spacing w:line="320" w:lineRule="exact"/>
              <w:jc w:val="center"/>
              <w:rPr>
                <w:b/>
                <w:color w:val="auto"/>
                <w:szCs w:val="21"/>
              </w:rPr>
            </w:pPr>
            <w:r>
              <w:rPr>
                <w:b/>
                <w:color w:val="auto"/>
                <w:szCs w:val="21"/>
              </w:rPr>
              <w:t>X</w:t>
            </w:r>
          </w:p>
        </w:tc>
        <w:tc>
          <w:tcPr>
            <w:tcW w:w="662" w:type="pct"/>
            <w:tcBorders>
              <w:top w:val="single" w:color="auto" w:sz="4" w:space="0"/>
              <w:left w:val="single" w:color="auto" w:sz="4" w:space="0"/>
              <w:bottom w:val="single" w:color="auto" w:sz="4" w:space="0"/>
              <w:right w:val="single" w:color="auto" w:sz="4" w:space="0"/>
            </w:tcBorders>
            <w:noWrap w:val="0"/>
            <w:vAlign w:val="top"/>
          </w:tcPr>
          <w:p>
            <w:pPr>
              <w:spacing w:line="320" w:lineRule="exact"/>
              <w:jc w:val="center"/>
              <w:rPr>
                <w:b/>
                <w:color w:val="auto"/>
                <w:szCs w:val="21"/>
              </w:rPr>
            </w:pPr>
            <w:r>
              <w:rPr>
                <w:b/>
                <w:color w:val="auto"/>
                <w:szCs w:val="21"/>
              </w:rPr>
              <w:t>Y</w:t>
            </w:r>
          </w:p>
        </w:tc>
        <w:tc>
          <w:tcPr>
            <w:tcW w:w="340" w:type="pct"/>
            <w:vMerge w:val="continue"/>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left"/>
              <w:rPr>
                <w:b/>
                <w:color w:val="auto"/>
                <w:szCs w:val="21"/>
              </w:rPr>
            </w:pPr>
          </w:p>
        </w:tc>
        <w:tc>
          <w:tcPr>
            <w:tcW w:w="267" w:type="pct"/>
            <w:vMerge w:val="continue"/>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left"/>
              <w:rPr>
                <w:b/>
                <w:color w:val="auto"/>
                <w:szCs w:val="21"/>
              </w:rPr>
            </w:pPr>
          </w:p>
        </w:tc>
        <w:tc>
          <w:tcPr>
            <w:tcW w:w="321" w:type="pct"/>
            <w:vMerge w:val="continue"/>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left"/>
              <w:rPr>
                <w:b/>
                <w:color w:val="auto"/>
                <w:szCs w:val="21"/>
              </w:rPr>
            </w:pPr>
          </w:p>
        </w:tc>
        <w:tc>
          <w:tcPr>
            <w:tcW w:w="280" w:type="pct"/>
            <w:vMerge w:val="continue"/>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left"/>
              <w:rPr>
                <w:b/>
                <w:color w:val="auto"/>
                <w:szCs w:val="21"/>
              </w:rPr>
            </w:pPr>
          </w:p>
        </w:tc>
        <w:tc>
          <w:tcPr>
            <w:tcW w:w="379" w:type="pct"/>
            <w:vMerge w:val="continue"/>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left"/>
              <w:rPr>
                <w:b/>
                <w:color w:val="auto"/>
                <w:szCs w:val="21"/>
              </w:rPr>
            </w:pPr>
          </w:p>
        </w:tc>
        <w:tc>
          <w:tcPr>
            <w:tcW w:w="225" w:type="pct"/>
            <w:vMerge w:val="continue"/>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left"/>
              <w:rPr>
                <w:b/>
                <w:color w:val="auto"/>
                <w:szCs w:val="21"/>
              </w:rPr>
            </w:pPr>
          </w:p>
        </w:tc>
        <w:tc>
          <w:tcPr>
            <w:tcW w:w="900" w:type="pct"/>
            <w:gridSpan w:val="2"/>
            <w:vMerge w:val="continue"/>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left"/>
              <w:rPr>
                <w:b/>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2" w:hRule="atLeast"/>
          <w:jc w:val="center"/>
        </w:trPr>
        <w:tc>
          <w:tcPr>
            <w:tcW w:w="494" w:type="pct"/>
            <w:tcBorders>
              <w:top w:val="single" w:color="auto" w:sz="4" w:space="0"/>
              <w:left w:val="single" w:color="auto" w:sz="4" w:space="0"/>
              <w:bottom w:val="single" w:color="auto" w:sz="4" w:space="0"/>
              <w:right w:val="single" w:color="auto" w:sz="4" w:space="0"/>
            </w:tcBorders>
            <w:noWrap w:val="0"/>
            <w:vAlign w:val="center"/>
          </w:tcPr>
          <w:p>
            <w:pPr>
              <w:spacing w:line="320" w:lineRule="exact"/>
              <w:jc w:val="center"/>
              <w:rPr>
                <w:rFonts w:hint="default" w:eastAsia="宋体"/>
                <w:color w:val="auto"/>
                <w:szCs w:val="21"/>
                <w:lang w:val="en-US" w:eastAsia="zh-CN"/>
              </w:rPr>
            </w:pPr>
            <w:r>
              <w:rPr>
                <w:rFonts w:hint="eastAsia"/>
                <w:color w:val="auto"/>
                <w:szCs w:val="21"/>
                <w:lang w:val="en-US" w:eastAsia="zh-CN"/>
              </w:rPr>
              <w:t>1#排气筒</w:t>
            </w:r>
          </w:p>
        </w:tc>
        <w:tc>
          <w:tcPr>
            <w:tcW w:w="454" w:type="pct"/>
            <w:tcBorders>
              <w:top w:val="single" w:color="auto" w:sz="4" w:space="0"/>
              <w:left w:val="single" w:color="auto" w:sz="4" w:space="0"/>
              <w:bottom w:val="single" w:color="auto" w:sz="4" w:space="0"/>
              <w:right w:val="single" w:color="auto" w:sz="4" w:space="0"/>
            </w:tcBorders>
            <w:noWrap w:val="0"/>
            <w:vAlign w:val="center"/>
          </w:tcPr>
          <w:p>
            <w:pPr>
              <w:spacing w:line="320" w:lineRule="exact"/>
              <w:ind w:left="-105" w:leftChars="-50" w:right="-105" w:rightChars="-50"/>
              <w:jc w:val="center"/>
              <w:rPr>
                <w:rFonts w:hint="eastAsia" w:hAnsi="宋体" w:eastAsia="宋体"/>
                <w:color w:val="auto"/>
                <w:szCs w:val="21"/>
                <w:lang w:eastAsia="zh-CN"/>
              </w:rPr>
            </w:pPr>
            <w:r>
              <w:rPr>
                <w:rFonts w:hint="eastAsia" w:hAnsi="宋体"/>
                <w:color w:val="auto"/>
                <w:szCs w:val="21"/>
                <w:lang w:eastAsia="zh-CN"/>
              </w:rPr>
              <w:t>配料粉尘排放口</w:t>
            </w:r>
          </w:p>
        </w:tc>
        <w:tc>
          <w:tcPr>
            <w:tcW w:w="674" w:type="pct"/>
            <w:tcBorders>
              <w:top w:val="single" w:color="auto" w:sz="4" w:space="0"/>
              <w:left w:val="single" w:color="auto" w:sz="4" w:space="0"/>
              <w:bottom w:val="single" w:color="auto" w:sz="4" w:space="0"/>
              <w:right w:val="single" w:color="auto" w:sz="4" w:space="0"/>
            </w:tcBorders>
            <w:noWrap w:val="0"/>
            <w:vAlign w:val="center"/>
          </w:tcPr>
          <w:p>
            <w:pPr>
              <w:spacing w:line="320" w:lineRule="exact"/>
              <w:jc w:val="center"/>
              <w:rPr>
                <w:rFonts w:hint="eastAsia"/>
                <w:color w:val="auto"/>
                <w:szCs w:val="21"/>
              </w:rPr>
            </w:pPr>
            <w:r>
              <w:rPr>
                <w:rFonts w:hint="eastAsia"/>
                <w:color w:val="auto"/>
                <w:szCs w:val="21"/>
              </w:rPr>
              <w:t>119.015722</w:t>
            </w:r>
          </w:p>
        </w:tc>
        <w:tc>
          <w:tcPr>
            <w:tcW w:w="662" w:type="pct"/>
            <w:tcBorders>
              <w:top w:val="single" w:color="auto" w:sz="4" w:space="0"/>
              <w:left w:val="single" w:color="auto" w:sz="4" w:space="0"/>
              <w:bottom w:val="single" w:color="auto" w:sz="4" w:space="0"/>
              <w:right w:val="single" w:color="auto" w:sz="4" w:space="0"/>
            </w:tcBorders>
            <w:noWrap w:val="0"/>
            <w:vAlign w:val="center"/>
          </w:tcPr>
          <w:p>
            <w:pPr>
              <w:spacing w:line="320" w:lineRule="exact"/>
              <w:jc w:val="center"/>
              <w:rPr>
                <w:rFonts w:hint="eastAsia"/>
                <w:color w:val="auto"/>
                <w:szCs w:val="21"/>
              </w:rPr>
            </w:pPr>
            <w:r>
              <w:rPr>
                <w:rFonts w:hint="eastAsia"/>
                <w:color w:val="auto"/>
                <w:szCs w:val="21"/>
              </w:rPr>
              <w:t>30.665562</w:t>
            </w:r>
          </w:p>
        </w:tc>
        <w:tc>
          <w:tcPr>
            <w:tcW w:w="340" w:type="pct"/>
            <w:vMerge w:val="restart"/>
            <w:tcBorders>
              <w:top w:val="single" w:color="auto" w:sz="4" w:space="0"/>
              <w:left w:val="single" w:color="auto" w:sz="4" w:space="0"/>
              <w:right w:val="single" w:color="auto" w:sz="4" w:space="0"/>
            </w:tcBorders>
            <w:noWrap w:val="0"/>
            <w:vAlign w:val="center"/>
          </w:tcPr>
          <w:p>
            <w:pPr>
              <w:spacing w:line="320" w:lineRule="exact"/>
              <w:jc w:val="center"/>
              <w:rPr>
                <w:rFonts w:hint="default" w:eastAsia="宋体"/>
                <w:color w:val="auto"/>
                <w:szCs w:val="21"/>
                <w:lang w:val="en-US" w:eastAsia="zh-CN"/>
              </w:rPr>
            </w:pPr>
            <w:r>
              <w:rPr>
                <w:rFonts w:hint="eastAsia"/>
                <w:color w:val="auto"/>
                <w:szCs w:val="21"/>
                <w:lang w:val="en-US" w:eastAsia="zh-CN"/>
              </w:rPr>
              <w:t>94</w:t>
            </w:r>
          </w:p>
        </w:tc>
        <w:tc>
          <w:tcPr>
            <w:tcW w:w="267" w:type="pct"/>
            <w:tcBorders>
              <w:top w:val="single" w:color="auto" w:sz="4" w:space="0"/>
              <w:left w:val="single" w:color="auto" w:sz="4" w:space="0"/>
              <w:bottom w:val="single" w:color="auto" w:sz="4" w:space="0"/>
              <w:right w:val="single" w:color="auto" w:sz="4" w:space="0"/>
            </w:tcBorders>
            <w:noWrap w:val="0"/>
            <w:vAlign w:val="center"/>
          </w:tcPr>
          <w:p>
            <w:pPr>
              <w:spacing w:line="320" w:lineRule="exact"/>
              <w:jc w:val="center"/>
              <w:rPr>
                <w:color w:val="auto"/>
                <w:szCs w:val="21"/>
              </w:rPr>
            </w:pPr>
            <w:r>
              <w:rPr>
                <w:rFonts w:hint="eastAsia"/>
                <w:color w:val="auto"/>
                <w:szCs w:val="21"/>
              </w:rPr>
              <w:t>15</w:t>
            </w:r>
          </w:p>
        </w:tc>
        <w:tc>
          <w:tcPr>
            <w:tcW w:w="321" w:type="pct"/>
            <w:tcBorders>
              <w:top w:val="single" w:color="auto" w:sz="4" w:space="0"/>
              <w:left w:val="single" w:color="auto" w:sz="4" w:space="0"/>
              <w:bottom w:val="single" w:color="auto" w:sz="4" w:space="0"/>
              <w:right w:val="single" w:color="auto" w:sz="4" w:space="0"/>
            </w:tcBorders>
            <w:noWrap w:val="0"/>
            <w:vAlign w:val="center"/>
          </w:tcPr>
          <w:p>
            <w:pPr>
              <w:pStyle w:val="306"/>
              <w:spacing w:line="320" w:lineRule="exact"/>
              <w:rPr>
                <w:rFonts w:hint="eastAsia" w:eastAsia="宋体"/>
                <w:color w:val="auto"/>
                <w:sz w:val="21"/>
                <w:lang w:val="en-US" w:eastAsia="zh-CN"/>
              </w:rPr>
            </w:pPr>
            <w:r>
              <w:rPr>
                <w:rFonts w:hint="eastAsia"/>
                <w:color w:val="auto"/>
                <w:sz w:val="21"/>
              </w:rPr>
              <w:t>0.</w:t>
            </w:r>
            <w:r>
              <w:rPr>
                <w:rFonts w:hint="eastAsia"/>
                <w:color w:val="auto"/>
                <w:sz w:val="21"/>
                <w:lang w:val="en-US" w:eastAsia="zh-CN"/>
              </w:rPr>
              <w:t>3</w:t>
            </w:r>
          </w:p>
        </w:tc>
        <w:tc>
          <w:tcPr>
            <w:tcW w:w="280" w:type="pct"/>
            <w:tcBorders>
              <w:top w:val="single" w:color="auto" w:sz="4" w:space="0"/>
              <w:left w:val="single" w:color="auto" w:sz="4" w:space="0"/>
              <w:bottom w:val="single" w:color="auto" w:sz="4" w:space="0"/>
              <w:right w:val="single" w:color="auto" w:sz="4" w:space="0"/>
            </w:tcBorders>
            <w:noWrap w:val="0"/>
            <w:vAlign w:val="center"/>
          </w:tcPr>
          <w:p>
            <w:pPr>
              <w:spacing w:line="320" w:lineRule="exact"/>
              <w:ind w:left="-105" w:leftChars="-50" w:right="-105" w:rightChars="-50"/>
              <w:jc w:val="center"/>
              <w:rPr>
                <w:rFonts w:hint="eastAsia" w:eastAsia="宋体"/>
                <w:color w:val="auto"/>
                <w:szCs w:val="21"/>
                <w:lang w:eastAsia="zh-CN"/>
              </w:rPr>
            </w:pPr>
            <w:r>
              <w:rPr>
                <w:rFonts w:hint="eastAsia"/>
                <w:color w:val="auto"/>
                <w:szCs w:val="21"/>
              </w:rPr>
              <w:t>2</w:t>
            </w:r>
            <w:r>
              <w:rPr>
                <w:rFonts w:hint="eastAsia"/>
                <w:color w:val="auto"/>
                <w:szCs w:val="21"/>
                <w:lang w:val="en-US" w:eastAsia="zh-CN"/>
              </w:rPr>
              <w:t>0</w:t>
            </w:r>
          </w:p>
        </w:tc>
        <w:tc>
          <w:tcPr>
            <w:tcW w:w="379" w:type="pct"/>
            <w:tcBorders>
              <w:top w:val="single" w:color="auto" w:sz="4" w:space="0"/>
              <w:left w:val="single" w:color="auto" w:sz="4" w:space="0"/>
              <w:bottom w:val="single" w:color="auto" w:sz="4" w:space="0"/>
              <w:right w:val="single" w:color="auto" w:sz="4" w:space="0"/>
            </w:tcBorders>
            <w:noWrap w:val="0"/>
            <w:vAlign w:val="center"/>
          </w:tcPr>
          <w:p>
            <w:pPr>
              <w:spacing w:line="320" w:lineRule="exact"/>
              <w:jc w:val="center"/>
              <w:rPr>
                <w:rFonts w:hint="eastAsia"/>
                <w:color w:val="auto"/>
                <w:szCs w:val="21"/>
              </w:rPr>
            </w:pPr>
            <w:r>
              <w:rPr>
                <w:rFonts w:hint="eastAsia"/>
                <w:color w:val="auto"/>
                <w:szCs w:val="21"/>
                <w:lang w:val="en-US" w:eastAsia="zh-CN"/>
              </w:rPr>
              <w:t>12</w:t>
            </w:r>
            <w:r>
              <w:rPr>
                <w:rFonts w:hint="eastAsia"/>
                <w:color w:val="auto"/>
                <w:szCs w:val="21"/>
              </w:rPr>
              <w:t>00</w:t>
            </w:r>
          </w:p>
        </w:tc>
        <w:tc>
          <w:tcPr>
            <w:tcW w:w="225" w:type="pct"/>
            <w:vMerge w:val="restart"/>
            <w:tcBorders>
              <w:top w:val="single" w:color="auto" w:sz="4" w:space="0"/>
              <w:left w:val="single" w:color="auto" w:sz="4" w:space="0"/>
              <w:right w:val="single" w:color="auto" w:sz="4" w:space="0"/>
            </w:tcBorders>
            <w:noWrap w:val="0"/>
            <w:vAlign w:val="center"/>
          </w:tcPr>
          <w:p>
            <w:pPr>
              <w:spacing w:line="320" w:lineRule="exact"/>
              <w:ind w:left="-105" w:leftChars="-50" w:right="-105" w:rightChars="-50"/>
              <w:jc w:val="center"/>
              <w:rPr>
                <w:rFonts w:hint="eastAsia"/>
                <w:color w:val="auto"/>
                <w:szCs w:val="21"/>
              </w:rPr>
            </w:pPr>
            <w:r>
              <w:rPr>
                <w:rFonts w:hint="eastAsia"/>
                <w:color w:val="auto"/>
                <w:szCs w:val="21"/>
              </w:rPr>
              <w:t>正常</w:t>
            </w:r>
          </w:p>
        </w:tc>
        <w:tc>
          <w:tcPr>
            <w:tcW w:w="427" w:type="pct"/>
            <w:tcBorders>
              <w:top w:val="single" w:color="auto" w:sz="4" w:space="0"/>
              <w:left w:val="single" w:color="auto" w:sz="4" w:space="0"/>
              <w:bottom w:val="single" w:color="auto" w:sz="4" w:space="0"/>
              <w:right w:val="single" w:color="auto" w:sz="4" w:space="0"/>
            </w:tcBorders>
            <w:noWrap w:val="0"/>
            <w:vAlign w:val="center"/>
          </w:tcPr>
          <w:p>
            <w:pPr>
              <w:spacing w:line="320" w:lineRule="exact"/>
              <w:ind w:left="-105" w:leftChars="-50" w:right="-105" w:rightChars="-50"/>
              <w:jc w:val="center"/>
              <w:rPr>
                <w:rFonts w:hint="eastAsia" w:eastAsia="宋体"/>
                <w:color w:val="auto"/>
                <w:szCs w:val="21"/>
                <w:lang w:eastAsia="zh-CN"/>
              </w:rPr>
            </w:pPr>
            <w:r>
              <w:rPr>
                <w:rFonts w:hint="eastAsia" w:eastAsia="宋体"/>
                <w:color w:val="auto"/>
                <w:szCs w:val="21"/>
                <w:lang w:val="en-US" w:eastAsia="zh-CN"/>
              </w:rPr>
              <w:t>颗粒物</w:t>
            </w:r>
          </w:p>
        </w:tc>
        <w:tc>
          <w:tcPr>
            <w:tcW w:w="473" w:type="pct"/>
            <w:tcBorders>
              <w:top w:val="single" w:color="auto" w:sz="4" w:space="0"/>
              <w:left w:val="single" w:color="auto" w:sz="4" w:space="0"/>
              <w:bottom w:val="single" w:color="auto" w:sz="4" w:space="0"/>
              <w:right w:val="single" w:color="auto" w:sz="4" w:space="0"/>
            </w:tcBorders>
            <w:noWrap w:val="0"/>
            <w:vAlign w:val="center"/>
          </w:tcPr>
          <w:p>
            <w:pPr>
              <w:spacing w:line="320" w:lineRule="exact"/>
              <w:ind w:left="-105" w:leftChars="-50" w:right="-105" w:rightChars="-50"/>
              <w:jc w:val="center"/>
              <w:rPr>
                <w:rFonts w:hint="eastAsia" w:eastAsia="宋体"/>
                <w:color w:val="auto"/>
                <w:szCs w:val="21"/>
                <w:lang w:eastAsia="zh-CN"/>
              </w:rPr>
            </w:pPr>
            <w:r>
              <w:rPr>
                <w:rFonts w:hint="eastAsia" w:eastAsia="宋体"/>
                <w:color w:val="auto"/>
                <w:szCs w:val="21"/>
                <w:lang w:val="en-US" w:eastAsia="zh-CN"/>
              </w:rPr>
              <w:t>0.0019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2" w:hRule="atLeast"/>
          <w:jc w:val="center"/>
        </w:trPr>
        <w:tc>
          <w:tcPr>
            <w:tcW w:w="494" w:type="pct"/>
            <w:vMerge w:val="restart"/>
            <w:tcBorders>
              <w:top w:val="single" w:color="auto" w:sz="4" w:space="0"/>
              <w:left w:val="single" w:color="auto" w:sz="4" w:space="0"/>
              <w:right w:val="single" w:color="auto" w:sz="4" w:space="0"/>
            </w:tcBorders>
            <w:noWrap w:val="0"/>
            <w:vAlign w:val="center"/>
          </w:tcPr>
          <w:p>
            <w:pPr>
              <w:spacing w:line="320" w:lineRule="exact"/>
              <w:jc w:val="center"/>
              <w:rPr>
                <w:rFonts w:hint="default"/>
                <w:color w:val="auto"/>
                <w:szCs w:val="21"/>
                <w:lang w:val="en-US" w:eastAsia="zh-CN"/>
              </w:rPr>
            </w:pPr>
            <w:r>
              <w:rPr>
                <w:rFonts w:hint="eastAsia"/>
                <w:color w:val="auto"/>
                <w:szCs w:val="21"/>
                <w:lang w:val="en-US" w:eastAsia="zh-CN"/>
              </w:rPr>
              <w:t>2#排气筒</w:t>
            </w:r>
          </w:p>
        </w:tc>
        <w:tc>
          <w:tcPr>
            <w:tcW w:w="454" w:type="pct"/>
            <w:vMerge w:val="restart"/>
            <w:tcBorders>
              <w:top w:val="single" w:color="auto" w:sz="4" w:space="0"/>
              <w:left w:val="single" w:color="auto" w:sz="4" w:space="0"/>
              <w:right w:val="single" w:color="auto" w:sz="4" w:space="0"/>
            </w:tcBorders>
            <w:noWrap w:val="0"/>
            <w:vAlign w:val="center"/>
          </w:tcPr>
          <w:p>
            <w:pPr>
              <w:spacing w:line="320" w:lineRule="exact"/>
              <w:ind w:left="-105" w:leftChars="-50" w:right="-105" w:rightChars="-50"/>
              <w:jc w:val="center"/>
              <w:rPr>
                <w:rFonts w:hint="eastAsia" w:hAnsi="宋体"/>
                <w:color w:val="auto"/>
                <w:szCs w:val="21"/>
                <w:lang w:eastAsia="zh-CN"/>
              </w:rPr>
            </w:pPr>
            <w:r>
              <w:rPr>
                <w:rFonts w:hint="eastAsia" w:hAnsi="宋体"/>
                <w:color w:val="auto"/>
                <w:szCs w:val="21"/>
                <w:lang w:eastAsia="zh-CN"/>
              </w:rPr>
              <w:t>配胶、开炼、密炼</w:t>
            </w:r>
          </w:p>
        </w:tc>
        <w:tc>
          <w:tcPr>
            <w:tcW w:w="674" w:type="pct"/>
            <w:vMerge w:val="restart"/>
            <w:tcBorders>
              <w:top w:val="single" w:color="auto" w:sz="4" w:space="0"/>
              <w:left w:val="single" w:color="auto" w:sz="4" w:space="0"/>
              <w:right w:val="single" w:color="auto" w:sz="4" w:space="0"/>
            </w:tcBorders>
            <w:noWrap w:val="0"/>
            <w:vAlign w:val="center"/>
          </w:tcPr>
          <w:p>
            <w:pPr>
              <w:spacing w:line="320" w:lineRule="exact"/>
              <w:jc w:val="center"/>
              <w:rPr>
                <w:rFonts w:hint="eastAsia"/>
                <w:color w:val="auto"/>
                <w:szCs w:val="21"/>
              </w:rPr>
            </w:pPr>
            <w:r>
              <w:rPr>
                <w:rFonts w:hint="eastAsia"/>
                <w:color w:val="auto"/>
                <w:szCs w:val="21"/>
              </w:rPr>
              <w:t>119.015858</w:t>
            </w:r>
          </w:p>
        </w:tc>
        <w:tc>
          <w:tcPr>
            <w:tcW w:w="662" w:type="pct"/>
            <w:vMerge w:val="restart"/>
            <w:tcBorders>
              <w:top w:val="single" w:color="auto" w:sz="4" w:space="0"/>
              <w:left w:val="single" w:color="auto" w:sz="4" w:space="0"/>
              <w:right w:val="single" w:color="auto" w:sz="4" w:space="0"/>
            </w:tcBorders>
            <w:noWrap w:val="0"/>
            <w:vAlign w:val="center"/>
          </w:tcPr>
          <w:p>
            <w:pPr>
              <w:spacing w:line="320" w:lineRule="exact"/>
              <w:jc w:val="center"/>
              <w:rPr>
                <w:rFonts w:hint="eastAsia"/>
                <w:color w:val="auto"/>
                <w:szCs w:val="21"/>
              </w:rPr>
            </w:pPr>
            <w:r>
              <w:rPr>
                <w:rFonts w:hint="eastAsia"/>
              </w:rPr>
              <w:t>30.665442</w:t>
            </w:r>
          </w:p>
        </w:tc>
        <w:tc>
          <w:tcPr>
            <w:tcW w:w="340" w:type="pct"/>
            <w:vMerge w:val="continue"/>
            <w:tcBorders>
              <w:left w:val="single" w:color="auto" w:sz="4" w:space="0"/>
              <w:right w:val="single" w:color="auto" w:sz="4" w:space="0"/>
            </w:tcBorders>
            <w:noWrap w:val="0"/>
            <w:vAlign w:val="center"/>
          </w:tcPr>
          <w:p>
            <w:pPr>
              <w:spacing w:line="320" w:lineRule="exact"/>
              <w:jc w:val="center"/>
              <w:rPr>
                <w:rFonts w:hint="eastAsia"/>
                <w:color w:val="auto"/>
                <w:szCs w:val="21"/>
              </w:rPr>
            </w:pPr>
          </w:p>
        </w:tc>
        <w:tc>
          <w:tcPr>
            <w:tcW w:w="267" w:type="pct"/>
            <w:vMerge w:val="restart"/>
            <w:tcBorders>
              <w:top w:val="single" w:color="auto" w:sz="4" w:space="0"/>
              <w:left w:val="single" w:color="auto" w:sz="4" w:space="0"/>
              <w:right w:val="single" w:color="auto" w:sz="4" w:space="0"/>
            </w:tcBorders>
            <w:noWrap w:val="0"/>
            <w:vAlign w:val="center"/>
          </w:tcPr>
          <w:p>
            <w:pPr>
              <w:spacing w:line="320" w:lineRule="exact"/>
              <w:jc w:val="center"/>
              <w:rPr>
                <w:rFonts w:hint="eastAsia"/>
              </w:rPr>
            </w:pPr>
            <w:r>
              <w:rPr>
                <w:rFonts w:hint="eastAsia"/>
                <w:color w:val="auto"/>
                <w:szCs w:val="21"/>
              </w:rPr>
              <w:t>15</w:t>
            </w:r>
          </w:p>
        </w:tc>
        <w:tc>
          <w:tcPr>
            <w:tcW w:w="321" w:type="pct"/>
            <w:vMerge w:val="restart"/>
            <w:tcBorders>
              <w:top w:val="single" w:color="auto" w:sz="4" w:space="0"/>
              <w:left w:val="single" w:color="auto" w:sz="4" w:space="0"/>
              <w:right w:val="single" w:color="auto" w:sz="4" w:space="0"/>
            </w:tcBorders>
            <w:noWrap w:val="0"/>
            <w:vAlign w:val="center"/>
          </w:tcPr>
          <w:p>
            <w:pPr>
              <w:pStyle w:val="306"/>
              <w:spacing w:line="320" w:lineRule="exact"/>
              <w:rPr>
                <w:rFonts w:hint="default" w:eastAsia="宋体"/>
                <w:color w:val="auto"/>
                <w:sz w:val="21"/>
                <w:lang w:val="en-US" w:eastAsia="zh-CN"/>
              </w:rPr>
            </w:pPr>
            <w:r>
              <w:rPr>
                <w:rFonts w:hint="eastAsia"/>
                <w:color w:val="auto"/>
                <w:sz w:val="21"/>
                <w:lang w:val="en-US" w:eastAsia="zh-CN"/>
              </w:rPr>
              <w:t>0.6</w:t>
            </w:r>
          </w:p>
        </w:tc>
        <w:tc>
          <w:tcPr>
            <w:tcW w:w="280" w:type="pct"/>
            <w:vMerge w:val="restart"/>
            <w:tcBorders>
              <w:top w:val="single" w:color="auto" w:sz="4" w:space="0"/>
              <w:left w:val="single" w:color="auto" w:sz="4" w:space="0"/>
              <w:right w:val="single" w:color="auto" w:sz="4" w:space="0"/>
            </w:tcBorders>
            <w:noWrap w:val="0"/>
            <w:vAlign w:val="center"/>
          </w:tcPr>
          <w:p>
            <w:pPr>
              <w:spacing w:line="320" w:lineRule="exact"/>
              <w:ind w:left="-105" w:leftChars="-50" w:right="-105" w:rightChars="-50"/>
              <w:jc w:val="center"/>
              <w:rPr>
                <w:rFonts w:hint="eastAsia" w:eastAsia="宋体"/>
                <w:lang w:eastAsia="zh-CN"/>
              </w:rPr>
            </w:pPr>
            <w:r>
              <w:rPr>
                <w:rFonts w:hint="eastAsia"/>
                <w:color w:val="auto"/>
                <w:szCs w:val="21"/>
              </w:rPr>
              <w:t>2</w:t>
            </w:r>
            <w:r>
              <w:rPr>
                <w:rFonts w:hint="eastAsia"/>
                <w:color w:val="auto"/>
                <w:szCs w:val="21"/>
                <w:lang w:val="en-US" w:eastAsia="zh-CN"/>
              </w:rPr>
              <w:t>0</w:t>
            </w:r>
          </w:p>
        </w:tc>
        <w:tc>
          <w:tcPr>
            <w:tcW w:w="379" w:type="pct"/>
            <w:vMerge w:val="restart"/>
            <w:tcBorders>
              <w:top w:val="single" w:color="auto" w:sz="4" w:space="0"/>
              <w:left w:val="single" w:color="auto" w:sz="4" w:space="0"/>
              <w:right w:val="single" w:color="auto" w:sz="4" w:space="0"/>
            </w:tcBorders>
            <w:noWrap w:val="0"/>
            <w:vAlign w:val="center"/>
          </w:tcPr>
          <w:p>
            <w:pPr>
              <w:spacing w:line="320" w:lineRule="exact"/>
              <w:jc w:val="center"/>
              <w:rPr>
                <w:rFonts w:hint="default" w:eastAsia="宋体"/>
                <w:color w:val="auto"/>
                <w:szCs w:val="21"/>
                <w:lang w:val="en-US" w:eastAsia="zh-CN"/>
              </w:rPr>
            </w:pPr>
            <w:r>
              <w:rPr>
                <w:rFonts w:hint="eastAsia"/>
                <w:color w:val="auto"/>
                <w:szCs w:val="21"/>
                <w:lang w:val="en-US" w:eastAsia="zh-CN"/>
              </w:rPr>
              <w:t>1200</w:t>
            </w:r>
          </w:p>
        </w:tc>
        <w:tc>
          <w:tcPr>
            <w:tcW w:w="225" w:type="pct"/>
            <w:vMerge w:val="continue"/>
            <w:tcBorders>
              <w:left w:val="single" w:color="auto" w:sz="4" w:space="0"/>
              <w:right w:val="single" w:color="auto" w:sz="4" w:space="0"/>
            </w:tcBorders>
            <w:noWrap w:val="0"/>
            <w:vAlign w:val="center"/>
          </w:tcPr>
          <w:p>
            <w:pPr>
              <w:spacing w:line="320" w:lineRule="exact"/>
              <w:ind w:left="-105" w:leftChars="-50" w:right="-105" w:rightChars="-50"/>
              <w:jc w:val="center"/>
              <w:rPr>
                <w:rFonts w:hint="eastAsia"/>
                <w:color w:val="auto"/>
                <w:szCs w:val="21"/>
              </w:rPr>
            </w:pPr>
          </w:p>
        </w:tc>
        <w:tc>
          <w:tcPr>
            <w:tcW w:w="427" w:type="pct"/>
            <w:tcBorders>
              <w:top w:val="single" w:color="auto" w:sz="4" w:space="0"/>
              <w:left w:val="single" w:color="auto" w:sz="4" w:space="0"/>
              <w:bottom w:val="single" w:color="auto" w:sz="4" w:space="0"/>
              <w:right w:val="single" w:color="auto" w:sz="4" w:space="0"/>
            </w:tcBorders>
            <w:noWrap w:val="0"/>
            <w:vAlign w:val="center"/>
          </w:tcPr>
          <w:p>
            <w:pPr>
              <w:spacing w:line="320" w:lineRule="exact"/>
              <w:ind w:left="-105" w:leftChars="-50" w:right="-105" w:rightChars="-50"/>
              <w:jc w:val="center"/>
              <w:rPr>
                <w:rFonts w:hint="eastAsia" w:eastAsia="宋体"/>
                <w:color w:val="auto"/>
                <w:szCs w:val="21"/>
                <w:lang w:eastAsia="zh-CN"/>
              </w:rPr>
            </w:pPr>
            <w:r>
              <w:rPr>
                <w:rFonts w:hint="eastAsia" w:eastAsia="宋体"/>
                <w:color w:val="auto"/>
                <w:szCs w:val="21"/>
                <w:lang w:val="en-US" w:eastAsia="zh-CN"/>
              </w:rPr>
              <w:t>颗粒物</w:t>
            </w:r>
          </w:p>
        </w:tc>
        <w:tc>
          <w:tcPr>
            <w:tcW w:w="473" w:type="pct"/>
            <w:tcBorders>
              <w:top w:val="single" w:color="auto" w:sz="4" w:space="0"/>
              <w:left w:val="single" w:color="auto" w:sz="4" w:space="0"/>
              <w:bottom w:val="single" w:color="auto" w:sz="4" w:space="0"/>
              <w:right w:val="single" w:color="auto" w:sz="4" w:space="0"/>
            </w:tcBorders>
            <w:noWrap w:val="0"/>
            <w:vAlign w:val="center"/>
          </w:tcPr>
          <w:p>
            <w:pPr>
              <w:spacing w:line="320" w:lineRule="exact"/>
              <w:ind w:left="-105" w:leftChars="-50" w:right="-105" w:rightChars="-50"/>
              <w:jc w:val="center"/>
              <w:rPr>
                <w:rFonts w:hint="eastAsia" w:eastAsia="宋体"/>
                <w:color w:val="auto"/>
                <w:szCs w:val="21"/>
                <w:lang w:eastAsia="zh-CN"/>
              </w:rPr>
            </w:pPr>
            <w:r>
              <w:rPr>
                <w:rFonts w:hint="eastAsia" w:eastAsia="宋体"/>
                <w:color w:val="auto"/>
                <w:szCs w:val="21"/>
                <w:lang w:val="en-US" w:eastAsia="zh-CN"/>
              </w:rPr>
              <w:t>0.0033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2" w:hRule="atLeast"/>
          <w:jc w:val="center"/>
        </w:trPr>
        <w:tc>
          <w:tcPr>
            <w:tcW w:w="494" w:type="pct"/>
            <w:vMerge w:val="continue"/>
            <w:tcBorders>
              <w:left w:val="single" w:color="auto" w:sz="4" w:space="0"/>
              <w:right w:val="single" w:color="auto" w:sz="4" w:space="0"/>
            </w:tcBorders>
            <w:noWrap w:val="0"/>
            <w:vAlign w:val="center"/>
          </w:tcPr>
          <w:p>
            <w:pPr>
              <w:spacing w:line="320" w:lineRule="exact"/>
              <w:jc w:val="center"/>
              <w:rPr>
                <w:rFonts w:hint="eastAsia"/>
                <w:color w:val="auto"/>
                <w:szCs w:val="21"/>
                <w:lang w:val="en-US" w:eastAsia="zh-CN"/>
              </w:rPr>
            </w:pPr>
          </w:p>
        </w:tc>
        <w:tc>
          <w:tcPr>
            <w:tcW w:w="454" w:type="pct"/>
            <w:vMerge w:val="continue"/>
            <w:tcBorders>
              <w:left w:val="single" w:color="auto" w:sz="4" w:space="0"/>
              <w:right w:val="single" w:color="auto" w:sz="4" w:space="0"/>
            </w:tcBorders>
            <w:noWrap w:val="0"/>
            <w:vAlign w:val="center"/>
          </w:tcPr>
          <w:p>
            <w:pPr>
              <w:spacing w:line="320" w:lineRule="exact"/>
              <w:ind w:left="-105" w:leftChars="-50" w:right="-105" w:rightChars="-50"/>
              <w:jc w:val="center"/>
              <w:rPr>
                <w:rFonts w:hint="eastAsia" w:hAnsi="宋体"/>
                <w:color w:val="auto"/>
                <w:szCs w:val="21"/>
                <w:lang w:eastAsia="zh-CN"/>
              </w:rPr>
            </w:pPr>
          </w:p>
        </w:tc>
        <w:tc>
          <w:tcPr>
            <w:tcW w:w="674" w:type="pct"/>
            <w:vMerge w:val="continue"/>
            <w:tcBorders>
              <w:left w:val="single" w:color="auto" w:sz="4" w:space="0"/>
              <w:right w:val="single" w:color="auto" w:sz="4" w:space="0"/>
            </w:tcBorders>
            <w:noWrap w:val="0"/>
            <w:vAlign w:val="center"/>
          </w:tcPr>
          <w:p>
            <w:pPr>
              <w:spacing w:line="320" w:lineRule="exact"/>
              <w:jc w:val="center"/>
              <w:rPr>
                <w:rFonts w:hint="eastAsia"/>
                <w:color w:val="auto"/>
                <w:szCs w:val="21"/>
              </w:rPr>
            </w:pPr>
          </w:p>
        </w:tc>
        <w:tc>
          <w:tcPr>
            <w:tcW w:w="662" w:type="pct"/>
            <w:vMerge w:val="continue"/>
            <w:tcBorders>
              <w:left w:val="single" w:color="auto" w:sz="4" w:space="0"/>
              <w:right w:val="single" w:color="auto" w:sz="4" w:space="0"/>
            </w:tcBorders>
            <w:noWrap w:val="0"/>
            <w:vAlign w:val="center"/>
          </w:tcPr>
          <w:p>
            <w:pPr>
              <w:spacing w:line="320" w:lineRule="exact"/>
              <w:jc w:val="center"/>
              <w:rPr>
                <w:rFonts w:hint="eastAsia"/>
                <w:color w:val="auto"/>
                <w:szCs w:val="21"/>
              </w:rPr>
            </w:pPr>
          </w:p>
        </w:tc>
        <w:tc>
          <w:tcPr>
            <w:tcW w:w="340" w:type="pct"/>
            <w:vMerge w:val="continue"/>
            <w:tcBorders>
              <w:left w:val="single" w:color="auto" w:sz="4" w:space="0"/>
              <w:right w:val="single" w:color="auto" w:sz="4" w:space="0"/>
            </w:tcBorders>
            <w:noWrap w:val="0"/>
            <w:vAlign w:val="center"/>
          </w:tcPr>
          <w:p>
            <w:pPr>
              <w:spacing w:line="320" w:lineRule="exact"/>
              <w:jc w:val="center"/>
              <w:rPr>
                <w:rFonts w:hint="eastAsia"/>
                <w:color w:val="auto"/>
                <w:szCs w:val="21"/>
              </w:rPr>
            </w:pPr>
          </w:p>
        </w:tc>
        <w:tc>
          <w:tcPr>
            <w:tcW w:w="267" w:type="pct"/>
            <w:vMerge w:val="continue"/>
            <w:tcBorders>
              <w:left w:val="single" w:color="auto" w:sz="4" w:space="0"/>
              <w:right w:val="single" w:color="auto" w:sz="4" w:space="0"/>
            </w:tcBorders>
            <w:noWrap w:val="0"/>
            <w:vAlign w:val="center"/>
          </w:tcPr>
          <w:p>
            <w:pPr>
              <w:spacing w:line="320" w:lineRule="exact"/>
              <w:jc w:val="center"/>
              <w:rPr>
                <w:rFonts w:hint="eastAsia"/>
                <w:color w:val="auto"/>
                <w:szCs w:val="21"/>
              </w:rPr>
            </w:pPr>
          </w:p>
        </w:tc>
        <w:tc>
          <w:tcPr>
            <w:tcW w:w="321" w:type="pct"/>
            <w:vMerge w:val="continue"/>
            <w:tcBorders>
              <w:left w:val="single" w:color="auto" w:sz="4" w:space="0"/>
              <w:right w:val="single" w:color="auto" w:sz="4" w:space="0"/>
            </w:tcBorders>
            <w:noWrap w:val="0"/>
            <w:vAlign w:val="center"/>
          </w:tcPr>
          <w:p>
            <w:pPr>
              <w:pStyle w:val="306"/>
              <w:spacing w:line="320" w:lineRule="exact"/>
              <w:rPr>
                <w:rFonts w:hint="eastAsia"/>
                <w:color w:val="auto"/>
                <w:sz w:val="21"/>
              </w:rPr>
            </w:pPr>
          </w:p>
        </w:tc>
        <w:tc>
          <w:tcPr>
            <w:tcW w:w="280" w:type="pct"/>
            <w:vMerge w:val="continue"/>
            <w:tcBorders>
              <w:left w:val="single" w:color="auto" w:sz="4" w:space="0"/>
              <w:right w:val="single" w:color="auto" w:sz="4" w:space="0"/>
            </w:tcBorders>
            <w:noWrap w:val="0"/>
            <w:vAlign w:val="center"/>
          </w:tcPr>
          <w:p>
            <w:pPr>
              <w:spacing w:line="320" w:lineRule="exact"/>
              <w:ind w:left="-105" w:leftChars="-50" w:right="-105" w:rightChars="-50"/>
              <w:jc w:val="center"/>
              <w:rPr>
                <w:rFonts w:hint="eastAsia"/>
                <w:color w:val="auto"/>
                <w:szCs w:val="21"/>
              </w:rPr>
            </w:pPr>
          </w:p>
        </w:tc>
        <w:tc>
          <w:tcPr>
            <w:tcW w:w="379" w:type="pct"/>
            <w:vMerge w:val="continue"/>
            <w:tcBorders>
              <w:left w:val="single" w:color="auto" w:sz="4" w:space="0"/>
              <w:right w:val="single" w:color="auto" w:sz="4" w:space="0"/>
            </w:tcBorders>
            <w:noWrap w:val="0"/>
            <w:vAlign w:val="center"/>
          </w:tcPr>
          <w:p>
            <w:pPr>
              <w:spacing w:line="320" w:lineRule="exact"/>
              <w:jc w:val="center"/>
              <w:rPr>
                <w:rFonts w:hint="eastAsia"/>
                <w:color w:val="auto"/>
                <w:szCs w:val="21"/>
              </w:rPr>
            </w:pPr>
          </w:p>
        </w:tc>
        <w:tc>
          <w:tcPr>
            <w:tcW w:w="225" w:type="pct"/>
            <w:vMerge w:val="continue"/>
            <w:tcBorders>
              <w:left w:val="single" w:color="auto" w:sz="4" w:space="0"/>
              <w:right w:val="single" w:color="auto" w:sz="4" w:space="0"/>
            </w:tcBorders>
            <w:noWrap w:val="0"/>
            <w:vAlign w:val="center"/>
          </w:tcPr>
          <w:p>
            <w:pPr>
              <w:spacing w:line="320" w:lineRule="exact"/>
              <w:ind w:left="-105" w:leftChars="-50" w:right="-105" w:rightChars="-50"/>
              <w:jc w:val="center"/>
              <w:rPr>
                <w:rFonts w:hint="eastAsia"/>
                <w:color w:val="auto"/>
                <w:szCs w:val="21"/>
              </w:rPr>
            </w:pPr>
          </w:p>
        </w:tc>
        <w:tc>
          <w:tcPr>
            <w:tcW w:w="427" w:type="pct"/>
            <w:tcBorders>
              <w:top w:val="single" w:color="auto" w:sz="4" w:space="0"/>
              <w:left w:val="single" w:color="auto" w:sz="4" w:space="0"/>
              <w:bottom w:val="single" w:color="auto" w:sz="4" w:space="0"/>
              <w:right w:val="single" w:color="auto" w:sz="4" w:space="0"/>
            </w:tcBorders>
            <w:noWrap w:val="0"/>
            <w:vAlign w:val="center"/>
          </w:tcPr>
          <w:p>
            <w:pPr>
              <w:spacing w:line="320" w:lineRule="exact"/>
              <w:ind w:left="-105" w:leftChars="-50" w:right="-105" w:rightChars="-50"/>
              <w:jc w:val="center"/>
              <w:rPr>
                <w:rFonts w:hint="eastAsia" w:eastAsia="宋体"/>
                <w:color w:val="auto"/>
                <w:szCs w:val="21"/>
                <w:lang w:eastAsia="zh-CN"/>
              </w:rPr>
            </w:pPr>
            <w:r>
              <w:rPr>
                <w:rFonts w:hint="default" w:eastAsia="宋体"/>
                <w:color w:val="auto"/>
                <w:szCs w:val="21"/>
                <w:lang w:val="en-US" w:eastAsia="zh-CN"/>
              </w:rPr>
              <w:t>非甲烷总烃</w:t>
            </w:r>
          </w:p>
        </w:tc>
        <w:tc>
          <w:tcPr>
            <w:tcW w:w="473" w:type="pct"/>
            <w:tcBorders>
              <w:top w:val="single" w:color="auto" w:sz="4" w:space="0"/>
              <w:left w:val="single" w:color="auto" w:sz="4" w:space="0"/>
              <w:bottom w:val="single" w:color="auto" w:sz="4" w:space="0"/>
              <w:right w:val="single" w:color="auto" w:sz="4" w:space="0"/>
            </w:tcBorders>
            <w:noWrap w:val="0"/>
            <w:vAlign w:val="center"/>
          </w:tcPr>
          <w:p>
            <w:pPr>
              <w:spacing w:line="320" w:lineRule="exact"/>
              <w:ind w:left="-105" w:leftChars="-50" w:right="-105" w:rightChars="-50"/>
              <w:jc w:val="center"/>
              <w:rPr>
                <w:rFonts w:hint="eastAsia" w:eastAsia="宋体"/>
                <w:color w:val="auto"/>
                <w:szCs w:val="21"/>
                <w:lang w:eastAsia="zh-CN"/>
              </w:rPr>
            </w:pPr>
            <w:r>
              <w:rPr>
                <w:rFonts w:hint="eastAsia" w:eastAsia="宋体"/>
                <w:color w:val="auto"/>
                <w:szCs w:val="21"/>
                <w:lang w:val="en-US" w:eastAsia="zh-CN"/>
              </w:rPr>
              <w:t>0.014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2" w:hRule="atLeast"/>
          <w:jc w:val="center"/>
        </w:trPr>
        <w:tc>
          <w:tcPr>
            <w:tcW w:w="494" w:type="pct"/>
            <w:vMerge w:val="continue"/>
            <w:tcBorders>
              <w:left w:val="single" w:color="auto" w:sz="4" w:space="0"/>
              <w:bottom w:val="single" w:color="auto" w:sz="4" w:space="0"/>
              <w:right w:val="single" w:color="auto" w:sz="4" w:space="0"/>
            </w:tcBorders>
            <w:noWrap w:val="0"/>
            <w:vAlign w:val="center"/>
          </w:tcPr>
          <w:p>
            <w:pPr>
              <w:spacing w:line="320" w:lineRule="exact"/>
              <w:jc w:val="center"/>
              <w:rPr>
                <w:rFonts w:hint="eastAsia"/>
                <w:color w:val="auto"/>
                <w:szCs w:val="21"/>
                <w:lang w:val="en-US" w:eastAsia="zh-CN"/>
              </w:rPr>
            </w:pPr>
          </w:p>
        </w:tc>
        <w:tc>
          <w:tcPr>
            <w:tcW w:w="454" w:type="pct"/>
            <w:vMerge w:val="continue"/>
            <w:tcBorders>
              <w:left w:val="single" w:color="auto" w:sz="4" w:space="0"/>
              <w:bottom w:val="single" w:color="auto" w:sz="4" w:space="0"/>
              <w:right w:val="single" w:color="auto" w:sz="4" w:space="0"/>
            </w:tcBorders>
            <w:noWrap w:val="0"/>
            <w:vAlign w:val="center"/>
          </w:tcPr>
          <w:p>
            <w:pPr>
              <w:spacing w:line="320" w:lineRule="exact"/>
              <w:ind w:left="-105" w:leftChars="-50" w:right="-105" w:rightChars="-50"/>
              <w:jc w:val="center"/>
              <w:rPr>
                <w:rFonts w:hint="eastAsia" w:hAnsi="宋体"/>
                <w:color w:val="auto"/>
                <w:szCs w:val="21"/>
                <w:lang w:eastAsia="zh-CN"/>
              </w:rPr>
            </w:pPr>
          </w:p>
        </w:tc>
        <w:tc>
          <w:tcPr>
            <w:tcW w:w="674" w:type="pct"/>
            <w:vMerge w:val="continue"/>
            <w:tcBorders>
              <w:left w:val="single" w:color="auto" w:sz="4" w:space="0"/>
              <w:bottom w:val="single" w:color="auto" w:sz="4" w:space="0"/>
              <w:right w:val="single" w:color="auto" w:sz="4" w:space="0"/>
            </w:tcBorders>
            <w:noWrap w:val="0"/>
            <w:vAlign w:val="center"/>
          </w:tcPr>
          <w:p>
            <w:pPr>
              <w:spacing w:line="320" w:lineRule="exact"/>
              <w:jc w:val="center"/>
              <w:rPr>
                <w:rFonts w:hint="eastAsia"/>
                <w:color w:val="auto"/>
                <w:szCs w:val="21"/>
              </w:rPr>
            </w:pPr>
          </w:p>
        </w:tc>
        <w:tc>
          <w:tcPr>
            <w:tcW w:w="662" w:type="pct"/>
            <w:vMerge w:val="continue"/>
            <w:tcBorders>
              <w:left w:val="single" w:color="auto" w:sz="4" w:space="0"/>
              <w:bottom w:val="single" w:color="auto" w:sz="4" w:space="0"/>
              <w:right w:val="single" w:color="auto" w:sz="4" w:space="0"/>
            </w:tcBorders>
            <w:noWrap w:val="0"/>
            <w:vAlign w:val="center"/>
          </w:tcPr>
          <w:p>
            <w:pPr>
              <w:spacing w:line="320" w:lineRule="exact"/>
              <w:jc w:val="center"/>
              <w:rPr>
                <w:rFonts w:hint="eastAsia"/>
                <w:color w:val="auto"/>
                <w:szCs w:val="21"/>
              </w:rPr>
            </w:pPr>
          </w:p>
        </w:tc>
        <w:tc>
          <w:tcPr>
            <w:tcW w:w="340" w:type="pct"/>
            <w:vMerge w:val="continue"/>
            <w:tcBorders>
              <w:left w:val="single" w:color="auto" w:sz="4" w:space="0"/>
              <w:right w:val="single" w:color="auto" w:sz="4" w:space="0"/>
            </w:tcBorders>
            <w:noWrap w:val="0"/>
            <w:vAlign w:val="center"/>
          </w:tcPr>
          <w:p>
            <w:pPr>
              <w:spacing w:line="320" w:lineRule="exact"/>
              <w:jc w:val="center"/>
              <w:rPr>
                <w:rFonts w:hint="eastAsia"/>
                <w:color w:val="auto"/>
                <w:szCs w:val="21"/>
              </w:rPr>
            </w:pPr>
          </w:p>
        </w:tc>
        <w:tc>
          <w:tcPr>
            <w:tcW w:w="267" w:type="pct"/>
            <w:vMerge w:val="continue"/>
            <w:tcBorders>
              <w:left w:val="single" w:color="auto" w:sz="4" w:space="0"/>
              <w:bottom w:val="single" w:color="auto" w:sz="4" w:space="0"/>
              <w:right w:val="single" w:color="auto" w:sz="4" w:space="0"/>
            </w:tcBorders>
            <w:noWrap w:val="0"/>
            <w:vAlign w:val="center"/>
          </w:tcPr>
          <w:p>
            <w:pPr>
              <w:spacing w:line="320" w:lineRule="exact"/>
              <w:jc w:val="center"/>
              <w:rPr>
                <w:rFonts w:hint="eastAsia"/>
                <w:color w:val="auto"/>
                <w:szCs w:val="21"/>
              </w:rPr>
            </w:pPr>
          </w:p>
        </w:tc>
        <w:tc>
          <w:tcPr>
            <w:tcW w:w="321" w:type="pct"/>
            <w:vMerge w:val="continue"/>
            <w:tcBorders>
              <w:left w:val="single" w:color="auto" w:sz="4" w:space="0"/>
              <w:bottom w:val="single" w:color="auto" w:sz="4" w:space="0"/>
              <w:right w:val="single" w:color="auto" w:sz="4" w:space="0"/>
            </w:tcBorders>
            <w:noWrap w:val="0"/>
            <w:vAlign w:val="center"/>
          </w:tcPr>
          <w:p>
            <w:pPr>
              <w:pStyle w:val="306"/>
              <w:spacing w:line="320" w:lineRule="exact"/>
              <w:rPr>
                <w:rFonts w:hint="eastAsia"/>
                <w:color w:val="auto"/>
                <w:sz w:val="21"/>
              </w:rPr>
            </w:pPr>
          </w:p>
        </w:tc>
        <w:tc>
          <w:tcPr>
            <w:tcW w:w="280" w:type="pct"/>
            <w:vMerge w:val="continue"/>
            <w:tcBorders>
              <w:left w:val="single" w:color="auto" w:sz="4" w:space="0"/>
              <w:bottom w:val="single" w:color="auto" w:sz="4" w:space="0"/>
              <w:right w:val="single" w:color="auto" w:sz="4" w:space="0"/>
            </w:tcBorders>
            <w:noWrap w:val="0"/>
            <w:vAlign w:val="center"/>
          </w:tcPr>
          <w:p>
            <w:pPr>
              <w:spacing w:line="320" w:lineRule="exact"/>
              <w:ind w:left="-105" w:leftChars="-50" w:right="-105" w:rightChars="-50"/>
              <w:jc w:val="center"/>
              <w:rPr>
                <w:rFonts w:hint="eastAsia"/>
                <w:color w:val="auto"/>
                <w:szCs w:val="21"/>
              </w:rPr>
            </w:pPr>
          </w:p>
        </w:tc>
        <w:tc>
          <w:tcPr>
            <w:tcW w:w="379" w:type="pct"/>
            <w:vMerge w:val="continue"/>
            <w:tcBorders>
              <w:left w:val="single" w:color="auto" w:sz="4" w:space="0"/>
              <w:bottom w:val="single" w:color="auto" w:sz="4" w:space="0"/>
              <w:right w:val="single" w:color="auto" w:sz="4" w:space="0"/>
            </w:tcBorders>
            <w:noWrap w:val="0"/>
            <w:vAlign w:val="center"/>
          </w:tcPr>
          <w:p>
            <w:pPr>
              <w:spacing w:line="320" w:lineRule="exact"/>
              <w:jc w:val="center"/>
              <w:rPr>
                <w:rFonts w:hint="eastAsia"/>
                <w:color w:val="auto"/>
                <w:szCs w:val="21"/>
              </w:rPr>
            </w:pPr>
          </w:p>
        </w:tc>
        <w:tc>
          <w:tcPr>
            <w:tcW w:w="225" w:type="pct"/>
            <w:vMerge w:val="continue"/>
            <w:tcBorders>
              <w:left w:val="single" w:color="auto" w:sz="4" w:space="0"/>
              <w:right w:val="single" w:color="auto" w:sz="4" w:space="0"/>
            </w:tcBorders>
            <w:noWrap w:val="0"/>
            <w:vAlign w:val="center"/>
          </w:tcPr>
          <w:p>
            <w:pPr>
              <w:spacing w:line="320" w:lineRule="exact"/>
              <w:ind w:left="-105" w:leftChars="-50" w:right="-105" w:rightChars="-50"/>
              <w:jc w:val="center"/>
              <w:rPr>
                <w:rFonts w:hint="eastAsia"/>
                <w:color w:val="auto"/>
                <w:szCs w:val="21"/>
              </w:rPr>
            </w:pPr>
          </w:p>
        </w:tc>
        <w:tc>
          <w:tcPr>
            <w:tcW w:w="427" w:type="pct"/>
            <w:tcBorders>
              <w:top w:val="single" w:color="auto" w:sz="4" w:space="0"/>
              <w:left w:val="single" w:color="auto" w:sz="4" w:space="0"/>
              <w:bottom w:val="single" w:color="auto" w:sz="4" w:space="0"/>
              <w:right w:val="single" w:color="auto" w:sz="4" w:space="0"/>
            </w:tcBorders>
            <w:noWrap w:val="0"/>
            <w:vAlign w:val="center"/>
          </w:tcPr>
          <w:p>
            <w:pPr>
              <w:spacing w:line="320" w:lineRule="exact"/>
              <w:ind w:left="-105" w:leftChars="-50" w:right="-105" w:rightChars="-50"/>
              <w:jc w:val="center"/>
              <w:rPr>
                <w:rFonts w:hint="eastAsia" w:eastAsia="宋体"/>
                <w:color w:val="auto"/>
                <w:szCs w:val="21"/>
                <w:lang w:eastAsia="zh-CN"/>
              </w:rPr>
            </w:pPr>
            <w:r>
              <w:rPr>
                <w:rFonts w:hint="default" w:eastAsia="宋体"/>
                <w:color w:val="auto"/>
                <w:szCs w:val="21"/>
                <w:lang w:val="en-US" w:eastAsia="zh-CN"/>
              </w:rPr>
              <w:t>H2S</w:t>
            </w:r>
          </w:p>
        </w:tc>
        <w:tc>
          <w:tcPr>
            <w:tcW w:w="473" w:type="pct"/>
            <w:tcBorders>
              <w:top w:val="single" w:color="auto" w:sz="4" w:space="0"/>
              <w:left w:val="single" w:color="auto" w:sz="4" w:space="0"/>
              <w:bottom w:val="single" w:color="auto" w:sz="4" w:space="0"/>
              <w:right w:val="single" w:color="auto" w:sz="4" w:space="0"/>
            </w:tcBorders>
            <w:noWrap w:val="0"/>
            <w:vAlign w:val="center"/>
          </w:tcPr>
          <w:p>
            <w:pPr>
              <w:spacing w:line="320" w:lineRule="exact"/>
              <w:ind w:left="-105" w:leftChars="-50" w:right="-105" w:rightChars="-50"/>
              <w:jc w:val="center"/>
              <w:rPr>
                <w:rFonts w:hint="eastAsia" w:eastAsia="宋体"/>
                <w:color w:val="auto"/>
                <w:szCs w:val="21"/>
                <w:lang w:eastAsia="zh-CN"/>
              </w:rPr>
            </w:pPr>
            <w:r>
              <w:rPr>
                <w:rFonts w:hint="eastAsia" w:eastAsia="宋体"/>
                <w:color w:val="auto"/>
                <w:szCs w:val="21"/>
                <w:lang w:val="en-US" w:eastAsia="zh-CN"/>
              </w:rPr>
              <w:t>0.0032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2" w:hRule="atLeast"/>
          <w:jc w:val="center"/>
        </w:trPr>
        <w:tc>
          <w:tcPr>
            <w:tcW w:w="494" w:type="pct"/>
            <w:tcBorders>
              <w:top w:val="single" w:color="auto" w:sz="4" w:space="0"/>
              <w:left w:val="single" w:color="auto" w:sz="4" w:space="0"/>
              <w:right w:val="single" w:color="auto" w:sz="4" w:space="0"/>
            </w:tcBorders>
            <w:noWrap w:val="0"/>
            <w:vAlign w:val="center"/>
          </w:tcPr>
          <w:p>
            <w:pPr>
              <w:spacing w:line="320" w:lineRule="exact"/>
              <w:jc w:val="center"/>
              <w:rPr>
                <w:rFonts w:hint="eastAsia"/>
                <w:color w:val="auto"/>
                <w:szCs w:val="21"/>
                <w:lang w:val="en-US" w:eastAsia="zh-CN"/>
              </w:rPr>
            </w:pPr>
            <w:r>
              <w:rPr>
                <w:rFonts w:hint="eastAsia"/>
                <w:color w:val="auto"/>
                <w:szCs w:val="21"/>
                <w:lang w:val="en-US" w:eastAsia="zh-CN"/>
              </w:rPr>
              <w:t>3#排气筒</w:t>
            </w:r>
          </w:p>
        </w:tc>
        <w:tc>
          <w:tcPr>
            <w:tcW w:w="454" w:type="pct"/>
            <w:tcBorders>
              <w:top w:val="single" w:color="auto" w:sz="4" w:space="0"/>
              <w:left w:val="single" w:color="auto" w:sz="4" w:space="0"/>
              <w:right w:val="single" w:color="auto" w:sz="4" w:space="0"/>
            </w:tcBorders>
            <w:noWrap w:val="0"/>
            <w:vAlign w:val="center"/>
          </w:tcPr>
          <w:p>
            <w:pPr>
              <w:spacing w:line="320" w:lineRule="exact"/>
              <w:ind w:left="-105" w:leftChars="-50" w:right="-105" w:rightChars="-50"/>
              <w:jc w:val="center"/>
              <w:rPr>
                <w:rFonts w:hint="eastAsia" w:hAnsi="宋体"/>
                <w:color w:val="auto"/>
                <w:szCs w:val="21"/>
                <w:lang w:eastAsia="zh-CN"/>
              </w:rPr>
            </w:pPr>
            <w:r>
              <w:rPr>
                <w:rFonts w:hint="eastAsia" w:hAnsi="宋体"/>
                <w:color w:val="auto"/>
                <w:szCs w:val="21"/>
                <w:lang w:eastAsia="zh-CN"/>
              </w:rPr>
              <w:t>涂胶、晾干、烘干</w:t>
            </w:r>
          </w:p>
        </w:tc>
        <w:tc>
          <w:tcPr>
            <w:tcW w:w="674" w:type="pct"/>
            <w:tcBorders>
              <w:top w:val="single" w:color="auto" w:sz="4" w:space="0"/>
              <w:left w:val="single" w:color="auto" w:sz="4" w:space="0"/>
              <w:right w:val="single" w:color="auto" w:sz="4" w:space="0"/>
            </w:tcBorders>
            <w:noWrap w:val="0"/>
            <w:vAlign w:val="center"/>
          </w:tcPr>
          <w:p>
            <w:pPr>
              <w:spacing w:line="320" w:lineRule="exact"/>
              <w:jc w:val="center"/>
              <w:rPr>
                <w:rFonts w:hint="eastAsia"/>
                <w:color w:val="auto"/>
                <w:szCs w:val="21"/>
              </w:rPr>
            </w:pPr>
            <w:r>
              <w:rPr>
                <w:rFonts w:hint="eastAsia"/>
                <w:color w:val="auto"/>
                <w:szCs w:val="21"/>
              </w:rPr>
              <w:t>119.015544</w:t>
            </w:r>
          </w:p>
        </w:tc>
        <w:tc>
          <w:tcPr>
            <w:tcW w:w="662" w:type="pct"/>
            <w:tcBorders>
              <w:top w:val="single" w:color="auto" w:sz="4" w:space="0"/>
              <w:left w:val="single" w:color="auto" w:sz="4" w:space="0"/>
              <w:right w:val="single" w:color="auto" w:sz="4" w:space="0"/>
            </w:tcBorders>
            <w:noWrap w:val="0"/>
            <w:vAlign w:val="center"/>
          </w:tcPr>
          <w:p>
            <w:pPr>
              <w:spacing w:line="320" w:lineRule="exact"/>
              <w:jc w:val="center"/>
              <w:rPr>
                <w:rFonts w:hint="eastAsia"/>
                <w:color w:val="auto"/>
                <w:szCs w:val="21"/>
              </w:rPr>
            </w:pPr>
            <w:r>
              <w:rPr>
                <w:rFonts w:hint="eastAsia"/>
                <w:color w:val="auto"/>
                <w:szCs w:val="21"/>
              </w:rPr>
              <w:t>30.665851</w:t>
            </w:r>
          </w:p>
        </w:tc>
        <w:tc>
          <w:tcPr>
            <w:tcW w:w="340" w:type="pct"/>
            <w:vMerge w:val="continue"/>
            <w:tcBorders>
              <w:left w:val="single" w:color="auto" w:sz="4" w:space="0"/>
              <w:right w:val="single" w:color="auto" w:sz="4" w:space="0"/>
            </w:tcBorders>
            <w:noWrap w:val="0"/>
            <w:vAlign w:val="center"/>
          </w:tcPr>
          <w:p>
            <w:pPr>
              <w:spacing w:line="320" w:lineRule="exact"/>
              <w:jc w:val="center"/>
              <w:rPr>
                <w:rFonts w:hint="eastAsia"/>
                <w:color w:val="auto"/>
                <w:szCs w:val="21"/>
              </w:rPr>
            </w:pPr>
          </w:p>
        </w:tc>
        <w:tc>
          <w:tcPr>
            <w:tcW w:w="267" w:type="pct"/>
            <w:tcBorders>
              <w:top w:val="single" w:color="auto" w:sz="4" w:space="0"/>
              <w:left w:val="single" w:color="auto" w:sz="4" w:space="0"/>
              <w:right w:val="single" w:color="auto" w:sz="4" w:space="0"/>
            </w:tcBorders>
            <w:noWrap w:val="0"/>
            <w:vAlign w:val="center"/>
          </w:tcPr>
          <w:p>
            <w:pPr>
              <w:spacing w:line="320" w:lineRule="exact"/>
              <w:jc w:val="center"/>
              <w:rPr>
                <w:rFonts w:hint="eastAsia"/>
                <w:color w:val="auto"/>
                <w:szCs w:val="21"/>
              </w:rPr>
            </w:pPr>
            <w:r>
              <w:rPr>
                <w:rFonts w:hint="eastAsia"/>
                <w:color w:val="auto"/>
                <w:szCs w:val="21"/>
              </w:rPr>
              <w:t>15</w:t>
            </w:r>
          </w:p>
        </w:tc>
        <w:tc>
          <w:tcPr>
            <w:tcW w:w="321" w:type="pct"/>
            <w:tcBorders>
              <w:top w:val="single" w:color="auto" w:sz="4" w:space="0"/>
              <w:left w:val="single" w:color="auto" w:sz="4" w:space="0"/>
              <w:right w:val="single" w:color="auto" w:sz="4" w:space="0"/>
            </w:tcBorders>
            <w:noWrap w:val="0"/>
            <w:vAlign w:val="center"/>
          </w:tcPr>
          <w:p>
            <w:pPr>
              <w:pStyle w:val="306"/>
              <w:spacing w:line="320" w:lineRule="exact"/>
              <w:rPr>
                <w:rFonts w:hint="eastAsia" w:eastAsia="宋体"/>
                <w:color w:val="auto"/>
                <w:sz w:val="21"/>
                <w:lang w:val="en-US" w:eastAsia="zh-CN"/>
              </w:rPr>
            </w:pPr>
            <w:r>
              <w:rPr>
                <w:rFonts w:hint="eastAsia"/>
                <w:color w:val="auto"/>
                <w:sz w:val="21"/>
                <w:lang w:val="en-US" w:eastAsia="zh-CN"/>
              </w:rPr>
              <w:t>1</w:t>
            </w:r>
          </w:p>
        </w:tc>
        <w:tc>
          <w:tcPr>
            <w:tcW w:w="280" w:type="pct"/>
            <w:tcBorders>
              <w:top w:val="single" w:color="auto" w:sz="4" w:space="0"/>
              <w:left w:val="single" w:color="auto" w:sz="4" w:space="0"/>
              <w:right w:val="single" w:color="auto" w:sz="4" w:space="0"/>
            </w:tcBorders>
            <w:noWrap w:val="0"/>
            <w:vAlign w:val="center"/>
          </w:tcPr>
          <w:p>
            <w:pPr>
              <w:spacing w:line="320" w:lineRule="exact"/>
              <w:ind w:left="-105" w:leftChars="-50" w:right="-105" w:rightChars="-50"/>
              <w:jc w:val="center"/>
              <w:rPr>
                <w:rFonts w:hint="default" w:eastAsia="宋体"/>
                <w:color w:val="auto"/>
                <w:szCs w:val="21"/>
                <w:lang w:val="en-US" w:eastAsia="zh-CN"/>
              </w:rPr>
            </w:pPr>
            <w:r>
              <w:rPr>
                <w:rFonts w:hint="eastAsia"/>
                <w:color w:val="auto"/>
                <w:szCs w:val="21"/>
                <w:lang w:val="en-US" w:eastAsia="zh-CN"/>
              </w:rPr>
              <w:t>30</w:t>
            </w:r>
          </w:p>
        </w:tc>
        <w:tc>
          <w:tcPr>
            <w:tcW w:w="379" w:type="pct"/>
            <w:tcBorders>
              <w:top w:val="single" w:color="auto" w:sz="4" w:space="0"/>
              <w:left w:val="single" w:color="auto" w:sz="4" w:space="0"/>
              <w:right w:val="single" w:color="auto" w:sz="4" w:space="0"/>
            </w:tcBorders>
            <w:noWrap w:val="0"/>
            <w:vAlign w:val="center"/>
          </w:tcPr>
          <w:p>
            <w:pPr>
              <w:spacing w:line="320" w:lineRule="exact"/>
              <w:jc w:val="center"/>
              <w:rPr>
                <w:rFonts w:hint="default" w:eastAsia="宋体"/>
                <w:color w:val="auto"/>
                <w:szCs w:val="21"/>
                <w:lang w:val="en-US" w:eastAsia="zh-CN"/>
              </w:rPr>
            </w:pPr>
            <w:r>
              <w:rPr>
                <w:rFonts w:hint="eastAsia"/>
                <w:color w:val="auto"/>
                <w:szCs w:val="21"/>
                <w:lang w:val="en-US" w:eastAsia="zh-CN"/>
              </w:rPr>
              <w:t>2400</w:t>
            </w:r>
          </w:p>
        </w:tc>
        <w:tc>
          <w:tcPr>
            <w:tcW w:w="225" w:type="pct"/>
            <w:vMerge w:val="continue"/>
            <w:tcBorders>
              <w:left w:val="single" w:color="auto" w:sz="4" w:space="0"/>
              <w:right w:val="single" w:color="auto" w:sz="4" w:space="0"/>
            </w:tcBorders>
            <w:noWrap w:val="0"/>
            <w:vAlign w:val="center"/>
          </w:tcPr>
          <w:p>
            <w:pPr>
              <w:spacing w:line="320" w:lineRule="exact"/>
              <w:ind w:left="-105" w:leftChars="-50" w:right="-105" w:rightChars="-50"/>
              <w:jc w:val="center"/>
              <w:rPr>
                <w:rFonts w:hint="eastAsia"/>
                <w:color w:val="auto"/>
                <w:szCs w:val="21"/>
              </w:rPr>
            </w:pPr>
          </w:p>
        </w:tc>
        <w:tc>
          <w:tcPr>
            <w:tcW w:w="427" w:type="pct"/>
            <w:tcBorders>
              <w:top w:val="single" w:color="auto" w:sz="4" w:space="0"/>
              <w:left w:val="single" w:color="auto" w:sz="4" w:space="0"/>
              <w:bottom w:val="single" w:color="auto" w:sz="4" w:space="0"/>
              <w:right w:val="single" w:color="auto" w:sz="4" w:space="0"/>
            </w:tcBorders>
            <w:noWrap w:val="0"/>
            <w:vAlign w:val="center"/>
          </w:tcPr>
          <w:p>
            <w:pPr>
              <w:spacing w:line="320" w:lineRule="exact"/>
              <w:ind w:left="-105" w:leftChars="-50" w:right="-105" w:rightChars="-50"/>
              <w:jc w:val="center"/>
              <w:rPr>
                <w:rFonts w:hint="eastAsia" w:eastAsia="宋体"/>
                <w:color w:val="auto"/>
                <w:szCs w:val="21"/>
                <w:lang w:eastAsia="zh-CN"/>
              </w:rPr>
            </w:pPr>
            <w:r>
              <w:rPr>
                <w:rFonts w:hint="default" w:eastAsia="宋体"/>
                <w:color w:val="auto"/>
                <w:szCs w:val="21"/>
                <w:lang w:val="en-US" w:eastAsia="zh-CN"/>
              </w:rPr>
              <w:t>非甲烷总烃</w:t>
            </w:r>
          </w:p>
        </w:tc>
        <w:tc>
          <w:tcPr>
            <w:tcW w:w="473" w:type="pct"/>
            <w:tcBorders>
              <w:top w:val="single" w:color="auto" w:sz="4" w:space="0"/>
              <w:left w:val="single" w:color="auto" w:sz="4" w:space="0"/>
              <w:bottom w:val="single" w:color="auto" w:sz="4" w:space="0"/>
              <w:right w:val="single" w:color="auto" w:sz="4" w:space="0"/>
            </w:tcBorders>
            <w:noWrap w:val="0"/>
            <w:vAlign w:val="center"/>
          </w:tcPr>
          <w:p>
            <w:pPr>
              <w:spacing w:line="320" w:lineRule="exact"/>
              <w:ind w:left="-105" w:leftChars="-50" w:right="-105" w:rightChars="-50"/>
              <w:jc w:val="center"/>
              <w:rPr>
                <w:rFonts w:hint="eastAsia" w:eastAsia="宋体"/>
                <w:color w:val="auto"/>
                <w:szCs w:val="21"/>
                <w:lang w:eastAsia="zh-CN"/>
              </w:rPr>
            </w:pPr>
            <w:r>
              <w:rPr>
                <w:rFonts w:hint="eastAsia" w:eastAsia="宋体"/>
                <w:color w:val="auto"/>
                <w:szCs w:val="21"/>
                <w:lang w:val="en-US" w:eastAsia="zh-CN"/>
              </w:rPr>
              <w:t>0.077</w:t>
            </w:r>
          </w:p>
        </w:tc>
      </w:tr>
    </w:tbl>
    <w:p>
      <w:pPr>
        <w:rPr>
          <w:b/>
          <w:color w:val="auto"/>
          <w:sz w:val="24"/>
        </w:rPr>
      </w:pPr>
    </w:p>
    <w:p>
      <w:pPr>
        <w:pStyle w:val="2"/>
        <w:rPr>
          <w:b/>
          <w:color w:val="auto"/>
          <w:sz w:val="24"/>
        </w:rPr>
      </w:pPr>
    </w:p>
    <w:p>
      <w:pPr>
        <w:jc w:val="center"/>
        <w:rPr>
          <w:b/>
          <w:color w:val="auto"/>
          <w:sz w:val="24"/>
        </w:rPr>
      </w:pPr>
      <w:r>
        <w:rPr>
          <w:rFonts w:hint="eastAsia"/>
          <w:b/>
          <w:color w:val="auto"/>
          <w:sz w:val="24"/>
        </w:rPr>
        <w:t>表6</w:t>
      </w:r>
      <w:r>
        <w:rPr>
          <w:b/>
          <w:color w:val="auto"/>
          <w:sz w:val="24"/>
        </w:rPr>
        <w:t>-6  无组织排放大气污染物情况一览表</w:t>
      </w:r>
    </w:p>
    <w:tbl>
      <w:tblPr>
        <w:tblStyle w:val="53"/>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36"/>
        <w:gridCol w:w="1090"/>
        <w:gridCol w:w="1113"/>
        <w:gridCol w:w="924"/>
        <w:gridCol w:w="1496"/>
        <w:gridCol w:w="899"/>
        <w:gridCol w:w="979"/>
        <w:gridCol w:w="899"/>
        <w:gridCol w:w="11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8" w:hRule="atLeast"/>
          <w:jc w:val="center"/>
        </w:trPr>
        <w:tc>
          <w:tcPr>
            <w:tcW w:w="244" w:type="pct"/>
            <w:vMerge w:val="restart"/>
            <w:vAlign w:val="center"/>
          </w:tcPr>
          <w:p>
            <w:pPr>
              <w:jc w:val="center"/>
              <w:rPr>
                <w:b/>
                <w:bCs/>
                <w:color w:val="auto"/>
              </w:rPr>
            </w:pPr>
            <w:r>
              <w:rPr>
                <w:b/>
                <w:bCs/>
                <w:color w:val="auto"/>
              </w:rPr>
              <w:t>编号</w:t>
            </w:r>
          </w:p>
        </w:tc>
        <w:tc>
          <w:tcPr>
            <w:tcW w:w="609" w:type="pct"/>
            <w:vMerge w:val="restart"/>
            <w:vAlign w:val="center"/>
          </w:tcPr>
          <w:p>
            <w:pPr>
              <w:jc w:val="center"/>
              <w:rPr>
                <w:b/>
                <w:bCs/>
                <w:color w:val="auto"/>
              </w:rPr>
            </w:pPr>
            <w:r>
              <w:rPr>
                <w:b/>
                <w:bCs/>
                <w:color w:val="auto"/>
              </w:rPr>
              <w:t>名称</w:t>
            </w:r>
          </w:p>
        </w:tc>
        <w:tc>
          <w:tcPr>
            <w:tcW w:w="1974" w:type="pct"/>
            <w:gridSpan w:val="3"/>
            <w:vAlign w:val="center"/>
          </w:tcPr>
          <w:p>
            <w:pPr>
              <w:jc w:val="center"/>
              <w:rPr>
                <w:b/>
                <w:bCs/>
                <w:color w:val="auto"/>
              </w:rPr>
            </w:pPr>
            <w:r>
              <w:rPr>
                <w:b/>
                <w:bCs/>
                <w:color w:val="auto"/>
              </w:rPr>
              <w:t>矩形面源</w:t>
            </w:r>
          </w:p>
        </w:tc>
        <w:tc>
          <w:tcPr>
            <w:tcW w:w="502" w:type="pct"/>
            <w:vMerge w:val="restart"/>
            <w:vAlign w:val="center"/>
          </w:tcPr>
          <w:p>
            <w:pPr>
              <w:jc w:val="center"/>
              <w:rPr>
                <w:b/>
                <w:bCs/>
                <w:color w:val="auto"/>
              </w:rPr>
            </w:pPr>
            <w:r>
              <w:rPr>
                <w:b/>
                <w:bCs/>
                <w:color w:val="auto"/>
              </w:rPr>
              <w:t>排放工况</w:t>
            </w:r>
          </w:p>
        </w:tc>
        <w:tc>
          <w:tcPr>
            <w:tcW w:w="1670" w:type="pct"/>
            <w:gridSpan w:val="3"/>
          </w:tcPr>
          <w:p>
            <w:pPr>
              <w:jc w:val="center"/>
              <w:rPr>
                <w:b/>
                <w:bCs/>
                <w:color w:val="auto"/>
              </w:rPr>
            </w:pPr>
            <w:r>
              <w:rPr>
                <w:b/>
                <w:bCs/>
                <w:color w:val="auto"/>
              </w:rPr>
              <w:t>污染物污染物排放量（t/a）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jc w:val="center"/>
        </w:trPr>
        <w:tc>
          <w:tcPr>
            <w:tcW w:w="244" w:type="pct"/>
            <w:vMerge w:val="continue"/>
            <w:vAlign w:val="center"/>
          </w:tcPr>
          <w:p>
            <w:pPr>
              <w:jc w:val="center"/>
              <w:rPr>
                <w:b/>
                <w:bCs/>
                <w:color w:val="auto"/>
              </w:rPr>
            </w:pPr>
          </w:p>
        </w:tc>
        <w:tc>
          <w:tcPr>
            <w:tcW w:w="609" w:type="pct"/>
            <w:vMerge w:val="continue"/>
            <w:vAlign w:val="center"/>
          </w:tcPr>
          <w:p>
            <w:pPr>
              <w:jc w:val="center"/>
              <w:rPr>
                <w:b/>
                <w:bCs/>
                <w:color w:val="auto"/>
              </w:rPr>
            </w:pPr>
          </w:p>
        </w:tc>
        <w:tc>
          <w:tcPr>
            <w:tcW w:w="622" w:type="pct"/>
            <w:vAlign w:val="center"/>
          </w:tcPr>
          <w:p>
            <w:pPr>
              <w:jc w:val="center"/>
              <w:rPr>
                <w:b/>
                <w:bCs/>
                <w:color w:val="auto"/>
              </w:rPr>
            </w:pPr>
            <w:r>
              <w:rPr>
                <w:b/>
                <w:bCs/>
                <w:color w:val="auto"/>
              </w:rPr>
              <w:t>面源面积</w:t>
            </w:r>
          </w:p>
          <w:p>
            <w:pPr>
              <w:jc w:val="center"/>
              <w:rPr>
                <w:b/>
                <w:bCs/>
                <w:color w:val="auto"/>
              </w:rPr>
            </w:pPr>
            <w:r>
              <w:rPr>
                <w:b/>
                <w:bCs/>
                <w:color w:val="auto"/>
              </w:rPr>
              <w:t>/m</w:t>
            </w:r>
            <w:r>
              <w:rPr>
                <w:b/>
                <w:bCs/>
                <w:color w:val="auto"/>
                <w:vertAlign w:val="superscript"/>
              </w:rPr>
              <w:t>2</w:t>
            </w:r>
          </w:p>
        </w:tc>
        <w:tc>
          <w:tcPr>
            <w:tcW w:w="516" w:type="pct"/>
            <w:vAlign w:val="center"/>
          </w:tcPr>
          <w:p>
            <w:pPr>
              <w:jc w:val="center"/>
              <w:rPr>
                <w:b/>
                <w:bCs/>
                <w:color w:val="auto"/>
              </w:rPr>
            </w:pPr>
            <w:r>
              <w:rPr>
                <w:b/>
                <w:bCs/>
                <w:color w:val="auto"/>
              </w:rPr>
              <w:t>有效高度/m</w:t>
            </w:r>
          </w:p>
        </w:tc>
        <w:tc>
          <w:tcPr>
            <w:tcW w:w="835" w:type="pct"/>
            <w:vAlign w:val="center"/>
          </w:tcPr>
          <w:p>
            <w:pPr>
              <w:jc w:val="center"/>
              <w:rPr>
                <w:b/>
                <w:bCs/>
                <w:color w:val="auto"/>
              </w:rPr>
            </w:pPr>
            <w:r>
              <w:rPr>
                <w:b/>
                <w:bCs/>
                <w:color w:val="auto"/>
              </w:rPr>
              <w:t>与正北方向夹角/°</w:t>
            </w:r>
          </w:p>
        </w:tc>
        <w:tc>
          <w:tcPr>
            <w:tcW w:w="502" w:type="pct"/>
            <w:vMerge w:val="continue"/>
            <w:vAlign w:val="center"/>
          </w:tcPr>
          <w:p>
            <w:pPr>
              <w:jc w:val="center"/>
              <w:rPr>
                <w:b/>
                <w:bCs/>
                <w:color w:val="auto"/>
              </w:rPr>
            </w:pPr>
          </w:p>
        </w:tc>
        <w:tc>
          <w:tcPr>
            <w:tcW w:w="547" w:type="pct"/>
            <w:vAlign w:val="center"/>
          </w:tcPr>
          <w:p>
            <w:pPr>
              <w:jc w:val="center"/>
              <w:rPr>
                <w:b/>
                <w:bCs/>
                <w:color w:val="auto"/>
                <w:szCs w:val="21"/>
              </w:rPr>
            </w:pPr>
            <w:r>
              <w:rPr>
                <w:b/>
                <w:bCs/>
                <w:color w:val="auto"/>
                <w:szCs w:val="21"/>
              </w:rPr>
              <w:t>颗粒物</w:t>
            </w:r>
          </w:p>
        </w:tc>
        <w:tc>
          <w:tcPr>
            <w:tcW w:w="502" w:type="pct"/>
            <w:vAlign w:val="center"/>
          </w:tcPr>
          <w:p>
            <w:pPr>
              <w:jc w:val="center"/>
              <w:rPr>
                <w:b/>
                <w:bCs/>
                <w:color w:val="auto"/>
                <w:szCs w:val="21"/>
              </w:rPr>
            </w:pPr>
            <w:r>
              <w:rPr>
                <w:b/>
                <w:bCs/>
                <w:color w:val="auto"/>
                <w:szCs w:val="21"/>
              </w:rPr>
              <w:t>非甲烷总烃</w:t>
            </w:r>
          </w:p>
        </w:tc>
        <w:tc>
          <w:tcPr>
            <w:tcW w:w="620" w:type="pct"/>
            <w:vAlign w:val="center"/>
          </w:tcPr>
          <w:p>
            <w:pPr>
              <w:jc w:val="center"/>
              <w:rPr>
                <w:b/>
                <w:bCs/>
                <w:color w:val="auto"/>
                <w:szCs w:val="21"/>
              </w:rPr>
            </w:pPr>
            <w:r>
              <w:rPr>
                <w:b/>
                <w:bCs/>
                <w:color w:val="auto"/>
                <w:szCs w:val="21"/>
              </w:rPr>
              <w:t>H</w:t>
            </w:r>
            <w:r>
              <w:rPr>
                <w:b/>
                <w:bCs/>
                <w:color w:val="auto"/>
                <w:szCs w:val="21"/>
                <w:vertAlign w:val="subscript"/>
              </w:rPr>
              <w:t>2</w:t>
            </w:r>
            <w:r>
              <w:rPr>
                <w:b/>
                <w:bCs/>
                <w:color w:val="auto"/>
                <w:szCs w:val="21"/>
              </w:rPr>
              <w:t>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1" w:hRule="atLeast"/>
          <w:jc w:val="center"/>
        </w:trPr>
        <w:tc>
          <w:tcPr>
            <w:tcW w:w="244" w:type="pct"/>
            <w:vAlign w:val="center"/>
          </w:tcPr>
          <w:p>
            <w:pPr>
              <w:jc w:val="center"/>
              <w:rPr>
                <w:color w:val="auto"/>
              </w:rPr>
            </w:pPr>
            <w:r>
              <w:rPr>
                <w:color w:val="auto"/>
              </w:rPr>
              <w:t>1</w:t>
            </w:r>
          </w:p>
        </w:tc>
        <w:tc>
          <w:tcPr>
            <w:tcW w:w="609" w:type="pct"/>
            <w:vAlign w:val="center"/>
          </w:tcPr>
          <w:p>
            <w:pPr>
              <w:jc w:val="center"/>
              <w:rPr>
                <w:color w:val="auto"/>
              </w:rPr>
            </w:pPr>
            <w:r>
              <w:rPr>
                <w:rFonts w:hint="eastAsia"/>
                <w:color w:val="auto"/>
              </w:rPr>
              <w:t>生产车间</w:t>
            </w:r>
          </w:p>
        </w:tc>
        <w:tc>
          <w:tcPr>
            <w:tcW w:w="622" w:type="pct"/>
            <w:vAlign w:val="center"/>
          </w:tcPr>
          <w:p>
            <w:pPr>
              <w:jc w:val="center"/>
              <w:rPr>
                <w:rFonts w:hint="default" w:eastAsia="宋体"/>
                <w:color w:val="auto"/>
                <w:szCs w:val="21"/>
                <w:lang w:val="en-US" w:eastAsia="zh-CN"/>
              </w:rPr>
            </w:pPr>
            <w:r>
              <w:rPr>
                <w:rFonts w:hint="eastAsia"/>
                <w:color w:val="auto"/>
                <w:szCs w:val="21"/>
                <w:lang w:val="en-US" w:eastAsia="zh-CN"/>
              </w:rPr>
              <w:t>2640</w:t>
            </w:r>
          </w:p>
        </w:tc>
        <w:tc>
          <w:tcPr>
            <w:tcW w:w="516" w:type="pct"/>
            <w:vAlign w:val="center"/>
          </w:tcPr>
          <w:p>
            <w:pPr>
              <w:jc w:val="center"/>
              <w:rPr>
                <w:rFonts w:hint="default" w:eastAsia="宋体"/>
                <w:color w:val="auto"/>
                <w:szCs w:val="21"/>
                <w:lang w:val="en-US" w:eastAsia="zh-CN"/>
              </w:rPr>
            </w:pPr>
            <w:r>
              <w:rPr>
                <w:rFonts w:hint="eastAsia"/>
                <w:color w:val="auto"/>
                <w:szCs w:val="21"/>
                <w:lang w:val="en-US" w:eastAsia="zh-CN"/>
              </w:rPr>
              <w:t>12</w:t>
            </w:r>
          </w:p>
        </w:tc>
        <w:tc>
          <w:tcPr>
            <w:tcW w:w="835" w:type="pct"/>
            <w:vAlign w:val="center"/>
          </w:tcPr>
          <w:p>
            <w:pPr>
              <w:jc w:val="center"/>
              <w:rPr>
                <w:rFonts w:hint="default" w:eastAsia="宋体"/>
                <w:color w:val="auto"/>
                <w:lang w:val="en-US" w:eastAsia="zh-CN"/>
              </w:rPr>
            </w:pPr>
            <w:r>
              <w:rPr>
                <w:rFonts w:hint="eastAsia"/>
                <w:color w:val="auto"/>
                <w:lang w:val="en-US" w:eastAsia="zh-CN"/>
              </w:rPr>
              <w:t>40</w:t>
            </w:r>
          </w:p>
        </w:tc>
        <w:tc>
          <w:tcPr>
            <w:tcW w:w="502" w:type="pct"/>
            <w:vAlign w:val="center"/>
          </w:tcPr>
          <w:p>
            <w:pPr>
              <w:jc w:val="center"/>
              <w:rPr>
                <w:color w:val="auto"/>
              </w:rPr>
            </w:pPr>
            <w:r>
              <w:rPr>
                <w:color w:val="auto"/>
              </w:rPr>
              <w:t>正常工况</w:t>
            </w:r>
          </w:p>
        </w:tc>
        <w:tc>
          <w:tcPr>
            <w:tcW w:w="547" w:type="pct"/>
            <w:vAlign w:val="center"/>
          </w:tcPr>
          <w:p>
            <w:pPr>
              <w:jc w:val="center"/>
              <w:rPr>
                <w:bCs/>
                <w:color w:val="auto"/>
                <w:szCs w:val="21"/>
              </w:rPr>
            </w:pPr>
            <w:r>
              <w:rPr>
                <w:rFonts w:hint="eastAsia" w:eastAsia="宋体"/>
                <w:color w:val="auto"/>
                <w:sz w:val="21"/>
                <w:szCs w:val="21"/>
                <w:lang w:val="en-US" w:eastAsia="zh-CN"/>
              </w:rPr>
              <w:t>0.033</w:t>
            </w:r>
          </w:p>
        </w:tc>
        <w:tc>
          <w:tcPr>
            <w:tcW w:w="502" w:type="pct"/>
            <w:vAlign w:val="center"/>
          </w:tcPr>
          <w:p>
            <w:pPr>
              <w:jc w:val="center"/>
              <w:rPr>
                <w:bCs/>
                <w:color w:val="auto"/>
                <w:szCs w:val="21"/>
              </w:rPr>
            </w:pPr>
            <w:r>
              <w:rPr>
                <w:rFonts w:hint="eastAsia" w:eastAsia="宋体"/>
                <w:color w:val="auto"/>
                <w:sz w:val="21"/>
                <w:szCs w:val="21"/>
                <w:lang w:val="en-US" w:eastAsia="zh-CN"/>
              </w:rPr>
              <w:t>0.473</w:t>
            </w:r>
          </w:p>
        </w:tc>
        <w:tc>
          <w:tcPr>
            <w:tcW w:w="620" w:type="pct"/>
            <w:vAlign w:val="center"/>
          </w:tcPr>
          <w:p>
            <w:pPr>
              <w:jc w:val="center"/>
              <w:rPr>
                <w:bCs/>
                <w:color w:val="auto"/>
                <w:szCs w:val="21"/>
              </w:rPr>
            </w:pPr>
            <w:r>
              <w:rPr>
                <w:rFonts w:hint="eastAsia" w:eastAsia="宋体"/>
                <w:color w:val="auto"/>
                <w:sz w:val="21"/>
                <w:szCs w:val="21"/>
                <w:lang w:val="en-US" w:eastAsia="zh-CN"/>
              </w:rPr>
              <w:t>0.0085</w:t>
            </w:r>
          </w:p>
        </w:tc>
      </w:tr>
    </w:tbl>
    <w:p>
      <w:pPr>
        <w:jc w:val="center"/>
        <w:rPr>
          <w:b/>
          <w:color w:val="auto"/>
          <w:sz w:val="24"/>
        </w:rPr>
      </w:pPr>
    </w:p>
    <w:p>
      <w:pPr>
        <w:jc w:val="center"/>
        <w:rPr>
          <w:b/>
          <w:color w:val="auto"/>
          <w:sz w:val="24"/>
        </w:rPr>
      </w:pPr>
      <w:r>
        <w:rPr>
          <w:rFonts w:hint="eastAsia"/>
          <w:b/>
          <w:color w:val="auto"/>
          <w:sz w:val="24"/>
        </w:rPr>
        <w:t>表6</w:t>
      </w:r>
      <w:r>
        <w:rPr>
          <w:b/>
          <w:color w:val="auto"/>
          <w:sz w:val="24"/>
        </w:rPr>
        <w:t>-7  估算模型参数表</w:t>
      </w:r>
    </w:p>
    <w:tbl>
      <w:tblPr>
        <w:tblStyle w:val="53"/>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75"/>
        <w:gridCol w:w="2673"/>
        <w:gridCol w:w="380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5" w:hRule="atLeast"/>
          <w:jc w:val="center"/>
        </w:trPr>
        <w:tc>
          <w:tcPr>
            <w:tcW w:w="2875" w:type="pct"/>
            <w:gridSpan w:val="2"/>
            <w:vAlign w:val="center"/>
          </w:tcPr>
          <w:p>
            <w:pPr>
              <w:jc w:val="center"/>
              <w:rPr>
                <w:color w:val="auto"/>
              </w:rPr>
            </w:pPr>
            <w:r>
              <w:rPr>
                <w:color w:val="auto"/>
              </w:rPr>
              <w:t>参数</w:t>
            </w:r>
          </w:p>
        </w:tc>
        <w:tc>
          <w:tcPr>
            <w:tcW w:w="2124" w:type="pct"/>
            <w:vAlign w:val="center"/>
          </w:tcPr>
          <w:p>
            <w:pPr>
              <w:jc w:val="center"/>
              <w:rPr>
                <w:color w:val="auto"/>
              </w:rPr>
            </w:pPr>
            <w:r>
              <w:rPr>
                <w:color w:val="auto"/>
              </w:rPr>
              <w:t>取值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3" w:hRule="atLeast"/>
          <w:jc w:val="center"/>
        </w:trPr>
        <w:tc>
          <w:tcPr>
            <w:tcW w:w="1382" w:type="pct"/>
            <w:vMerge w:val="restart"/>
            <w:vAlign w:val="center"/>
          </w:tcPr>
          <w:p>
            <w:pPr>
              <w:jc w:val="center"/>
              <w:rPr>
                <w:color w:val="auto"/>
              </w:rPr>
            </w:pPr>
            <w:r>
              <w:rPr>
                <w:color w:val="auto"/>
              </w:rPr>
              <w:t>城市农村/选项</w:t>
            </w:r>
          </w:p>
        </w:tc>
        <w:tc>
          <w:tcPr>
            <w:tcW w:w="1492" w:type="pct"/>
            <w:vAlign w:val="center"/>
          </w:tcPr>
          <w:p>
            <w:pPr>
              <w:jc w:val="center"/>
              <w:rPr>
                <w:color w:val="auto"/>
              </w:rPr>
            </w:pPr>
            <w:r>
              <w:rPr>
                <w:color w:val="auto"/>
              </w:rPr>
              <w:t>城市/农村</w:t>
            </w:r>
          </w:p>
        </w:tc>
        <w:tc>
          <w:tcPr>
            <w:tcW w:w="2124" w:type="pct"/>
            <w:vAlign w:val="center"/>
          </w:tcPr>
          <w:p>
            <w:pPr>
              <w:jc w:val="center"/>
              <w:rPr>
                <w:color w:val="auto"/>
              </w:rPr>
            </w:pPr>
            <w:r>
              <w:rPr>
                <w:color w:val="auto"/>
              </w:rPr>
              <w:t>城市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1382" w:type="pct"/>
            <w:vMerge w:val="continue"/>
            <w:vAlign w:val="center"/>
          </w:tcPr>
          <w:p>
            <w:pPr>
              <w:jc w:val="center"/>
              <w:rPr>
                <w:color w:val="auto"/>
              </w:rPr>
            </w:pPr>
          </w:p>
        </w:tc>
        <w:tc>
          <w:tcPr>
            <w:tcW w:w="1492" w:type="pct"/>
            <w:vAlign w:val="center"/>
          </w:tcPr>
          <w:p>
            <w:pPr>
              <w:jc w:val="center"/>
              <w:rPr>
                <w:color w:val="auto"/>
              </w:rPr>
            </w:pPr>
            <w:r>
              <w:rPr>
                <w:color w:val="auto"/>
              </w:rPr>
              <w:t>人口数(城市人口数)</w:t>
            </w:r>
          </w:p>
        </w:tc>
        <w:tc>
          <w:tcPr>
            <w:tcW w:w="2124" w:type="pct"/>
            <w:vAlign w:val="center"/>
          </w:tcPr>
          <w:p>
            <w:pPr>
              <w:jc w:val="center"/>
              <w:rPr>
                <w:color w:val="auto"/>
              </w:rPr>
            </w:pPr>
            <w:r>
              <w:rPr>
                <w:color w:val="auto"/>
              </w:rPr>
              <w:t>38.38万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2875" w:type="pct"/>
            <w:gridSpan w:val="2"/>
            <w:vAlign w:val="center"/>
          </w:tcPr>
          <w:p>
            <w:pPr>
              <w:jc w:val="center"/>
              <w:rPr>
                <w:color w:val="auto"/>
              </w:rPr>
            </w:pPr>
            <w:r>
              <w:rPr>
                <w:color w:val="auto"/>
              </w:rPr>
              <w:t>最高环境温度</w:t>
            </w:r>
          </w:p>
        </w:tc>
        <w:tc>
          <w:tcPr>
            <w:tcW w:w="2124" w:type="pct"/>
            <w:vAlign w:val="center"/>
          </w:tcPr>
          <w:p>
            <w:pPr>
              <w:jc w:val="center"/>
              <w:rPr>
                <w:color w:val="auto"/>
              </w:rPr>
            </w:pPr>
            <w:r>
              <w:rPr>
                <w:color w:val="auto"/>
              </w:rPr>
              <w:t>41.1 °C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2875" w:type="pct"/>
            <w:gridSpan w:val="2"/>
            <w:vAlign w:val="center"/>
          </w:tcPr>
          <w:p>
            <w:pPr>
              <w:jc w:val="center"/>
              <w:rPr>
                <w:color w:val="auto"/>
              </w:rPr>
            </w:pPr>
            <w:r>
              <w:rPr>
                <w:color w:val="auto"/>
              </w:rPr>
              <w:t>最低环境温度</w:t>
            </w:r>
          </w:p>
        </w:tc>
        <w:tc>
          <w:tcPr>
            <w:tcW w:w="2124" w:type="pct"/>
            <w:vAlign w:val="center"/>
          </w:tcPr>
          <w:p>
            <w:pPr>
              <w:jc w:val="center"/>
              <w:rPr>
                <w:color w:val="auto"/>
              </w:rPr>
            </w:pPr>
            <w:r>
              <w:rPr>
                <w:color w:val="auto"/>
              </w:rPr>
              <w:t>- 15.9C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2875" w:type="pct"/>
            <w:gridSpan w:val="2"/>
            <w:vAlign w:val="center"/>
          </w:tcPr>
          <w:p>
            <w:pPr>
              <w:jc w:val="center"/>
              <w:rPr>
                <w:color w:val="auto"/>
              </w:rPr>
            </w:pPr>
            <w:r>
              <w:rPr>
                <w:color w:val="auto"/>
              </w:rPr>
              <w:t>土地利用类型</w:t>
            </w:r>
          </w:p>
        </w:tc>
        <w:tc>
          <w:tcPr>
            <w:tcW w:w="2124" w:type="pct"/>
            <w:vAlign w:val="center"/>
          </w:tcPr>
          <w:p>
            <w:pPr>
              <w:jc w:val="center"/>
              <w:rPr>
                <w:color w:val="auto"/>
              </w:rPr>
            </w:pPr>
            <w:r>
              <w:rPr>
                <w:color w:val="auto"/>
              </w:rPr>
              <w:t>城市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7" w:hRule="atLeast"/>
          <w:jc w:val="center"/>
        </w:trPr>
        <w:tc>
          <w:tcPr>
            <w:tcW w:w="2875" w:type="pct"/>
            <w:gridSpan w:val="2"/>
            <w:vAlign w:val="center"/>
          </w:tcPr>
          <w:p>
            <w:pPr>
              <w:jc w:val="center"/>
              <w:rPr>
                <w:color w:val="auto"/>
              </w:rPr>
            </w:pPr>
            <w:r>
              <w:rPr>
                <w:color w:val="auto"/>
              </w:rPr>
              <w:t>区域湿度条件</w:t>
            </w:r>
          </w:p>
        </w:tc>
        <w:tc>
          <w:tcPr>
            <w:tcW w:w="2124" w:type="pct"/>
            <w:vAlign w:val="center"/>
          </w:tcPr>
          <w:p>
            <w:pPr>
              <w:jc w:val="center"/>
              <w:rPr>
                <w:color w:val="auto"/>
              </w:rPr>
            </w:pPr>
            <w:r>
              <w:rPr>
                <w:color w:val="auto"/>
                <w:szCs w:val="21"/>
              </w:rPr>
              <w:t>潮湿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jc w:val="center"/>
        </w:trPr>
        <w:tc>
          <w:tcPr>
            <w:tcW w:w="1382" w:type="pct"/>
            <w:vMerge w:val="restart"/>
            <w:vAlign w:val="center"/>
          </w:tcPr>
          <w:p>
            <w:pPr>
              <w:jc w:val="center"/>
              <w:rPr>
                <w:color w:val="auto"/>
              </w:rPr>
            </w:pPr>
            <w:r>
              <w:rPr>
                <w:color w:val="auto"/>
              </w:rPr>
              <w:t>是否考虑地形</w:t>
            </w:r>
          </w:p>
        </w:tc>
        <w:tc>
          <w:tcPr>
            <w:tcW w:w="1492" w:type="pct"/>
            <w:vAlign w:val="center"/>
          </w:tcPr>
          <w:p>
            <w:pPr>
              <w:jc w:val="center"/>
              <w:rPr>
                <w:color w:val="auto"/>
              </w:rPr>
            </w:pPr>
            <w:r>
              <w:rPr>
                <w:color w:val="auto"/>
              </w:rPr>
              <w:t>考虑地形</w:t>
            </w:r>
          </w:p>
        </w:tc>
        <w:tc>
          <w:tcPr>
            <w:tcW w:w="2124" w:type="pct"/>
            <w:vAlign w:val="center"/>
          </w:tcPr>
          <w:p>
            <w:pPr>
              <w:jc w:val="center"/>
              <w:rPr>
                <w:color w:val="auto"/>
              </w:rPr>
            </w:pPr>
            <w:r>
              <w:rPr>
                <w:color w:val="auto"/>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1382" w:type="pct"/>
            <w:vMerge w:val="continue"/>
            <w:vAlign w:val="center"/>
          </w:tcPr>
          <w:p>
            <w:pPr>
              <w:jc w:val="center"/>
              <w:rPr>
                <w:color w:val="auto"/>
              </w:rPr>
            </w:pPr>
          </w:p>
        </w:tc>
        <w:tc>
          <w:tcPr>
            <w:tcW w:w="1492" w:type="pct"/>
            <w:vAlign w:val="center"/>
          </w:tcPr>
          <w:p>
            <w:pPr>
              <w:jc w:val="center"/>
              <w:rPr>
                <w:color w:val="auto"/>
              </w:rPr>
            </w:pPr>
            <w:r>
              <w:rPr>
                <w:color w:val="auto"/>
              </w:rPr>
              <w:t>地形数据分辨率(m)</w:t>
            </w:r>
          </w:p>
        </w:tc>
        <w:tc>
          <w:tcPr>
            <w:tcW w:w="2124" w:type="pct"/>
            <w:vAlign w:val="center"/>
          </w:tcPr>
          <w:p>
            <w:pPr>
              <w:jc w:val="center"/>
              <w:rPr>
                <w:color w:val="auto"/>
              </w:rPr>
            </w:pPr>
            <w:r>
              <w:rPr>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jc w:val="center"/>
        </w:trPr>
        <w:tc>
          <w:tcPr>
            <w:tcW w:w="1382" w:type="pct"/>
            <w:vMerge w:val="restart"/>
            <w:vAlign w:val="center"/>
          </w:tcPr>
          <w:p>
            <w:pPr>
              <w:jc w:val="center"/>
              <w:rPr>
                <w:color w:val="auto"/>
              </w:rPr>
            </w:pPr>
            <w:r>
              <w:rPr>
                <w:color w:val="auto"/>
              </w:rPr>
              <w:t>是否考虑岸线熏烟</w:t>
            </w:r>
          </w:p>
        </w:tc>
        <w:tc>
          <w:tcPr>
            <w:tcW w:w="1492" w:type="pct"/>
            <w:vAlign w:val="center"/>
          </w:tcPr>
          <w:p>
            <w:pPr>
              <w:jc w:val="center"/>
              <w:rPr>
                <w:color w:val="auto"/>
              </w:rPr>
            </w:pPr>
            <w:r>
              <w:rPr>
                <w:color w:val="auto"/>
              </w:rPr>
              <w:t>考虑岸线熏烟</w:t>
            </w:r>
          </w:p>
        </w:tc>
        <w:tc>
          <w:tcPr>
            <w:tcW w:w="2124" w:type="pct"/>
            <w:vAlign w:val="center"/>
          </w:tcPr>
          <w:p>
            <w:pPr>
              <w:jc w:val="center"/>
              <w:rPr>
                <w:color w:val="auto"/>
              </w:rPr>
            </w:pPr>
            <w:r>
              <w:rPr>
                <w:color w:val="auto"/>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jc w:val="center"/>
        </w:trPr>
        <w:tc>
          <w:tcPr>
            <w:tcW w:w="1382" w:type="pct"/>
            <w:vMerge w:val="continue"/>
            <w:vAlign w:val="center"/>
          </w:tcPr>
          <w:p>
            <w:pPr>
              <w:jc w:val="center"/>
              <w:rPr>
                <w:color w:val="auto"/>
              </w:rPr>
            </w:pPr>
          </w:p>
        </w:tc>
        <w:tc>
          <w:tcPr>
            <w:tcW w:w="1492" w:type="pct"/>
            <w:vAlign w:val="center"/>
          </w:tcPr>
          <w:p>
            <w:pPr>
              <w:jc w:val="center"/>
              <w:rPr>
                <w:color w:val="auto"/>
              </w:rPr>
            </w:pPr>
            <w:r>
              <w:rPr>
                <w:color w:val="auto"/>
              </w:rPr>
              <w:t>岸线距离/km</w:t>
            </w:r>
          </w:p>
        </w:tc>
        <w:tc>
          <w:tcPr>
            <w:tcW w:w="2124" w:type="pct"/>
            <w:vAlign w:val="center"/>
          </w:tcPr>
          <w:p>
            <w:pPr>
              <w:jc w:val="center"/>
              <w:rPr>
                <w:color w:val="auto"/>
              </w:rPr>
            </w:pPr>
            <w:r>
              <w:rPr>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4" w:hRule="atLeast"/>
          <w:jc w:val="center"/>
        </w:trPr>
        <w:tc>
          <w:tcPr>
            <w:tcW w:w="1382" w:type="pct"/>
            <w:vMerge w:val="continue"/>
            <w:vAlign w:val="center"/>
          </w:tcPr>
          <w:p>
            <w:pPr>
              <w:jc w:val="center"/>
              <w:rPr>
                <w:color w:val="auto"/>
              </w:rPr>
            </w:pPr>
          </w:p>
        </w:tc>
        <w:tc>
          <w:tcPr>
            <w:tcW w:w="1492" w:type="pct"/>
            <w:vAlign w:val="center"/>
          </w:tcPr>
          <w:p>
            <w:pPr>
              <w:jc w:val="center"/>
              <w:rPr>
                <w:color w:val="auto"/>
              </w:rPr>
            </w:pPr>
            <w:r>
              <w:rPr>
                <w:color w:val="auto"/>
              </w:rPr>
              <w:t>岸线方向/o</w:t>
            </w:r>
          </w:p>
        </w:tc>
        <w:tc>
          <w:tcPr>
            <w:tcW w:w="2124" w:type="pct"/>
            <w:vAlign w:val="center"/>
          </w:tcPr>
          <w:p>
            <w:pPr>
              <w:jc w:val="center"/>
              <w:rPr>
                <w:color w:val="auto"/>
              </w:rPr>
            </w:pPr>
            <w:r>
              <w:rPr>
                <w:color w:val="auto"/>
              </w:rPr>
              <w:t>/</w:t>
            </w:r>
          </w:p>
        </w:tc>
      </w:tr>
    </w:tbl>
    <w:p>
      <w:pPr>
        <w:pStyle w:val="176"/>
        <w:spacing w:line="520" w:lineRule="exact"/>
        <w:ind w:firstLine="512"/>
        <w:rPr>
          <w:color w:val="auto"/>
          <w:lang w:val="en-US"/>
        </w:rPr>
      </w:pPr>
      <w:r>
        <w:rPr>
          <w:color w:val="auto"/>
        </w:rPr>
        <w:t>③</w:t>
      </w:r>
      <w:r>
        <w:rPr>
          <w:color w:val="auto"/>
          <w:lang w:val="en-US"/>
        </w:rPr>
        <w:t>预测结果及影响评价</w:t>
      </w:r>
    </w:p>
    <w:p>
      <w:pPr>
        <w:pStyle w:val="176"/>
        <w:spacing w:line="520" w:lineRule="exact"/>
        <w:ind w:firstLine="512"/>
        <w:rPr>
          <w:color w:val="auto"/>
          <w:lang w:val="en-US"/>
        </w:rPr>
      </w:pPr>
      <w:r>
        <w:rPr>
          <w:color w:val="auto"/>
          <w:lang w:val="en-US"/>
        </w:rPr>
        <w:t>采用《环境影响评价技术导则---大气环境》（HJ2.2-2018）选择附录A中推荐模式中估算模型进行计算污染源的最大环境影响，再按评价工作分级进行分级，采用AERSCREEN估算模式进行计算。预测结果详见下表。</w:t>
      </w:r>
    </w:p>
    <w:p>
      <w:pPr>
        <w:jc w:val="center"/>
        <w:rPr>
          <w:b/>
          <w:color w:val="auto"/>
          <w:sz w:val="24"/>
        </w:rPr>
      </w:pPr>
      <w:r>
        <w:rPr>
          <w:rFonts w:hint="eastAsia"/>
          <w:b/>
          <w:color w:val="auto"/>
          <w:sz w:val="24"/>
        </w:rPr>
        <w:t>表6</w:t>
      </w:r>
      <w:r>
        <w:rPr>
          <w:b/>
          <w:color w:val="auto"/>
          <w:sz w:val="24"/>
        </w:rPr>
        <w:t>-8  估算模型计算结果（有组织）</w:t>
      </w:r>
    </w:p>
    <w:tbl>
      <w:tblPr>
        <w:tblStyle w:val="53"/>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55"/>
        <w:gridCol w:w="1866"/>
        <w:gridCol w:w="1465"/>
        <w:gridCol w:w="1760"/>
        <w:gridCol w:w="180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48" w:type="pct"/>
            <w:vMerge w:val="restart"/>
            <w:vAlign w:val="center"/>
          </w:tcPr>
          <w:p>
            <w:pPr>
              <w:jc w:val="center"/>
              <w:rPr>
                <w:color w:val="auto"/>
              </w:rPr>
            </w:pPr>
            <w:r>
              <w:rPr>
                <w:color w:val="auto"/>
              </w:rPr>
              <w:t>下风向距离(m)</w:t>
            </w:r>
          </w:p>
        </w:tc>
        <w:tc>
          <w:tcPr>
            <w:tcW w:w="1860" w:type="pct"/>
            <w:gridSpan w:val="2"/>
            <w:vAlign w:val="center"/>
          </w:tcPr>
          <w:p>
            <w:pPr>
              <w:jc w:val="center"/>
              <w:rPr>
                <w:rFonts w:hint="default"/>
                <w:color w:val="auto"/>
                <w:lang w:val="en-US" w:eastAsia="zh-CN"/>
              </w:rPr>
            </w:pPr>
            <w:r>
              <w:rPr>
                <w:rFonts w:hint="eastAsia"/>
                <w:color w:val="auto"/>
                <w:lang w:val="en-US" w:eastAsia="zh-CN"/>
              </w:rPr>
              <w:t>1#排气筒</w:t>
            </w:r>
          </w:p>
        </w:tc>
        <w:tc>
          <w:tcPr>
            <w:tcW w:w="1990" w:type="pct"/>
            <w:gridSpan w:val="2"/>
            <w:vAlign w:val="center"/>
          </w:tcPr>
          <w:p>
            <w:pPr>
              <w:jc w:val="center"/>
              <w:rPr>
                <w:color w:val="auto"/>
              </w:rPr>
            </w:pPr>
            <w:r>
              <w:rPr>
                <w:rFonts w:hint="eastAsia"/>
                <w:color w:val="auto"/>
                <w:lang w:val="en-US" w:eastAsia="zh-CN"/>
              </w:rPr>
              <w:t>2#排气筒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1148" w:type="pct"/>
            <w:vMerge w:val="continue"/>
            <w:vAlign w:val="center"/>
          </w:tcPr>
          <w:p>
            <w:pPr>
              <w:jc w:val="center"/>
              <w:rPr>
                <w:color w:val="auto"/>
              </w:rPr>
            </w:pPr>
          </w:p>
        </w:tc>
        <w:tc>
          <w:tcPr>
            <w:tcW w:w="1860" w:type="pct"/>
            <w:gridSpan w:val="2"/>
            <w:vAlign w:val="center"/>
          </w:tcPr>
          <w:p>
            <w:pPr>
              <w:jc w:val="center"/>
              <w:rPr>
                <w:rFonts w:hint="eastAsia"/>
                <w:color w:val="auto"/>
                <w:lang w:eastAsia="zh-CN"/>
              </w:rPr>
            </w:pPr>
            <w:r>
              <w:rPr>
                <w:rFonts w:hint="eastAsia"/>
                <w:color w:val="auto"/>
                <w:lang w:eastAsia="zh-CN"/>
              </w:rPr>
              <w:t>颗粒物</w:t>
            </w:r>
          </w:p>
        </w:tc>
        <w:tc>
          <w:tcPr>
            <w:tcW w:w="1990" w:type="pct"/>
            <w:gridSpan w:val="2"/>
            <w:vAlign w:val="center"/>
          </w:tcPr>
          <w:p>
            <w:pPr>
              <w:jc w:val="center"/>
              <w:rPr>
                <w:color w:val="auto"/>
              </w:rPr>
            </w:pPr>
            <w:r>
              <w:rPr>
                <w:rFonts w:hint="eastAsia"/>
                <w:color w:val="auto"/>
                <w:lang w:eastAsia="zh-CN"/>
              </w:rPr>
              <w:t>颗粒物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7" w:hRule="atLeast"/>
          <w:jc w:val="center"/>
        </w:trPr>
        <w:tc>
          <w:tcPr>
            <w:tcW w:w="1148" w:type="pct"/>
            <w:vMerge w:val="continue"/>
            <w:vAlign w:val="center"/>
          </w:tcPr>
          <w:p>
            <w:pPr>
              <w:jc w:val="center"/>
              <w:rPr>
                <w:color w:val="auto"/>
              </w:rPr>
            </w:pPr>
            <w:bookmarkStart w:id="267" w:name="_Hlk527708748"/>
          </w:p>
        </w:tc>
        <w:tc>
          <w:tcPr>
            <w:tcW w:w="1042" w:type="pct"/>
            <w:vAlign w:val="center"/>
          </w:tcPr>
          <w:p>
            <w:pPr>
              <w:jc w:val="center"/>
              <w:rPr>
                <w:color w:val="auto"/>
              </w:rPr>
            </w:pPr>
            <w:r>
              <w:rPr>
                <w:color w:val="auto"/>
              </w:rPr>
              <w:t>预测质量浓度/mg/m3</w:t>
            </w:r>
          </w:p>
        </w:tc>
        <w:tc>
          <w:tcPr>
            <w:tcW w:w="817" w:type="pct"/>
            <w:vAlign w:val="center"/>
          </w:tcPr>
          <w:p>
            <w:pPr>
              <w:jc w:val="center"/>
              <w:rPr>
                <w:color w:val="auto"/>
              </w:rPr>
            </w:pPr>
            <w:r>
              <w:rPr>
                <w:color w:val="auto"/>
              </w:rPr>
              <w:t>占标率/%</w:t>
            </w:r>
          </w:p>
        </w:tc>
        <w:tc>
          <w:tcPr>
            <w:tcW w:w="983" w:type="pct"/>
            <w:vAlign w:val="center"/>
          </w:tcPr>
          <w:p>
            <w:pPr>
              <w:jc w:val="center"/>
              <w:rPr>
                <w:color w:val="auto"/>
              </w:rPr>
            </w:pPr>
            <w:r>
              <w:rPr>
                <w:color w:val="auto"/>
              </w:rPr>
              <w:t>预测质量浓度/mg/m3</w:t>
            </w:r>
          </w:p>
        </w:tc>
        <w:tc>
          <w:tcPr>
            <w:tcW w:w="1007" w:type="pct"/>
            <w:vAlign w:val="center"/>
          </w:tcPr>
          <w:p>
            <w:pPr>
              <w:jc w:val="center"/>
              <w:rPr>
                <w:color w:val="auto"/>
              </w:rPr>
            </w:pPr>
            <w:r>
              <w:rPr>
                <w:color w:val="auto"/>
              </w:rPr>
              <w:t>占标率/%</w:t>
            </w:r>
          </w:p>
        </w:tc>
      </w:tr>
      <w:bookmarkEnd w:id="267"/>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 w:hRule="atLeast"/>
          <w:jc w:val="center"/>
        </w:trPr>
        <w:tc>
          <w:tcPr>
            <w:tcW w:w="1148" w:type="pct"/>
            <w:vAlign w:val="center"/>
          </w:tcPr>
          <w:p>
            <w:pPr>
              <w:jc w:val="center"/>
              <w:rPr>
                <w:color w:val="auto"/>
              </w:rPr>
            </w:pPr>
            <w:r>
              <w:rPr>
                <w:rFonts w:hint="eastAsia"/>
                <w:color w:val="auto"/>
                <w:lang w:val="en-US" w:eastAsia="zh-CN"/>
              </w:rPr>
              <w:t>10</w:t>
            </w:r>
          </w:p>
        </w:tc>
        <w:tc>
          <w:tcPr>
            <w:tcW w:w="1042" w:type="pct"/>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w:t>
            </w:r>
          </w:p>
        </w:tc>
        <w:tc>
          <w:tcPr>
            <w:tcW w:w="817" w:type="pct"/>
            <w:tcBorders>
              <w:top w:val="nil"/>
              <w:left w:val="nil"/>
              <w:bottom w:val="single" w:color="auto" w:sz="8" w:space="0"/>
              <w:right w:val="single" w:color="auto" w:sz="8" w:space="0"/>
            </w:tcBorders>
            <w:vAlign w:val="center"/>
          </w:tcPr>
          <w:p>
            <w:pPr>
              <w:jc w:val="center"/>
              <w:rPr>
                <w:color w:val="auto"/>
              </w:rPr>
            </w:pPr>
            <w:r>
              <w:rPr>
                <w:color w:val="auto"/>
              </w:rPr>
              <w:t>0.01</w:t>
            </w:r>
          </w:p>
        </w:tc>
        <w:tc>
          <w:tcPr>
            <w:tcW w:w="1760"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w:t>
            </w:r>
          </w:p>
        </w:tc>
        <w:tc>
          <w:tcPr>
            <w:tcW w:w="1007" w:type="pct"/>
            <w:tcBorders>
              <w:top w:val="nil"/>
              <w:left w:val="nil"/>
              <w:bottom w:val="single" w:color="auto" w:sz="8" w:space="0"/>
              <w:right w:val="single" w:color="auto" w:sz="8" w:space="0"/>
            </w:tcBorders>
            <w:vAlign w:val="center"/>
          </w:tcPr>
          <w:p>
            <w:pPr>
              <w:jc w:val="center"/>
              <w:rPr>
                <w:color w:val="auto"/>
              </w:rPr>
            </w:pPr>
            <w:r>
              <w:rPr>
                <w:color w:val="auto"/>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 w:hRule="atLeast"/>
          <w:jc w:val="center"/>
        </w:trPr>
        <w:tc>
          <w:tcPr>
            <w:tcW w:w="1148" w:type="pct"/>
            <w:vAlign w:val="center"/>
          </w:tcPr>
          <w:p>
            <w:pPr>
              <w:jc w:val="center"/>
              <w:rPr>
                <w:color w:val="auto"/>
              </w:rPr>
            </w:pPr>
            <w:r>
              <w:rPr>
                <w:rFonts w:hint="eastAsia"/>
                <w:color w:val="auto"/>
                <w:lang w:val="en-US" w:eastAsia="zh-CN"/>
              </w:rPr>
              <w:t>100</w:t>
            </w:r>
          </w:p>
        </w:tc>
        <w:tc>
          <w:tcPr>
            <w:tcW w:w="1042" w:type="pct"/>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0.00001845</w:t>
            </w:r>
          </w:p>
        </w:tc>
        <w:tc>
          <w:tcPr>
            <w:tcW w:w="817" w:type="pct"/>
            <w:tcBorders>
              <w:top w:val="nil"/>
              <w:left w:val="nil"/>
              <w:bottom w:val="single" w:color="auto" w:sz="8" w:space="0"/>
              <w:right w:val="single" w:color="auto" w:sz="8" w:space="0"/>
            </w:tcBorders>
            <w:vAlign w:val="center"/>
          </w:tcPr>
          <w:p>
            <w:pPr>
              <w:jc w:val="center"/>
              <w:rPr>
                <w:color w:val="auto"/>
              </w:rPr>
            </w:pPr>
            <w:r>
              <w:rPr>
                <w:color w:val="auto"/>
              </w:rPr>
              <w:t>0.01</w:t>
            </w:r>
          </w:p>
        </w:tc>
        <w:tc>
          <w:tcPr>
            <w:tcW w:w="1760"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0.00003205</w:t>
            </w:r>
          </w:p>
        </w:tc>
        <w:tc>
          <w:tcPr>
            <w:tcW w:w="1007" w:type="pct"/>
            <w:tcBorders>
              <w:top w:val="nil"/>
              <w:left w:val="nil"/>
              <w:bottom w:val="single" w:color="auto" w:sz="8" w:space="0"/>
              <w:right w:val="single" w:color="auto" w:sz="8" w:space="0"/>
            </w:tcBorders>
            <w:vAlign w:val="center"/>
          </w:tcPr>
          <w:p>
            <w:pPr>
              <w:jc w:val="center"/>
              <w:rPr>
                <w:color w:val="auto"/>
              </w:rPr>
            </w:pPr>
            <w:r>
              <w:rPr>
                <w:color w:val="auto"/>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6" w:hRule="atLeast"/>
          <w:jc w:val="center"/>
        </w:trPr>
        <w:tc>
          <w:tcPr>
            <w:tcW w:w="1148" w:type="pct"/>
            <w:vAlign w:val="center"/>
          </w:tcPr>
          <w:p>
            <w:pPr>
              <w:jc w:val="center"/>
              <w:rPr>
                <w:color w:val="auto"/>
              </w:rPr>
            </w:pPr>
            <w:r>
              <w:rPr>
                <w:rFonts w:hint="eastAsia"/>
                <w:color w:val="auto"/>
                <w:lang w:val="en-US" w:eastAsia="zh-CN"/>
              </w:rPr>
              <w:t>100</w:t>
            </w:r>
          </w:p>
        </w:tc>
        <w:tc>
          <w:tcPr>
            <w:tcW w:w="1042" w:type="pct"/>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0.00001845</w:t>
            </w:r>
          </w:p>
        </w:tc>
        <w:tc>
          <w:tcPr>
            <w:tcW w:w="817" w:type="pct"/>
            <w:tcBorders>
              <w:top w:val="nil"/>
              <w:left w:val="nil"/>
              <w:bottom w:val="single" w:color="auto" w:sz="8" w:space="0"/>
              <w:right w:val="single" w:color="auto" w:sz="8" w:space="0"/>
            </w:tcBorders>
            <w:vAlign w:val="center"/>
          </w:tcPr>
          <w:p>
            <w:pPr>
              <w:jc w:val="center"/>
              <w:rPr>
                <w:color w:val="auto"/>
              </w:rPr>
            </w:pPr>
            <w:r>
              <w:rPr>
                <w:color w:val="auto"/>
              </w:rPr>
              <w:t>0.01</w:t>
            </w:r>
          </w:p>
        </w:tc>
        <w:tc>
          <w:tcPr>
            <w:tcW w:w="1760"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0.00003205</w:t>
            </w:r>
          </w:p>
        </w:tc>
        <w:tc>
          <w:tcPr>
            <w:tcW w:w="1007" w:type="pct"/>
            <w:tcBorders>
              <w:top w:val="nil"/>
              <w:left w:val="nil"/>
              <w:bottom w:val="single" w:color="auto" w:sz="8" w:space="0"/>
              <w:right w:val="single" w:color="auto" w:sz="8" w:space="0"/>
            </w:tcBorders>
            <w:vAlign w:val="center"/>
          </w:tcPr>
          <w:p>
            <w:pPr>
              <w:jc w:val="center"/>
              <w:rPr>
                <w:color w:val="auto"/>
              </w:rPr>
            </w:pPr>
            <w:r>
              <w:rPr>
                <w:color w:val="auto"/>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 w:hRule="atLeast"/>
          <w:jc w:val="center"/>
        </w:trPr>
        <w:tc>
          <w:tcPr>
            <w:tcW w:w="1148" w:type="pct"/>
            <w:vAlign w:val="center"/>
          </w:tcPr>
          <w:p>
            <w:pPr>
              <w:jc w:val="center"/>
              <w:rPr>
                <w:b/>
                <w:bCs/>
                <w:color w:val="auto"/>
              </w:rPr>
            </w:pPr>
            <w:r>
              <w:rPr>
                <w:rFonts w:hint="eastAsia"/>
                <w:b/>
                <w:bCs/>
                <w:color w:val="auto"/>
                <w:lang w:val="en-US" w:eastAsia="zh-CN"/>
              </w:rPr>
              <w:t>187</w:t>
            </w:r>
          </w:p>
        </w:tc>
        <w:tc>
          <w:tcPr>
            <w:tcW w:w="1042" w:type="pct"/>
            <w:tcBorders>
              <w:top w:val="nil"/>
              <w:left w:val="nil"/>
              <w:bottom w:val="single" w:color="auto" w:sz="8" w:space="0"/>
              <w:right w:val="single" w:color="auto" w:sz="8" w:space="0"/>
            </w:tcBorders>
            <w:vAlign w:val="center"/>
          </w:tcPr>
          <w:p>
            <w:pPr>
              <w:jc w:val="center"/>
              <w:rPr>
                <w:b/>
                <w:bCs/>
                <w:color w:val="auto"/>
              </w:rPr>
            </w:pPr>
            <w:r>
              <w:rPr>
                <w:rFonts w:hint="eastAsia"/>
                <w:b/>
                <w:bCs/>
                <w:color w:val="auto"/>
                <w:lang w:val="en-US" w:eastAsia="zh-CN"/>
              </w:rPr>
              <w:t>0.00003161</w:t>
            </w:r>
          </w:p>
        </w:tc>
        <w:tc>
          <w:tcPr>
            <w:tcW w:w="817" w:type="pct"/>
            <w:tcBorders>
              <w:top w:val="nil"/>
              <w:left w:val="nil"/>
              <w:bottom w:val="single" w:color="auto" w:sz="8" w:space="0"/>
              <w:right w:val="single" w:color="auto" w:sz="8" w:space="0"/>
            </w:tcBorders>
            <w:vAlign w:val="center"/>
          </w:tcPr>
          <w:p>
            <w:pPr>
              <w:jc w:val="center"/>
              <w:rPr>
                <w:b/>
                <w:bCs/>
                <w:color w:val="auto"/>
              </w:rPr>
            </w:pPr>
            <w:r>
              <w:rPr>
                <w:b/>
                <w:bCs/>
                <w:color w:val="auto"/>
              </w:rPr>
              <w:t>0.01</w:t>
            </w:r>
          </w:p>
        </w:tc>
        <w:tc>
          <w:tcPr>
            <w:tcW w:w="1760" w:type="dxa"/>
            <w:tcBorders>
              <w:top w:val="nil"/>
              <w:left w:val="nil"/>
              <w:bottom w:val="single" w:color="auto" w:sz="8" w:space="0"/>
              <w:right w:val="single" w:color="auto" w:sz="8" w:space="0"/>
            </w:tcBorders>
            <w:vAlign w:val="center"/>
          </w:tcPr>
          <w:p>
            <w:pPr>
              <w:jc w:val="center"/>
              <w:rPr>
                <w:b/>
                <w:bCs/>
                <w:color w:val="auto"/>
              </w:rPr>
            </w:pPr>
            <w:r>
              <w:rPr>
                <w:rFonts w:hint="eastAsia"/>
                <w:b/>
                <w:bCs/>
                <w:color w:val="auto"/>
                <w:lang w:val="en-US" w:eastAsia="zh-CN"/>
              </w:rPr>
              <w:t>0.00005491</w:t>
            </w:r>
          </w:p>
        </w:tc>
        <w:tc>
          <w:tcPr>
            <w:tcW w:w="1007" w:type="pct"/>
            <w:tcBorders>
              <w:top w:val="nil"/>
              <w:left w:val="nil"/>
              <w:bottom w:val="single" w:color="auto" w:sz="8" w:space="0"/>
              <w:right w:val="single" w:color="auto" w:sz="8" w:space="0"/>
            </w:tcBorders>
            <w:vAlign w:val="center"/>
          </w:tcPr>
          <w:p>
            <w:pPr>
              <w:jc w:val="center"/>
              <w:rPr>
                <w:b/>
                <w:bCs/>
                <w:color w:val="auto"/>
              </w:rPr>
            </w:pPr>
            <w:r>
              <w:rPr>
                <w:b/>
                <w:bCs/>
                <w:color w:val="auto"/>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 w:hRule="atLeast"/>
          <w:jc w:val="center"/>
        </w:trPr>
        <w:tc>
          <w:tcPr>
            <w:tcW w:w="1148" w:type="pct"/>
            <w:vAlign w:val="center"/>
          </w:tcPr>
          <w:p>
            <w:pPr>
              <w:jc w:val="center"/>
              <w:rPr>
                <w:color w:val="auto"/>
              </w:rPr>
            </w:pPr>
            <w:r>
              <w:rPr>
                <w:rFonts w:hint="eastAsia"/>
                <w:color w:val="auto"/>
                <w:lang w:val="en-US" w:eastAsia="zh-CN"/>
              </w:rPr>
              <w:t>200</w:t>
            </w:r>
          </w:p>
        </w:tc>
        <w:tc>
          <w:tcPr>
            <w:tcW w:w="1042" w:type="pct"/>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0.00003137</w:t>
            </w:r>
          </w:p>
        </w:tc>
        <w:tc>
          <w:tcPr>
            <w:tcW w:w="817" w:type="pct"/>
            <w:tcBorders>
              <w:top w:val="nil"/>
              <w:left w:val="nil"/>
              <w:bottom w:val="single" w:color="auto" w:sz="8" w:space="0"/>
              <w:right w:val="single" w:color="auto" w:sz="8" w:space="0"/>
            </w:tcBorders>
            <w:vAlign w:val="center"/>
          </w:tcPr>
          <w:p>
            <w:pPr>
              <w:jc w:val="center"/>
              <w:rPr>
                <w:color w:val="auto"/>
              </w:rPr>
            </w:pPr>
            <w:r>
              <w:rPr>
                <w:color w:val="auto"/>
              </w:rPr>
              <w:t>0.01</w:t>
            </w:r>
          </w:p>
        </w:tc>
        <w:tc>
          <w:tcPr>
            <w:tcW w:w="1760"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0.00005449</w:t>
            </w:r>
          </w:p>
        </w:tc>
        <w:tc>
          <w:tcPr>
            <w:tcW w:w="1007" w:type="pct"/>
            <w:tcBorders>
              <w:top w:val="nil"/>
              <w:left w:val="nil"/>
              <w:bottom w:val="single" w:color="auto" w:sz="8" w:space="0"/>
              <w:right w:val="single" w:color="auto" w:sz="8" w:space="0"/>
            </w:tcBorders>
            <w:vAlign w:val="center"/>
          </w:tcPr>
          <w:p>
            <w:pPr>
              <w:jc w:val="center"/>
              <w:rPr>
                <w:color w:val="auto"/>
              </w:rPr>
            </w:pPr>
            <w:r>
              <w:rPr>
                <w:color w:val="auto"/>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 w:hRule="atLeast"/>
          <w:jc w:val="center"/>
        </w:trPr>
        <w:tc>
          <w:tcPr>
            <w:tcW w:w="1148" w:type="pct"/>
            <w:vAlign w:val="center"/>
          </w:tcPr>
          <w:p>
            <w:pPr>
              <w:jc w:val="center"/>
              <w:rPr>
                <w:color w:val="auto"/>
              </w:rPr>
            </w:pPr>
            <w:r>
              <w:rPr>
                <w:rFonts w:hint="eastAsia"/>
                <w:color w:val="auto"/>
                <w:lang w:val="en-US" w:eastAsia="zh-CN"/>
              </w:rPr>
              <w:t>300</w:t>
            </w:r>
          </w:p>
        </w:tc>
        <w:tc>
          <w:tcPr>
            <w:tcW w:w="1042" w:type="pct"/>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0.0000284</w:t>
            </w:r>
          </w:p>
        </w:tc>
        <w:tc>
          <w:tcPr>
            <w:tcW w:w="817" w:type="pct"/>
            <w:tcBorders>
              <w:top w:val="nil"/>
              <w:left w:val="nil"/>
              <w:bottom w:val="single" w:color="auto" w:sz="8" w:space="0"/>
              <w:right w:val="single" w:color="auto" w:sz="8" w:space="0"/>
            </w:tcBorders>
            <w:vAlign w:val="center"/>
          </w:tcPr>
          <w:p>
            <w:pPr>
              <w:jc w:val="center"/>
              <w:rPr>
                <w:color w:val="auto"/>
              </w:rPr>
            </w:pPr>
            <w:r>
              <w:rPr>
                <w:color w:val="auto"/>
              </w:rPr>
              <w:t>0.01</w:t>
            </w:r>
          </w:p>
        </w:tc>
        <w:tc>
          <w:tcPr>
            <w:tcW w:w="1760"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0.00004933</w:t>
            </w:r>
          </w:p>
        </w:tc>
        <w:tc>
          <w:tcPr>
            <w:tcW w:w="1007" w:type="pct"/>
            <w:tcBorders>
              <w:top w:val="nil"/>
              <w:left w:val="nil"/>
              <w:bottom w:val="single" w:color="auto" w:sz="8" w:space="0"/>
              <w:right w:val="single" w:color="auto" w:sz="8" w:space="0"/>
            </w:tcBorders>
            <w:vAlign w:val="center"/>
          </w:tcPr>
          <w:p>
            <w:pPr>
              <w:jc w:val="center"/>
              <w:rPr>
                <w:color w:val="auto"/>
              </w:rPr>
            </w:pPr>
            <w:r>
              <w:rPr>
                <w:color w:val="auto"/>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 w:hRule="atLeast"/>
          <w:jc w:val="center"/>
        </w:trPr>
        <w:tc>
          <w:tcPr>
            <w:tcW w:w="1148" w:type="pct"/>
            <w:vAlign w:val="center"/>
          </w:tcPr>
          <w:p>
            <w:pPr>
              <w:jc w:val="center"/>
              <w:rPr>
                <w:color w:val="auto"/>
              </w:rPr>
            </w:pPr>
            <w:r>
              <w:rPr>
                <w:rFonts w:hint="eastAsia"/>
                <w:color w:val="auto"/>
                <w:lang w:val="en-US" w:eastAsia="zh-CN"/>
              </w:rPr>
              <w:t>400</w:t>
            </w:r>
          </w:p>
        </w:tc>
        <w:tc>
          <w:tcPr>
            <w:tcW w:w="1042" w:type="pct"/>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0.00002335</w:t>
            </w:r>
          </w:p>
        </w:tc>
        <w:tc>
          <w:tcPr>
            <w:tcW w:w="817" w:type="pct"/>
            <w:tcBorders>
              <w:top w:val="nil"/>
              <w:left w:val="nil"/>
              <w:bottom w:val="single" w:color="auto" w:sz="8" w:space="0"/>
              <w:right w:val="single" w:color="auto" w:sz="8" w:space="0"/>
            </w:tcBorders>
            <w:vAlign w:val="center"/>
          </w:tcPr>
          <w:p>
            <w:pPr>
              <w:jc w:val="center"/>
              <w:rPr>
                <w:color w:val="auto"/>
              </w:rPr>
            </w:pPr>
            <w:r>
              <w:rPr>
                <w:color w:val="auto"/>
              </w:rPr>
              <w:t>0.01</w:t>
            </w:r>
          </w:p>
        </w:tc>
        <w:tc>
          <w:tcPr>
            <w:tcW w:w="1760"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0.00004056</w:t>
            </w:r>
          </w:p>
        </w:tc>
        <w:tc>
          <w:tcPr>
            <w:tcW w:w="1007" w:type="pct"/>
            <w:tcBorders>
              <w:top w:val="nil"/>
              <w:left w:val="nil"/>
              <w:bottom w:val="single" w:color="auto" w:sz="8" w:space="0"/>
              <w:right w:val="single" w:color="auto" w:sz="8" w:space="0"/>
            </w:tcBorders>
            <w:vAlign w:val="center"/>
          </w:tcPr>
          <w:p>
            <w:pPr>
              <w:jc w:val="center"/>
              <w:rPr>
                <w:color w:val="auto"/>
              </w:rPr>
            </w:pPr>
            <w:r>
              <w:rPr>
                <w:color w:val="auto"/>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 w:hRule="atLeast"/>
          <w:jc w:val="center"/>
        </w:trPr>
        <w:tc>
          <w:tcPr>
            <w:tcW w:w="1148" w:type="pct"/>
            <w:vAlign w:val="center"/>
          </w:tcPr>
          <w:p>
            <w:pPr>
              <w:jc w:val="center"/>
              <w:rPr>
                <w:color w:val="auto"/>
              </w:rPr>
            </w:pPr>
            <w:r>
              <w:rPr>
                <w:rFonts w:hint="eastAsia"/>
                <w:color w:val="auto"/>
                <w:lang w:val="en-US" w:eastAsia="zh-CN"/>
              </w:rPr>
              <w:t>500</w:t>
            </w:r>
          </w:p>
        </w:tc>
        <w:tc>
          <w:tcPr>
            <w:tcW w:w="1042" w:type="pct"/>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0.00001816</w:t>
            </w:r>
          </w:p>
        </w:tc>
        <w:tc>
          <w:tcPr>
            <w:tcW w:w="817" w:type="pct"/>
            <w:tcBorders>
              <w:top w:val="nil"/>
              <w:left w:val="nil"/>
              <w:bottom w:val="single" w:color="auto" w:sz="8" w:space="0"/>
              <w:right w:val="single" w:color="auto" w:sz="8" w:space="0"/>
            </w:tcBorders>
            <w:vAlign w:val="center"/>
          </w:tcPr>
          <w:p>
            <w:pPr>
              <w:jc w:val="center"/>
              <w:rPr>
                <w:color w:val="auto"/>
              </w:rPr>
            </w:pPr>
            <w:r>
              <w:rPr>
                <w:color w:val="auto"/>
              </w:rPr>
              <w:t>0.01</w:t>
            </w:r>
          </w:p>
        </w:tc>
        <w:tc>
          <w:tcPr>
            <w:tcW w:w="1760"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0.00003153</w:t>
            </w:r>
          </w:p>
        </w:tc>
        <w:tc>
          <w:tcPr>
            <w:tcW w:w="1007" w:type="pct"/>
            <w:tcBorders>
              <w:top w:val="nil"/>
              <w:left w:val="nil"/>
              <w:bottom w:val="single" w:color="auto" w:sz="8" w:space="0"/>
              <w:right w:val="single" w:color="auto" w:sz="8" w:space="0"/>
            </w:tcBorders>
            <w:vAlign w:val="center"/>
          </w:tcPr>
          <w:p>
            <w:pPr>
              <w:jc w:val="center"/>
              <w:rPr>
                <w:color w:val="auto"/>
              </w:rPr>
            </w:pPr>
            <w:r>
              <w:rPr>
                <w:color w:val="auto"/>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 w:hRule="atLeast"/>
          <w:jc w:val="center"/>
        </w:trPr>
        <w:tc>
          <w:tcPr>
            <w:tcW w:w="1148" w:type="pct"/>
            <w:vAlign w:val="center"/>
          </w:tcPr>
          <w:p>
            <w:pPr>
              <w:jc w:val="center"/>
              <w:rPr>
                <w:color w:val="auto"/>
              </w:rPr>
            </w:pPr>
            <w:r>
              <w:rPr>
                <w:rFonts w:hint="eastAsia"/>
                <w:color w:val="auto"/>
                <w:lang w:val="en-US" w:eastAsia="zh-CN"/>
              </w:rPr>
              <w:t>600</w:t>
            </w:r>
          </w:p>
        </w:tc>
        <w:tc>
          <w:tcPr>
            <w:tcW w:w="1042" w:type="pct"/>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0.00001422</w:t>
            </w:r>
          </w:p>
        </w:tc>
        <w:tc>
          <w:tcPr>
            <w:tcW w:w="817" w:type="pct"/>
            <w:tcBorders>
              <w:top w:val="nil"/>
              <w:left w:val="nil"/>
              <w:bottom w:val="single" w:color="auto" w:sz="8" w:space="0"/>
              <w:right w:val="single" w:color="auto" w:sz="8" w:space="0"/>
            </w:tcBorders>
            <w:vAlign w:val="center"/>
          </w:tcPr>
          <w:p>
            <w:pPr>
              <w:jc w:val="center"/>
              <w:rPr>
                <w:color w:val="auto"/>
              </w:rPr>
            </w:pPr>
            <w:r>
              <w:rPr>
                <w:color w:val="auto"/>
              </w:rPr>
              <w:t>0.01</w:t>
            </w:r>
          </w:p>
        </w:tc>
        <w:tc>
          <w:tcPr>
            <w:tcW w:w="1760"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0.00002469</w:t>
            </w:r>
          </w:p>
        </w:tc>
        <w:tc>
          <w:tcPr>
            <w:tcW w:w="1007" w:type="pct"/>
            <w:tcBorders>
              <w:top w:val="nil"/>
              <w:left w:val="nil"/>
              <w:bottom w:val="single" w:color="auto" w:sz="8" w:space="0"/>
              <w:right w:val="single" w:color="auto" w:sz="8" w:space="0"/>
            </w:tcBorders>
            <w:vAlign w:val="center"/>
          </w:tcPr>
          <w:p>
            <w:pPr>
              <w:jc w:val="center"/>
              <w:rPr>
                <w:color w:val="auto"/>
              </w:rPr>
            </w:pPr>
            <w:r>
              <w:rPr>
                <w:color w:val="auto"/>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 w:hRule="atLeast"/>
          <w:jc w:val="center"/>
        </w:trPr>
        <w:tc>
          <w:tcPr>
            <w:tcW w:w="1148" w:type="pct"/>
            <w:vAlign w:val="center"/>
          </w:tcPr>
          <w:p>
            <w:pPr>
              <w:jc w:val="center"/>
              <w:rPr>
                <w:color w:val="auto"/>
              </w:rPr>
            </w:pPr>
            <w:r>
              <w:rPr>
                <w:rFonts w:hint="eastAsia"/>
                <w:color w:val="auto"/>
                <w:lang w:val="en-US" w:eastAsia="zh-CN"/>
              </w:rPr>
              <w:t>700</w:t>
            </w:r>
          </w:p>
        </w:tc>
        <w:tc>
          <w:tcPr>
            <w:tcW w:w="1042" w:type="pct"/>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0.00001357</w:t>
            </w:r>
          </w:p>
        </w:tc>
        <w:tc>
          <w:tcPr>
            <w:tcW w:w="817" w:type="pct"/>
            <w:tcBorders>
              <w:top w:val="nil"/>
              <w:left w:val="nil"/>
              <w:bottom w:val="single" w:color="auto" w:sz="8" w:space="0"/>
              <w:right w:val="single" w:color="auto" w:sz="8" w:space="0"/>
            </w:tcBorders>
            <w:vAlign w:val="center"/>
          </w:tcPr>
          <w:p>
            <w:pPr>
              <w:jc w:val="center"/>
              <w:rPr>
                <w:color w:val="auto"/>
              </w:rPr>
            </w:pPr>
            <w:r>
              <w:rPr>
                <w:color w:val="auto"/>
              </w:rPr>
              <w:t>0.01</w:t>
            </w:r>
          </w:p>
        </w:tc>
        <w:tc>
          <w:tcPr>
            <w:tcW w:w="1760"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0.00002356</w:t>
            </w:r>
          </w:p>
        </w:tc>
        <w:tc>
          <w:tcPr>
            <w:tcW w:w="1007" w:type="pct"/>
            <w:tcBorders>
              <w:top w:val="nil"/>
              <w:left w:val="nil"/>
              <w:bottom w:val="single" w:color="auto" w:sz="8" w:space="0"/>
              <w:right w:val="single" w:color="auto" w:sz="8" w:space="0"/>
            </w:tcBorders>
            <w:vAlign w:val="center"/>
          </w:tcPr>
          <w:p>
            <w:pPr>
              <w:jc w:val="center"/>
              <w:rPr>
                <w:color w:val="auto"/>
              </w:rPr>
            </w:pPr>
            <w:r>
              <w:rPr>
                <w:color w:val="auto"/>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 w:hRule="atLeast"/>
          <w:jc w:val="center"/>
        </w:trPr>
        <w:tc>
          <w:tcPr>
            <w:tcW w:w="1148" w:type="pct"/>
            <w:vAlign w:val="center"/>
          </w:tcPr>
          <w:p>
            <w:pPr>
              <w:jc w:val="center"/>
              <w:rPr>
                <w:color w:val="auto"/>
              </w:rPr>
            </w:pPr>
            <w:r>
              <w:rPr>
                <w:rFonts w:hint="eastAsia"/>
                <w:color w:val="auto"/>
                <w:lang w:val="en-US" w:eastAsia="zh-CN"/>
              </w:rPr>
              <w:t>800</w:t>
            </w:r>
          </w:p>
        </w:tc>
        <w:tc>
          <w:tcPr>
            <w:tcW w:w="1042" w:type="pct"/>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0.0000133</w:t>
            </w:r>
          </w:p>
        </w:tc>
        <w:tc>
          <w:tcPr>
            <w:tcW w:w="817" w:type="pct"/>
            <w:tcBorders>
              <w:top w:val="nil"/>
              <w:left w:val="nil"/>
              <w:bottom w:val="single" w:color="auto" w:sz="8" w:space="0"/>
              <w:right w:val="single" w:color="auto" w:sz="8" w:space="0"/>
            </w:tcBorders>
            <w:vAlign w:val="center"/>
          </w:tcPr>
          <w:p>
            <w:pPr>
              <w:jc w:val="center"/>
              <w:rPr>
                <w:color w:val="auto"/>
              </w:rPr>
            </w:pPr>
            <w:r>
              <w:rPr>
                <w:color w:val="auto"/>
              </w:rPr>
              <w:t>0.01</w:t>
            </w:r>
          </w:p>
        </w:tc>
        <w:tc>
          <w:tcPr>
            <w:tcW w:w="1760"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0.00002311</w:t>
            </w:r>
          </w:p>
        </w:tc>
        <w:tc>
          <w:tcPr>
            <w:tcW w:w="1007" w:type="pct"/>
            <w:tcBorders>
              <w:top w:val="nil"/>
              <w:left w:val="nil"/>
              <w:bottom w:val="single" w:color="auto" w:sz="8" w:space="0"/>
              <w:right w:val="single" w:color="auto" w:sz="8" w:space="0"/>
            </w:tcBorders>
            <w:vAlign w:val="center"/>
          </w:tcPr>
          <w:p>
            <w:pPr>
              <w:jc w:val="center"/>
              <w:rPr>
                <w:color w:val="auto"/>
              </w:rPr>
            </w:pPr>
            <w:r>
              <w:rPr>
                <w:color w:val="auto"/>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 w:hRule="atLeast"/>
          <w:jc w:val="center"/>
        </w:trPr>
        <w:tc>
          <w:tcPr>
            <w:tcW w:w="1148" w:type="pct"/>
            <w:vAlign w:val="center"/>
          </w:tcPr>
          <w:p>
            <w:pPr>
              <w:jc w:val="center"/>
              <w:rPr>
                <w:color w:val="auto"/>
              </w:rPr>
            </w:pPr>
            <w:r>
              <w:rPr>
                <w:rFonts w:hint="eastAsia"/>
                <w:color w:val="auto"/>
                <w:lang w:val="en-US" w:eastAsia="zh-CN"/>
              </w:rPr>
              <w:t>900</w:t>
            </w:r>
          </w:p>
        </w:tc>
        <w:tc>
          <w:tcPr>
            <w:tcW w:w="1042" w:type="pct"/>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0.00001271</w:t>
            </w:r>
          </w:p>
        </w:tc>
        <w:tc>
          <w:tcPr>
            <w:tcW w:w="817" w:type="pct"/>
            <w:tcBorders>
              <w:top w:val="nil"/>
              <w:left w:val="nil"/>
              <w:bottom w:val="single" w:color="auto" w:sz="8" w:space="0"/>
              <w:right w:val="single" w:color="auto" w:sz="8" w:space="0"/>
            </w:tcBorders>
            <w:vAlign w:val="center"/>
          </w:tcPr>
          <w:p>
            <w:pPr>
              <w:jc w:val="center"/>
              <w:rPr>
                <w:color w:val="auto"/>
              </w:rPr>
            </w:pPr>
            <w:r>
              <w:rPr>
                <w:color w:val="auto"/>
              </w:rPr>
              <w:t>0.01</w:t>
            </w:r>
          </w:p>
        </w:tc>
        <w:tc>
          <w:tcPr>
            <w:tcW w:w="1760"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0.00002208</w:t>
            </w:r>
          </w:p>
        </w:tc>
        <w:tc>
          <w:tcPr>
            <w:tcW w:w="1007" w:type="pct"/>
            <w:tcBorders>
              <w:top w:val="nil"/>
              <w:left w:val="nil"/>
              <w:bottom w:val="single" w:color="auto" w:sz="8" w:space="0"/>
              <w:right w:val="single" w:color="auto" w:sz="8" w:space="0"/>
            </w:tcBorders>
            <w:vAlign w:val="center"/>
          </w:tcPr>
          <w:p>
            <w:pPr>
              <w:jc w:val="center"/>
              <w:rPr>
                <w:color w:val="auto"/>
              </w:rPr>
            </w:pPr>
            <w:r>
              <w:rPr>
                <w:color w:val="auto"/>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 w:hRule="atLeast"/>
          <w:jc w:val="center"/>
        </w:trPr>
        <w:tc>
          <w:tcPr>
            <w:tcW w:w="1148" w:type="pct"/>
            <w:vAlign w:val="center"/>
          </w:tcPr>
          <w:p>
            <w:pPr>
              <w:jc w:val="center"/>
              <w:rPr>
                <w:color w:val="auto"/>
              </w:rPr>
            </w:pPr>
            <w:r>
              <w:rPr>
                <w:rFonts w:hint="eastAsia"/>
                <w:color w:val="auto"/>
                <w:lang w:val="en-US" w:eastAsia="zh-CN"/>
              </w:rPr>
              <w:t>1000</w:t>
            </w:r>
          </w:p>
        </w:tc>
        <w:tc>
          <w:tcPr>
            <w:tcW w:w="1042" w:type="pct"/>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0.00001199</w:t>
            </w:r>
          </w:p>
        </w:tc>
        <w:tc>
          <w:tcPr>
            <w:tcW w:w="817" w:type="pct"/>
            <w:tcBorders>
              <w:top w:val="nil"/>
              <w:left w:val="nil"/>
              <w:bottom w:val="single" w:color="auto" w:sz="8" w:space="0"/>
              <w:right w:val="single" w:color="auto" w:sz="8" w:space="0"/>
            </w:tcBorders>
            <w:vAlign w:val="center"/>
          </w:tcPr>
          <w:p>
            <w:pPr>
              <w:jc w:val="center"/>
              <w:rPr>
                <w:color w:val="auto"/>
              </w:rPr>
            </w:pPr>
            <w:r>
              <w:rPr>
                <w:color w:val="auto"/>
              </w:rPr>
              <w:t>0.01</w:t>
            </w:r>
          </w:p>
        </w:tc>
        <w:tc>
          <w:tcPr>
            <w:tcW w:w="1760"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0.00002083</w:t>
            </w:r>
          </w:p>
        </w:tc>
        <w:tc>
          <w:tcPr>
            <w:tcW w:w="1007" w:type="pct"/>
            <w:tcBorders>
              <w:top w:val="nil"/>
              <w:left w:val="nil"/>
              <w:bottom w:val="single" w:color="auto" w:sz="8" w:space="0"/>
              <w:right w:val="single" w:color="auto" w:sz="8" w:space="0"/>
            </w:tcBorders>
            <w:vAlign w:val="center"/>
          </w:tcPr>
          <w:p>
            <w:pPr>
              <w:jc w:val="center"/>
              <w:rPr>
                <w:color w:val="auto"/>
              </w:rPr>
            </w:pPr>
            <w:r>
              <w:rPr>
                <w:color w:val="auto"/>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 w:hRule="atLeast"/>
          <w:jc w:val="center"/>
        </w:trPr>
        <w:tc>
          <w:tcPr>
            <w:tcW w:w="1148" w:type="pct"/>
            <w:vAlign w:val="center"/>
          </w:tcPr>
          <w:p>
            <w:pPr>
              <w:jc w:val="center"/>
              <w:rPr>
                <w:color w:val="auto"/>
              </w:rPr>
            </w:pPr>
            <w:r>
              <w:rPr>
                <w:rFonts w:hint="eastAsia"/>
                <w:color w:val="auto"/>
                <w:lang w:val="en-US" w:eastAsia="zh-CN"/>
              </w:rPr>
              <w:t>1100</w:t>
            </w:r>
          </w:p>
        </w:tc>
        <w:tc>
          <w:tcPr>
            <w:tcW w:w="1042" w:type="pct"/>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0.00001124</w:t>
            </w:r>
          </w:p>
        </w:tc>
        <w:tc>
          <w:tcPr>
            <w:tcW w:w="817" w:type="pct"/>
            <w:tcBorders>
              <w:top w:val="nil"/>
              <w:left w:val="nil"/>
              <w:bottom w:val="single" w:color="auto" w:sz="8" w:space="0"/>
              <w:right w:val="single" w:color="auto" w:sz="8" w:space="0"/>
            </w:tcBorders>
            <w:vAlign w:val="center"/>
          </w:tcPr>
          <w:p>
            <w:pPr>
              <w:jc w:val="center"/>
              <w:rPr>
                <w:color w:val="auto"/>
              </w:rPr>
            </w:pPr>
            <w:r>
              <w:rPr>
                <w:color w:val="auto"/>
              </w:rPr>
              <w:t>0.01</w:t>
            </w:r>
          </w:p>
        </w:tc>
        <w:tc>
          <w:tcPr>
            <w:tcW w:w="1760"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0.00001953</w:t>
            </w:r>
          </w:p>
        </w:tc>
        <w:tc>
          <w:tcPr>
            <w:tcW w:w="1007" w:type="pct"/>
            <w:tcBorders>
              <w:top w:val="nil"/>
              <w:left w:val="nil"/>
              <w:bottom w:val="single" w:color="auto" w:sz="8" w:space="0"/>
              <w:right w:val="single" w:color="auto" w:sz="8" w:space="0"/>
            </w:tcBorders>
            <w:vAlign w:val="center"/>
          </w:tcPr>
          <w:p>
            <w:pPr>
              <w:jc w:val="center"/>
              <w:rPr>
                <w:color w:val="auto"/>
              </w:rPr>
            </w:pPr>
            <w:r>
              <w:rPr>
                <w:color w:val="auto"/>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 w:hRule="atLeast"/>
          <w:jc w:val="center"/>
        </w:trPr>
        <w:tc>
          <w:tcPr>
            <w:tcW w:w="1148" w:type="pct"/>
            <w:vAlign w:val="center"/>
          </w:tcPr>
          <w:p>
            <w:pPr>
              <w:jc w:val="center"/>
              <w:rPr>
                <w:color w:val="auto"/>
              </w:rPr>
            </w:pPr>
            <w:r>
              <w:rPr>
                <w:rFonts w:hint="eastAsia"/>
                <w:color w:val="auto"/>
                <w:lang w:val="en-US" w:eastAsia="zh-CN"/>
              </w:rPr>
              <w:t>1200</w:t>
            </w:r>
          </w:p>
        </w:tc>
        <w:tc>
          <w:tcPr>
            <w:tcW w:w="1042" w:type="pct"/>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0.00001052</w:t>
            </w:r>
          </w:p>
        </w:tc>
        <w:tc>
          <w:tcPr>
            <w:tcW w:w="817" w:type="pct"/>
            <w:tcBorders>
              <w:top w:val="nil"/>
              <w:left w:val="nil"/>
              <w:bottom w:val="single" w:color="auto" w:sz="8" w:space="0"/>
              <w:right w:val="single" w:color="auto" w:sz="8" w:space="0"/>
            </w:tcBorders>
            <w:vAlign w:val="center"/>
          </w:tcPr>
          <w:p>
            <w:pPr>
              <w:jc w:val="center"/>
              <w:rPr>
                <w:color w:val="auto"/>
              </w:rPr>
            </w:pPr>
            <w:r>
              <w:rPr>
                <w:color w:val="auto"/>
              </w:rPr>
              <w:t>0.01</w:t>
            </w:r>
          </w:p>
        </w:tc>
        <w:tc>
          <w:tcPr>
            <w:tcW w:w="1760"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0.00001826</w:t>
            </w:r>
          </w:p>
        </w:tc>
        <w:tc>
          <w:tcPr>
            <w:tcW w:w="1007" w:type="pct"/>
            <w:tcBorders>
              <w:top w:val="nil"/>
              <w:left w:val="nil"/>
              <w:bottom w:val="single" w:color="auto" w:sz="8" w:space="0"/>
              <w:right w:val="single" w:color="auto" w:sz="8" w:space="0"/>
            </w:tcBorders>
            <w:vAlign w:val="center"/>
          </w:tcPr>
          <w:p>
            <w:pPr>
              <w:jc w:val="center"/>
              <w:rPr>
                <w:color w:val="auto"/>
              </w:rPr>
            </w:pPr>
            <w:r>
              <w:rPr>
                <w:color w:val="auto"/>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 w:hRule="atLeast"/>
          <w:jc w:val="center"/>
        </w:trPr>
        <w:tc>
          <w:tcPr>
            <w:tcW w:w="1148" w:type="pct"/>
            <w:vAlign w:val="center"/>
          </w:tcPr>
          <w:p>
            <w:pPr>
              <w:jc w:val="center"/>
              <w:rPr>
                <w:color w:val="auto"/>
              </w:rPr>
            </w:pPr>
            <w:r>
              <w:rPr>
                <w:rFonts w:hint="eastAsia"/>
                <w:color w:val="auto"/>
                <w:lang w:val="en-US" w:eastAsia="zh-CN"/>
              </w:rPr>
              <w:t>1300</w:t>
            </w:r>
          </w:p>
        </w:tc>
        <w:tc>
          <w:tcPr>
            <w:tcW w:w="1042" w:type="pct"/>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0.000009831</w:t>
            </w:r>
          </w:p>
        </w:tc>
        <w:tc>
          <w:tcPr>
            <w:tcW w:w="817" w:type="pct"/>
            <w:tcBorders>
              <w:top w:val="nil"/>
              <w:left w:val="nil"/>
              <w:bottom w:val="single" w:color="auto" w:sz="8" w:space="0"/>
              <w:right w:val="single" w:color="auto" w:sz="8" w:space="0"/>
            </w:tcBorders>
            <w:vAlign w:val="center"/>
          </w:tcPr>
          <w:p>
            <w:pPr>
              <w:jc w:val="center"/>
              <w:rPr>
                <w:color w:val="auto"/>
              </w:rPr>
            </w:pPr>
            <w:r>
              <w:rPr>
                <w:color w:val="auto"/>
              </w:rPr>
              <w:t>0.01</w:t>
            </w:r>
          </w:p>
        </w:tc>
        <w:tc>
          <w:tcPr>
            <w:tcW w:w="1760"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0.00001708</w:t>
            </w:r>
          </w:p>
        </w:tc>
        <w:tc>
          <w:tcPr>
            <w:tcW w:w="1007" w:type="pct"/>
            <w:tcBorders>
              <w:top w:val="nil"/>
              <w:left w:val="nil"/>
              <w:bottom w:val="single" w:color="auto" w:sz="8" w:space="0"/>
              <w:right w:val="single" w:color="auto" w:sz="8" w:space="0"/>
            </w:tcBorders>
            <w:vAlign w:val="center"/>
          </w:tcPr>
          <w:p>
            <w:pPr>
              <w:jc w:val="center"/>
              <w:rPr>
                <w:color w:val="auto"/>
              </w:rPr>
            </w:pPr>
            <w:r>
              <w:rPr>
                <w:color w:val="auto"/>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 w:hRule="atLeast"/>
          <w:jc w:val="center"/>
        </w:trPr>
        <w:tc>
          <w:tcPr>
            <w:tcW w:w="1148" w:type="pct"/>
            <w:vAlign w:val="center"/>
          </w:tcPr>
          <w:p>
            <w:pPr>
              <w:jc w:val="center"/>
              <w:rPr>
                <w:color w:val="auto"/>
              </w:rPr>
            </w:pPr>
            <w:r>
              <w:rPr>
                <w:rFonts w:hint="eastAsia"/>
                <w:color w:val="auto"/>
                <w:lang w:val="en-US" w:eastAsia="zh-CN"/>
              </w:rPr>
              <w:t>1400</w:t>
            </w:r>
          </w:p>
        </w:tc>
        <w:tc>
          <w:tcPr>
            <w:tcW w:w="1042" w:type="pct"/>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0.000009201</w:t>
            </w:r>
          </w:p>
        </w:tc>
        <w:tc>
          <w:tcPr>
            <w:tcW w:w="817" w:type="pct"/>
            <w:tcBorders>
              <w:top w:val="nil"/>
              <w:left w:val="nil"/>
              <w:bottom w:val="single" w:color="auto" w:sz="8" w:space="0"/>
              <w:right w:val="single" w:color="auto" w:sz="8" w:space="0"/>
            </w:tcBorders>
            <w:vAlign w:val="center"/>
          </w:tcPr>
          <w:p>
            <w:pPr>
              <w:jc w:val="center"/>
              <w:rPr>
                <w:color w:val="auto"/>
              </w:rPr>
            </w:pPr>
            <w:r>
              <w:rPr>
                <w:color w:val="auto"/>
              </w:rPr>
              <w:t>0.01</w:t>
            </w:r>
          </w:p>
        </w:tc>
        <w:tc>
          <w:tcPr>
            <w:tcW w:w="1760"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0.00001598</w:t>
            </w:r>
          </w:p>
        </w:tc>
        <w:tc>
          <w:tcPr>
            <w:tcW w:w="1007" w:type="pct"/>
            <w:tcBorders>
              <w:top w:val="nil"/>
              <w:left w:val="nil"/>
              <w:bottom w:val="single" w:color="auto" w:sz="8" w:space="0"/>
              <w:right w:val="single" w:color="auto" w:sz="8" w:space="0"/>
            </w:tcBorders>
            <w:vAlign w:val="center"/>
          </w:tcPr>
          <w:p>
            <w:pPr>
              <w:jc w:val="center"/>
              <w:rPr>
                <w:color w:val="auto"/>
              </w:rPr>
            </w:pPr>
            <w:r>
              <w:rPr>
                <w:color w:val="auto"/>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 w:hRule="atLeast"/>
          <w:jc w:val="center"/>
        </w:trPr>
        <w:tc>
          <w:tcPr>
            <w:tcW w:w="1148" w:type="pct"/>
            <w:vAlign w:val="center"/>
          </w:tcPr>
          <w:p>
            <w:pPr>
              <w:jc w:val="center"/>
              <w:rPr>
                <w:color w:val="auto"/>
              </w:rPr>
            </w:pPr>
            <w:r>
              <w:rPr>
                <w:rFonts w:hint="eastAsia"/>
                <w:color w:val="auto"/>
                <w:lang w:val="en-US" w:eastAsia="zh-CN"/>
              </w:rPr>
              <w:t>1500</w:t>
            </w:r>
          </w:p>
        </w:tc>
        <w:tc>
          <w:tcPr>
            <w:tcW w:w="1042" w:type="pct"/>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0.000008624</w:t>
            </w:r>
          </w:p>
        </w:tc>
        <w:tc>
          <w:tcPr>
            <w:tcW w:w="817" w:type="pct"/>
            <w:tcBorders>
              <w:top w:val="nil"/>
              <w:left w:val="nil"/>
              <w:bottom w:val="single" w:color="auto" w:sz="8" w:space="0"/>
              <w:right w:val="single" w:color="auto" w:sz="8" w:space="0"/>
            </w:tcBorders>
            <w:vAlign w:val="center"/>
          </w:tcPr>
          <w:p>
            <w:pPr>
              <w:jc w:val="center"/>
              <w:rPr>
                <w:color w:val="auto"/>
              </w:rPr>
            </w:pPr>
            <w:r>
              <w:rPr>
                <w:color w:val="auto"/>
              </w:rPr>
              <w:t>0.01</w:t>
            </w:r>
          </w:p>
        </w:tc>
        <w:tc>
          <w:tcPr>
            <w:tcW w:w="1760"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0.00001498</w:t>
            </w:r>
          </w:p>
        </w:tc>
        <w:tc>
          <w:tcPr>
            <w:tcW w:w="1007" w:type="pct"/>
            <w:tcBorders>
              <w:top w:val="nil"/>
              <w:left w:val="nil"/>
              <w:bottom w:val="single" w:color="auto" w:sz="8" w:space="0"/>
              <w:right w:val="single" w:color="auto" w:sz="8" w:space="0"/>
            </w:tcBorders>
            <w:vAlign w:val="center"/>
          </w:tcPr>
          <w:p>
            <w:pPr>
              <w:jc w:val="center"/>
              <w:rPr>
                <w:color w:val="auto"/>
              </w:rPr>
            </w:pPr>
            <w:r>
              <w:rPr>
                <w:color w:val="auto"/>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 w:hRule="atLeast"/>
          <w:jc w:val="center"/>
        </w:trPr>
        <w:tc>
          <w:tcPr>
            <w:tcW w:w="1148" w:type="pct"/>
            <w:vAlign w:val="center"/>
          </w:tcPr>
          <w:p>
            <w:pPr>
              <w:jc w:val="center"/>
              <w:rPr>
                <w:color w:val="auto"/>
              </w:rPr>
            </w:pPr>
            <w:r>
              <w:rPr>
                <w:rFonts w:hint="eastAsia"/>
                <w:color w:val="auto"/>
                <w:lang w:val="en-US" w:eastAsia="zh-CN"/>
              </w:rPr>
              <w:t>1600</w:t>
            </w:r>
          </w:p>
        </w:tc>
        <w:tc>
          <w:tcPr>
            <w:tcW w:w="1042" w:type="pct"/>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0.000008099</w:t>
            </w:r>
          </w:p>
        </w:tc>
        <w:tc>
          <w:tcPr>
            <w:tcW w:w="817" w:type="pct"/>
            <w:tcBorders>
              <w:top w:val="nil"/>
              <w:left w:val="nil"/>
              <w:bottom w:val="single" w:color="auto" w:sz="8" w:space="0"/>
              <w:right w:val="single" w:color="auto" w:sz="8" w:space="0"/>
            </w:tcBorders>
            <w:vAlign w:val="center"/>
          </w:tcPr>
          <w:p>
            <w:pPr>
              <w:jc w:val="center"/>
              <w:rPr>
                <w:color w:val="auto"/>
              </w:rPr>
            </w:pPr>
            <w:r>
              <w:rPr>
                <w:color w:val="auto"/>
              </w:rPr>
              <w:t>0.01</w:t>
            </w:r>
          </w:p>
        </w:tc>
        <w:tc>
          <w:tcPr>
            <w:tcW w:w="1760"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0.00001407</w:t>
            </w:r>
          </w:p>
        </w:tc>
        <w:tc>
          <w:tcPr>
            <w:tcW w:w="1007" w:type="pct"/>
            <w:tcBorders>
              <w:top w:val="nil"/>
              <w:left w:val="nil"/>
              <w:bottom w:val="single" w:color="auto" w:sz="8" w:space="0"/>
              <w:right w:val="single" w:color="auto" w:sz="8" w:space="0"/>
            </w:tcBorders>
            <w:vAlign w:val="center"/>
          </w:tcPr>
          <w:p>
            <w:pPr>
              <w:jc w:val="center"/>
              <w:rPr>
                <w:color w:val="auto"/>
              </w:rPr>
            </w:pPr>
            <w:r>
              <w:rPr>
                <w:color w:val="auto"/>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 w:hRule="atLeast"/>
          <w:jc w:val="center"/>
        </w:trPr>
        <w:tc>
          <w:tcPr>
            <w:tcW w:w="1148" w:type="pct"/>
            <w:vAlign w:val="center"/>
          </w:tcPr>
          <w:p>
            <w:pPr>
              <w:jc w:val="center"/>
              <w:rPr>
                <w:color w:val="auto"/>
              </w:rPr>
            </w:pPr>
            <w:r>
              <w:rPr>
                <w:rFonts w:hint="eastAsia"/>
                <w:color w:val="auto"/>
                <w:lang w:val="en-US" w:eastAsia="zh-CN"/>
              </w:rPr>
              <w:t>1700</w:t>
            </w:r>
          </w:p>
        </w:tc>
        <w:tc>
          <w:tcPr>
            <w:tcW w:w="1042" w:type="pct"/>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0.000007623</w:t>
            </w:r>
          </w:p>
        </w:tc>
        <w:tc>
          <w:tcPr>
            <w:tcW w:w="817" w:type="pct"/>
            <w:tcBorders>
              <w:top w:val="nil"/>
              <w:left w:val="nil"/>
              <w:bottom w:val="single" w:color="auto" w:sz="8" w:space="0"/>
              <w:right w:val="single" w:color="auto" w:sz="8" w:space="0"/>
            </w:tcBorders>
            <w:vAlign w:val="center"/>
          </w:tcPr>
          <w:p>
            <w:pPr>
              <w:jc w:val="center"/>
              <w:rPr>
                <w:color w:val="auto"/>
              </w:rPr>
            </w:pPr>
            <w:r>
              <w:rPr>
                <w:color w:val="auto"/>
              </w:rPr>
              <w:t>0.01</w:t>
            </w:r>
          </w:p>
        </w:tc>
        <w:tc>
          <w:tcPr>
            <w:tcW w:w="1760"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0.00001324</w:t>
            </w:r>
          </w:p>
        </w:tc>
        <w:tc>
          <w:tcPr>
            <w:tcW w:w="1007" w:type="pct"/>
            <w:tcBorders>
              <w:top w:val="nil"/>
              <w:left w:val="nil"/>
              <w:bottom w:val="single" w:color="auto" w:sz="8" w:space="0"/>
              <w:right w:val="single" w:color="auto" w:sz="8" w:space="0"/>
            </w:tcBorders>
            <w:vAlign w:val="center"/>
          </w:tcPr>
          <w:p>
            <w:pPr>
              <w:jc w:val="center"/>
              <w:rPr>
                <w:color w:val="auto"/>
              </w:rPr>
            </w:pPr>
            <w:r>
              <w:rPr>
                <w:color w:val="auto"/>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 w:hRule="atLeast"/>
          <w:jc w:val="center"/>
        </w:trPr>
        <w:tc>
          <w:tcPr>
            <w:tcW w:w="1148" w:type="pct"/>
            <w:vAlign w:val="center"/>
          </w:tcPr>
          <w:p>
            <w:pPr>
              <w:jc w:val="center"/>
              <w:rPr>
                <w:color w:val="auto"/>
              </w:rPr>
            </w:pPr>
            <w:r>
              <w:rPr>
                <w:rFonts w:hint="eastAsia"/>
                <w:color w:val="auto"/>
                <w:lang w:val="en-US" w:eastAsia="zh-CN"/>
              </w:rPr>
              <w:t>1800</w:t>
            </w:r>
          </w:p>
        </w:tc>
        <w:tc>
          <w:tcPr>
            <w:tcW w:w="1042" w:type="pct"/>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0.000007189</w:t>
            </w:r>
          </w:p>
        </w:tc>
        <w:tc>
          <w:tcPr>
            <w:tcW w:w="817" w:type="pct"/>
            <w:tcBorders>
              <w:top w:val="nil"/>
              <w:left w:val="nil"/>
              <w:bottom w:val="single" w:color="auto" w:sz="8" w:space="0"/>
              <w:right w:val="single" w:color="auto" w:sz="8" w:space="0"/>
            </w:tcBorders>
            <w:vAlign w:val="center"/>
          </w:tcPr>
          <w:p>
            <w:pPr>
              <w:jc w:val="center"/>
              <w:rPr>
                <w:color w:val="auto"/>
              </w:rPr>
            </w:pPr>
            <w:r>
              <w:rPr>
                <w:color w:val="auto"/>
              </w:rPr>
              <w:t>0.01</w:t>
            </w:r>
          </w:p>
        </w:tc>
        <w:tc>
          <w:tcPr>
            <w:tcW w:w="1760"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0.00001249</w:t>
            </w:r>
          </w:p>
        </w:tc>
        <w:tc>
          <w:tcPr>
            <w:tcW w:w="1007" w:type="pct"/>
            <w:tcBorders>
              <w:top w:val="nil"/>
              <w:left w:val="nil"/>
              <w:bottom w:val="single" w:color="auto" w:sz="8" w:space="0"/>
              <w:right w:val="single" w:color="auto" w:sz="8" w:space="0"/>
            </w:tcBorders>
            <w:vAlign w:val="center"/>
          </w:tcPr>
          <w:p>
            <w:pPr>
              <w:jc w:val="center"/>
              <w:rPr>
                <w:color w:val="auto"/>
              </w:rPr>
            </w:pPr>
            <w:r>
              <w:rPr>
                <w:color w:val="auto"/>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 w:hRule="atLeast"/>
          <w:jc w:val="center"/>
        </w:trPr>
        <w:tc>
          <w:tcPr>
            <w:tcW w:w="1148" w:type="pct"/>
            <w:vAlign w:val="center"/>
          </w:tcPr>
          <w:p>
            <w:pPr>
              <w:jc w:val="center"/>
              <w:rPr>
                <w:color w:val="auto"/>
              </w:rPr>
            </w:pPr>
            <w:r>
              <w:rPr>
                <w:rFonts w:hint="eastAsia"/>
                <w:color w:val="auto"/>
                <w:lang w:val="en-US" w:eastAsia="zh-CN"/>
              </w:rPr>
              <w:t>1900</w:t>
            </w:r>
          </w:p>
        </w:tc>
        <w:tc>
          <w:tcPr>
            <w:tcW w:w="1042" w:type="pct"/>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0.000006795</w:t>
            </w:r>
          </w:p>
        </w:tc>
        <w:tc>
          <w:tcPr>
            <w:tcW w:w="817" w:type="pct"/>
            <w:tcBorders>
              <w:top w:val="nil"/>
              <w:left w:val="nil"/>
              <w:bottom w:val="single" w:color="auto" w:sz="8" w:space="0"/>
              <w:right w:val="single" w:color="auto" w:sz="8" w:space="0"/>
            </w:tcBorders>
            <w:vAlign w:val="center"/>
          </w:tcPr>
          <w:p>
            <w:pPr>
              <w:jc w:val="center"/>
              <w:rPr>
                <w:color w:val="auto"/>
              </w:rPr>
            </w:pPr>
            <w:r>
              <w:rPr>
                <w:color w:val="auto"/>
              </w:rPr>
              <w:t>0.01</w:t>
            </w:r>
          </w:p>
        </w:tc>
        <w:tc>
          <w:tcPr>
            <w:tcW w:w="1760"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0.0000118</w:t>
            </w:r>
          </w:p>
        </w:tc>
        <w:tc>
          <w:tcPr>
            <w:tcW w:w="1007" w:type="pct"/>
            <w:tcBorders>
              <w:top w:val="nil"/>
              <w:left w:val="nil"/>
              <w:bottom w:val="single" w:color="auto" w:sz="8" w:space="0"/>
              <w:right w:val="single" w:color="auto" w:sz="8" w:space="0"/>
            </w:tcBorders>
            <w:vAlign w:val="center"/>
          </w:tcPr>
          <w:p>
            <w:pPr>
              <w:jc w:val="center"/>
              <w:rPr>
                <w:color w:val="auto"/>
              </w:rPr>
            </w:pPr>
            <w:r>
              <w:rPr>
                <w:color w:val="auto"/>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 w:hRule="atLeast"/>
          <w:jc w:val="center"/>
        </w:trPr>
        <w:tc>
          <w:tcPr>
            <w:tcW w:w="1148" w:type="pct"/>
            <w:vAlign w:val="center"/>
          </w:tcPr>
          <w:p>
            <w:pPr>
              <w:jc w:val="center"/>
              <w:rPr>
                <w:color w:val="auto"/>
              </w:rPr>
            </w:pPr>
            <w:r>
              <w:rPr>
                <w:rFonts w:hint="eastAsia"/>
                <w:color w:val="auto"/>
                <w:lang w:val="en-US" w:eastAsia="zh-CN"/>
              </w:rPr>
              <w:t>2000</w:t>
            </w:r>
          </w:p>
        </w:tc>
        <w:tc>
          <w:tcPr>
            <w:tcW w:w="1042" w:type="pct"/>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0.000006437</w:t>
            </w:r>
          </w:p>
        </w:tc>
        <w:tc>
          <w:tcPr>
            <w:tcW w:w="817" w:type="pct"/>
            <w:tcBorders>
              <w:top w:val="nil"/>
              <w:left w:val="nil"/>
              <w:bottom w:val="single" w:color="auto" w:sz="8" w:space="0"/>
              <w:right w:val="single" w:color="auto" w:sz="8" w:space="0"/>
            </w:tcBorders>
            <w:vAlign w:val="center"/>
          </w:tcPr>
          <w:p>
            <w:pPr>
              <w:jc w:val="center"/>
              <w:rPr>
                <w:color w:val="auto"/>
              </w:rPr>
            </w:pPr>
            <w:r>
              <w:rPr>
                <w:color w:val="auto"/>
              </w:rPr>
              <w:t>0.01</w:t>
            </w:r>
          </w:p>
        </w:tc>
        <w:tc>
          <w:tcPr>
            <w:tcW w:w="1760"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0.00001118</w:t>
            </w:r>
          </w:p>
        </w:tc>
        <w:tc>
          <w:tcPr>
            <w:tcW w:w="1007" w:type="pct"/>
            <w:tcBorders>
              <w:top w:val="nil"/>
              <w:left w:val="nil"/>
              <w:bottom w:val="single" w:color="auto" w:sz="8" w:space="0"/>
              <w:right w:val="single" w:color="auto" w:sz="8" w:space="0"/>
            </w:tcBorders>
            <w:vAlign w:val="center"/>
          </w:tcPr>
          <w:p>
            <w:pPr>
              <w:jc w:val="center"/>
              <w:rPr>
                <w:color w:val="auto"/>
              </w:rPr>
            </w:pPr>
            <w:r>
              <w:rPr>
                <w:color w:val="auto"/>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 w:hRule="atLeast"/>
          <w:jc w:val="center"/>
        </w:trPr>
        <w:tc>
          <w:tcPr>
            <w:tcW w:w="1148" w:type="pct"/>
            <w:vAlign w:val="center"/>
          </w:tcPr>
          <w:p>
            <w:pPr>
              <w:jc w:val="center"/>
              <w:rPr>
                <w:color w:val="auto"/>
              </w:rPr>
            </w:pPr>
            <w:r>
              <w:rPr>
                <w:rFonts w:hint="eastAsia"/>
                <w:color w:val="auto"/>
                <w:lang w:val="en-US" w:eastAsia="zh-CN"/>
              </w:rPr>
              <w:t>2100</w:t>
            </w:r>
          </w:p>
        </w:tc>
        <w:tc>
          <w:tcPr>
            <w:tcW w:w="1042" w:type="pct"/>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0.000006109</w:t>
            </w:r>
          </w:p>
        </w:tc>
        <w:tc>
          <w:tcPr>
            <w:tcW w:w="817" w:type="pct"/>
            <w:tcBorders>
              <w:top w:val="nil"/>
              <w:left w:val="nil"/>
              <w:bottom w:val="single" w:color="auto" w:sz="8" w:space="0"/>
              <w:right w:val="single" w:color="auto" w:sz="8" w:space="0"/>
            </w:tcBorders>
            <w:vAlign w:val="center"/>
          </w:tcPr>
          <w:p>
            <w:pPr>
              <w:jc w:val="center"/>
              <w:rPr>
                <w:color w:val="auto"/>
              </w:rPr>
            </w:pPr>
            <w:r>
              <w:rPr>
                <w:color w:val="auto"/>
              </w:rPr>
              <w:t>0.01</w:t>
            </w:r>
          </w:p>
        </w:tc>
        <w:tc>
          <w:tcPr>
            <w:tcW w:w="1760"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0.00001061</w:t>
            </w:r>
          </w:p>
        </w:tc>
        <w:tc>
          <w:tcPr>
            <w:tcW w:w="1007" w:type="pct"/>
            <w:tcBorders>
              <w:top w:val="nil"/>
              <w:left w:val="nil"/>
              <w:bottom w:val="single" w:color="auto" w:sz="8" w:space="0"/>
              <w:right w:val="single" w:color="auto" w:sz="8" w:space="0"/>
            </w:tcBorders>
            <w:vAlign w:val="center"/>
          </w:tcPr>
          <w:p>
            <w:pPr>
              <w:jc w:val="center"/>
              <w:rPr>
                <w:color w:val="auto"/>
              </w:rPr>
            </w:pPr>
            <w:r>
              <w:rPr>
                <w:color w:val="auto"/>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 w:hRule="atLeast"/>
          <w:jc w:val="center"/>
        </w:trPr>
        <w:tc>
          <w:tcPr>
            <w:tcW w:w="1148" w:type="pct"/>
            <w:vAlign w:val="center"/>
          </w:tcPr>
          <w:p>
            <w:pPr>
              <w:jc w:val="center"/>
              <w:rPr>
                <w:color w:val="auto"/>
              </w:rPr>
            </w:pPr>
            <w:r>
              <w:rPr>
                <w:rFonts w:hint="eastAsia"/>
                <w:color w:val="auto"/>
                <w:lang w:val="en-US" w:eastAsia="zh-CN"/>
              </w:rPr>
              <w:t>2200</w:t>
            </w:r>
          </w:p>
        </w:tc>
        <w:tc>
          <w:tcPr>
            <w:tcW w:w="1042" w:type="pct"/>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0.00000581</w:t>
            </w:r>
          </w:p>
        </w:tc>
        <w:tc>
          <w:tcPr>
            <w:tcW w:w="817" w:type="pct"/>
            <w:tcBorders>
              <w:top w:val="nil"/>
              <w:left w:val="nil"/>
              <w:bottom w:val="single" w:color="auto" w:sz="8" w:space="0"/>
              <w:right w:val="single" w:color="auto" w:sz="8" w:space="0"/>
            </w:tcBorders>
            <w:vAlign w:val="center"/>
          </w:tcPr>
          <w:p>
            <w:pPr>
              <w:jc w:val="center"/>
              <w:rPr>
                <w:color w:val="auto"/>
              </w:rPr>
            </w:pPr>
            <w:r>
              <w:rPr>
                <w:color w:val="auto"/>
              </w:rPr>
              <w:t>0.01</w:t>
            </w:r>
          </w:p>
        </w:tc>
        <w:tc>
          <w:tcPr>
            <w:tcW w:w="1760"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0.00001009</w:t>
            </w:r>
          </w:p>
        </w:tc>
        <w:tc>
          <w:tcPr>
            <w:tcW w:w="1007" w:type="pct"/>
            <w:tcBorders>
              <w:top w:val="nil"/>
              <w:left w:val="nil"/>
              <w:bottom w:val="single" w:color="auto" w:sz="8" w:space="0"/>
              <w:right w:val="single" w:color="auto" w:sz="8" w:space="0"/>
            </w:tcBorders>
            <w:vAlign w:val="center"/>
          </w:tcPr>
          <w:p>
            <w:pPr>
              <w:jc w:val="center"/>
              <w:rPr>
                <w:color w:val="auto"/>
              </w:rPr>
            </w:pPr>
            <w:r>
              <w:rPr>
                <w:color w:val="auto"/>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 w:hRule="atLeast"/>
          <w:jc w:val="center"/>
        </w:trPr>
        <w:tc>
          <w:tcPr>
            <w:tcW w:w="1148" w:type="pct"/>
            <w:vAlign w:val="center"/>
          </w:tcPr>
          <w:p>
            <w:pPr>
              <w:jc w:val="center"/>
              <w:rPr>
                <w:color w:val="auto"/>
              </w:rPr>
            </w:pPr>
            <w:r>
              <w:rPr>
                <w:rFonts w:hint="eastAsia"/>
                <w:color w:val="auto"/>
                <w:lang w:val="en-US" w:eastAsia="zh-CN"/>
              </w:rPr>
              <w:t>2300</w:t>
            </w:r>
          </w:p>
        </w:tc>
        <w:tc>
          <w:tcPr>
            <w:tcW w:w="1042" w:type="pct"/>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0.000005535</w:t>
            </w:r>
          </w:p>
        </w:tc>
        <w:tc>
          <w:tcPr>
            <w:tcW w:w="817" w:type="pct"/>
            <w:tcBorders>
              <w:top w:val="nil"/>
              <w:left w:val="nil"/>
              <w:bottom w:val="single" w:color="auto" w:sz="8" w:space="0"/>
              <w:right w:val="single" w:color="auto" w:sz="8" w:space="0"/>
            </w:tcBorders>
            <w:vAlign w:val="center"/>
          </w:tcPr>
          <w:p>
            <w:pPr>
              <w:jc w:val="center"/>
              <w:rPr>
                <w:color w:val="auto"/>
              </w:rPr>
            </w:pPr>
            <w:r>
              <w:rPr>
                <w:color w:val="auto"/>
              </w:rPr>
              <w:t>0.01</w:t>
            </w:r>
          </w:p>
        </w:tc>
        <w:tc>
          <w:tcPr>
            <w:tcW w:w="1760"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0.000009614</w:t>
            </w:r>
          </w:p>
        </w:tc>
        <w:tc>
          <w:tcPr>
            <w:tcW w:w="1007" w:type="pct"/>
            <w:tcBorders>
              <w:top w:val="nil"/>
              <w:left w:val="nil"/>
              <w:bottom w:val="single" w:color="auto" w:sz="8" w:space="0"/>
              <w:right w:val="single" w:color="auto" w:sz="8" w:space="0"/>
            </w:tcBorders>
            <w:vAlign w:val="center"/>
          </w:tcPr>
          <w:p>
            <w:pPr>
              <w:jc w:val="center"/>
              <w:rPr>
                <w:color w:val="auto"/>
              </w:rPr>
            </w:pPr>
            <w:r>
              <w:rPr>
                <w:color w:val="auto"/>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 w:hRule="atLeast"/>
          <w:jc w:val="center"/>
        </w:trPr>
        <w:tc>
          <w:tcPr>
            <w:tcW w:w="1148" w:type="pct"/>
            <w:vAlign w:val="center"/>
          </w:tcPr>
          <w:p>
            <w:pPr>
              <w:jc w:val="center"/>
              <w:rPr>
                <w:color w:val="auto"/>
              </w:rPr>
            </w:pPr>
            <w:r>
              <w:rPr>
                <w:rFonts w:hint="eastAsia"/>
                <w:color w:val="auto"/>
                <w:lang w:val="en-US" w:eastAsia="zh-CN"/>
              </w:rPr>
              <w:t>2400</w:t>
            </w:r>
          </w:p>
        </w:tc>
        <w:tc>
          <w:tcPr>
            <w:tcW w:w="1042" w:type="pct"/>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0.000005283</w:t>
            </w:r>
          </w:p>
        </w:tc>
        <w:tc>
          <w:tcPr>
            <w:tcW w:w="817" w:type="pct"/>
            <w:tcBorders>
              <w:top w:val="nil"/>
              <w:left w:val="nil"/>
              <w:bottom w:val="single" w:color="auto" w:sz="8" w:space="0"/>
              <w:right w:val="single" w:color="auto" w:sz="8" w:space="0"/>
            </w:tcBorders>
            <w:vAlign w:val="center"/>
          </w:tcPr>
          <w:p>
            <w:pPr>
              <w:jc w:val="center"/>
              <w:rPr>
                <w:color w:val="auto"/>
              </w:rPr>
            </w:pPr>
            <w:r>
              <w:rPr>
                <w:color w:val="auto"/>
              </w:rPr>
              <w:t>0.01</w:t>
            </w:r>
          </w:p>
        </w:tc>
        <w:tc>
          <w:tcPr>
            <w:tcW w:w="1760"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0.000009175</w:t>
            </w:r>
          </w:p>
        </w:tc>
        <w:tc>
          <w:tcPr>
            <w:tcW w:w="1007" w:type="pct"/>
            <w:tcBorders>
              <w:top w:val="nil"/>
              <w:left w:val="nil"/>
              <w:bottom w:val="single" w:color="auto" w:sz="8" w:space="0"/>
              <w:right w:val="single" w:color="auto" w:sz="8" w:space="0"/>
            </w:tcBorders>
            <w:vAlign w:val="center"/>
          </w:tcPr>
          <w:p>
            <w:pPr>
              <w:jc w:val="center"/>
              <w:rPr>
                <w:color w:val="auto"/>
              </w:rPr>
            </w:pPr>
            <w:r>
              <w:rPr>
                <w:color w:val="auto"/>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 w:hRule="atLeast"/>
          <w:jc w:val="center"/>
        </w:trPr>
        <w:tc>
          <w:tcPr>
            <w:tcW w:w="1148" w:type="pct"/>
            <w:vAlign w:val="center"/>
          </w:tcPr>
          <w:p>
            <w:pPr>
              <w:jc w:val="center"/>
              <w:rPr>
                <w:rFonts w:hint="eastAsia"/>
                <w:color w:val="auto"/>
                <w:lang w:val="en-US" w:eastAsia="zh-CN"/>
              </w:rPr>
            </w:pPr>
            <w:r>
              <w:rPr>
                <w:rFonts w:hint="eastAsia"/>
                <w:color w:val="auto"/>
                <w:lang w:val="en-US" w:eastAsia="zh-CN"/>
              </w:rPr>
              <w:t>2500</w:t>
            </w:r>
          </w:p>
        </w:tc>
        <w:tc>
          <w:tcPr>
            <w:tcW w:w="1042" w:type="pct"/>
            <w:tcBorders>
              <w:top w:val="nil"/>
              <w:left w:val="nil"/>
              <w:bottom w:val="single" w:color="auto" w:sz="8" w:space="0"/>
              <w:right w:val="single" w:color="auto" w:sz="8" w:space="0"/>
            </w:tcBorders>
            <w:vAlign w:val="center"/>
          </w:tcPr>
          <w:p>
            <w:pPr>
              <w:jc w:val="center"/>
              <w:rPr>
                <w:rFonts w:hint="eastAsia"/>
                <w:color w:val="auto"/>
                <w:lang w:val="en-US" w:eastAsia="zh-CN"/>
              </w:rPr>
            </w:pPr>
            <w:r>
              <w:rPr>
                <w:rFonts w:hint="eastAsia"/>
                <w:color w:val="auto"/>
                <w:lang w:val="en-US" w:eastAsia="zh-CN"/>
              </w:rPr>
              <w:t>0.00000505</w:t>
            </w:r>
          </w:p>
        </w:tc>
        <w:tc>
          <w:tcPr>
            <w:tcW w:w="817" w:type="pct"/>
            <w:tcBorders>
              <w:top w:val="nil"/>
              <w:left w:val="nil"/>
              <w:bottom w:val="single" w:color="auto" w:sz="8" w:space="0"/>
              <w:right w:val="single" w:color="auto" w:sz="8" w:space="0"/>
            </w:tcBorders>
            <w:vAlign w:val="center"/>
          </w:tcPr>
          <w:p>
            <w:pPr>
              <w:jc w:val="center"/>
              <w:rPr>
                <w:color w:val="auto"/>
              </w:rPr>
            </w:pPr>
            <w:r>
              <w:rPr>
                <w:color w:val="auto"/>
              </w:rPr>
              <w:t>0.01</w:t>
            </w:r>
          </w:p>
        </w:tc>
        <w:tc>
          <w:tcPr>
            <w:tcW w:w="1760" w:type="dxa"/>
            <w:tcBorders>
              <w:top w:val="nil"/>
              <w:left w:val="nil"/>
              <w:bottom w:val="single" w:color="auto" w:sz="8" w:space="0"/>
              <w:right w:val="single" w:color="auto" w:sz="8" w:space="0"/>
            </w:tcBorders>
            <w:vAlign w:val="center"/>
          </w:tcPr>
          <w:p>
            <w:pPr>
              <w:jc w:val="center"/>
              <w:rPr>
                <w:rFonts w:hint="eastAsia"/>
                <w:color w:val="auto"/>
              </w:rPr>
            </w:pPr>
            <w:r>
              <w:rPr>
                <w:rFonts w:hint="eastAsia"/>
                <w:color w:val="auto"/>
                <w:lang w:val="en-US" w:eastAsia="zh-CN"/>
              </w:rPr>
              <w:t>0.000008771</w:t>
            </w:r>
          </w:p>
        </w:tc>
        <w:tc>
          <w:tcPr>
            <w:tcW w:w="1007" w:type="pct"/>
            <w:tcBorders>
              <w:top w:val="nil"/>
              <w:left w:val="nil"/>
              <w:bottom w:val="single" w:color="auto" w:sz="8" w:space="0"/>
              <w:right w:val="single" w:color="auto" w:sz="8" w:space="0"/>
            </w:tcBorders>
            <w:vAlign w:val="center"/>
          </w:tcPr>
          <w:p>
            <w:pPr>
              <w:jc w:val="center"/>
              <w:rPr>
                <w:color w:val="auto"/>
              </w:rPr>
            </w:pPr>
            <w:r>
              <w:rPr>
                <w:color w:val="auto"/>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 w:hRule="atLeast"/>
          <w:jc w:val="center"/>
        </w:trPr>
        <w:tc>
          <w:tcPr>
            <w:tcW w:w="1148" w:type="pct"/>
            <w:vAlign w:val="center"/>
          </w:tcPr>
          <w:p>
            <w:pPr>
              <w:jc w:val="center"/>
              <w:rPr>
                <w:color w:val="auto"/>
              </w:rPr>
            </w:pPr>
            <w:r>
              <w:rPr>
                <w:color w:val="auto"/>
              </w:rPr>
              <w:t>下风向最大质量浓度及占标率/%</w:t>
            </w:r>
          </w:p>
        </w:tc>
        <w:tc>
          <w:tcPr>
            <w:tcW w:w="1042" w:type="pct"/>
            <w:tcBorders>
              <w:top w:val="nil"/>
              <w:left w:val="nil"/>
              <w:bottom w:val="single" w:color="auto" w:sz="8" w:space="0"/>
              <w:right w:val="single" w:color="auto" w:sz="8" w:space="0"/>
            </w:tcBorders>
            <w:vAlign w:val="center"/>
          </w:tcPr>
          <w:p>
            <w:pPr>
              <w:jc w:val="center"/>
              <w:rPr>
                <w:color w:val="auto"/>
              </w:rPr>
            </w:pPr>
            <w:r>
              <w:rPr>
                <w:rFonts w:hint="eastAsia"/>
                <w:color w:val="auto"/>
              </w:rPr>
              <w:t>0.00008838</w:t>
            </w:r>
          </w:p>
        </w:tc>
        <w:tc>
          <w:tcPr>
            <w:tcW w:w="817" w:type="pct"/>
            <w:tcBorders>
              <w:top w:val="nil"/>
              <w:left w:val="nil"/>
              <w:bottom w:val="single" w:color="auto" w:sz="8" w:space="0"/>
              <w:right w:val="single" w:color="auto" w:sz="8" w:space="0"/>
            </w:tcBorders>
            <w:vAlign w:val="center"/>
          </w:tcPr>
          <w:p>
            <w:pPr>
              <w:jc w:val="center"/>
              <w:rPr>
                <w:color w:val="auto"/>
              </w:rPr>
            </w:pPr>
            <w:r>
              <w:rPr>
                <w:color w:val="auto"/>
              </w:rPr>
              <w:t>0.01</w:t>
            </w:r>
          </w:p>
        </w:tc>
        <w:tc>
          <w:tcPr>
            <w:tcW w:w="983" w:type="pct"/>
            <w:tcBorders>
              <w:top w:val="nil"/>
              <w:left w:val="nil"/>
              <w:bottom w:val="single" w:color="auto" w:sz="8" w:space="0"/>
              <w:right w:val="single" w:color="auto" w:sz="8" w:space="0"/>
            </w:tcBorders>
            <w:vAlign w:val="center"/>
          </w:tcPr>
          <w:p>
            <w:pPr>
              <w:jc w:val="center"/>
              <w:rPr>
                <w:color w:val="auto"/>
              </w:rPr>
            </w:pPr>
            <w:r>
              <w:rPr>
                <w:rFonts w:hint="eastAsia"/>
                <w:color w:val="auto"/>
              </w:rPr>
              <w:t>5.828E-08</w:t>
            </w:r>
          </w:p>
        </w:tc>
        <w:tc>
          <w:tcPr>
            <w:tcW w:w="1007" w:type="pct"/>
            <w:tcBorders>
              <w:top w:val="nil"/>
              <w:left w:val="nil"/>
              <w:bottom w:val="single" w:color="auto" w:sz="8" w:space="0"/>
              <w:right w:val="single" w:color="auto" w:sz="8" w:space="0"/>
            </w:tcBorders>
            <w:vAlign w:val="center"/>
          </w:tcPr>
          <w:p>
            <w:pPr>
              <w:jc w:val="center"/>
              <w:rPr>
                <w:color w:val="auto"/>
              </w:rPr>
            </w:pPr>
            <w:r>
              <w:rPr>
                <w:color w:val="auto"/>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 w:hRule="atLeast"/>
          <w:jc w:val="center"/>
        </w:trPr>
        <w:tc>
          <w:tcPr>
            <w:tcW w:w="1148" w:type="pct"/>
            <w:vAlign w:val="center"/>
          </w:tcPr>
          <w:p>
            <w:pPr>
              <w:jc w:val="center"/>
              <w:rPr>
                <w:color w:val="auto"/>
              </w:rPr>
            </w:pPr>
            <w:r>
              <w:rPr>
                <w:color w:val="auto"/>
              </w:rPr>
              <w:t>D10%最远距离</w:t>
            </w:r>
          </w:p>
        </w:tc>
        <w:tc>
          <w:tcPr>
            <w:tcW w:w="1860" w:type="pct"/>
            <w:gridSpan w:val="2"/>
            <w:vAlign w:val="center"/>
          </w:tcPr>
          <w:p>
            <w:pPr>
              <w:jc w:val="center"/>
              <w:rPr>
                <w:color w:val="auto"/>
              </w:rPr>
            </w:pPr>
            <w:r>
              <w:rPr>
                <w:color w:val="auto"/>
              </w:rPr>
              <w:t>—</w:t>
            </w:r>
          </w:p>
        </w:tc>
        <w:tc>
          <w:tcPr>
            <w:tcW w:w="1990" w:type="pct"/>
            <w:gridSpan w:val="2"/>
            <w:vAlign w:val="center"/>
          </w:tcPr>
          <w:p>
            <w:pPr>
              <w:jc w:val="center"/>
              <w:rPr>
                <w:color w:val="auto"/>
              </w:rPr>
            </w:pPr>
            <w:r>
              <w:rPr>
                <w:color w:val="auto"/>
              </w:rPr>
              <w:t>—</w:t>
            </w:r>
          </w:p>
        </w:tc>
      </w:tr>
    </w:tbl>
    <w:p>
      <w:pPr>
        <w:pStyle w:val="2"/>
        <w:rPr>
          <w:color w:val="auto"/>
        </w:rPr>
      </w:pPr>
    </w:p>
    <w:p>
      <w:pPr>
        <w:spacing w:line="520" w:lineRule="exact"/>
        <w:jc w:val="center"/>
        <w:rPr>
          <w:b/>
          <w:color w:val="auto"/>
          <w:sz w:val="24"/>
        </w:rPr>
      </w:pPr>
    </w:p>
    <w:p>
      <w:pPr>
        <w:jc w:val="center"/>
        <w:rPr>
          <w:b/>
          <w:color w:val="auto"/>
          <w:sz w:val="24"/>
        </w:rPr>
      </w:pPr>
      <w:r>
        <w:rPr>
          <w:rFonts w:hint="eastAsia"/>
          <w:b/>
          <w:color w:val="auto"/>
          <w:sz w:val="24"/>
        </w:rPr>
        <w:t>表6</w:t>
      </w:r>
      <w:r>
        <w:rPr>
          <w:b/>
          <w:color w:val="auto"/>
          <w:sz w:val="24"/>
        </w:rPr>
        <w:t>-</w:t>
      </w:r>
      <w:r>
        <w:rPr>
          <w:rFonts w:hint="eastAsia"/>
          <w:b/>
          <w:color w:val="auto"/>
          <w:sz w:val="24"/>
          <w:lang w:val="en-US" w:eastAsia="zh-CN"/>
        </w:rPr>
        <w:t>9</w:t>
      </w:r>
      <w:r>
        <w:rPr>
          <w:b/>
          <w:color w:val="auto"/>
          <w:sz w:val="24"/>
        </w:rPr>
        <w:t xml:space="preserve">  估算模型计算结果（有组织）</w:t>
      </w:r>
    </w:p>
    <w:tbl>
      <w:tblPr>
        <w:tblStyle w:val="5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54"/>
        <w:gridCol w:w="1320"/>
        <w:gridCol w:w="1035"/>
        <w:gridCol w:w="1245"/>
        <w:gridCol w:w="1275"/>
        <w:gridCol w:w="1405"/>
        <w:gridCol w:w="12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8" w:hRule="atLeast"/>
          <w:jc w:val="center"/>
        </w:trPr>
        <w:tc>
          <w:tcPr>
            <w:tcW w:w="1454" w:type="dxa"/>
            <w:vMerge w:val="restart"/>
            <w:vAlign w:val="center"/>
          </w:tcPr>
          <w:p>
            <w:pPr>
              <w:jc w:val="center"/>
              <w:rPr>
                <w:color w:val="auto"/>
              </w:rPr>
            </w:pPr>
            <w:r>
              <w:rPr>
                <w:color w:val="auto"/>
              </w:rPr>
              <w:t>下风向距离(m)</w:t>
            </w:r>
          </w:p>
        </w:tc>
        <w:tc>
          <w:tcPr>
            <w:tcW w:w="2355" w:type="dxa"/>
            <w:gridSpan w:val="2"/>
            <w:vAlign w:val="center"/>
          </w:tcPr>
          <w:p>
            <w:pPr>
              <w:jc w:val="center"/>
              <w:rPr>
                <w:rFonts w:hint="eastAsia" w:eastAsia="宋体"/>
                <w:color w:val="auto"/>
                <w:lang w:eastAsia="zh-CN"/>
              </w:rPr>
            </w:pPr>
            <w:r>
              <w:rPr>
                <w:color w:val="auto"/>
              </w:rPr>
              <w:t>非甲烷总烃</w:t>
            </w:r>
            <w:r>
              <w:rPr>
                <w:rFonts w:hint="eastAsia"/>
                <w:color w:val="auto"/>
                <w:lang w:eastAsia="zh-CN"/>
              </w:rPr>
              <w:t>（</w:t>
            </w:r>
            <w:r>
              <w:rPr>
                <w:rFonts w:hint="eastAsia"/>
                <w:color w:val="auto"/>
                <w:lang w:val="en-US" w:eastAsia="zh-CN"/>
              </w:rPr>
              <w:t>2#排气筒</w:t>
            </w:r>
            <w:r>
              <w:rPr>
                <w:rFonts w:hint="eastAsia"/>
                <w:color w:val="auto"/>
                <w:lang w:eastAsia="zh-CN"/>
              </w:rPr>
              <w:t>）</w:t>
            </w:r>
          </w:p>
        </w:tc>
        <w:tc>
          <w:tcPr>
            <w:tcW w:w="2520" w:type="dxa"/>
            <w:gridSpan w:val="2"/>
            <w:vAlign w:val="center"/>
          </w:tcPr>
          <w:p>
            <w:pPr>
              <w:jc w:val="center"/>
              <w:rPr>
                <w:color w:val="auto"/>
              </w:rPr>
            </w:pPr>
            <w:r>
              <w:rPr>
                <w:color w:val="auto"/>
              </w:rPr>
              <w:t>H</w:t>
            </w:r>
            <w:r>
              <w:rPr>
                <w:color w:val="auto"/>
                <w:vertAlign w:val="subscript"/>
              </w:rPr>
              <w:t>2</w:t>
            </w:r>
            <w:r>
              <w:rPr>
                <w:color w:val="auto"/>
              </w:rPr>
              <w:t>S</w:t>
            </w:r>
            <w:r>
              <w:rPr>
                <w:rFonts w:hint="eastAsia"/>
                <w:color w:val="auto"/>
                <w:lang w:eastAsia="zh-CN"/>
              </w:rPr>
              <w:t>（</w:t>
            </w:r>
            <w:r>
              <w:rPr>
                <w:rFonts w:hint="eastAsia"/>
                <w:color w:val="auto"/>
                <w:lang w:val="en-US" w:eastAsia="zh-CN"/>
              </w:rPr>
              <w:t>2#排气筒</w:t>
            </w:r>
            <w:r>
              <w:rPr>
                <w:rFonts w:hint="eastAsia"/>
                <w:color w:val="auto"/>
                <w:lang w:eastAsia="zh-CN"/>
              </w:rPr>
              <w:t>）</w:t>
            </w:r>
          </w:p>
        </w:tc>
        <w:tc>
          <w:tcPr>
            <w:tcW w:w="2624" w:type="dxa"/>
            <w:gridSpan w:val="2"/>
            <w:vAlign w:val="center"/>
          </w:tcPr>
          <w:p>
            <w:pPr>
              <w:jc w:val="center"/>
              <w:rPr>
                <w:color w:val="auto"/>
              </w:rPr>
            </w:pPr>
            <w:r>
              <w:rPr>
                <w:color w:val="auto"/>
              </w:rPr>
              <w:t>非甲烷总烃</w:t>
            </w:r>
            <w:r>
              <w:rPr>
                <w:rFonts w:hint="eastAsia"/>
                <w:color w:val="auto"/>
                <w:lang w:eastAsia="zh-CN"/>
              </w:rPr>
              <w:t>（</w:t>
            </w:r>
            <w:r>
              <w:rPr>
                <w:rFonts w:hint="eastAsia"/>
                <w:color w:val="auto"/>
                <w:lang w:val="en-US" w:eastAsia="zh-CN"/>
              </w:rPr>
              <w:t>3#排气筒</w:t>
            </w:r>
            <w:r>
              <w:rPr>
                <w:rFonts w:hint="eastAsia"/>
                <w:color w:val="auto"/>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7" w:hRule="atLeast"/>
          <w:jc w:val="center"/>
        </w:trPr>
        <w:tc>
          <w:tcPr>
            <w:tcW w:w="1454" w:type="dxa"/>
            <w:vMerge w:val="continue"/>
            <w:vAlign w:val="center"/>
          </w:tcPr>
          <w:p>
            <w:pPr>
              <w:jc w:val="center"/>
              <w:rPr>
                <w:color w:val="auto"/>
              </w:rPr>
            </w:pPr>
          </w:p>
        </w:tc>
        <w:tc>
          <w:tcPr>
            <w:tcW w:w="1320" w:type="dxa"/>
            <w:vAlign w:val="center"/>
          </w:tcPr>
          <w:p>
            <w:pPr>
              <w:jc w:val="center"/>
              <w:rPr>
                <w:color w:val="auto"/>
              </w:rPr>
            </w:pPr>
            <w:r>
              <w:rPr>
                <w:color w:val="auto"/>
              </w:rPr>
              <w:t>预测质量浓度/mg/m3</w:t>
            </w:r>
          </w:p>
        </w:tc>
        <w:tc>
          <w:tcPr>
            <w:tcW w:w="1035" w:type="dxa"/>
            <w:vAlign w:val="center"/>
          </w:tcPr>
          <w:p>
            <w:pPr>
              <w:jc w:val="center"/>
              <w:rPr>
                <w:color w:val="auto"/>
              </w:rPr>
            </w:pPr>
            <w:r>
              <w:rPr>
                <w:color w:val="auto"/>
              </w:rPr>
              <w:t>占标率/%</w:t>
            </w:r>
          </w:p>
        </w:tc>
        <w:tc>
          <w:tcPr>
            <w:tcW w:w="1245" w:type="dxa"/>
            <w:vAlign w:val="center"/>
          </w:tcPr>
          <w:p>
            <w:pPr>
              <w:jc w:val="center"/>
              <w:rPr>
                <w:color w:val="auto"/>
              </w:rPr>
            </w:pPr>
            <w:r>
              <w:rPr>
                <w:color w:val="auto"/>
              </w:rPr>
              <w:t>预测质量浓度/mg/m3</w:t>
            </w:r>
          </w:p>
        </w:tc>
        <w:tc>
          <w:tcPr>
            <w:tcW w:w="1275" w:type="dxa"/>
            <w:vAlign w:val="center"/>
          </w:tcPr>
          <w:p>
            <w:pPr>
              <w:jc w:val="center"/>
              <w:rPr>
                <w:color w:val="auto"/>
              </w:rPr>
            </w:pPr>
            <w:r>
              <w:rPr>
                <w:color w:val="auto"/>
              </w:rPr>
              <w:t>占标率/%</w:t>
            </w:r>
          </w:p>
        </w:tc>
        <w:tc>
          <w:tcPr>
            <w:tcW w:w="1405" w:type="dxa"/>
            <w:vAlign w:val="center"/>
          </w:tcPr>
          <w:p>
            <w:pPr>
              <w:jc w:val="center"/>
              <w:rPr>
                <w:color w:val="auto"/>
              </w:rPr>
            </w:pPr>
            <w:r>
              <w:rPr>
                <w:color w:val="auto"/>
              </w:rPr>
              <w:t>预测质量浓度/mg/m3</w:t>
            </w:r>
          </w:p>
        </w:tc>
        <w:tc>
          <w:tcPr>
            <w:tcW w:w="1219" w:type="dxa"/>
            <w:vAlign w:val="center"/>
          </w:tcPr>
          <w:p>
            <w:pPr>
              <w:jc w:val="center"/>
              <w:rPr>
                <w:color w:val="auto"/>
              </w:rPr>
            </w:pPr>
            <w:r>
              <w:rPr>
                <w:color w:val="auto"/>
              </w:rPr>
              <w:t>占标率/%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454" w:type="dxa"/>
            <w:vAlign w:val="center"/>
          </w:tcPr>
          <w:p>
            <w:pPr>
              <w:jc w:val="center"/>
              <w:rPr>
                <w:color w:val="auto"/>
              </w:rPr>
            </w:pPr>
            <w:r>
              <w:rPr>
                <w:rFonts w:hint="eastAsia"/>
                <w:color w:val="auto"/>
                <w:lang w:val="en-US" w:eastAsia="zh-CN"/>
              </w:rPr>
              <w:t>10</w:t>
            </w:r>
          </w:p>
        </w:tc>
        <w:tc>
          <w:tcPr>
            <w:tcW w:w="1320"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w:t>
            </w:r>
          </w:p>
        </w:tc>
        <w:tc>
          <w:tcPr>
            <w:tcW w:w="1035" w:type="dxa"/>
            <w:tcBorders>
              <w:top w:val="nil"/>
              <w:left w:val="nil"/>
              <w:bottom w:val="single" w:color="auto" w:sz="8" w:space="0"/>
              <w:right w:val="single" w:color="auto" w:sz="8" w:space="0"/>
            </w:tcBorders>
            <w:vAlign w:val="center"/>
          </w:tcPr>
          <w:p>
            <w:pPr>
              <w:jc w:val="center"/>
              <w:rPr>
                <w:color w:val="auto"/>
              </w:rPr>
            </w:pPr>
            <w:r>
              <w:rPr>
                <w:color w:val="auto"/>
              </w:rPr>
              <w:t>0.01</w:t>
            </w:r>
          </w:p>
        </w:tc>
        <w:tc>
          <w:tcPr>
            <w:tcW w:w="124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w:t>
            </w:r>
          </w:p>
        </w:tc>
        <w:tc>
          <w:tcPr>
            <w:tcW w:w="127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w:t>
            </w:r>
          </w:p>
        </w:tc>
        <w:tc>
          <w:tcPr>
            <w:tcW w:w="140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w:t>
            </w:r>
          </w:p>
        </w:tc>
        <w:tc>
          <w:tcPr>
            <w:tcW w:w="1219"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 w:hRule="atLeast"/>
          <w:jc w:val="center"/>
        </w:trPr>
        <w:tc>
          <w:tcPr>
            <w:tcW w:w="1454" w:type="dxa"/>
            <w:vAlign w:val="center"/>
          </w:tcPr>
          <w:p>
            <w:pPr>
              <w:jc w:val="center"/>
              <w:rPr>
                <w:color w:val="auto"/>
              </w:rPr>
            </w:pPr>
            <w:r>
              <w:rPr>
                <w:rFonts w:hint="eastAsia"/>
                <w:color w:val="auto"/>
                <w:lang w:val="en-US" w:eastAsia="zh-CN"/>
              </w:rPr>
              <w:t>100</w:t>
            </w:r>
          </w:p>
        </w:tc>
        <w:tc>
          <w:tcPr>
            <w:tcW w:w="1320"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0.000136</w:t>
            </w:r>
          </w:p>
        </w:tc>
        <w:tc>
          <w:tcPr>
            <w:tcW w:w="1035" w:type="dxa"/>
            <w:tcBorders>
              <w:top w:val="nil"/>
              <w:left w:val="nil"/>
              <w:bottom w:val="single" w:color="auto" w:sz="8" w:space="0"/>
              <w:right w:val="single" w:color="auto" w:sz="8" w:space="0"/>
            </w:tcBorders>
            <w:vAlign w:val="center"/>
          </w:tcPr>
          <w:p>
            <w:pPr>
              <w:jc w:val="center"/>
              <w:rPr>
                <w:color w:val="auto"/>
              </w:rPr>
            </w:pPr>
            <w:r>
              <w:rPr>
                <w:rFonts w:hint="eastAsia"/>
                <w:color w:val="auto"/>
              </w:rPr>
              <w:t>/</w:t>
            </w:r>
          </w:p>
        </w:tc>
        <w:tc>
          <w:tcPr>
            <w:tcW w:w="124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0.00003108</w:t>
            </w:r>
          </w:p>
        </w:tc>
        <w:tc>
          <w:tcPr>
            <w:tcW w:w="127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0.05</w:t>
            </w:r>
          </w:p>
        </w:tc>
        <w:tc>
          <w:tcPr>
            <w:tcW w:w="140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0.0007479</w:t>
            </w:r>
          </w:p>
        </w:tc>
        <w:tc>
          <w:tcPr>
            <w:tcW w:w="1219"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 w:hRule="atLeast"/>
          <w:jc w:val="center"/>
        </w:trPr>
        <w:tc>
          <w:tcPr>
            <w:tcW w:w="1454" w:type="dxa"/>
            <w:vAlign w:val="center"/>
          </w:tcPr>
          <w:p>
            <w:pPr>
              <w:jc w:val="center"/>
              <w:rPr>
                <w:color w:val="auto"/>
              </w:rPr>
            </w:pPr>
            <w:r>
              <w:rPr>
                <w:rFonts w:hint="eastAsia"/>
                <w:color w:val="auto"/>
                <w:lang w:val="en-US" w:eastAsia="zh-CN"/>
              </w:rPr>
              <w:t>100</w:t>
            </w:r>
          </w:p>
        </w:tc>
        <w:tc>
          <w:tcPr>
            <w:tcW w:w="1320"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0.000136</w:t>
            </w:r>
          </w:p>
        </w:tc>
        <w:tc>
          <w:tcPr>
            <w:tcW w:w="1035" w:type="dxa"/>
            <w:tcBorders>
              <w:top w:val="nil"/>
              <w:left w:val="nil"/>
              <w:bottom w:val="single" w:color="auto" w:sz="8" w:space="0"/>
              <w:right w:val="single" w:color="auto" w:sz="8" w:space="0"/>
            </w:tcBorders>
            <w:vAlign w:val="center"/>
          </w:tcPr>
          <w:p>
            <w:pPr>
              <w:jc w:val="center"/>
              <w:rPr>
                <w:color w:val="auto"/>
              </w:rPr>
            </w:pPr>
            <w:r>
              <w:rPr>
                <w:color w:val="auto"/>
              </w:rPr>
              <w:t>0.01</w:t>
            </w:r>
          </w:p>
        </w:tc>
        <w:tc>
          <w:tcPr>
            <w:tcW w:w="124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0.00003108</w:t>
            </w:r>
          </w:p>
        </w:tc>
        <w:tc>
          <w:tcPr>
            <w:tcW w:w="127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0.05</w:t>
            </w:r>
          </w:p>
        </w:tc>
        <w:tc>
          <w:tcPr>
            <w:tcW w:w="140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0.0007479</w:t>
            </w:r>
          </w:p>
        </w:tc>
        <w:tc>
          <w:tcPr>
            <w:tcW w:w="1219"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6" w:hRule="atLeast"/>
          <w:jc w:val="center"/>
        </w:trPr>
        <w:tc>
          <w:tcPr>
            <w:tcW w:w="1454" w:type="dxa"/>
            <w:vAlign w:val="center"/>
          </w:tcPr>
          <w:p>
            <w:pPr>
              <w:jc w:val="center"/>
              <w:rPr>
                <w:color w:val="auto"/>
              </w:rPr>
            </w:pPr>
            <w:r>
              <w:rPr>
                <w:rFonts w:hint="eastAsia"/>
                <w:color w:val="auto"/>
                <w:lang w:val="en-US" w:eastAsia="zh-CN"/>
              </w:rPr>
              <w:t>187</w:t>
            </w:r>
          </w:p>
        </w:tc>
        <w:tc>
          <w:tcPr>
            <w:tcW w:w="1320"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0.000233</w:t>
            </w:r>
          </w:p>
        </w:tc>
        <w:tc>
          <w:tcPr>
            <w:tcW w:w="1035" w:type="dxa"/>
            <w:tcBorders>
              <w:top w:val="nil"/>
              <w:left w:val="nil"/>
              <w:bottom w:val="single" w:color="auto" w:sz="8" w:space="0"/>
              <w:right w:val="single" w:color="auto" w:sz="8" w:space="0"/>
            </w:tcBorders>
            <w:vAlign w:val="center"/>
          </w:tcPr>
          <w:p>
            <w:pPr>
              <w:jc w:val="center"/>
              <w:rPr>
                <w:color w:val="auto"/>
              </w:rPr>
            </w:pPr>
            <w:r>
              <w:rPr>
                <w:color w:val="auto"/>
              </w:rPr>
              <w:t>0.01</w:t>
            </w:r>
          </w:p>
        </w:tc>
        <w:tc>
          <w:tcPr>
            <w:tcW w:w="124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0.00005325</w:t>
            </w:r>
          </w:p>
        </w:tc>
        <w:tc>
          <w:tcPr>
            <w:tcW w:w="127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0.09</w:t>
            </w:r>
          </w:p>
        </w:tc>
        <w:tc>
          <w:tcPr>
            <w:tcW w:w="140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0.001281</w:t>
            </w:r>
          </w:p>
        </w:tc>
        <w:tc>
          <w:tcPr>
            <w:tcW w:w="1219"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 w:hRule="atLeast"/>
          <w:jc w:val="center"/>
        </w:trPr>
        <w:tc>
          <w:tcPr>
            <w:tcW w:w="1454" w:type="dxa"/>
            <w:vAlign w:val="center"/>
          </w:tcPr>
          <w:p>
            <w:pPr>
              <w:jc w:val="center"/>
              <w:rPr>
                <w:color w:val="auto"/>
              </w:rPr>
            </w:pPr>
            <w:r>
              <w:rPr>
                <w:color w:val="auto"/>
              </w:rPr>
              <w:t>200</w:t>
            </w:r>
          </w:p>
        </w:tc>
        <w:tc>
          <w:tcPr>
            <w:tcW w:w="1320"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0.0002312</w:t>
            </w:r>
          </w:p>
        </w:tc>
        <w:tc>
          <w:tcPr>
            <w:tcW w:w="1035" w:type="dxa"/>
            <w:tcBorders>
              <w:top w:val="nil"/>
              <w:left w:val="nil"/>
              <w:bottom w:val="single" w:color="auto" w:sz="8" w:space="0"/>
              <w:right w:val="single" w:color="auto" w:sz="8" w:space="0"/>
            </w:tcBorders>
            <w:vAlign w:val="center"/>
          </w:tcPr>
          <w:p>
            <w:pPr>
              <w:jc w:val="center"/>
              <w:rPr>
                <w:color w:val="auto"/>
              </w:rPr>
            </w:pPr>
            <w:r>
              <w:rPr>
                <w:color w:val="auto"/>
              </w:rPr>
              <w:t>0.01</w:t>
            </w:r>
          </w:p>
        </w:tc>
        <w:tc>
          <w:tcPr>
            <w:tcW w:w="124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0.00005284</w:t>
            </w:r>
          </w:p>
        </w:tc>
        <w:tc>
          <w:tcPr>
            <w:tcW w:w="127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0.09</w:t>
            </w:r>
          </w:p>
        </w:tc>
        <w:tc>
          <w:tcPr>
            <w:tcW w:w="140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0.001271</w:t>
            </w:r>
          </w:p>
        </w:tc>
        <w:tc>
          <w:tcPr>
            <w:tcW w:w="1219"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 w:hRule="atLeast"/>
          <w:jc w:val="center"/>
        </w:trPr>
        <w:tc>
          <w:tcPr>
            <w:tcW w:w="1454" w:type="dxa"/>
            <w:vAlign w:val="center"/>
          </w:tcPr>
          <w:p>
            <w:pPr>
              <w:jc w:val="center"/>
              <w:rPr>
                <w:color w:val="auto"/>
              </w:rPr>
            </w:pPr>
            <w:r>
              <w:rPr>
                <w:color w:val="auto"/>
              </w:rPr>
              <w:t>300</w:t>
            </w:r>
          </w:p>
        </w:tc>
        <w:tc>
          <w:tcPr>
            <w:tcW w:w="1320"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0.0002093</w:t>
            </w:r>
          </w:p>
        </w:tc>
        <w:tc>
          <w:tcPr>
            <w:tcW w:w="1035" w:type="dxa"/>
            <w:tcBorders>
              <w:top w:val="nil"/>
              <w:left w:val="nil"/>
              <w:bottom w:val="single" w:color="auto" w:sz="8" w:space="0"/>
              <w:right w:val="single" w:color="auto" w:sz="8" w:space="0"/>
            </w:tcBorders>
            <w:vAlign w:val="center"/>
          </w:tcPr>
          <w:p>
            <w:pPr>
              <w:jc w:val="center"/>
              <w:rPr>
                <w:color w:val="auto"/>
              </w:rPr>
            </w:pPr>
            <w:r>
              <w:rPr>
                <w:color w:val="auto"/>
              </w:rPr>
              <w:t>0.01</w:t>
            </w:r>
          </w:p>
        </w:tc>
        <w:tc>
          <w:tcPr>
            <w:tcW w:w="124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0.00004784</w:t>
            </w:r>
          </w:p>
        </w:tc>
        <w:tc>
          <w:tcPr>
            <w:tcW w:w="127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0.08</w:t>
            </w:r>
          </w:p>
        </w:tc>
        <w:tc>
          <w:tcPr>
            <w:tcW w:w="140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0.001151</w:t>
            </w:r>
          </w:p>
        </w:tc>
        <w:tc>
          <w:tcPr>
            <w:tcW w:w="1219"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 w:hRule="atLeast"/>
          <w:jc w:val="center"/>
        </w:trPr>
        <w:tc>
          <w:tcPr>
            <w:tcW w:w="1454" w:type="dxa"/>
            <w:vAlign w:val="center"/>
          </w:tcPr>
          <w:p>
            <w:pPr>
              <w:jc w:val="center"/>
              <w:rPr>
                <w:color w:val="auto"/>
              </w:rPr>
            </w:pPr>
            <w:r>
              <w:rPr>
                <w:color w:val="auto"/>
              </w:rPr>
              <w:t>400</w:t>
            </w:r>
          </w:p>
        </w:tc>
        <w:tc>
          <w:tcPr>
            <w:tcW w:w="1320"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0.0001721</w:t>
            </w:r>
          </w:p>
        </w:tc>
        <w:tc>
          <w:tcPr>
            <w:tcW w:w="1035" w:type="dxa"/>
            <w:tcBorders>
              <w:top w:val="nil"/>
              <w:left w:val="nil"/>
              <w:bottom w:val="single" w:color="auto" w:sz="8" w:space="0"/>
              <w:right w:val="single" w:color="auto" w:sz="8" w:space="0"/>
            </w:tcBorders>
            <w:vAlign w:val="center"/>
          </w:tcPr>
          <w:p>
            <w:pPr>
              <w:jc w:val="center"/>
              <w:rPr>
                <w:color w:val="auto"/>
              </w:rPr>
            </w:pPr>
            <w:r>
              <w:rPr>
                <w:color w:val="auto"/>
              </w:rPr>
              <w:t>0.01</w:t>
            </w:r>
          </w:p>
        </w:tc>
        <w:tc>
          <w:tcPr>
            <w:tcW w:w="124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0.00003933</w:t>
            </w:r>
          </w:p>
        </w:tc>
        <w:tc>
          <w:tcPr>
            <w:tcW w:w="127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0.07</w:t>
            </w:r>
          </w:p>
        </w:tc>
        <w:tc>
          <w:tcPr>
            <w:tcW w:w="140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0.0009464</w:t>
            </w:r>
          </w:p>
        </w:tc>
        <w:tc>
          <w:tcPr>
            <w:tcW w:w="1219"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 w:hRule="atLeast"/>
          <w:jc w:val="center"/>
        </w:trPr>
        <w:tc>
          <w:tcPr>
            <w:tcW w:w="1454" w:type="dxa"/>
            <w:vAlign w:val="center"/>
          </w:tcPr>
          <w:p>
            <w:pPr>
              <w:jc w:val="center"/>
              <w:rPr>
                <w:color w:val="auto"/>
              </w:rPr>
            </w:pPr>
            <w:r>
              <w:rPr>
                <w:color w:val="auto"/>
              </w:rPr>
              <w:t>500</w:t>
            </w:r>
          </w:p>
        </w:tc>
        <w:tc>
          <w:tcPr>
            <w:tcW w:w="1320"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0.0001338</w:t>
            </w:r>
          </w:p>
        </w:tc>
        <w:tc>
          <w:tcPr>
            <w:tcW w:w="1035" w:type="dxa"/>
            <w:tcBorders>
              <w:top w:val="nil"/>
              <w:left w:val="nil"/>
              <w:bottom w:val="single" w:color="auto" w:sz="8" w:space="0"/>
              <w:right w:val="single" w:color="auto" w:sz="8" w:space="0"/>
            </w:tcBorders>
            <w:vAlign w:val="center"/>
          </w:tcPr>
          <w:p>
            <w:pPr>
              <w:jc w:val="center"/>
              <w:rPr>
                <w:color w:val="auto"/>
              </w:rPr>
            </w:pPr>
            <w:r>
              <w:rPr>
                <w:color w:val="auto"/>
              </w:rPr>
              <w:t>0.01</w:t>
            </w:r>
          </w:p>
        </w:tc>
        <w:tc>
          <w:tcPr>
            <w:tcW w:w="124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0.00003058</w:t>
            </w:r>
          </w:p>
        </w:tc>
        <w:tc>
          <w:tcPr>
            <w:tcW w:w="127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0.05</w:t>
            </w:r>
          </w:p>
        </w:tc>
        <w:tc>
          <w:tcPr>
            <w:tcW w:w="140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0.0007358</w:t>
            </w:r>
          </w:p>
        </w:tc>
        <w:tc>
          <w:tcPr>
            <w:tcW w:w="1219"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 w:hRule="atLeast"/>
          <w:jc w:val="center"/>
        </w:trPr>
        <w:tc>
          <w:tcPr>
            <w:tcW w:w="1454" w:type="dxa"/>
            <w:vAlign w:val="center"/>
          </w:tcPr>
          <w:p>
            <w:pPr>
              <w:jc w:val="center"/>
              <w:rPr>
                <w:color w:val="auto"/>
              </w:rPr>
            </w:pPr>
            <w:r>
              <w:rPr>
                <w:color w:val="auto"/>
              </w:rPr>
              <w:t>600</w:t>
            </w:r>
          </w:p>
        </w:tc>
        <w:tc>
          <w:tcPr>
            <w:tcW w:w="1320"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0.0001048</w:t>
            </w:r>
          </w:p>
        </w:tc>
        <w:tc>
          <w:tcPr>
            <w:tcW w:w="1035" w:type="dxa"/>
            <w:tcBorders>
              <w:top w:val="nil"/>
              <w:left w:val="nil"/>
              <w:bottom w:val="single" w:color="auto" w:sz="8" w:space="0"/>
              <w:right w:val="single" w:color="auto" w:sz="8" w:space="0"/>
            </w:tcBorders>
            <w:vAlign w:val="center"/>
          </w:tcPr>
          <w:p>
            <w:pPr>
              <w:jc w:val="center"/>
              <w:rPr>
                <w:color w:val="auto"/>
              </w:rPr>
            </w:pPr>
            <w:r>
              <w:rPr>
                <w:color w:val="auto"/>
              </w:rPr>
              <w:t>0.01</w:t>
            </w:r>
          </w:p>
        </w:tc>
        <w:tc>
          <w:tcPr>
            <w:tcW w:w="124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0.00002394</w:t>
            </w:r>
          </w:p>
        </w:tc>
        <w:tc>
          <w:tcPr>
            <w:tcW w:w="127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0.04</w:t>
            </w:r>
          </w:p>
        </w:tc>
        <w:tc>
          <w:tcPr>
            <w:tcW w:w="140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0.0005762</w:t>
            </w:r>
          </w:p>
        </w:tc>
        <w:tc>
          <w:tcPr>
            <w:tcW w:w="1219"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 w:hRule="atLeast"/>
          <w:jc w:val="center"/>
        </w:trPr>
        <w:tc>
          <w:tcPr>
            <w:tcW w:w="1454" w:type="dxa"/>
            <w:vAlign w:val="center"/>
          </w:tcPr>
          <w:p>
            <w:pPr>
              <w:jc w:val="center"/>
              <w:rPr>
                <w:color w:val="auto"/>
              </w:rPr>
            </w:pPr>
            <w:r>
              <w:rPr>
                <w:color w:val="auto"/>
              </w:rPr>
              <w:t>700</w:t>
            </w:r>
          </w:p>
        </w:tc>
        <w:tc>
          <w:tcPr>
            <w:tcW w:w="1320"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0.00009997</w:t>
            </w:r>
          </w:p>
        </w:tc>
        <w:tc>
          <w:tcPr>
            <w:tcW w:w="1035" w:type="dxa"/>
            <w:tcBorders>
              <w:top w:val="nil"/>
              <w:left w:val="nil"/>
              <w:bottom w:val="single" w:color="auto" w:sz="8" w:space="0"/>
              <w:right w:val="single" w:color="auto" w:sz="8" w:space="0"/>
            </w:tcBorders>
            <w:vAlign w:val="center"/>
          </w:tcPr>
          <w:p>
            <w:pPr>
              <w:jc w:val="center"/>
              <w:rPr>
                <w:color w:val="auto"/>
              </w:rPr>
            </w:pPr>
            <w:r>
              <w:rPr>
                <w:color w:val="auto"/>
              </w:rPr>
              <w:t>0.01</w:t>
            </w:r>
          </w:p>
        </w:tc>
        <w:tc>
          <w:tcPr>
            <w:tcW w:w="124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0.00002285</w:t>
            </w:r>
          </w:p>
        </w:tc>
        <w:tc>
          <w:tcPr>
            <w:tcW w:w="127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0.04</w:t>
            </w:r>
          </w:p>
        </w:tc>
        <w:tc>
          <w:tcPr>
            <w:tcW w:w="140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0.0005498</w:t>
            </w:r>
          </w:p>
        </w:tc>
        <w:tc>
          <w:tcPr>
            <w:tcW w:w="1219"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 w:hRule="atLeast"/>
          <w:jc w:val="center"/>
        </w:trPr>
        <w:tc>
          <w:tcPr>
            <w:tcW w:w="1454" w:type="dxa"/>
            <w:vAlign w:val="center"/>
          </w:tcPr>
          <w:p>
            <w:pPr>
              <w:jc w:val="center"/>
              <w:rPr>
                <w:color w:val="auto"/>
              </w:rPr>
            </w:pPr>
            <w:r>
              <w:rPr>
                <w:color w:val="auto"/>
              </w:rPr>
              <w:t>800</w:t>
            </w:r>
          </w:p>
        </w:tc>
        <w:tc>
          <w:tcPr>
            <w:tcW w:w="1320"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0.00009803</w:t>
            </w:r>
          </w:p>
        </w:tc>
        <w:tc>
          <w:tcPr>
            <w:tcW w:w="1035" w:type="dxa"/>
            <w:tcBorders>
              <w:top w:val="nil"/>
              <w:left w:val="nil"/>
              <w:bottom w:val="single" w:color="auto" w:sz="8" w:space="0"/>
              <w:right w:val="single" w:color="auto" w:sz="8" w:space="0"/>
            </w:tcBorders>
            <w:vAlign w:val="center"/>
          </w:tcPr>
          <w:p>
            <w:pPr>
              <w:jc w:val="center"/>
              <w:rPr>
                <w:color w:val="auto"/>
              </w:rPr>
            </w:pPr>
            <w:r>
              <w:rPr>
                <w:color w:val="auto"/>
              </w:rPr>
              <w:t>0.01</w:t>
            </w:r>
          </w:p>
        </w:tc>
        <w:tc>
          <w:tcPr>
            <w:tcW w:w="124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0.00002241</w:t>
            </w:r>
          </w:p>
        </w:tc>
        <w:tc>
          <w:tcPr>
            <w:tcW w:w="127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0.04</w:t>
            </w:r>
          </w:p>
        </w:tc>
        <w:tc>
          <w:tcPr>
            <w:tcW w:w="140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0.0005391</w:t>
            </w:r>
          </w:p>
        </w:tc>
        <w:tc>
          <w:tcPr>
            <w:tcW w:w="1219"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 w:hRule="atLeast"/>
          <w:jc w:val="center"/>
        </w:trPr>
        <w:tc>
          <w:tcPr>
            <w:tcW w:w="1454" w:type="dxa"/>
            <w:vAlign w:val="center"/>
          </w:tcPr>
          <w:p>
            <w:pPr>
              <w:jc w:val="center"/>
              <w:rPr>
                <w:color w:val="auto"/>
              </w:rPr>
            </w:pPr>
            <w:r>
              <w:rPr>
                <w:color w:val="auto"/>
              </w:rPr>
              <w:t>900</w:t>
            </w:r>
          </w:p>
        </w:tc>
        <w:tc>
          <w:tcPr>
            <w:tcW w:w="1320"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0.00009368</w:t>
            </w:r>
          </w:p>
        </w:tc>
        <w:tc>
          <w:tcPr>
            <w:tcW w:w="1035" w:type="dxa"/>
            <w:tcBorders>
              <w:top w:val="nil"/>
              <w:left w:val="nil"/>
              <w:bottom w:val="single" w:color="auto" w:sz="8" w:space="0"/>
              <w:right w:val="single" w:color="auto" w:sz="8" w:space="0"/>
            </w:tcBorders>
            <w:vAlign w:val="center"/>
          </w:tcPr>
          <w:p>
            <w:pPr>
              <w:jc w:val="center"/>
              <w:rPr>
                <w:color w:val="auto"/>
              </w:rPr>
            </w:pPr>
            <w:r>
              <w:rPr>
                <w:color w:val="auto"/>
              </w:rPr>
              <w:t>0.01</w:t>
            </w:r>
          </w:p>
        </w:tc>
        <w:tc>
          <w:tcPr>
            <w:tcW w:w="124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0.00002141</w:t>
            </w:r>
          </w:p>
        </w:tc>
        <w:tc>
          <w:tcPr>
            <w:tcW w:w="127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0.04</w:t>
            </w:r>
          </w:p>
        </w:tc>
        <w:tc>
          <w:tcPr>
            <w:tcW w:w="140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0.0005152</w:t>
            </w:r>
          </w:p>
        </w:tc>
        <w:tc>
          <w:tcPr>
            <w:tcW w:w="1219"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 w:hRule="atLeast"/>
          <w:jc w:val="center"/>
        </w:trPr>
        <w:tc>
          <w:tcPr>
            <w:tcW w:w="1454" w:type="dxa"/>
            <w:vAlign w:val="center"/>
          </w:tcPr>
          <w:p>
            <w:pPr>
              <w:jc w:val="center"/>
              <w:rPr>
                <w:color w:val="auto"/>
              </w:rPr>
            </w:pPr>
            <w:r>
              <w:rPr>
                <w:color w:val="auto"/>
              </w:rPr>
              <w:t>1000</w:t>
            </w:r>
          </w:p>
        </w:tc>
        <w:tc>
          <w:tcPr>
            <w:tcW w:w="1320"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0.00008836</w:t>
            </w:r>
          </w:p>
        </w:tc>
        <w:tc>
          <w:tcPr>
            <w:tcW w:w="1035" w:type="dxa"/>
            <w:tcBorders>
              <w:top w:val="nil"/>
              <w:left w:val="nil"/>
              <w:bottom w:val="single" w:color="auto" w:sz="8" w:space="0"/>
              <w:right w:val="single" w:color="auto" w:sz="8" w:space="0"/>
            </w:tcBorders>
            <w:vAlign w:val="center"/>
          </w:tcPr>
          <w:p>
            <w:pPr>
              <w:jc w:val="center"/>
              <w:rPr>
                <w:color w:val="auto"/>
              </w:rPr>
            </w:pPr>
            <w:r>
              <w:rPr>
                <w:color w:val="auto"/>
              </w:rPr>
              <w:t>0.01</w:t>
            </w:r>
          </w:p>
        </w:tc>
        <w:tc>
          <w:tcPr>
            <w:tcW w:w="124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0.0000202</w:t>
            </w:r>
          </w:p>
        </w:tc>
        <w:tc>
          <w:tcPr>
            <w:tcW w:w="127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0.03</w:t>
            </w:r>
          </w:p>
        </w:tc>
        <w:tc>
          <w:tcPr>
            <w:tcW w:w="140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0.000486</w:t>
            </w:r>
          </w:p>
        </w:tc>
        <w:tc>
          <w:tcPr>
            <w:tcW w:w="1219"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 w:hRule="atLeast"/>
          <w:jc w:val="center"/>
        </w:trPr>
        <w:tc>
          <w:tcPr>
            <w:tcW w:w="1454" w:type="dxa"/>
            <w:vAlign w:val="center"/>
          </w:tcPr>
          <w:p>
            <w:pPr>
              <w:jc w:val="center"/>
              <w:rPr>
                <w:color w:val="auto"/>
              </w:rPr>
            </w:pPr>
            <w:r>
              <w:rPr>
                <w:color w:val="auto"/>
              </w:rPr>
              <w:t>1100</w:t>
            </w:r>
          </w:p>
        </w:tc>
        <w:tc>
          <w:tcPr>
            <w:tcW w:w="1320"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0.00008284</w:t>
            </w:r>
          </w:p>
        </w:tc>
        <w:tc>
          <w:tcPr>
            <w:tcW w:w="1035" w:type="dxa"/>
            <w:tcBorders>
              <w:top w:val="nil"/>
              <w:left w:val="nil"/>
              <w:bottom w:val="single" w:color="auto" w:sz="8" w:space="0"/>
              <w:right w:val="single" w:color="auto" w:sz="8" w:space="0"/>
            </w:tcBorders>
            <w:vAlign w:val="center"/>
          </w:tcPr>
          <w:p>
            <w:pPr>
              <w:jc w:val="center"/>
              <w:rPr>
                <w:color w:val="auto"/>
              </w:rPr>
            </w:pPr>
            <w:r>
              <w:rPr>
                <w:color w:val="auto"/>
              </w:rPr>
              <w:t>0.01</w:t>
            </w:r>
          </w:p>
        </w:tc>
        <w:tc>
          <w:tcPr>
            <w:tcW w:w="124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0.00001894</w:t>
            </w:r>
          </w:p>
        </w:tc>
        <w:tc>
          <w:tcPr>
            <w:tcW w:w="127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0.03</w:t>
            </w:r>
          </w:p>
        </w:tc>
        <w:tc>
          <w:tcPr>
            <w:tcW w:w="140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0.0004556</w:t>
            </w:r>
          </w:p>
        </w:tc>
        <w:tc>
          <w:tcPr>
            <w:tcW w:w="1219"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 w:hRule="atLeast"/>
          <w:jc w:val="center"/>
        </w:trPr>
        <w:tc>
          <w:tcPr>
            <w:tcW w:w="1454" w:type="dxa"/>
            <w:vAlign w:val="center"/>
          </w:tcPr>
          <w:p>
            <w:pPr>
              <w:jc w:val="center"/>
              <w:rPr>
                <w:color w:val="auto"/>
              </w:rPr>
            </w:pPr>
            <w:r>
              <w:rPr>
                <w:color w:val="auto"/>
              </w:rPr>
              <w:t>1200</w:t>
            </w:r>
          </w:p>
        </w:tc>
        <w:tc>
          <w:tcPr>
            <w:tcW w:w="1320"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0.00007748</w:t>
            </w:r>
          </w:p>
        </w:tc>
        <w:tc>
          <w:tcPr>
            <w:tcW w:w="1035" w:type="dxa"/>
            <w:tcBorders>
              <w:top w:val="nil"/>
              <w:left w:val="nil"/>
              <w:bottom w:val="single" w:color="auto" w:sz="8" w:space="0"/>
              <w:right w:val="single" w:color="auto" w:sz="8" w:space="0"/>
            </w:tcBorders>
            <w:vAlign w:val="center"/>
          </w:tcPr>
          <w:p>
            <w:pPr>
              <w:jc w:val="center"/>
              <w:rPr>
                <w:color w:val="auto"/>
              </w:rPr>
            </w:pPr>
            <w:r>
              <w:rPr>
                <w:color w:val="auto"/>
              </w:rPr>
              <w:t>0.01</w:t>
            </w:r>
          </w:p>
        </w:tc>
        <w:tc>
          <w:tcPr>
            <w:tcW w:w="124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0.00001771</w:t>
            </w:r>
          </w:p>
        </w:tc>
        <w:tc>
          <w:tcPr>
            <w:tcW w:w="127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0.03</w:t>
            </w:r>
          </w:p>
        </w:tc>
        <w:tc>
          <w:tcPr>
            <w:tcW w:w="140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0.0004261</w:t>
            </w:r>
          </w:p>
        </w:tc>
        <w:tc>
          <w:tcPr>
            <w:tcW w:w="1219"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 w:hRule="atLeast"/>
          <w:jc w:val="center"/>
        </w:trPr>
        <w:tc>
          <w:tcPr>
            <w:tcW w:w="1454" w:type="dxa"/>
            <w:vAlign w:val="center"/>
          </w:tcPr>
          <w:p>
            <w:pPr>
              <w:jc w:val="center"/>
              <w:rPr>
                <w:color w:val="auto"/>
              </w:rPr>
            </w:pPr>
            <w:r>
              <w:rPr>
                <w:color w:val="auto"/>
              </w:rPr>
              <w:t>1300</w:t>
            </w:r>
          </w:p>
        </w:tc>
        <w:tc>
          <w:tcPr>
            <w:tcW w:w="1320"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0.00007244</w:t>
            </w:r>
          </w:p>
        </w:tc>
        <w:tc>
          <w:tcPr>
            <w:tcW w:w="1035" w:type="dxa"/>
            <w:tcBorders>
              <w:top w:val="nil"/>
              <w:left w:val="nil"/>
              <w:bottom w:val="single" w:color="auto" w:sz="8" w:space="0"/>
              <w:right w:val="single" w:color="auto" w:sz="8" w:space="0"/>
            </w:tcBorders>
            <w:vAlign w:val="center"/>
          </w:tcPr>
          <w:p>
            <w:pPr>
              <w:jc w:val="center"/>
              <w:rPr>
                <w:color w:val="auto"/>
              </w:rPr>
            </w:pPr>
            <w:r>
              <w:rPr>
                <w:color w:val="auto"/>
              </w:rPr>
              <w:t>0.01</w:t>
            </w:r>
          </w:p>
        </w:tc>
        <w:tc>
          <w:tcPr>
            <w:tcW w:w="124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0.00001656</w:t>
            </w:r>
          </w:p>
        </w:tc>
        <w:tc>
          <w:tcPr>
            <w:tcW w:w="127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0.03</w:t>
            </w:r>
          </w:p>
        </w:tc>
        <w:tc>
          <w:tcPr>
            <w:tcW w:w="140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0.0003984</w:t>
            </w:r>
          </w:p>
        </w:tc>
        <w:tc>
          <w:tcPr>
            <w:tcW w:w="1219"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 w:hRule="atLeast"/>
          <w:jc w:val="center"/>
        </w:trPr>
        <w:tc>
          <w:tcPr>
            <w:tcW w:w="1454" w:type="dxa"/>
            <w:vAlign w:val="center"/>
          </w:tcPr>
          <w:p>
            <w:pPr>
              <w:jc w:val="center"/>
              <w:rPr>
                <w:color w:val="auto"/>
              </w:rPr>
            </w:pPr>
            <w:r>
              <w:rPr>
                <w:color w:val="auto"/>
              </w:rPr>
              <w:t>1400</w:t>
            </w:r>
          </w:p>
        </w:tc>
        <w:tc>
          <w:tcPr>
            <w:tcW w:w="1320"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0.00006779</w:t>
            </w:r>
          </w:p>
        </w:tc>
        <w:tc>
          <w:tcPr>
            <w:tcW w:w="1035" w:type="dxa"/>
            <w:tcBorders>
              <w:top w:val="nil"/>
              <w:left w:val="nil"/>
              <w:bottom w:val="single" w:color="auto" w:sz="8" w:space="0"/>
              <w:right w:val="single" w:color="auto" w:sz="8" w:space="0"/>
            </w:tcBorders>
            <w:vAlign w:val="center"/>
          </w:tcPr>
          <w:p>
            <w:pPr>
              <w:jc w:val="center"/>
              <w:rPr>
                <w:color w:val="auto"/>
              </w:rPr>
            </w:pPr>
            <w:r>
              <w:rPr>
                <w:color w:val="auto"/>
              </w:rPr>
              <w:t>0.01</w:t>
            </w:r>
          </w:p>
        </w:tc>
        <w:tc>
          <w:tcPr>
            <w:tcW w:w="124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0.0000155</w:t>
            </w:r>
          </w:p>
        </w:tc>
        <w:tc>
          <w:tcPr>
            <w:tcW w:w="127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0.03</w:t>
            </w:r>
          </w:p>
        </w:tc>
        <w:tc>
          <w:tcPr>
            <w:tcW w:w="140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0.0003729</w:t>
            </w:r>
          </w:p>
        </w:tc>
        <w:tc>
          <w:tcPr>
            <w:tcW w:w="1219"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 w:hRule="atLeast"/>
          <w:jc w:val="center"/>
        </w:trPr>
        <w:tc>
          <w:tcPr>
            <w:tcW w:w="1454" w:type="dxa"/>
            <w:vAlign w:val="center"/>
          </w:tcPr>
          <w:p>
            <w:pPr>
              <w:jc w:val="center"/>
              <w:rPr>
                <w:color w:val="auto"/>
              </w:rPr>
            </w:pPr>
            <w:r>
              <w:rPr>
                <w:color w:val="auto"/>
              </w:rPr>
              <w:t>1500</w:t>
            </w:r>
          </w:p>
        </w:tc>
        <w:tc>
          <w:tcPr>
            <w:tcW w:w="1320"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0.00006355</w:t>
            </w:r>
          </w:p>
        </w:tc>
        <w:tc>
          <w:tcPr>
            <w:tcW w:w="1035" w:type="dxa"/>
            <w:tcBorders>
              <w:top w:val="nil"/>
              <w:left w:val="nil"/>
              <w:bottom w:val="single" w:color="auto" w:sz="8" w:space="0"/>
              <w:right w:val="single" w:color="auto" w:sz="8" w:space="0"/>
            </w:tcBorders>
            <w:vAlign w:val="center"/>
          </w:tcPr>
          <w:p>
            <w:pPr>
              <w:jc w:val="center"/>
              <w:rPr>
                <w:color w:val="auto"/>
              </w:rPr>
            </w:pPr>
            <w:r>
              <w:rPr>
                <w:color w:val="auto"/>
              </w:rPr>
              <w:t>0.01</w:t>
            </w:r>
          </w:p>
        </w:tc>
        <w:tc>
          <w:tcPr>
            <w:tcW w:w="124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0.00001452</w:t>
            </w:r>
          </w:p>
        </w:tc>
        <w:tc>
          <w:tcPr>
            <w:tcW w:w="127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0.02</w:t>
            </w:r>
          </w:p>
        </w:tc>
        <w:tc>
          <w:tcPr>
            <w:tcW w:w="140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0.0003495</w:t>
            </w:r>
          </w:p>
        </w:tc>
        <w:tc>
          <w:tcPr>
            <w:tcW w:w="1219"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 w:hRule="atLeast"/>
          <w:jc w:val="center"/>
        </w:trPr>
        <w:tc>
          <w:tcPr>
            <w:tcW w:w="1454" w:type="dxa"/>
            <w:vAlign w:val="center"/>
          </w:tcPr>
          <w:p>
            <w:pPr>
              <w:jc w:val="center"/>
              <w:rPr>
                <w:color w:val="auto"/>
              </w:rPr>
            </w:pPr>
            <w:r>
              <w:rPr>
                <w:color w:val="auto"/>
              </w:rPr>
              <w:t>1600</w:t>
            </w:r>
          </w:p>
        </w:tc>
        <w:tc>
          <w:tcPr>
            <w:tcW w:w="1320"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0.00005968</w:t>
            </w:r>
          </w:p>
        </w:tc>
        <w:tc>
          <w:tcPr>
            <w:tcW w:w="1035" w:type="dxa"/>
            <w:tcBorders>
              <w:top w:val="nil"/>
              <w:left w:val="nil"/>
              <w:bottom w:val="single" w:color="auto" w:sz="8" w:space="0"/>
              <w:right w:val="single" w:color="auto" w:sz="8" w:space="0"/>
            </w:tcBorders>
            <w:vAlign w:val="center"/>
          </w:tcPr>
          <w:p>
            <w:pPr>
              <w:jc w:val="center"/>
              <w:rPr>
                <w:color w:val="auto"/>
              </w:rPr>
            </w:pPr>
            <w:r>
              <w:rPr>
                <w:color w:val="auto"/>
              </w:rPr>
              <w:t>0.01</w:t>
            </w:r>
          </w:p>
        </w:tc>
        <w:tc>
          <w:tcPr>
            <w:tcW w:w="124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0.00001364</w:t>
            </w:r>
          </w:p>
        </w:tc>
        <w:tc>
          <w:tcPr>
            <w:tcW w:w="127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0.02</w:t>
            </w:r>
          </w:p>
        </w:tc>
        <w:tc>
          <w:tcPr>
            <w:tcW w:w="140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0.0003282</w:t>
            </w:r>
          </w:p>
        </w:tc>
        <w:tc>
          <w:tcPr>
            <w:tcW w:w="1219"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 w:hRule="atLeast"/>
          <w:jc w:val="center"/>
        </w:trPr>
        <w:tc>
          <w:tcPr>
            <w:tcW w:w="1454" w:type="dxa"/>
            <w:vAlign w:val="center"/>
          </w:tcPr>
          <w:p>
            <w:pPr>
              <w:jc w:val="center"/>
              <w:rPr>
                <w:color w:val="auto"/>
              </w:rPr>
            </w:pPr>
            <w:r>
              <w:rPr>
                <w:color w:val="auto"/>
              </w:rPr>
              <w:t>1700</w:t>
            </w:r>
          </w:p>
        </w:tc>
        <w:tc>
          <w:tcPr>
            <w:tcW w:w="1320"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0.00005617</w:t>
            </w:r>
          </w:p>
        </w:tc>
        <w:tc>
          <w:tcPr>
            <w:tcW w:w="1035" w:type="dxa"/>
            <w:tcBorders>
              <w:top w:val="nil"/>
              <w:left w:val="nil"/>
              <w:bottom w:val="single" w:color="auto" w:sz="8" w:space="0"/>
              <w:right w:val="single" w:color="auto" w:sz="8" w:space="0"/>
            </w:tcBorders>
            <w:vAlign w:val="center"/>
          </w:tcPr>
          <w:p>
            <w:pPr>
              <w:jc w:val="center"/>
              <w:rPr>
                <w:color w:val="auto"/>
              </w:rPr>
            </w:pPr>
            <w:r>
              <w:rPr>
                <w:color w:val="auto"/>
              </w:rPr>
              <w:t>0.01</w:t>
            </w:r>
          </w:p>
        </w:tc>
        <w:tc>
          <w:tcPr>
            <w:tcW w:w="124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0.00001284</w:t>
            </w:r>
          </w:p>
        </w:tc>
        <w:tc>
          <w:tcPr>
            <w:tcW w:w="127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0.02</w:t>
            </w:r>
          </w:p>
        </w:tc>
        <w:tc>
          <w:tcPr>
            <w:tcW w:w="140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0.0003089</w:t>
            </w:r>
          </w:p>
        </w:tc>
        <w:tc>
          <w:tcPr>
            <w:tcW w:w="1219"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 w:hRule="atLeast"/>
          <w:jc w:val="center"/>
        </w:trPr>
        <w:tc>
          <w:tcPr>
            <w:tcW w:w="1454" w:type="dxa"/>
            <w:vAlign w:val="center"/>
          </w:tcPr>
          <w:p>
            <w:pPr>
              <w:jc w:val="center"/>
              <w:rPr>
                <w:color w:val="auto"/>
              </w:rPr>
            </w:pPr>
            <w:r>
              <w:rPr>
                <w:color w:val="auto"/>
              </w:rPr>
              <w:t>1800</w:t>
            </w:r>
          </w:p>
        </w:tc>
        <w:tc>
          <w:tcPr>
            <w:tcW w:w="1320"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0.00005297</w:t>
            </w:r>
          </w:p>
        </w:tc>
        <w:tc>
          <w:tcPr>
            <w:tcW w:w="1035" w:type="dxa"/>
            <w:tcBorders>
              <w:top w:val="nil"/>
              <w:left w:val="nil"/>
              <w:bottom w:val="single" w:color="auto" w:sz="8" w:space="0"/>
              <w:right w:val="single" w:color="auto" w:sz="8" w:space="0"/>
            </w:tcBorders>
            <w:vAlign w:val="center"/>
          </w:tcPr>
          <w:p>
            <w:pPr>
              <w:jc w:val="center"/>
              <w:rPr>
                <w:color w:val="auto"/>
              </w:rPr>
            </w:pPr>
            <w:r>
              <w:rPr>
                <w:color w:val="auto"/>
              </w:rPr>
              <w:t>0.01</w:t>
            </w:r>
          </w:p>
        </w:tc>
        <w:tc>
          <w:tcPr>
            <w:tcW w:w="124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0.00001211</w:t>
            </w:r>
          </w:p>
        </w:tc>
        <w:tc>
          <w:tcPr>
            <w:tcW w:w="127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0.02</w:t>
            </w:r>
          </w:p>
        </w:tc>
        <w:tc>
          <w:tcPr>
            <w:tcW w:w="140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0.0002914</w:t>
            </w:r>
          </w:p>
        </w:tc>
        <w:tc>
          <w:tcPr>
            <w:tcW w:w="1219"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 w:hRule="atLeast"/>
          <w:jc w:val="center"/>
        </w:trPr>
        <w:tc>
          <w:tcPr>
            <w:tcW w:w="1454" w:type="dxa"/>
            <w:vAlign w:val="center"/>
          </w:tcPr>
          <w:p>
            <w:pPr>
              <w:jc w:val="center"/>
              <w:rPr>
                <w:color w:val="auto"/>
              </w:rPr>
            </w:pPr>
            <w:r>
              <w:rPr>
                <w:color w:val="auto"/>
              </w:rPr>
              <w:t>1900</w:t>
            </w:r>
          </w:p>
        </w:tc>
        <w:tc>
          <w:tcPr>
            <w:tcW w:w="1320"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0.00005007</w:t>
            </w:r>
          </w:p>
        </w:tc>
        <w:tc>
          <w:tcPr>
            <w:tcW w:w="1035" w:type="dxa"/>
            <w:tcBorders>
              <w:top w:val="nil"/>
              <w:left w:val="nil"/>
              <w:bottom w:val="single" w:color="auto" w:sz="8" w:space="0"/>
              <w:right w:val="single" w:color="auto" w:sz="8" w:space="0"/>
            </w:tcBorders>
            <w:vAlign w:val="center"/>
          </w:tcPr>
          <w:p>
            <w:pPr>
              <w:jc w:val="center"/>
              <w:rPr>
                <w:color w:val="auto"/>
              </w:rPr>
            </w:pPr>
            <w:r>
              <w:rPr>
                <w:color w:val="auto"/>
              </w:rPr>
              <w:t>0.01</w:t>
            </w:r>
          </w:p>
        </w:tc>
        <w:tc>
          <w:tcPr>
            <w:tcW w:w="124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0.00001145</w:t>
            </w:r>
          </w:p>
        </w:tc>
        <w:tc>
          <w:tcPr>
            <w:tcW w:w="127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0.02</w:t>
            </w:r>
          </w:p>
        </w:tc>
        <w:tc>
          <w:tcPr>
            <w:tcW w:w="140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0.0002754</w:t>
            </w:r>
          </w:p>
        </w:tc>
        <w:tc>
          <w:tcPr>
            <w:tcW w:w="1219"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 w:hRule="atLeast"/>
          <w:jc w:val="center"/>
        </w:trPr>
        <w:tc>
          <w:tcPr>
            <w:tcW w:w="1454" w:type="dxa"/>
            <w:vAlign w:val="center"/>
          </w:tcPr>
          <w:p>
            <w:pPr>
              <w:jc w:val="center"/>
              <w:rPr>
                <w:color w:val="auto"/>
              </w:rPr>
            </w:pPr>
            <w:r>
              <w:rPr>
                <w:color w:val="auto"/>
              </w:rPr>
              <w:t>2000</w:t>
            </w:r>
          </w:p>
        </w:tc>
        <w:tc>
          <w:tcPr>
            <w:tcW w:w="1320"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0.00004743</w:t>
            </w:r>
          </w:p>
        </w:tc>
        <w:tc>
          <w:tcPr>
            <w:tcW w:w="1035" w:type="dxa"/>
            <w:tcBorders>
              <w:top w:val="nil"/>
              <w:left w:val="nil"/>
              <w:bottom w:val="single" w:color="auto" w:sz="8" w:space="0"/>
              <w:right w:val="single" w:color="auto" w:sz="8" w:space="0"/>
            </w:tcBorders>
            <w:vAlign w:val="center"/>
          </w:tcPr>
          <w:p>
            <w:pPr>
              <w:jc w:val="center"/>
              <w:rPr>
                <w:color w:val="auto"/>
              </w:rPr>
            </w:pPr>
            <w:r>
              <w:rPr>
                <w:color w:val="auto"/>
              </w:rPr>
              <w:t>0.01</w:t>
            </w:r>
          </w:p>
        </w:tc>
        <w:tc>
          <w:tcPr>
            <w:tcW w:w="124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0.00001084</w:t>
            </w:r>
          </w:p>
        </w:tc>
        <w:tc>
          <w:tcPr>
            <w:tcW w:w="127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0.02</w:t>
            </w:r>
          </w:p>
        </w:tc>
        <w:tc>
          <w:tcPr>
            <w:tcW w:w="140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0.0002609</w:t>
            </w:r>
          </w:p>
        </w:tc>
        <w:tc>
          <w:tcPr>
            <w:tcW w:w="1219"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 w:hRule="atLeast"/>
          <w:jc w:val="center"/>
        </w:trPr>
        <w:tc>
          <w:tcPr>
            <w:tcW w:w="1454" w:type="dxa"/>
            <w:vAlign w:val="center"/>
          </w:tcPr>
          <w:p>
            <w:pPr>
              <w:jc w:val="center"/>
              <w:rPr>
                <w:color w:val="auto"/>
              </w:rPr>
            </w:pPr>
            <w:r>
              <w:rPr>
                <w:color w:val="auto"/>
              </w:rPr>
              <w:t>2100</w:t>
            </w:r>
          </w:p>
        </w:tc>
        <w:tc>
          <w:tcPr>
            <w:tcW w:w="1320"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0.00004502</w:t>
            </w:r>
          </w:p>
        </w:tc>
        <w:tc>
          <w:tcPr>
            <w:tcW w:w="1035" w:type="dxa"/>
            <w:tcBorders>
              <w:top w:val="nil"/>
              <w:left w:val="nil"/>
              <w:bottom w:val="single" w:color="auto" w:sz="8" w:space="0"/>
              <w:right w:val="single" w:color="auto" w:sz="8" w:space="0"/>
            </w:tcBorders>
            <w:vAlign w:val="center"/>
          </w:tcPr>
          <w:p>
            <w:pPr>
              <w:jc w:val="center"/>
              <w:rPr>
                <w:color w:val="auto"/>
              </w:rPr>
            </w:pPr>
            <w:r>
              <w:rPr>
                <w:color w:val="auto"/>
              </w:rPr>
              <w:t>0.01</w:t>
            </w:r>
          </w:p>
        </w:tc>
        <w:tc>
          <w:tcPr>
            <w:tcW w:w="124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0.00001029</w:t>
            </w:r>
          </w:p>
        </w:tc>
        <w:tc>
          <w:tcPr>
            <w:tcW w:w="127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0.02</w:t>
            </w:r>
          </w:p>
        </w:tc>
        <w:tc>
          <w:tcPr>
            <w:tcW w:w="140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0.0002476</w:t>
            </w:r>
          </w:p>
        </w:tc>
        <w:tc>
          <w:tcPr>
            <w:tcW w:w="1219"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 w:hRule="atLeast"/>
          <w:jc w:val="center"/>
        </w:trPr>
        <w:tc>
          <w:tcPr>
            <w:tcW w:w="1454" w:type="dxa"/>
            <w:vAlign w:val="center"/>
          </w:tcPr>
          <w:p>
            <w:pPr>
              <w:jc w:val="center"/>
              <w:rPr>
                <w:color w:val="auto"/>
              </w:rPr>
            </w:pPr>
            <w:r>
              <w:rPr>
                <w:color w:val="auto"/>
              </w:rPr>
              <w:t>2200</w:t>
            </w:r>
          </w:p>
        </w:tc>
        <w:tc>
          <w:tcPr>
            <w:tcW w:w="1320"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0.00004281</w:t>
            </w:r>
          </w:p>
        </w:tc>
        <w:tc>
          <w:tcPr>
            <w:tcW w:w="1035" w:type="dxa"/>
            <w:tcBorders>
              <w:top w:val="nil"/>
              <w:left w:val="nil"/>
              <w:bottom w:val="single" w:color="auto" w:sz="8" w:space="0"/>
              <w:right w:val="single" w:color="auto" w:sz="8" w:space="0"/>
            </w:tcBorders>
            <w:vAlign w:val="center"/>
          </w:tcPr>
          <w:p>
            <w:pPr>
              <w:jc w:val="center"/>
              <w:rPr>
                <w:color w:val="auto"/>
              </w:rPr>
            </w:pPr>
            <w:r>
              <w:rPr>
                <w:color w:val="auto"/>
              </w:rPr>
              <w:t>0.01</w:t>
            </w:r>
          </w:p>
        </w:tc>
        <w:tc>
          <w:tcPr>
            <w:tcW w:w="124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0.00000978</w:t>
            </w:r>
          </w:p>
        </w:tc>
        <w:tc>
          <w:tcPr>
            <w:tcW w:w="127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0.02</w:t>
            </w:r>
          </w:p>
        </w:tc>
        <w:tc>
          <w:tcPr>
            <w:tcW w:w="140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0.0002354</w:t>
            </w:r>
          </w:p>
        </w:tc>
        <w:tc>
          <w:tcPr>
            <w:tcW w:w="1219"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 w:hRule="atLeast"/>
          <w:jc w:val="center"/>
        </w:trPr>
        <w:tc>
          <w:tcPr>
            <w:tcW w:w="1454" w:type="dxa"/>
            <w:vAlign w:val="center"/>
          </w:tcPr>
          <w:p>
            <w:pPr>
              <w:jc w:val="center"/>
              <w:rPr>
                <w:color w:val="auto"/>
              </w:rPr>
            </w:pPr>
            <w:r>
              <w:rPr>
                <w:color w:val="auto"/>
              </w:rPr>
              <w:t>2300</w:t>
            </w:r>
          </w:p>
        </w:tc>
        <w:tc>
          <w:tcPr>
            <w:tcW w:w="1320"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0.00004078</w:t>
            </w:r>
          </w:p>
        </w:tc>
        <w:tc>
          <w:tcPr>
            <w:tcW w:w="1035" w:type="dxa"/>
            <w:tcBorders>
              <w:top w:val="nil"/>
              <w:left w:val="nil"/>
              <w:bottom w:val="single" w:color="auto" w:sz="8" w:space="0"/>
              <w:right w:val="single" w:color="auto" w:sz="8" w:space="0"/>
            </w:tcBorders>
            <w:vAlign w:val="center"/>
          </w:tcPr>
          <w:p>
            <w:pPr>
              <w:jc w:val="center"/>
              <w:rPr>
                <w:color w:val="auto"/>
              </w:rPr>
            </w:pPr>
            <w:r>
              <w:rPr>
                <w:color w:val="auto"/>
              </w:rPr>
              <w:t>0.01</w:t>
            </w:r>
          </w:p>
        </w:tc>
        <w:tc>
          <w:tcPr>
            <w:tcW w:w="124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0.00000932</w:t>
            </w:r>
          </w:p>
        </w:tc>
        <w:tc>
          <w:tcPr>
            <w:tcW w:w="127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0.02</w:t>
            </w:r>
          </w:p>
        </w:tc>
        <w:tc>
          <w:tcPr>
            <w:tcW w:w="140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0.0002243</w:t>
            </w:r>
          </w:p>
        </w:tc>
        <w:tc>
          <w:tcPr>
            <w:tcW w:w="1219"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 w:hRule="atLeast"/>
          <w:jc w:val="center"/>
        </w:trPr>
        <w:tc>
          <w:tcPr>
            <w:tcW w:w="1454" w:type="dxa"/>
            <w:vAlign w:val="center"/>
          </w:tcPr>
          <w:p>
            <w:pPr>
              <w:jc w:val="center"/>
              <w:rPr>
                <w:color w:val="auto"/>
              </w:rPr>
            </w:pPr>
            <w:r>
              <w:rPr>
                <w:color w:val="auto"/>
              </w:rPr>
              <w:t>2400</w:t>
            </w:r>
          </w:p>
        </w:tc>
        <w:tc>
          <w:tcPr>
            <w:tcW w:w="1320"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0.00003892</w:t>
            </w:r>
          </w:p>
        </w:tc>
        <w:tc>
          <w:tcPr>
            <w:tcW w:w="1035" w:type="dxa"/>
            <w:tcBorders>
              <w:top w:val="nil"/>
              <w:left w:val="nil"/>
              <w:bottom w:val="single" w:color="auto" w:sz="8" w:space="0"/>
              <w:right w:val="single" w:color="auto" w:sz="8" w:space="0"/>
            </w:tcBorders>
            <w:vAlign w:val="center"/>
          </w:tcPr>
          <w:p>
            <w:pPr>
              <w:jc w:val="center"/>
              <w:rPr>
                <w:color w:val="auto"/>
              </w:rPr>
            </w:pPr>
            <w:r>
              <w:rPr>
                <w:color w:val="auto"/>
              </w:rPr>
              <w:t>0.01</w:t>
            </w:r>
          </w:p>
        </w:tc>
        <w:tc>
          <w:tcPr>
            <w:tcW w:w="124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0.00000889</w:t>
            </w:r>
          </w:p>
        </w:tc>
        <w:tc>
          <w:tcPr>
            <w:tcW w:w="127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0.01</w:t>
            </w:r>
          </w:p>
        </w:tc>
        <w:tc>
          <w:tcPr>
            <w:tcW w:w="140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0.0002141</w:t>
            </w:r>
          </w:p>
        </w:tc>
        <w:tc>
          <w:tcPr>
            <w:tcW w:w="1219"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 w:hRule="atLeast"/>
          <w:jc w:val="center"/>
        </w:trPr>
        <w:tc>
          <w:tcPr>
            <w:tcW w:w="1454" w:type="dxa"/>
            <w:vAlign w:val="center"/>
          </w:tcPr>
          <w:p>
            <w:pPr>
              <w:jc w:val="center"/>
              <w:rPr>
                <w:color w:val="auto"/>
              </w:rPr>
            </w:pPr>
            <w:r>
              <w:rPr>
                <w:color w:val="auto"/>
              </w:rPr>
              <w:t>2500</w:t>
            </w:r>
          </w:p>
        </w:tc>
        <w:tc>
          <w:tcPr>
            <w:tcW w:w="1320"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0.00003721</w:t>
            </w:r>
          </w:p>
        </w:tc>
        <w:tc>
          <w:tcPr>
            <w:tcW w:w="1035" w:type="dxa"/>
            <w:tcBorders>
              <w:top w:val="nil"/>
              <w:left w:val="nil"/>
              <w:bottom w:val="single" w:color="auto" w:sz="8" w:space="0"/>
              <w:right w:val="single" w:color="auto" w:sz="8" w:space="0"/>
            </w:tcBorders>
            <w:vAlign w:val="center"/>
          </w:tcPr>
          <w:p>
            <w:pPr>
              <w:jc w:val="center"/>
              <w:rPr>
                <w:color w:val="auto"/>
              </w:rPr>
            </w:pPr>
            <w:r>
              <w:rPr>
                <w:color w:val="auto"/>
              </w:rPr>
              <w:t>0.01</w:t>
            </w:r>
          </w:p>
        </w:tc>
        <w:tc>
          <w:tcPr>
            <w:tcW w:w="124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0.00000850</w:t>
            </w:r>
          </w:p>
        </w:tc>
        <w:tc>
          <w:tcPr>
            <w:tcW w:w="127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0.01</w:t>
            </w:r>
          </w:p>
        </w:tc>
        <w:tc>
          <w:tcPr>
            <w:tcW w:w="140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0.0002047</w:t>
            </w:r>
          </w:p>
        </w:tc>
        <w:tc>
          <w:tcPr>
            <w:tcW w:w="1219"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 w:hRule="atLeast"/>
          <w:jc w:val="center"/>
        </w:trPr>
        <w:tc>
          <w:tcPr>
            <w:tcW w:w="1454" w:type="dxa"/>
            <w:vAlign w:val="center"/>
          </w:tcPr>
          <w:p>
            <w:pPr>
              <w:jc w:val="center"/>
              <w:rPr>
                <w:color w:val="auto"/>
              </w:rPr>
            </w:pPr>
            <w:r>
              <w:rPr>
                <w:color w:val="auto"/>
              </w:rPr>
              <w:t>下风向最大质量浓度及占标率/%</w:t>
            </w:r>
          </w:p>
        </w:tc>
        <w:tc>
          <w:tcPr>
            <w:tcW w:w="1320" w:type="dxa"/>
            <w:tcBorders>
              <w:top w:val="nil"/>
              <w:left w:val="nil"/>
              <w:bottom w:val="single" w:color="auto" w:sz="8" w:space="0"/>
              <w:right w:val="single" w:color="auto" w:sz="8" w:space="0"/>
            </w:tcBorders>
            <w:vAlign w:val="center"/>
          </w:tcPr>
          <w:p>
            <w:pPr>
              <w:jc w:val="center"/>
              <w:rPr>
                <w:color w:val="auto"/>
              </w:rPr>
            </w:pPr>
            <w:r>
              <w:rPr>
                <w:color w:val="auto"/>
              </w:rPr>
              <w:t>0.00000845</w:t>
            </w:r>
          </w:p>
        </w:tc>
        <w:tc>
          <w:tcPr>
            <w:tcW w:w="1035" w:type="dxa"/>
            <w:tcBorders>
              <w:top w:val="nil"/>
              <w:left w:val="nil"/>
              <w:bottom w:val="single" w:color="auto" w:sz="8" w:space="0"/>
              <w:right w:val="single" w:color="auto" w:sz="8" w:space="0"/>
            </w:tcBorders>
            <w:vAlign w:val="center"/>
          </w:tcPr>
          <w:p>
            <w:pPr>
              <w:jc w:val="center"/>
              <w:rPr>
                <w:color w:val="auto"/>
              </w:rPr>
            </w:pPr>
            <w:r>
              <w:rPr>
                <w:color w:val="auto"/>
              </w:rPr>
              <w:t>0.01</w:t>
            </w:r>
          </w:p>
        </w:tc>
        <w:tc>
          <w:tcPr>
            <w:tcW w:w="1245" w:type="dxa"/>
            <w:tcBorders>
              <w:top w:val="nil"/>
              <w:left w:val="nil"/>
              <w:bottom w:val="single" w:color="auto" w:sz="8" w:space="0"/>
              <w:right w:val="single" w:color="auto" w:sz="8" w:space="0"/>
            </w:tcBorders>
            <w:vAlign w:val="center"/>
          </w:tcPr>
          <w:p>
            <w:pPr>
              <w:jc w:val="center"/>
              <w:rPr>
                <w:color w:val="auto"/>
              </w:rPr>
            </w:pPr>
            <w:r>
              <w:rPr>
                <w:rFonts w:hint="eastAsia"/>
                <w:color w:val="auto"/>
              </w:rPr>
              <w:t>0.00002455</w:t>
            </w:r>
          </w:p>
        </w:tc>
        <w:tc>
          <w:tcPr>
            <w:tcW w:w="1275" w:type="dxa"/>
            <w:tcBorders>
              <w:top w:val="nil"/>
              <w:left w:val="nil"/>
              <w:bottom w:val="single" w:color="auto" w:sz="8" w:space="0"/>
              <w:right w:val="single" w:color="auto" w:sz="8" w:space="0"/>
            </w:tcBorders>
            <w:vAlign w:val="center"/>
          </w:tcPr>
          <w:p>
            <w:pPr>
              <w:jc w:val="center"/>
              <w:rPr>
                <w:color w:val="auto"/>
              </w:rPr>
            </w:pPr>
            <w:r>
              <w:rPr>
                <w:color w:val="auto"/>
              </w:rPr>
              <w:t>0.01</w:t>
            </w:r>
          </w:p>
        </w:tc>
        <w:tc>
          <w:tcPr>
            <w:tcW w:w="1405" w:type="dxa"/>
            <w:tcBorders>
              <w:top w:val="nil"/>
              <w:left w:val="nil"/>
              <w:bottom w:val="single" w:color="auto" w:sz="8" w:space="0"/>
              <w:right w:val="single" w:color="auto" w:sz="8" w:space="0"/>
            </w:tcBorders>
            <w:vAlign w:val="center"/>
          </w:tcPr>
          <w:p>
            <w:pPr>
              <w:jc w:val="center"/>
              <w:rPr>
                <w:color w:val="auto"/>
              </w:rPr>
            </w:pPr>
            <w:r>
              <w:rPr>
                <w:rFonts w:hint="eastAsia"/>
                <w:color w:val="auto"/>
              </w:rPr>
              <w:t>9.468E-07</w:t>
            </w:r>
          </w:p>
        </w:tc>
        <w:tc>
          <w:tcPr>
            <w:tcW w:w="1219" w:type="dxa"/>
            <w:tcBorders>
              <w:top w:val="nil"/>
              <w:left w:val="nil"/>
              <w:bottom w:val="single" w:color="auto" w:sz="8" w:space="0"/>
              <w:right w:val="single" w:color="auto" w:sz="8" w:space="0"/>
            </w:tcBorders>
            <w:vAlign w:val="center"/>
          </w:tcPr>
          <w:p>
            <w:pPr>
              <w:jc w:val="center"/>
              <w:rPr>
                <w:color w:val="auto"/>
              </w:rPr>
            </w:pPr>
            <w:r>
              <w:rPr>
                <w:color w:val="auto"/>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 w:hRule="atLeast"/>
          <w:jc w:val="center"/>
        </w:trPr>
        <w:tc>
          <w:tcPr>
            <w:tcW w:w="1454" w:type="dxa"/>
            <w:vAlign w:val="center"/>
          </w:tcPr>
          <w:p>
            <w:pPr>
              <w:jc w:val="center"/>
              <w:rPr>
                <w:color w:val="auto"/>
              </w:rPr>
            </w:pPr>
            <w:r>
              <w:rPr>
                <w:color w:val="auto"/>
              </w:rPr>
              <w:t>D10%最远距离</w:t>
            </w:r>
          </w:p>
        </w:tc>
        <w:tc>
          <w:tcPr>
            <w:tcW w:w="2355" w:type="dxa"/>
            <w:gridSpan w:val="2"/>
            <w:vAlign w:val="center"/>
          </w:tcPr>
          <w:p>
            <w:pPr>
              <w:jc w:val="center"/>
              <w:rPr>
                <w:color w:val="auto"/>
              </w:rPr>
            </w:pPr>
            <w:r>
              <w:rPr>
                <w:color w:val="auto"/>
              </w:rPr>
              <w:t>—</w:t>
            </w:r>
          </w:p>
        </w:tc>
        <w:tc>
          <w:tcPr>
            <w:tcW w:w="2520" w:type="dxa"/>
            <w:gridSpan w:val="2"/>
            <w:vAlign w:val="center"/>
          </w:tcPr>
          <w:p>
            <w:pPr>
              <w:jc w:val="center"/>
              <w:rPr>
                <w:color w:val="auto"/>
              </w:rPr>
            </w:pPr>
            <w:r>
              <w:rPr>
                <w:color w:val="auto"/>
              </w:rPr>
              <w:t>—</w:t>
            </w:r>
          </w:p>
        </w:tc>
        <w:tc>
          <w:tcPr>
            <w:tcW w:w="2624" w:type="dxa"/>
            <w:gridSpan w:val="2"/>
            <w:vAlign w:val="center"/>
          </w:tcPr>
          <w:p>
            <w:pPr>
              <w:jc w:val="center"/>
              <w:rPr>
                <w:color w:val="auto"/>
              </w:rPr>
            </w:pPr>
            <w:r>
              <w:rPr>
                <w:color w:val="auto"/>
              </w:rPr>
              <w:t>—</w:t>
            </w:r>
          </w:p>
        </w:tc>
      </w:tr>
    </w:tbl>
    <w:p>
      <w:pPr>
        <w:spacing w:line="520" w:lineRule="exact"/>
        <w:jc w:val="center"/>
        <w:rPr>
          <w:rFonts w:hint="eastAsia"/>
          <w:b w:val="0"/>
          <w:bCs/>
          <w:color w:val="auto"/>
          <w:sz w:val="24"/>
        </w:rPr>
      </w:pPr>
    </w:p>
    <w:p>
      <w:pPr>
        <w:spacing w:line="520" w:lineRule="exact"/>
        <w:jc w:val="center"/>
        <w:rPr>
          <w:color w:val="auto"/>
          <w:lang w:val="en-US"/>
        </w:rPr>
      </w:pPr>
      <w:r>
        <w:rPr>
          <w:rFonts w:hint="eastAsia"/>
          <w:b/>
          <w:color w:val="auto"/>
          <w:sz w:val="24"/>
        </w:rPr>
        <w:t>表6</w:t>
      </w:r>
      <w:r>
        <w:rPr>
          <w:b/>
          <w:color w:val="auto"/>
          <w:sz w:val="24"/>
        </w:rPr>
        <w:t>-</w:t>
      </w:r>
      <w:r>
        <w:rPr>
          <w:rFonts w:hint="eastAsia"/>
          <w:b/>
          <w:color w:val="auto"/>
          <w:sz w:val="24"/>
          <w:lang w:val="en-US" w:eastAsia="zh-CN"/>
        </w:rPr>
        <w:t>10</w:t>
      </w:r>
      <w:r>
        <w:rPr>
          <w:rFonts w:hint="eastAsia"/>
          <w:b/>
          <w:color w:val="auto"/>
          <w:sz w:val="24"/>
        </w:rPr>
        <w:t xml:space="preserve"> </w:t>
      </w:r>
      <w:r>
        <w:rPr>
          <w:b/>
          <w:color w:val="auto"/>
          <w:sz w:val="24"/>
        </w:rPr>
        <w:t xml:space="preserve"> 无组织估算模型计算结果</w:t>
      </w:r>
    </w:p>
    <w:tbl>
      <w:tblPr>
        <w:tblStyle w:val="5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54"/>
        <w:gridCol w:w="1320"/>
        <w:gridCol w:w="1035"/>
        <w:gridCol w:w="1245"/>
        <w:gridCol w:w="1275"/>
        <w:gridCol w:w="1405"/>
        <w:gridCol w:w="12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8" w:hRule="atLeast"/>
          <w:jc w:val="center"/>
        </w:trPr>
        <w:tc>
          <w:tcPr>
            <w:tcW w:w="1454" w:type="dxa"/>
            <w:vMerge w:val="restart"/>
            <w:vAlign w:val="center"/>
          </w:tcPr>
          <w:p>
            <w:pPr>
              <w:jc w:val="center"/>
              <w:rPr>
                <w:color w:val="auto"/>
              </w:rPr>
            </w:pPr>
            <w:r>
              <w:rPr>
                <w:color w:val="auto"/>
              </w:rPr>
              <w:t>下风向距离(m)</w:t>
            </w:r>
          </w:p>
        </w:tc>
        <w:tc>
          <w:tcPr>
            <w:tcW w:w="2355" w:type="dxa"/>
            <w:gridSpan w:val="2"/>
            <w:vAlign w:val="center"/>
          </w:tcPr>
          <w:p>
            <w:pPr>
              <w:jc w:val="center"/>
              <w:rPr>
                <w:color w:val="auto"/>
              </w:rPr>
            </w:pPr>
            <w:r>
              <w:rPr>
                <w:color w:val="auto"/>
              </w:rPr>
              <w:t>颗粒物</w:t>
            </w:r>
            <w:r>
              <w:rPr>
                <w:rFonts w:hint="eastAsia"/>
                <w:color w:val="auto"/>
                <w:lang w:eastAsia="zh-CN"/>
              </w:rPr>
              <w:t>（</w:t>
            </w:r>
            <w:r>
              <w:rPr>
                <w:rFonts w:hint="eastAsia"/>
                <w:color w:val="auto"/>
                <w:lang w:val="en-US" w:eastAsia="zh-CN"/>
              </w:rPr>
              <w:t>无组织</w:t>
            </w:r>
            <w:r>
              <w:rPr>
                <w:rFonts w:hint="eastAsia"/>
                <w:color w:val="auto"/>
                <w:lang w:eastAsia="zh-CN"/>
              </w:rPr>
              <w:t>）</w:t>
            </w:r>
          </w:p>
        </w:tc>
        <w:tc>
          <w:tcPr>
            <w:tcW w:w="2520" w:type="dxa"/>
            <w:gridSpan w:val="2"/>
            <w:vAlign w:val="center"/>
          </w:tcPr>
          <w:p>
            <w:pPr>
              <w:jc w:val="center"/>
              <w:rPr>
                <w:color w:val="auto"/>
              </w:rPr>
            </w:pPr>
            <w:r>
              <w:rPr>
                <w:color w:val="auto"/>
              </w:rPr>
              <w:t>非甲烷总烃</w:t>
            </w:r>
            <w:r>
              <w:rPr>
                <w:rFonts w:hint="eastAsia"/>
                <w:color w:val="auto"/>
                <w:lang w:eastAsia="zh-CN"/>
              </w:rPr>
              <w:t>（</w:t>
            </w:r>
            <w:r>
              <w:rPr>
                <w:rFonts w:hint="eastAsia"/>
                <w:color w:val="auto"/>
                <w:lang w:val="en-US" w:eastAsia="zh-CN"/>
              </w:rPr>
              <w:t>无组织</w:t>
            </w:r>
            <w:r>
              <w:rPr>
                <w:rFonts w:hint="eastAsia"/>
                <w:color w:val="auto"/>
                <w:lang w:eastAsia="zh-CN"/>
              </w:rPr>
              <w:t>）</w:t>
            </w:r>
          </w:p>
        </w:tc>
        <w:tc>
          <w:tcPr>
            <w:tcW w:w="2624" w:type="dxa"/>
            <w:gridSpan w:val="2"/>
            <w:vAlign w:val="center"/>
          </w:tcPr>
          <w:p>
            <w:pPr>
              <w:jc w:val="center"/>
              <w:rPr>
                <w:color w:val="auto"/>
              </w:rPr>
            </w:pPr>
            <w:r>
              <w:rPr>
                <w:color w:val="auto"/>
              </w:rPr>
              <w:t>H2S</w:t>
            </w:r>
            <w:r>
              <w:rPr>
                <w:rFonts w:hint="eastAsia"/>
                <w:color w:val="auto"/>
                <w:lang w:eastAsia="zh-CN"/>
              </w:rPr>
              <w:t>（</w:t>
            </w:r>
            <w:r>
              <w:rPr>
                <w:rFonts w:hint="eastAsia"/>
                <w:color w:val="auto"/>
                <w:lang w:val="en-US" w:eastAsia="zh-CN"/>
              </w:rPr>
              <w:t>无组织</w:t>
            </w:r>
            <w:r>
              <w:rPr>
                <w:rFonts w:hint="eastAsia"/>
                <w:color w:val="auto"/>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7" w:hRule="atLeast"/>
          <w:jc w:val="center"/>
        </w:trPr>
        <w:tc>
          <w:tcPr>
            <w:tcW w:w="1454" w:type="dxa"/>
            <w:vMerge w:val="continue"/>
            <w:vAlign w:val="center"/>
          </w:tcPr>
          <w:p>
            <w:pPr>
              <w:jc w:val="center"/>
              <w:rPr>
                <w:color w:val="auto"/>
              </w:rPr>
            </w:pPr>
          </w:p>
        </w:tc>
        <w:tc>
          <w:tcPr>
            <w:tcW w:w="1320" w:type="dxa"/>
            <w:vAlign w:val="center"/>
          </w:tcPr>
          <w:p>
            <w:pPr>
              <w:jc w:val="center"/>
              <w:rPr>
                <w:color w:val="auto"/>
              </w:rPr>
            </w:pPr>
            <w:r>
              <w:rPr>
                <w:color w:val="auto"/>
              </w:rPr>
              <w:t>预测质量浓度/mg/m3</w:t>
            </w:r>
          </w:p>
        </w:tc>
        <w:tc>
          <w:tcPr>
            <w:tcW w:w="1035" w:type="dxa"/>
            <w:vAlign w:val="center"/>
          </w:tcPr>
          <w:p>
            <w:pPr>
              <w:jc w:val="center"/>
              <w:rPr>
                <w:color w:val="auto"/>
              </w:rPr>
            </w:pPr>
            <w:r>
              <w:rPr>
                <w:color w:val="auto"/>
              </w:rPr>
              <w:t>占标率/%</w:t>
            </w:r>
          </w:p>
        </w:tc>
        <w:tc>
          <w:tcPr>
            <w:tcW w:w="1245" w:type="dxa"/>
            <w:vAlign w:val="center"/>
          </w:tcPr>
          <w:p>
            <w:pPr>
              <w:jc w:val="center"/>
              <w:rPr>
                <w:color w:val="auto"/>
              </w:rPr>
            </w:pPr>
            <w:r>
              <w:rPr>
                <w:color w:val="auto"/>
              </w:rPr>
              <w:t>预测质量浓度/mg/m3</w:t>
            </w:r>
          </w:p>
        </w:tc>
        <w:tc>
          <w:tcPr>
            <w:tcW w:w="1275" w:type="dxa"/>
            <w:vAlign w:val="center"/>
          </w:tcPr>
          <w:p>
            <w:pPr>
              <w:jc w:val="center"/>
              <w:rPr>
                <w:color w:val="auto"/>
              </w:rPr>
            </w:pPr>
            <w:r>
              <w:rPr>
                <w:color w:val="auto"/>
              </w:rPr>
              <w:t>占标率/%</w:t>
            </w:r>
          </w:p>
        </w:tc>
        <w:tc>
          <w:tcPr>
            <w:tcW w:w="1405" w:type="dxa"/>
            <w:vAlign w:val="center"/>
          </w:tcPr>
          <w:p>
            <w:pPr>
              <w:jc w:val="center"/>
              <w:rPr>
                <w:color w:val="auto"/>
              </w:rPr>
            </w:pPr>
            <w:r>
              <w:rPr>
                <w:color w:val="auto"/>
              </w:rPr>
              <w:t>预测质量浓度/mg/m3</w:t>
            </w:r>
          </w:p>
        </w:tc>
        <w:tc>
          <w:tcPr>
            <w:tcW w:w="1219" w:type="dxa"/>
            <w:vAlign w:val="center"/>
          </w:tcPr>
          <w:p>
            <w:pPr>
              <w:jc w:val="center"/>
              <w:rPr>
                <w:color w:val="auto"/>
              </w:rPr>
            </w:pPr>
            <w:r>
              <w:rPr>
                <w:color w:val="auto"/>
              </w:rPr>
              <w:t>占标率/%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454" w:type="dxa"/>
            <w:vAlign w:val="center"/>
          </w:tcPr>
          <w:p>
            <w:pPr>
              <w:jc w:val="center"/>
              <w:rPr>
                <w:color w:val="auto"/>
              </w:rPr>
            </w:pPr>
            <w:r>
              <w:rPr>
                <w:rFonts w:hint="eastAsia"/>
                <w:color w:val="auto"/>
                <w:lang w:val="en-US" w:eastAsia="zh-CN"/>
              </w:rPr>
              <w:t>10</w:t>
            </w:r>
          </w:p>
        </w:tc>
        <w:tc>
          <w:tcPr>
            <w:tcW w:w="1320"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0.0003562</w:t>
            </w:r>
          </w:p>
        </w:tc>
        <w:tc>
          <w:tcPr>
            <w:tcW w:w="103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0.04</w:t>
            </w:r>
          </w:p>
        </w:tc>
        <w:tc>
          <w:tcPr>
            <w:tcW w:w="124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0.0112</w:t>
            </w:r>
          </w:p>
        </w:tc>
        <w:tc>
          <w:tcPr>
            <w:tcW w:w="127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0.56</w:t>
            </w:r>
          </w:p>
        </w:tc>
        <w:tc>
          <w:tcPr>
            <w:tcW w:w="140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0.00009176</w:t>
            </w:r>
          </w:p>
        </w:tc>
        <w:tc>
          <w:tcPr>
            <w:tcW w:w="1219"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 w:hRule="atLeast"/>
          <w:jc w:val="center"/>
        </w:trPr>
        <w:tc>
          <w:tcPr>
            <w:tcW w:w="1454" w:type="dxa"/>
            <w:vAlign w:val="center"/>
          </w:tcPr>
          <w:p>
            <w:pPr>
              <w:jc w:val="center"/>
              <w:rPr>
                <w:b/>
                <w:bCs/>
                <w:color w:val="auto"/>
              </w:rPr>
            </w:pPr>
            <w:r>
              <w:rPr>
                <w:rFonts w:hint="eastAsia"/>
                <w:b/>
                <w:bCs/>
                <w:color w:val="auto"/>
                <w:lang w:val="en-US" w:eastAsia="zh-CN"/>
              </w:rPr>
              <w:t>92</w:t>
            </w:r>
          </w:p>
        </w:tc>
        <w:tc>
          <w:tcPr>
            <w:tcW w:w="1320" w:type="dxa"/>
            <w:tcBorders>
              <w:top w:val="nil"/>
              <w:left w:val="nil"/>
              <w:bottom w:val="single" w:color="auto" w:sz="8" w:space="0"/>
              <w:right w:val="single" w:color="auto" w:sz="8" w:space="0"/>
            </w:tcBorders>
            <w:vAlign w:val="center"/>
          </w:tcPr>
          <w:p>
            <w:pPr>
              <w:jc w:val="center"/>
              <w:rPr>
                <w:b/>
                <w:bCs/>
                <w:color w:val="auto"/>
              </w:rPr>
            </w:pPr>
            <w:r>
              <w:rPr>
                <w:rFonts w:hint="eastAsia"/>
                <w:b/>
                <w:bCs/>
                <w:color w:val="auto"/>
                <w:lang w:val="en-US" w:eastAsia="zh-CN"/>
              </w:rPr>
              <w:t>0.0008865</w:t>
            </w:r>
          </w:p>
        </w:tc>
        <w:tc>
          <w:tcPr>
            <w:tcW w:w="1035" w:type="dxa"/>
            <w:tcBorders>
              <w:top w:val="nil"/>
              <w:left w:val="nil"/>
              <w:bottom w:val="single" w:color="auto" w:sz="8" w:space="0"/>
              <w:right w:val="single" w:color="auto" w:sz="8" w:space="0"/>
            </w:tcBorders>
            <w:vAlign w:val="center"/>
          </w:tcPr>
          <w:p>
            <w:pPr>
              <w:jc w:val="center"/>
              <w:rPr>
                <w:b/>
                <w:bCs/>
                <w:color w:val="auto"/>
              </w:rPr>
            </w:pPr>
            <w:r>
              <w:rPr>
                <w:rFonts w:hint="eastAsia"/>
                <w:b/>
                <w:bCs/>
                <w:color w:val="auto"/>
                <w:lang w:val="en-US" w:eastAsia="zh-CN"/>
              </w:rPr>
              <w:t>0.1</w:t>
            </w:r>
          </w:p>
        </w:tc>
        <w:tc>
          <w:tcPr>
            <w:tcW w:w="1245" w:type="dxa"/>
            <w:tcBorders>
              <w:top w:val="nil"/>
              <w:left w:val="nil"/>
              <w:bottom w:val="single" w:color="auto" w:sz="8" w:space="0"/>
              <w:right w:val="single" w:color="auto" w:sz="8" w:space="0"/>
            </w:tcBorders>
            <w:vAlign w:val="center"/>
          </w:tcPr>
          <w:p>
            <w:pPr>
              <w:jc w:val="center"/>
              <w:rPr>
                <w:b/>
                <w:bCs/>
                <w:color w:val="auto"/>
              </w:rPr>
            </w:pPr>
            <w:r>
              <w:rPr>
                <w:rFonts w:hint="eastAsia"/>
                <w:b/>
                <w:bCs/>
                <w:color w:val="auto"/>
                <w:lang w:val="en-US" w:eastAsia="zh-CN"/>
              </w:rPr>
              <w:t>0.02371</w:t>
            </w:r>
          </w:p>
        </w:tc>
        <w:tc>
          <w:tcPr>
            <w:tcW w:w="1275" w:type="dxa"/>
            <w:tcBorders>
              <w:top w:val="nil"/>
              <w:left w:val="nil"/>
              <w:bottom w:val="single" w:color="auto" w:sz="8" w:space="0"/>
              <w:right w:val="single" w:color="auto" w:sz="8" w:space="0"/>
            </w:tcBorders>
            <w:vAlign w:val="center"/>
          </w:tcPr>
          <w:p>
            <w:pPr>
              <w:jc w:val="center"/>
              <w:rPr>
                <w:b/>
                <w:bCs/>
                <w:color w:val="auto"/>
              </w:rPr>
            </w:pPr>
            <w:r>
              <w:rPr>
                <w:rFonts w:hint="eastAsia"/>
                <w:b/>
                <w:bCs/>
                <w:color w:val="auto"/>
                <w:lang w:val="en-US" w:eastAsia="zh-CN"/>
              </w:rPr>
              <w:t>1.19</w:t>
            </w:r>
          </w:p>
        </w:tc>
        <w:tc>
          <w:tcPr>
            <w:tcW w:w="1405" w:type="dxa"/>
            <w:tcBorders>
              <w:top w:val="nil"/>
              <w:left w:val="nil"/>
              <w:bottom w:val="single" w:color="auto" w:sz="8" w:space="0"/>
              <w:right w:val="single" w:color="auto" w:sz="8" w:space="0"/>
            </w:tcBorders>
            <w:vAlign w:val="center"/>
          </w:tcPr>
          <w:p>
            <w:pPr>
              <w:jc w:val="center"/>
              <w:rPr>
                <w:b/>
                <w:bCs/>
                <w:color w:val="auto"/>
              </w:rPr>
            </w:pPr>
            <w:r>
              <w:rPr>
                <w:rFonts w:hint="eastAsia"/>
                <w:b/>
                <w:bCs/>
                <w:color w:val="auto"/>
                <w:lang w:val="en-US" w:eastAsia="zh-CN"/>
              </w:rPr>
              <w:t>0.0002283</w:t>
            </w:r>
          </w:p>
        </w:tc>
        <w:tc>
          <w:tcPr>
            <w:tcW w:w="1219" w:type="dxa"/>
            <w:tcBorders>
              <w:top w:val="nil"/>
              <w:left w:val="nil"/>
              <w:bottom w:val="single" w:color="auto" w:sz="8" w:space="0"/>
              <w:right w:val="single" w:color="auto" w:sz="8" w:space="0"/>
            </w:tcBorders>
            <w:vAlign w:val="center"/>
          </w:tcPr>
          <w:p>
            <w:pPr>
              <w:jc w:val="center"/>
              <w:rPr>
                <w:b/>
                <w:bCs/>
                <w:color w:val="auto"/>
              </w:rPr>
            </w:pPr>
            <w:r>
              <w:rPr>
                <w:rFonts w:hint="eastAsia"/>
                <w:b/>
                <w:bCs/>
                <w:color w:val="auto"/>
                <w:lang w:val="en-US" w:eastAsia="zh-CN"/>
              </w:rPr>
              <w:t>0.38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 w:hRule="atLeast"/>
          <w:jc w:val="center"/>
        </w:trPr>
        <w:tc>
          <w:tcPr>
            <w:tcW w:w="1454" w:type="dxa"/>
            <w:vAlign w:val="center"/>
          </w:tcPr>
          <w:p>
            <w:pPr>
              <w:jc w:val="center"/>
              <w:rPr>
                <w:color w:val="auto"/>
              </w:rPr>
            </w:pPr>
            <w:r>
              <w:rPr>
                <w:rFonts w:hint="eastAsia"/>
                <w:color w:val="auto"/>
                <w:lang w:val="en-US" w:eastAsia="zh-CN"/>
              </w:rPr>
              <w:t>100</w:t>
            </w:r>
          </w:p>
        </w:tc>
        <w:tc>
          <w:tcPr>
            <w:tcW w:w="1320"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0.0008699</w:t>
            </w:r>
          </w:p>
        </w:tc>
        <w:tc>
          <w:tcPr>
            <w:tcW w:w="103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0.1</w:t>
            </w:r>
          </w:p>
        </w:tc>
        <w:tc>
          <w:tcPr>
            <w:tcW w:w="124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0.02371</w:t>
            </w:r>
          </w:p>
        </w:tc>
        <w:tc>
          <w:tcPr>
            <w:tcW w:w="127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1.19</w:t>
            </w:r>
          </w:p>
        </w:tc>
        <w:tc>
          <w:tcPr>
            <w:tcW w:w="140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0.0002241</w:t>
            </w:r>
          </w:p>
        </w:tc>
        <w:tc>
          <w:tcPr>
            <w:tcW w:w="1219"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6" w:hRule="atLeast"/>
          <w:jc w:val="center"/>
        </w:trPr>
        <w:tc>
          <w:tcPr>
            <w:tcW w:w="1454" w:type="dxa"/>
            <w:vAlign w:val="center"/>
          </w:tcPr>
          <w:p>
            <w:pPr>
              <w:jc w:val="center"/>
              <w:rPr>
                <w:color w:val="auto"/>
              </w:rPr>
            </w:pPr>
            <w:r>
              <w:rPr>
                <w:rFonts w:hint="eastAsia"/>
                <w:color w:val="auto"/>
                <w:lang w:val="en-US" w:eastAsia="zh-CN"/>
              </w:rPr>
              <w:t>100</w:t>
            </w:r>
          </w:p>
        </w:tc>
        <w:tc>
          <w:tcPr>
            <w:tcW w:w="1320"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0.0008699</w:t>
            </w:r>
          </w:p>
        </w:tc>
        <w:tc>
          <w:tcPr>
            <w:tcW w:w="103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0.1</w:t>
            </w:r>
          </w:p>
        </w:tc>
        <w:tc>
          <w:tcPr>
            <w:tcW w:w="124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0.02384</w:t>
            </w:r>
          </w:p>
        </w:tc>
        <w:tc>
          <w:tcPr>
            <w:tcW w:w="127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1.19</w:t>
            </w:r>
          </w:p>
        </w:tc>
        <w:tc>
          <w:tcPr>
            <w:tcW w:w="140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0.0002241</w:t>
            </w:r>
          </w:p>
        </w:tc>
        <w:tc>
          <w:tcPr>
            <w:tcW w:w="1219"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 w:hRule="atLeast"/>
          <w:jc w:val="center"/>
        </w:trPr>
        <w:tc>
          <w:tcPr>
            <w:tcW w:w="1454" w:type="dxa"/>
            <w:vAlign w:val="center"/>
          </w:tcPr>
          <w:p>
            <w:pPr>
              <w:jc w:val="center"/>
              <w:rPr>
                <w:color w:val="auto"/>
              </w:rPr>
            </w:pPr>
            <w:r>
              <w:rPr>
                <w:rFonts w:hint="eastAsia"/>
                <w:color w:val="auto"/>
                <w:lang w:val="en-US" w:eastAsia="zh-CN"/>
              </w:rPr>
              <w:t>200</w:t>
            </w:r>
          </w:p>
        </w:tc>
        <w:tc>
          <w:tcPr>
            <w:tcW w:w="1320"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0.0006979</w:t>
            </w:r>
          </w:p>
        </w:tc>
        <w:tc>
          <w:tcPr>
            <w:tcW w:w="103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0.08</w:t>
            </w:r>
          </w:p>
        </w:tc>
        <w:tc>
          <w:tcPr>
            <w:tcW w:w="124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0.01323</w:t>
            </w:r>
          </w:p>
        </w:tc>
        <w:tc>
          <w:tcPr>
            <w:tcW w:w="127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0.66</w:t>
            </w:r>
          </w:p>
        </w:tc>
        <w:tc>
          <w:tcPr>
            <w:tcW w:w="140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0.0001798</w:t>
            </w:r>
          </w:p>
        </w:tc>
        <w:tc>
          <w:tcPr>
            <w:tcW w:w="1219"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 w:hRule="atLeast"/>
          <w:jc w:val="center"/>
        </w:trPr>
        <w:tc>
          <w:tcPr>
            <w:tcW w:w="1454" w:type="dxa"/>
            <w:vAlign w:val="center"/>
          </w:tcPr>
          <w:p>
            <w:pPr>
              <w:jc w:val="center"/>
              <w:rPr>
                <w:color w:val="auto"/>
              </w:rPr>
            </w:pPr>
            <w:r>
              <w:rPr>
                <w:rFonts w:hint="eastAsia"/>
                <w:color w:val="auto"/>
                <w:lang w:val="en-US" w:eastAsia="zh-CN"/>
              </w:rPr>
              <w:t>300</w:t>
            </w:r>
          </w:p>
        </w:tc>
        <w:tc>
          <w:tcPr>
            <w:tcW w:w="1320"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0.0004169</w:t>
            </w:r>
          </w:p>
        </w:tc>
        <w:tc>
          <w:tcPr>
            <w:tcW w:w="103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0.05</w:t>
            </w:r>
          </w:p>
        </w:tc>
        <w:tc>
          <w:tcPr>
            <w:tcW w:w="124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0.007014</w:t>
            </w:r>
          </w:p>
        </w:tc>
        <w:tc>
          <w:tcPr>
            <w:tcW w:w="127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0.35</w:t>
            </w:r>
          </w:p>
        </w:tc>
        <w:tc>
          <w:tcPr>
            <w:tcW w:w="140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0.0001074</w:t>
            </w:r>
          </w:p>
        </w:tc>
        <w:tc>
          <w:tcPr>
            <w:tcW w:w="1219"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 w:hRule="atLeast"/>
          <w:jc w:val="center"/>
        </w:trPr>
        <w:tc>
          <w:tcPr>
            <w:tcW w:w="1454" w:type="dxa"/>
            <w:vAlign w:val="center"/>
          </w:tcPr>
          <w:p>
            <w:pPr>
              <w:jc w:val="center"/>
              <w:rPr>
                <w:color w:val="auto"/>
              </w:rPr>
            </w:pPr>
            <w:r>
              <w:rPr>
                <w:rFonts w:hint="eastAsia"/>
                <w:color w:val="auto"/>
                <w:lang w:val="en-US" w:eastAsia="zh-CN"/>
              </w:rPr>
              <w:t>400</w:t>
            </w:r>
          </w:p>
        </w:tc>
        <w:tc>
          <w:tcPr>
            <w:tcW w:w="1320"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0.0002705</w:t>
            </w:r>
          </w:p>
        </w:tc>
        <w:tc>
          <w:tcPr>
            <w:tcW w:w="103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0.03</w:t>
            </w:r>
          </w:p>
        </w:tc>
        <w:tc>
          <w:tcPr>
            <w:tcW w:w="124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0.004367</w:t>
            </w:r>
          </w:p>
        </w:tc>
        <w:tc>
          <w:tcPr>
            <w:tcW w:w="127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0.22</w:t>
            </w:r>
          </w:p>
        </w:tc>
        <w:tc>
          <w:tcPr>
            <w:tcW w:w="140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0.00006968</w:t>
            </w:r>
          </w:p>
        </w:tc>
        <w:tc>
          <w:tcPr>
            <w:tcW w:w="1219"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 w:hRule="atLeast"/>
          <w:jc w:val="center"/>
        </w:trPr>
        <w:tc>
          <w:tcPr>
            <w:tcW w:w="1454" w:type="dxa"/>
            <w:vAlign w:val="center"/>
          </w:tcPr>
          <w:p>
            <w:pPr>
              <w:jc w:val="center"/>
              <w:rPr>
                <w:color w:val="auto"/>
              </w:rPr>
            </w:pPr>
            <w:r>
              <w:rPr>
                <w:rFonts w:hint="eastAsia"/>
                <w:color w:val="auto"/>
                <w:lang w:val="en-US" w:eastAsia="zh-CN"/>
              </w:rPr>
              <w:t>500</w:t>
            </w:r>
          </w:p>
        </w:tc>
        <w:tc>
          <w:tcPr>
            <w:tcW w:w="1320"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0.0001909</w:t>
            </w:r>
          </w:p>
        </w:tc>
        <w:tc>
          <w:tcPr>
            <w:tcW w:w="103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0.02</w:t>
            </w:r>
          </w:p>
        </w:tc>
        <w:tc>
          <w:tcPr>
            <w:tcW w:w="124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0.003022</w:t>
            </w:r>
          </w:p>
        </w:tc>
        <w:tc>
          <w:tcPr>
            <w:tcW w:w="127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0.15</w:t>
            </w:r>
          </w:p>
        </w:tc>
        <w:tc>
          <w:tcPr>
            <w:tcW w:w="140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0.00004918</w:t>
            </w:r>
          </w:p>
        </w:tc>
        <w:tc>
          <w:tcPr>
            <w:tcW w:w="1219"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 w:hRule="atLeast"/>
          <w:jc w:val="center"/>
        </w:trPr>
        <w:tc>
          <w:tcPr>
            <w:tcW w:w="1454" w:type="dxa"/>
            <w:vAlign w:val="center"/>
          </w:tcPr>
          <w:p>
            <w:pPr>
              <w:jc w:val="center"/>
              <w:rPr>
                <w:color w:val="auto"/>
              </w:rPr>
            </w:pPr>
            <w:r>
              <w:rPr>
                <w:rFonts w:hint="eastAsia"/>
                <w:color w:val="auto"/>
                <w:lang w:val="en-US" w:eastAsia="zh-CN"/>
              </w:rPr>
              <w:t>600</w:t>
            </w:r>
          </w:p>
        </w:tc>
        <w:tc>
          <w:tcPr>
            <w:tcW w:w="1320"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0.0001434</w:t>
            </w:r>
          </w:p>
        </w:tc>
        <w:tc>
          <w:tcPr>
            <w:tcW w:w="103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0.02</w:t>
            </w:r>
          </w:p>
        </w:tc>
        <w:tc>
          <w:tcPr>
            <w:tcW w:w="124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0.002245</w:t>
            </w:r>
          </w:p>
        </w:tc>
        <w:tc>
          <w:tcPr>
            <w:tcW w:w="127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0.11</w:t>
            </w:r>
          </w:p>
        </w:tc>
        <w:tc>
          <w:tcPr>
            <w:tcW w:w="140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0.00003695</w:t>
            </w:r>
          </w:p>
        </w:tc>
        <w:tc>
          <w:tcPr>
            <w:tcW w:w="1219"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 w:hRule="atLeast"/>
          <w:jc w:val="center"/>
        </w:trPr>
        <w:tc>
          <w:tcPr>
            <w:tcW w:w="1454" w:type="dxa"/>
            <w:vAlign w:val="center"/>
          </w:tcPr>
          <w:p>
            <w:pPr>
              <w:jc w:val="center"/>
              <w:rPr>
                <w:color w:val="auto"/>
              </w:rPr>
            </w:pPr>
            <w:r>
              <w:rPr>
                <w:rFonts w:hint="eastAsia"/>
                <w:color w:val="auto"/>
                <w:lang w:val="en-US" w:eastAsia="zh-CN"/>
              </w:rPr>
              <w:t>700</w:t>
            </w:r>
          </w:p>
        </w:tc>
        <w:tc>
          <w:tcPr>
            <w:tcW w:w="1320"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0.0001127</w:t>
            </w:r>
          </w:p>
        </w:tc>
        <w:tc>
          <w:tcPr>
            <w:tcW w:w="103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0.01</w:t>
            </w:r>
          </w:p>
        </w:tc>
        <w:tc>
          <w:tcPr>
            <w:tcW w:w="124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0.001752</w:t>
            </w:r>
          </w:p>
        </w:tc>
        <w:tc>
          <w:tcPr>
            <w:tcW w:w="127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0.09</w:t>
            </w:r>
          </w:p>
        </w:tc>
        <w:tc>
          <w:tcPr>
            <w:tcW w:w="140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0.00002903</w:t>
            </w:r>
          </w:p>
        </w:tc>
        <w:tc>
          <w:tcPr>
            <w:tcW w:w="1219"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 w:hRule="atLeast"/>
          <w:jc w:val="center"/>
        </w:trPr>
        <w:tc>
          <w:tcPr>
            <w:tcW w:w="1454" w:type="dxa"/>
            <w:vAlign w:val="center"/>
          </w:tcPr>
          <w:p>
            <w:pPr>
              <w:jc w:val="center"/>
              <w:rPr>
                <w:color w:val="auto"/>
              </w:rPr>
            </w:pPr>
            <w:r>
              <w:rPr>
                <w:rFonts w:hint="eastAsia"/>
                <w:color w:val="auto"/>
                <w:lang w:val="en-US" w:eastAsia="zh-CN"/>
              </w:rPr>
              <w:t>800</w:t>
            </w:r>
          </w:p>
        </w:tc>
        <w:tc>
          <w:tcPr>
            <w:tcW w:w="1320"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0.00009154</w:t>
            </w:r>
          </w:p>
        </w:tc>
        <w:tc>
          <w:tcPr>
            <w:tcW w:w="103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0.01</w:t>
            </w:r>
          </w:p>
        </w:tc>
        <w:tc>
          <w:tcPr>
            <w:tcW w:w="124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0.001416</w:t>
            </w:r>
          </w:p>
        </w:tc>
        <w:tc>
          <w:tcPr>
            <w:tcW w:w="127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0.07</w:t>
            </w:r>
          </w:p>
        </w:tc>
        <w:tc>
          <w:tcPr>
            <w:tcW w:w="140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0.00002358</w:t>
            </w:r>
          </w:p>
        </w:tc>
        <w:tc>
          <w:tcPr>
            <w:tcW w:w="1219"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 w:hRule="atLeast"/>
          <w:jc w:val="center"/>
        </w:trPr>
        <w:tc>
          <w:tcPr>
            <w:tcW w:w="1454" w:type="dxa"/>
            <w:vAlign w:val="center"/>
          </w:tcPr>
          <w:p>
            <w:pPr>
              <w:jc w:val="center"/>
              <w:rPr>
                <w:color w:val="auto"/>
              </w:rPr>
            </w:pPr>
            <w:r>
              <w:rPr>
                <w:rFonts w:hint="eastAsia"/>
                <w:color w:val="auto"/>
                <w:lang w:val="en-US" w:eastAsia="zh-CN"/>
              </w:rPr>
              <w:t>900</w:t>
            </w:r>
          </w:p>
        </w:tc>
        <w:tc>
          <w:tcPr>
            <w:tcW w:w="1320"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0.00007633</w:t>
            </w:r>
          </w:p>
        </w:tc>
        <w:tc>
          <w:tcPr>
            <w:tcW w:w="1035" w:type="dxa"/>
            <w:tcBorders>
              <w:top w:val="nil"/>
              <w:left w:val="nil"/>
              <w:bottom w:val="single" w:color="auto" w:sz="8" w:space="0"/>
              <w:right w:val="single" w:color="auto" w:sz="8" w:space="0"/>
            </w:tcBorders>
            <w:vAlign w:val="center"/>
          </w:tcPr>
          <w:p>
            <w:pPr>
              <w:jc w:val="center"/>
              <w:rPr>
                <w:color w:val="auto"/>
              </w:rPr>
            </w:pPr>
            <w:r>
              <w:rPr>
                <w:color w:val="auto"/>
              </w:rPr>
              <w:t>0.01</w:t>
            </w:r>
          </w:p>
        </w:tc>
        <w:tc>
          <w:tcPr>
            <w:tcW w:w="124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0.001177</w:t>
            </w:r>
          </w:p>
        </w:tc>
        <w:tc>
          <w:tcPr>
            <w:tcW w:w="127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0.06</w:t>
            </w:r>
          </w:p>
        </w:tc>
        <w:tc>
          <w:tcPr>
            <w:tcW w:w="140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0.00001966</w:t>
            </w:r>
          </w:p>
        </w:tc>
        <w:tc>
          <w:tcPr>
            <w:tcW w:w="1219"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 w:hRule="atLeast"/>
          <w:jc w:val="center"/>
        </w:trPr>
        <w:tc>
          <w:tcPr>
            <w:tcW w:w="1454" w:type="dxa"/>
            <w:vAlign w:val="center"/>
          </w:tcPr>
          <w:p>
            <w:pPr>
              <w:jc w:val="center"/>
              <w:rPr>
                <w:color w:val="auto"/>
              </w:rPr>
            </w:pPr>
            <w:r>
              <w:rPr>
                <w:rFonts w:hint="eastAsia"/>
                <w:color w:val="auto"/>
                <w:lang w:val="en-US" w:eastAsia="zh-CN"/>
              </w:rPr>
              <w:t>1000</w:t>
            </w:r>
          </w:p>
        </w:tc>
        <w:tc>
          <w:tcPr>
            <w:tcW w:w="1320"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0.000065</w:t>
            </w:r>
          </w:p>
        </w:tc>
        <w:tc>
          <w:tcPr>
            <w:tcW w:w="1035" w:type="dxa"/>
            <w:tcBorders>
              <w:top w:val="nil"/>
              <w:left w:val="nil"/>
              <w:bottom w:val="single" w:color="auto" w:sz="8" w:space="0"/>
              <w:right w:val="single" w:color="auto" w:sz="8" w:space="0"/>
            </w:tcBorders>
            <w:vAlign w:val="center"/>
          </w:tcPr>
          <w:p>
            <w:pPr>
              <w:jc w:val="center"/>
              <w:rPr>
                <w:color w:val="auto"/>
              </w:rPr>
            </w:pPr>
            <w:r>
              <w:rPr>
                <w:color w:val="auto"/>
              </w:rPr>
              <w:t>0.01</w:t>
            </w:r>
          </w:p>
        </w:tc>
        <w:tc>
          <w:tcPr>
            <w:tcW w:w="124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0.0009996</w:t>
            </w:r>
          </w:p>
        </w:tc>
        <w:tc>
          <w:tcPr>
            <w:tcW w:w="127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0.05</w:t>
            </w:r>
          </w:p>
        </w:tc>
        <w:tc>
          <w:tcPr>
            <w:tcW w:w="140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0.00001674</w:t>
            </w:r>
          </w:p>
        </w:tc>
        <w:tc>
          <w:tcPr>
            <w:tcW w:w="1219"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 w:hRule="atLeast"/>
          <w:jc w:val="center"/>
        </w:trPr>
        <w:tc>
          <w:tcPr>
            <w:tcW w:w="1454" w:type="dxa"/>
            <w:vAlign w:val="center"/>
          </w:tcPr>
          <w:p>
            <w:pPr>
              <w:jc w:val="center"/>
              <w:rPr>
                <w:color w:val="auto"/>
              </w:rPr>
            </w:pPr>
            <w:r>
              <w:rPr>
                <w:rFonts w:hint="eastAsia"/>
                <w:color w:val="auto"/>
                <w:lang w:val="en-US" w:eastAsia="zh-CN"/>
              </w:rPr>
              <w:t>1100</w:t>
            </w:r>
          </w:p>
        </w:tc>
        <w:tc>
          <w:tcPr>
            <w:tcW w:w="1320"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0.00005629</w:t>
            </w:r>
          </w:p>
        </w:tc>
        <w:tc>
          <w:tcPr>
            <w:tcW w:w="1035" w:type="dxa"/>
            <w:tcBorders>
              <w:top w:val="nil"/>
              <w:left w:val="nil"/>
              <w:bottom w:val="single" w:color="auto" w:sz="8" w:space="0"/>
              <w:right w:val="single" w:color="auto" w:sz="8" w:space="0"/>
            </w:tcBorders>
            <w:vAlign w:val="center"/>
          </w:tcPr>
          <w:p>
            <w:pPr>
              <w:jc w:val="center"/>
              <w:rPr>
                <w:color w:val="auto"/>
              </w:rPr>
            </w:pPr>
            <w:r>
              <w:rPr>
                <w:color w:val="auto"/>
              </w:rPr>
              <w:t>0.01</w:t>
            </w:r>
          </w:p>
        </w:tc>
        <w:tc>
          <w:tcPr>
            <w:tcW w:w="124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0.000864</w:t>
            </w:r>
          </w:p>
        </w:tc>
        <w:tc>
          <w:tcPr>
            <w:tcW w:w="127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0.04</w:t>
            </w:r>
          </w:p>
        </w:tc>
        <w:tc>
          <w:tcPr>
            <w:tcW w:w="140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0.0000145</w:t>
            </w:r>
          </w:p>
        </w:tc>
        <w:tc>
          <w:tcPr>
            <w:tcW w:w="1219"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 w:hRule="atLeast"/>
          <w:jc w:val="center"/>
        </w:trPr>
        <w:tc>
          <w:tcPr>
            <w:tcW w:w="1454" w:type="dxa"/>
            <w:vAlign w:val="center"/>
          </w:tcPr>
          <w:p>
            <w:pPr>
              <w:jc w:val="center"/>
              <w:rPr>
                <w:color w:val="auto"/>
              </w:rPr>
            </w:pPr>
            <w:r>
              <w:rPr>
                <w:rFonts w:hint="eastAsia"/>
                <w:color w:val="auto"/>
                <w:lang w:val="en-US" w:eastAsia="zh-CN"/>
              </w:rPr>
              <w:t>1200</w:t>
            </w:r>
          </w:p>
        </w:tc>
        <w:tc>
          <w:tcPr>
            <w:tcW w:w="1320"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0.00004944</w:t>
            </w:r>
          </w:p>
        </w:tc>
        <w:tc>
          <w:tcPr>
            <w:tcW w:w="1035" w:type="dxa"/>
            <w:tcBorders>
              <w:top w:val="nil"/>
              <w:left w:val="nil"/>
              <w:bottom w:val="single" w:color="auto" w:sz="8" w:space="0"/>
              <w:right w:val="single" w:color="auto" w:sz="8" w:space="0"/>
            </w:tcBorders>
            <w:vAlign w:val="center"/>
          </w:tcPr>
          <w:p>
            <w:pPr>
              <w:jc w:val="center"/>
              <w:rPr>
                <w:color w:val="auto"/>
              </w:rPr>
            </w:pPr>
            <w:r>
              <w:rPr>
                <w:color w:val="auto"/>
              </w:rPr>
              <w:t>0.01</w:t>
            </w:r>
          </w:p>
        </w:tc>
        <w:tc>
          <w:tcPr>
            <w:tcW w:w="124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0.0007577</w:t>
            </w:r>
          </w:p>
        </w:tc>
        <w:tc>
          <w:tcPr>
            <w:tcW w:w="127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0.04</w:t>
            </w:r>
          </w:p>
        </w:tc>
        <w:tc>
          <w:tcPr>
            <w:tcW w:w="140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0.00001273</w:t>
            </w:r>
          </w:p>
        </w:tc>
        <w:tc>
          <w:tcPr>
            <w:tcW w:w="1219"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 w:hRule="atLeast"/>
          <w:jc w:val="center"/>
        </w:trPr>
        <w:tc>
          <w:tcPr>
            <w:tcW w:w="1454" w:type="dxa"/>
            <w:vAlign w:val="center"/>
          </w:tcPr>
          <w:p>
            <w:pPr>
              <w:jc w:val="center"/>
              <w:rPr>
                <w:color w:val="auto"/>
              </w:rPr>
            </w:pPr>
            <w:r>
              <w:rPr>
                <w:rFonts w:hint="eastAsia"/>
                <w:color w:val="auto"/>
                <w:lang w:val="en-US" w:eastAsia="zh-CN"/>
              </w:rPr>
              <w:t>1300</w:t>
            </w:r>
          </w:p>
        </w:tc>
        <w:tc>
          <w:tcPr>
            <w:tcW w:w="1320"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0.00004393</w:t>
            </w:r>
          </w:p>
        </w:tc>
        <w:tc>
          <w:tcPr>
            <w:tcW w:w="1035" w:type="dxa"/>
            <w:tcBorders>
              <w:top w:val="nil"/>
              <w:left w:val="nil"/>
              <w:bottom w:val="single" w:color="auto" w:sz="8" w:space="0"/>
              <w:right w:val="single" w:color="auto" w:sz="8" w:space="0"/>
            </w:tcBorders>
            <w:vAlign w:val="center"/>
          </w:tcPr>
          <w:p>
            <w:pPr>
              <w:jc w:val="center"/>
              <w:rPr>
                <w:color w:val="auto"/>
              </w:rPr>
            </w:pPr>
            <w:r>
              <w:rPr>
                <w:color w:val="auto"/>
              </w:rPr>
              <w:t>0.01</w:t>
            </w:r>
          </w:p>
        </w:tc>
        <w:tc>
          <w:tcPr>
            <w:tcW w:w="124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0.0006724</w:t>
            </w:r>
          </w:p>
        </w:tc>
        <w:tc>
          <w:tcPr>
            <w:tcW w:w="127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0.03</w:t>
            </w:r>
          </w:p>
        </w:tc>
        <w:tc>
          <w:tcPr>
            <w:tcW w:w="140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0.00001132</w:t>
            </w:r>
          </w:p>
        </w:tc>
        <w:tc>
          <w:tcPr>
            <w:tcW w:w="1219"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 w:hRule="atLeast"/>
          <w:jc w:val="center"/>
        </w:trPr>
        <w:tc>
          <w:tcPr>
            <w:tcW w:w="1454" w:type="dxa"/>
            <w:vAlign w:val="center"/>
          </w:tcPr>
          <w:p>
            <w:pPr>
              <w:jc w:val="center"/>
              <w:rPr>
                <w:color w:val="auto"/>
              </w:rPr>
            </w:pPr>
            <w:r>
              <w:rPr>
                <w:rFonts w:hint="eastAsia"/>
                <w:color w:val="auto"/>
                <w:lang w:val="en-US" w:eastAsia="zh-CN"/>
              </w:rPr>
              <w:t>1400</w:t>
            </w:r>
          </w:p>
        </w:tc>
        <w:tc>
          <w:tcPr>
            <w:tcW w:w="1320"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0.00003942</w:t>
            </w:r>
          </w:p>
        </w:tc>
        <w:tc>
          <w:tcPr>
            <w:tcW w:w="1035" w:type="dxa"/>
            <w:tcBorders>
              <w:top w:val="nil"/>
              <w:left w:val="nil"/>
              <w:bottom w:val="single" w:color="auto" w:sz="8" w:space="0"/>
              <w:right w:val="single" w:color="auto" w:sz="8" w:space="0"/>
            </w:tcBorders>
            <w:vAlign w:val="center"/>
          </w:tcPr>
          <w:p>
            <w:pPr>
              <w:jc w:val="center"/>
              <w:rPr>
                <w:color w:val="auto"/>
              </w:rPr>
            </w:pPr>
            <w:r>
              <w:rPr>
                <w:color w:val="auto"/>
              </w:rPr>
              <w:t>0.01</w:t>
            </w:r>
          </w:p>
        </w:tc>
        <w:tc>
          <w:tcPr>
            <w:tcW w:w="124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0.0006027</w:t>
            </w:r>
          </w:p>
        </w:tc>
        <w:tc>
          <w:tcPr>
            <w:tcW w:w="127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0.03</w:t>
            </w:r>
          </w:p>
        </w:tc>
        <w:tc>
          <w:tcPr>
            <w:tcW w:w="140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0.00001015</w:t>
            </w:r>
          </w:p>
        </w:tc>
        <w:tc>
          <w:tcPr>
            <w:tcW w:w="1219"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 w:hRule="atLeast"/>
          <w:jc w:val="center"/>
        </w:trPr>
        <w:tc>
          <w:tcPr>
            <w:tcW w:w="1454" w:type="dxa"/>
            <w:vAlign w:val="center"/>
          </w:tcPr>
          <w:p>
            <w:pPr>
              <w:jc w:val="center"/>
              <w:rPr>
                <w:color w:val="auto"/>
              </w:rPr>
            </w:pPr>
            <w:r>
              <w:rPr>
                <w:rFonts w:hint="eastAsia"/>
                <w:color w:val="auto"/>
                <w:lang w:val="en-US" w:eastAsia="zh-CN"/>
              </w:rPr>
              <w:t>1500</w:t>
            </w:r>
          </w:p>
        </w:tc>
        <w:tc>
          <w:tcPr>
            <w:tcW w:w="1320"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0.00003567</w:t>
            </w:r>
          </w:p>
        </w:tc>
        <w:tc>
          <w:tcPr>
            <w:tcW w:w="1035" w:type="dxa"/>
            <w:tcBorders>
              <w:top w:val="nil"/>
              <w:left w:val="nil"/>
              <w:bottom w:val="single" w:color="auto" w:sz="8" w:space="0"/>
              <w:right w:val="single" w:color="auto" w:sz="8" w:space="0"/>
            </w:tcBorders>
            <w:vAlign w:val="center"/>
          </w:tcPr>
          <w:p>
            <w:pPr>
              <w:jc w:val="center"/>
              <w:rPr>
                <w:color w:val="auto"/>
              </w:rPr>
            </w:pPr>
            <w:r>
              <w:rPr>
                <w:color w:val="auto"/>
              </w:rPr>
              <w:t>0.01</w:t>
            </w:r>
          </w:p>
        </w:tc>
        <w:tc>
          <w:tcPr>
            <w:tcW w:w="124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0.000545</w:t>
            </w:r>
          </w:p>
        </w:tc>
        <w:tc>
          <w:tcPr>
            <w:tcW w:w="127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0.03</w:t>
            </w:r>
          </w:p>
        </w:tc>
        <w:tc>
          <w:tcPr>
            <w:tcW w:w="140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0.000009188</w:t>
            </w:r>
          </w:p>
        </w:tc>
        <w:tc>
          <w:tcPr>
            <w:tcW w:w="1219"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 w:hRule="atLeast"/>
          <w:jc w:val="center"/>
        </w:trPr>
        <w:tc>
          <w:tcPr>
            <w:tcW w:w="1454" w:type="dxa"/>
            <w:vAlign w:val="center"/>
          </w:tcPr>
          <w:p>
            <w:pPr>
              <w:jc w:val="center"/>
              <w:rPr>
                <w:color w:val="auto"/>
              </w:rPr>
            </w:pPr>
            <w:r>
              <w:rPr>
                <w:rFonts w:hint="eastAsia"/>
                <w:color w:val="auto"/>
                <w:lang w:val="en-US" w:eastAsia="zh-CN"/>
              </w:rPr>
              <w:t>1600</w:t>
            </w:r>
          </w:p>
        </w:tc>
        <w:tc>
          <w:tcPr>
            <w:tcW w:w="1320"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0.00003251</w:t>
            </w:r>
          </w:p>
        </w:tc>
        <w:tc>
          <w:tcPr>
            <w:tcW w:w="1035" w:type="dxa"/>
            <w:tcBorders>
              <w:top w:val="nil"/>
              <w:left w:val="nil"/>
              <w:bottom w:val="single" w:color="auto" w:sz="8" w:space="0"/>
              <w:right w:val="single" w:color="auto" w:sz="8" w:space="0"/>
            </w:tcBorders>
            <w:vAlign w:val="center"/>
          </w:tcPr>
          <w:p>
            <w:pPr>
              <w:jc w:val="center"/>
              <w:rPr>
                <w:color w:val="auto"/>
              </w:rPr>
            </w:pPr>
            <w:r>
              <w:rPr>
                <w:color w:val="auto"/>
              </w:rPr>
              <w:t>0.01</w:t>
            </w:r>
          </w:p>
        </w:tc>
        <w:tc>
          <w:tcPr>
            <w:tcW w:w="124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0.0004962</w:t>
            </w:r>
          </w:p>
        </w:tc>
        <w:tc>
          <w:tcPr>
            <w:tcW w:w="127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0.02</w:t>
            </w:r>
          </w:p>
        </w:tc>
        <w:tc>
          <w:tcPr>
            <w:tcW w:w="140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0.000008373</w:t>
            </w:r>
          </w:p>
        </w:tc>
        <w:tc>
          <w:tcPr>
            <w:tcW w:w="1219"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 w:hRule="atLeast"/>
          <w:jc w:val="center"/>
        </w:trPr>
        <w:tc>
          <w:tcPr>
            <w:tcW w:w="1454" w:type="dxa"/>
            <w:vAlign w:val="center"/>
          </w:tcPr>
          <w:p>
            <w:pPr>
              <w:jc w:val="center"/>
              <w:rPr>
                <w:color w:val="auto"/>
              </w:rPr>
            </w:pPr>
            <w:r>
              <w:rPr>
                <w:rFonts w:hint="eastAsia"/>
                <w:color w:val="auto"/>
                <w:lang w:val="en-US" w:eastAsia="zh-CN"/>
              </w:rPr>
              <w:t>1700</w:t>
            </w:r>
          </w:p>
        </w:tc>
        <w:tc>
          <w:tcPr>
            <w:tcW w:w="1320"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0.00002981</w:t>
            </w:r>
          </w:p>
        </w:tc>
        <w:tc>
          <w:tcPr>
            <w:tcW w:w="1035" w:type="dxa"/>
            <w:tcBorders>
              <w:top w:val="nil"/>
              <w:left w:val="nil"/>
              <w:bottom w:val="single" w:color="auto" w:sz="8" w:space="0"/>
              <w:right w:val="single" w:color="auto" w:sz="8" w:space="0"/>
            </w:tcBorders>
            <w:vAlign w:val="center"/>
          </w:tcPr>
          <w:p>
            <w:pPr>
              <w:jc w:val="center"/>
              <w:rPr>
                <w:color w:val="auto"/>
              </w:rPr>
            </w:pPr>
            <w:r>
              <w:rPr>
                <w:color w:val="auto"/>
              </w:rPr>
              <w:t>0.01</w:t>
            </w:r>
          </w:p>
        </w:tc>
        <w:tc>
          <w:tcPr>
            <w:tcW w:w="124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0.0004548</w:t>
            </w:r>
          </w:p>
        </w:tc>
        <w:tc>
          <w:tcPr>
            <w:tcW w:w="127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0.02</w:t>
            </w:r>
          </w:p>
        </w:tc>
        <w:tc>
          <w:tcPr>
            <w:tcW w:w="140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0.000007679</w:t>
            </w:r>
          </w:p>
        </w:tc>
        <w:tc>
          <w:tcPr>
            <w:tcW w:w="1219"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 w:hRule="atLeast"/>
          <w:jc w:val="center"/>
        </w:trPr>
        <w:tc>
          <w:tcPr>
            <w:tcW w:w="1454" w:type="dxa"/>
            <w:vAlign w:val="center"/>
          </w:tcPr>
          <w:p>
            <w:pPr>
              <w:jc w:val="center"/>
              <w:rPr>
                <w:color w:val="auto"/>
              </w:rPr>
            </w:pPr>
            <w:r>
              <w:rPr>
                <w:rFonts w:hint="eastAsia"/>
                <w:color w:val="auto"/>
                <w:lang w:val="en-US" w:eastAsia="zh-CN"/>
              </w:rPr>
              <w:t>1800</w:t>
            </w:r>
          </w:p>
        </w:tc>
        <w:tc>
          <w:tcPr>
            <w:tcW w:w="1320"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0.00002749</w:t>
            </w:r>
          </w:p>
        </w:tc>
        <w:tc>
          <w:tcPr>
            <w:tcW w:w="1035" w:type="dxa"/>
            <w:tcBorders>
              <w:top w:val="nil"/>
              <w:left w:val="nil"/>
              <w:bottom w:val="single" w:color="auto" w:sz="8" w:space="0"/>
              <w:right w:val="single" w:color="auto" w:sz="8" w:space="0"/>
            </w:tcBorders>
            <w:vAlign w:val="center"/>
          </w:tcPr>
          <w:p>
            <w:pPr>
              <w:jc w:val="center"/>
              <w:rPr>
                <w:color w:val="auto"/>
              </w:rPr>
            </w:pPr>
            <w:r>
              <w:rPr>
                <w:color w:val="auto"/>
              </w:rPr>
              <w:t>0.01</w:t>
            </w:r>
          </w:p>
        </w:tc>
        <w:tc>
          <w:tcPr>
            <w:tcW w:w="124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0.0004192</w:t>
            </w:r>
          </w:p>
        </w:tc>
        <w:tc>
          <w:tcPr>
            <w:tcW w:w="127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0.02</w:t>
            </w:r>
          </w:p>
        </w:tc>
        <w:tc>
          <w:tcPr>
            <w:tcW w:w="140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0.000007082</w:t>
            </w:r>
          </w:p>
        </w:tc>
        <w:tc>
          <w:tcPr>
            <w:tcW w:w="1219"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 w:hRule="atLeast"/>
          <w:jc w:val="center"/>
        </w:trPr>
        <w:tc>
          <w:tcPr>
            <w:tcW w:w="1454" w:type="dxa"/>
            <w:vAlign w:val="center"/>
          </w:tcPr>
          <w:p>
            <w:pPr>
              <w:jc w:val="center"/>
              <w:rPr>
                <w:color w:val="auto"/>
              </w:rPr>
            </w:pPr>
            <w:r>
              <w:rPr>
                <w:rFonts w:hint="eastAsia"/>
                <w:color w:val="auto"/>
                <w:lang w:val="en-US" w:eastAsia="zh-CN"/>
              </w:rPr>
              <w:t>1900</w:t>
            </w:r>
          </w:p>
        </w:tc>
        <w:tc>
          <w:tcPr>
            <w:tcW w:w="1320"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0.00002548</w:t>
            </w:r>
          </w:p>
        </w:tc>
        <w:tc>
          <w:tcPr>
            <w:tcW w:w="1035" w:type="dxa"/>
            <w:tcBorders>
              <w:top w:val="nil"/>
              <w:left w:val="nil"/>
              <w:bottom w:val="single" w:color="auto" w:sz="8" w:space="0"/>
              <w:right w:val="single" w:color="auto" w:sz="8" w:space="0"/>
            </w:tcBorders>
            <w:vAlign w:val="center"/>
          </w:tcPr>
          <w:p>
            <w:pPr>
              <w:jc w:val="center"/>
              <w:rPr>
                <w:color w:val="auto"/>
              </w:rPr>
            </w:pPr>
            <w:r>
              <w:rPr>
                <w:color w:val="auto"/>
              </w:rPr>
              <w:t>0.01</w:t>
            </w:r>
          </w:p>
        </w:tc>
        <w:tc>
          <w:tcPr>
            <w:tcW w:w="124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0.0003884</w:t>
            </w:r>
          </w:p>
        </w:tc>
        <w:tc>
          <w:tcPr>
            <w:tcW w:w="127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0.02</w:t>
            </w:r>
          </w:p>
        </w:tc>
        <w:tc>
          <w:tcPr>
            <w:tcW w:w="140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0.000006564</w:t>
            </w:r>
          </w:p>
        </w:tc>
        <w:tc>
          <w:tcPr>
            <w:tcW w:w="1219"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 w:hRule="atLeast"/>
          <w:jc w:val="center"/>
        </w:trPr>
        <w:tc>
          <w:tcPr>
            <w:tcW w:w="1454" w:type="dxa"/>
            <w:vAlign w:val="center"/>
          </w:tcPr>
          <w:p>
            <w:pPr>
              <w:jc w:val="center"/>
              <w:rPr>
                <w:color w:val="auto"/>
              </w:rPr>
            </w:pPr>
            <w:r>
              <w:rPr>
                <w:rFonts w:hint="eastAsia"/>
                <w:color w:val="auto"/>
                <w:lang w:val="en-US" w:eastAsia="zh-CN"/>
              </w:rPr>
              <w:t>2000</w:t>
            </w:r>
          </w:p>
        </w:tc>
        <w:tc>
          <w:tcPr>
            <w:tcW w:w="1320"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0.00002372</w:t>
            </w:r>
          </w:p>
        </w:tc>
        <w:tc>
          <w:tcPr>
            <w:tcW w:w="1035" w:type="dxa"/>
            <w:tcBorders>
              <w:top w:val="nil"/>
              <w:left w:val="nil"/>
              <w:bottom w:val="single" w:color="auto" w:sz="8" w:space="0"/>
              <w:right w:val="single" w:color="auto" w:sz="8" w:space="0"/>
            </w:tcBorders>
            <w:vAlign w:val="center"/>
          </w:tcPr>
          <w:p>
            <w:pPr>
              <w:jc w:val="center"/>
              <w:rPr>
                <w:color w:val="auto"/>
              </w:rPr>
            </w:pPr>
            <w:r>
              <w:rPr>
                <w:color w:val="auto"/>
              </w:rPr>
              <w:t>0.01</w:t>
            </w:r>
          </w:p>
        </w:tc>
        <w:tc>
          <w:tcPr>
            <w:tcW w:w="124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0.0003614</w:t>
            </w:r>
          </w:p>
        </w:tc>
        <w:tc>
          <w:tcPr>
            <w:tcW w:w="127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0.02</w:t>
            </w:r>
          </w:p>
        </w:tc>
        <w:tc>
          <w:tcPr>
            <w:tcW w:w="140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0.000006111</w:t>
            </w:r>
          </w:p>
        </w:tc>
        <w:tc>
          <w:tcPr>
            <w:tcW w:w="1219"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 w:hRule="atLeast"/>
          <w:jc w:val="center"/>
        </w:trPr>
        <w:tc>
          <w:tcPr>
            <w:tcW w:w="1454" w:type="dxa"/>
            <w:vAlign w:val="center"/>
          </w:tcPr>
          <w:p>
            <w:pPr>
              <w:jc w:val="center"/>
              <w:rPr>
                <w:color w:val="auto"/>
              </w:rPr>
            </w:pPr>
            <w:r>
              <w:rPr>
                <w:rFonts w:hint="eastAsia"/>
                <w:color w:val="auto"/>
                <w:lang w:val="en-US" w:eastAsia="zh-CN"/>
              </w:rPr>
              <w:t>2100</w:t>
            </w:r>
          </w:p>
        </w:tc>
        <w:tc>
          <w:tcPr>
            <w:tcW w:w="1320"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0.00002217</w:t>
            </w:r>
          </w:p>
        </w:tc>
        <w:tc>
          <w:tcPr>
            <w:tcW w:w="1035" w:type="dxa"/>
            <w:tcBorders>
              <w:top w:val="nil"/>
              <w:left w:val="nil"/>
              <w:bottom w:val="single" w:color="auto" w:sz="8" w:space="0"/>
              <w:right w:val="single" w:color="auto" w:sz="8" w:space="0"/>
            </w:tcBorders>
            <w:vAlign w:val="center"/>
          </w:tcPr>
          <w:p>
            <w:pPr>
              <w:jc w:val="center"/>
              <w:rPr>
                <w:color w:val="auto"/>
              </w:rPr>
            </w:pPr>
            <w:r>
              <w:rPr>
                <w:color w:val="auto"/>
              </w:rPr>
              <w:t>0.01</w:t>
            </w:r>
          </w:p>
        </w:tc>
        <w:tc>
          <w:tcPr>
            <w:tcW w:w="124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0.0003377</w:t>
            </w:r>
          </w:p>
        </w:tc>
        <w:tc>
          <w:tcPr>
            <w:tcW w:w="127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0.02</w:t>
            </w:r>
          </w:p>
        </w:tc>
        <w:tc>
          <w:tcPr>
            <w:tcW w:w="140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0.000005711</w:t>
            </w:r>
          </w:p>
        </w:tc>
        <w:tc>
          <w:tcPr>
            <w:tcW w:w="1219"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 w:hRule="atLeast"/>
          <w:jc w:val="center"/>
        </w:trPr>
        <w:tc>
          <w:tcPr>
            <w:tcW w:w="1454" w:type="dxa"/>
            <w:vAlign w:val="center"/>
          </w:tcPr>
          <w:p>
            <w:pPr>
              <w:jc w:val="center"/>
              <w:rPr>
                <w:color w:val="auto"/>
              </w:rPr>
            </w:pPr>
            <w:r>
              <w:rPr>
                <w:rFonts w:hint="eastAsia"/>
                <w:color w:val="auto"/>
                <w:lang w:val="en-US" w:eastAsia="zh-CN"/>
              </w:rPr>
              <w:t>2200</w:t>
            </w:r>
          </w:p>
        </w:tc>
        <w:tc>
          <w:tcPr>
            <w:tcW w:w="1320"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0.0000208</w:t>
            </w:r>
          </w:p>
        </w:tc>
        <w:tc>
          <w:tcPr>
            <w:tcW w:w="1035" w:type="dxa"/>
            <w:tcBorders>
              <w:top w:val="nil"/>
              <w:left w:val="nil"/>
              <w:bottom w:val="single" w:color="auto" w:sz="8" w:space="0"/>
              <w:right w:val="single" w:color="auto" w:sz="8" w:space="0"/>
            </w:tcBorders>
            <w:vAlign w:val="center"/>
          </w:tcPr>
          <w:p>
            <w:pPr>
              <w:jc w:val="center"/>
              <w:rPr>
                <w:color w:val="auto"/>
              </w:rPr>
            </w:pPr>
            <w:r>
              <w:rPr>
                <w:color w:val="auto"/>
              </w:rPr>
              <w:t>0.01</w:t>
            </w:r>
          </w:p>
        </w:tc>
        <w:tc>
          <w:tcPr>
            <w:tcW w:w="124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0.0003166</w:t>
            </w:r>
          </w:p>
        </w:tc>
        <w:tc>
          <w:tcPr>
            <w:tcW w:w="127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0.02</w:t>
            </w:r>
          </w:p>
        </w:tc>
        <w:tc>
          <w:tcPr>
            <w:tcW w:w="140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0.000005357</w:t>
            </w:r>
          </w:p>
        </w:tc>
        <w:tc>
          <w:tcPr>
            <w:tcW w:w="1219"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 w:hRule="atLeast"/>
          <w:jc w:val="center"/>
        </w:trPr>
        <w:tc>
          <w:tcPr>
            <w:tcW w:w="1454" w:type="dxa"/>
            <w:vAlign w:val="center"/>
          </w:tcPr>
          <w:p>
            <w:pPr>
              <w:jc w:val="center"/>
              <w:rPr>
                <w:color w:val="auto"/>
              </w:rPr>
            </w:pPr>
            <w:r>
              <w:rPr>
                <w:rFonts w:hint="eastAsia"/>
                <w:color w:val="auto"/>
                <w:lang w:val="en-US" w:eastAsia="zh-CN"/>
              </w:rPr>
              <w:t>2300</w:t>
            </w:r>
          </w:p>
        </w:tc>
        <w:tc>
          <w:tcPr>
            <w:tcW w:w="1320"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0.00001957</w:t>
            </w:r>
          </w:p>
        </w:tc>
        <w:tc>
          <w:tcPr>
            <w:tcW w:w="1035" w:type="dxa"/>
            <w:tcBorders>
              <w:top w:val="nil"/>
              <w:left w:val="nil"/>
              <w:bottom w:val="single" w:color="auto" w:sz="8" w:space="0"/>
              <w:right w:val="single" w:color="auto" w:sz="8" w:space="0"/>
            </w:tcBorders>
            <w:vAlign w:val="center"/>
          </w:tcPr>
          <w:p>
            <w:pPr>
              <w:jc w:val="center"/>
              <w:rPr>
                <w:color w:val="auto"/>
              </w:rPr>
            </w:pPr>
            <w:r>
              <w:rPr>
                <w:color w:val="auto"/>
              </w:rPr>
              <w:t>0.01</w:t>
            </w:r>
          </w:p>
        </w:tc>
        <w:tc>
          <w:tcPr>
            <w:tcW w:w="124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0.0002979</w:t>
            </w:r>
          </w:p>
        </w:tc>
        <w:tc>
          <w:tcPr>
            <w:tcW w:w="127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0.01</w:t>
            </w:r>
          </w:p>
        </w:tc>
        <w:tc>
          <w:tcPr>
            <w:tcW w:w="140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0.000005042</w:t>
            </w:r>
          </w:p>
        </w:tc>
        <w:tc>
          <w:tcPr>
            <w:tcW w:w="1219"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 w:hRule="atLeast"/>
          <w:jc w:val="center"/>
        </w:trPr>
        <w:tc>
          <w:tcPr>
            <w:tcW w:w="1454" w:type="dxa"/>
            <w:vAlign w:val="center"/>
          </w:tcPr>
          <w:p>
            <w:pPr>
              <w:jc w:val="center"/>
              <w:rPr>
                <w:color w:val="auto"/>
              </w:rPr>
            </w:pPr>
            <w:r>
              <w:rPr>
                <w:rFonts w:hint="eastAsia"/>
                <w:color w:val="auto"/>
                <w:lang w:val="en-US" w:eastAsia="zh-CN"/>
              </w:rPr>
              <w:t>2400</w:t>
            </w:r>
          </w:p>
        </w:tc>
        <w:tc>
          <w:tcPr>
            <w:tcW w:w="1320"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0.00001847</w:t>
            </w:r>
          </w:p>
        </w:tc>
        <w:tc>
          <w:tcPr>
            <w:tcW w:w="1035" w:type="dxa"/>
            <w:tcBorders>
              <w:top w:val="nil"/>
              <w:left w:val="nil"/>
              <w:bottom w:val="single" w:color="auto" w:sz="8" w:space="0"/>
              <w:right w:val="single" w:color="auto" w:sz="8" w:space="0"/>
            </w:tcBorders>
            <w:vAlign w:val="center"/>
          </w:tcPr>
          <w:p>
            <w:pPr>
              <w:jc w:val="center"/>
              <w:rPr>
                <w:color w:val="auto"/>
              </w:rPr>
            </w:pPr>
            <w:r>
              <w:rPr>
                <w:color w:val="auto"/>
              </w:rPr>
              <w:t>0.01</w:t>
            </w:r>
          </w:p>
        </w:tc>
        <w:tc>
          <w:tcPr>
            <w:tcW w:w="124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0.0002811</w:t>
            </w:r>
          </w:p>
        </w:tc>
        <w:tc>
          <w:tcPr>
            <w:tcW w:w="127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0.01</w:t>
            </w:r>
          </w:p>
        </w:tc>
        <w:tc>
          <w:tcPr>
            <w:tcW w:w="140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0.000004759</w:t>
            </w:r>
          </w:p>
        </w:tc>
        <w:tc>
          <w:tcPr>
            <w:tcW w:w="1219"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 w:hRule="atLeast"/>
          <w:jc w:val="center"/>
        </w:trPr>
        <w:tc>
          <w:tcPr>
            <w:tcW w:w="1454" w:type="dxa"/>
            <w:vAlign w:val="center"/>
          </w:tcPr>
          <w:p>
            <w:pPr>
              <w:jc w:val="center"/>
              <w:rPr>
                <w:color w:val="auto"/>
              </w:rPr>
            </w:pPr>
            <w:r>
              <w:rPr>
                <w:rFonts w:hint="eastAsia"/>
                <w:color w:val="auto"/>
                <w:lang w:val="en-US" w:eastAsia="zh-CN"/>
              </w:rPr>
              <w:t>2500</w:t>
            </w:r>
          </w:p>
        </w:tc>
        <w:tc>
          <w:tcPr>
            <w:tcW w:w="1320"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0.00001748</w:t>
            </w:r>
          </w:p>
        </w:tc>
        <w:tc>
          <w:tcPr>
            <w:tcW w:w="1035" w:type="dxa"/>
            <w:tcBorders>
              <w:top w:val="nil"/>
              <w:left w:val="nil"/>
              <w:bottom w:val="single" w:color="auto" w:sz="8" w:space="0"/>
              <w:right w:val="single" w:color="auto" w:sz="8" w:space="0"/>
            </w:tcBorders>
            <w:vAlign w:val="center"/>
          </w:tcPr>
          <w:p>
            <w:pPr>
              <w:jc w:val="center"/>
              <w:rPr>
                <w:color w:val="auto"/>
              </w:rPr>
            </w:pPr>
            <w:r>
              <w:rPr>
                <w:color w:val="auto"/>
              </w:rPr>
              <w:t>0.01</w:t>
            </w:r>
          </w:p>
        </w:tc>
        <w:tc>
          <w:tcPr>
            <w:tcW w:w="124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0.000266</w:t>
            </w:r>
          </w:p>
        </w:tc>
        <w:tc>
          <w:tcPr>
            <w:tcW w:w="127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0.01</w:t>
            </w:r>
          </w:p>
        </w:tc>
        <w:tc>
          <w:tcPr>
            <w:tcW w:w="1405"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0.000004504</w:t>
            </w:r>
          </w:p>
        </w:tc>
        <w:tc>
          <w:tcPr>
            <w:tcW w:w="1219" w:type="dxa"/>
            <w:tcBorders>
              <w:top w:val="nil"/>
              <w:left w:val="nil"/>
              <w:bottom w:val="single" w:color="auto" w:sz="8" w:space="0"/>
              <w:right w:val="single" w:color="auto" w:sz="8" w:space="0"/>
            </w:tcBorders>
            <w:vAlign w:val="center"/>
          </w:tcPr>
          <w:p>
            <w:pPr>
              <w:jc w:val="center"/>
              <w:rPr>
                <w:color w:val="auto"/>
              </w:rPr>
            </w:pPr>
            <w:r>
              <w:rPr>
                <w:rFonts w:hint="eastAsia"/>
                <w:color w:val="auto"/>
                <w:lang w:val="en-US" w:eastAsia="zh-CN"/>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 w:hRule="atLeast"/>
          <w:jc w:val="center"/>
        </w:trPr>
        <w:tc>
          <w:tcPr>
            <w:tcW w:w="1454" w:type="dxa"/>
            <w:vAlign w:val="center"/>
          </w:tcPr>
          <w:p>
            <w:pPr>
              <w:jc w:val="center"/>
              <w:rPr>
                <w:color w:val="auto"/>
              </w:rPr>
            </w:pPr>
            <w:r>
              <w:rPr>
                <w:color w:val="auto"/>
              </w:rPr>
              <w:t>下风向最大质量浓度及占标率/%</w:t>
            </w:r>
          </w:p>
        </w:tc>
        <w:tc>
          <w:tcPr>
            <w:tcW w:w="1320" w:type="dxa"/>
            <w:tcBorders>
              <w:top w:val="nil"/>
              <w:left w:val="nil"/>
              <w:bottom w:val="single" w:color="auto" w:sz="8" w:space="0"/>
              <w:right w:val="single" w:color="auto" w:sz="8" w:space="0"/>
            </w:tcBorders>
            <w:vAlign w:val="center"/>
          </w:tcPr>
          <w:p>
            <w:pPr>
              <w:jc w:val="center"/>
              <w:rPr>
                <w:rFonts w:ascii="Times New Roman" w:hAnsi="Times New Roman" w:eastAsia="宋体" w:cs="Times New Roman"/>
                <w:b/>
                <w:bCs/>
                <w:color w:val="auto"/>
                <w:kern w:val="2"/>
                <w:sz w:val="21"/>
                <w:szCs w:val="24"/>
                <w:lang w:val="en-US" w:eastAsia="zh-CN" w:bidi="ar-SA"/>
              </w:rPr>
            </w:pPr>
            <w:r>
              <w:rPr>
                <w:rFonts w:hint="eastAsia"/>
                <w:b/>
                <w:bCs/>
                <w:color w:val="auto"/>
                <w:lang w:val="en-US" w:eastAsia="zh-CN"/>
              </w:rPr>
              <w:t>0.0008865</w:t>
            </w:r>
          </w:p>
        </w:tc>
        <w:tc>
          <w:tcPr>
            <w:tcW w:w="1035" w:type="dxa"/>
            <w:tcBorders>
              <w:top w:val="nil"/>
              <w:left w:val="nil"/>
              <w:bottom w:val="single" w:color="auto" w:sz="8" w:space="0"/>
              <w:right w:val="single" w:color="auto" w:sz="8" w:space="0"/>
            </w:tcBorders>
            <w:vAlign w:val="center"/>
          </w:tcPr>
          <w:p>
            <w:pPr>
              <w:jc w:val="center"/>
              <w:rPr>
                <w:rFonts w:ascii="Times New Roman" w:hAnsi="Times New Roman" w:eastAsia="宋体" w:cs="Times New Roman"/>
                <w:b/>
                <w:bCs/>
                <w:color w:val="auto"/>
                <w:kern w:val="2"/>
                <w:sz w:val="21"/>
                <w:szCs w:val="24"/>
                <w:lang w:val="en-US" w:eastAsia="zh-CN" w:bidi="ar-SA"/>
              </w:rPr>
            </w:pPr>
            <w:r>
              <w:rPr>
                <w:rFonts w:hint="eastAsia"/>
                <w:b/>
                <w:bCs/>
                <w:color w:val="auto"/>
                <w:lang w:val="en-US" w:eastAsia="zh-CN"/>
              </w:rPr>
              <w:t>0.1</w:t>
            </w:r>
          </w:p>
        </w:tc>
        <w:tc>
          <w:tcPr>
            <w:tcW w:w="1245" w:type="dxa"/>
            <w:tcBorders>
              <w:top w:val="nil"/>
              <w:left w:val="nil"/>
              <w:bottom w:val="single" w:color="auto" w:sz="8" w:space="0"/>
              <w:right w:val="single" w:color="auto" w:sz="8" w:space="0"/>
            </w:tcBorders>
            <w:vAlign w:val="center"/>
          </w:tcPr>
          <w:p>
            <w:pPr>
              <w:jc w:val="center"/>
              <w:rPr>
                <w:rFonts w:ascii="Times New Roman" w:hAnsi="Times New Roman" w:eastAsia="宋体" w:cs="Times New Roman"/>
                <w:b/>
                <w:bCs/>
                <w:color w:val="auto"/>
                <w:kern w:val="2"/>
                <w:sz w:val="21"/>
                <w:szCs w:val="24"/>
                <w:lang w:val="en-US" w:eastAsia="zh-CN" w:bidi="ar-SA"/>
              </w:rPr>
            </w:pPr>
            <w:r>
              <w:rPr>
                <w:rFonts w:hint="eastAsia"/>
                <w:b/>
                <w:bCs/>
                <w:color w:val="auto"/>
                <w:lang w:val="en-US" w:eastAsia="zh-CN"/>
              </w:rPr>
              <w:t>0.02371</w:t>
            </w:r>
          </w:p>
        </w:tc>
        <w:tc>
          <w:tcPr>
            <w:tcW w:w="1275" w:type="dxa"/>
            <w:tcBorders>
              <w:top w:val="nil"/>
              <w:left w:val="nil"/>
              <w:bottom w:val="single" w:color="auto" w:sz="8" w:space="0"/>
              <w:right w:val="single" w:color="auto" w:sz="8" w:space="0"/>
            </w:tcBorders>
            <w:vAlign w:val="center"/>
          </w:tcPr>
          <w:p>
            <w:pPr>
              <w:jc w:val="center"/>
              <w:rPr>
                <w:rFonts w:ascii="Times New Roman" w:hAnsi="Times New Roman" w:eastAsia="宋体" w:cs="Times New Roman"/>
                <w:b/>
                <w:bCs/>
                <w:color w:val="auto"/>
                <w:kern w:val="2"/>
                <w:sz w:val="21"/>
                <w:szCs w:val="24"/>
                <w:lang w:val="en-US" w:eastAsia="zh-CN" w:bidi="ar-SA"/>
              </w:rPr>
            </w:pPr>
            <w:r>
              <w:rPr>
                <w:rFonts w:hint="eastAsia"/>
                <w:b/>
                <w:bCs/>
                <w:color w:val="auto"/>
                <w:lang w:val="en-US" w:eastAsia="zh-CN"/>
              </w:rPr>
              <w:t>1.19</w:t>
            </w:r>
          </w:p>
        </w:tc>
        <w:tc>
          <w:tcPr>
            <w:tcW w:w="1405" w:type="dxa"/>
            <w:tcBorders>
              <w:top w:val="nil"/>
              <w:left w:val="nil"/>
              <w:bottom w:val="single" w:color="auto" w:sz="8" w:space="0"/>
              <w:right w:val="single" w:color="auto" w:sz="8" w:space="0"/>
            </w:tcBorders>
            <w:vAlign w:val="center"/>
          </w:tcPr>
          <w:p>
            <w:pPr>
              <w:jc w:val="center"/>
              <w:rPr>
                <w:rFonts w:ascii="Times New Roman" w:hAnsi="Times New Roman" w:eastAsia="宋体" w:cs="Times New Roman"/>
                <w:b/>
                <w:bCs/>
                <w:color w:val="auto"/>
                <w:kern w:val="2"/>
                <w:sz w:val="21"/>
                <w:szCs w:val="24"/>
                <w:lang w:val="en-US" w:eastAsia="zh-CN" w:bidi="ar-SA"/>
              </w:rPr>
            </w:pPr>
            <w:r>
              <w:rPr>
                <w:rFonts w:hint="eastAsia"/>
                <w:b/>
                <w:bCs/>
                <w:color w:val="auto"/>
                <w:lang w:val="en-US" w:eastAsia="zh-CN"/>
              </w:rPr>
              <w:t>0.0002283</w:t>
            </w:r>
          </w:p>
        </w:tc>
        <w:tc>
          <w:tcPr>
            <w:tcW w:w="1219" w:type="dxa"/>
            <w:tcBorders>
              <w:top w:val="nil"/>
              <w:left w:val="nil"/>
              <w:bottom w:val="single" w:color="auto" w:sz="8" w:space="0"/>
              <w:right w:val="single" w:color="auto" w:sz="8" w:space="0"/>
            </w:tcBorders>
            <w:vAlign w:val="center"/>
          </w:tcPr>
          <w:p>
            <w:pPr>
              <w:jc w:val="center"/>
              <w:rPr>
                <w:rFonts w:ascii="Times New Roman" w:hAnsi="Times New Roman" w:eastAsia="宋体" w:cs="Times New Roman"/>
                <w:b/>
                <w:bCs/>
                <w:color w:val="auto"/>
                <w:kern w:val="2"/>
                <w:sz w:val="21"/>
                <w:szCs w:val="24"/>
                <w:lang w:val="en-US" w:eastAsia="zh-CN" w:bidi="ar-SA"/>
              </w:rPr>
            </w:pPr>
            <w:r>
              <w:rPr>
                <w:rFonts w:hint="eastAsia"/>
                <w:b/>
                <w:bCs/>
                <w:color w:val="auto"/>
                <w:lang w:val="en-US" w:eastAsia="zh-CN"/>
              </w:rPr>
              <w:t>0.38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 w:hRule="atLeast"/>
          <w:jc w:val="center"/>
        </w:trPr>
        <w:tc>
          <w:tcPr>
            <w:tcW w:w="1454" w:type="dxa"/>
            <w:vAlign w:val="center"/>
          </w:tcPr>
          <w:p>
            <w:pPr>
              <w:jc w:val="center"/>
              <w:rPr>
                <w:color w:val="auto"/>
              </w:rPr>
            </w:pPr>
            <w:r>
              <w:rPr>
                <w:color w:val="auto"/>
              </w:rPr>
              <w:t>D10%最远距离</w:t>
            </w:r>
          </w:p>
        </w:tc>
        <w:tc>
          <w:tcPr>
            <w:tcW w:w="2355" w:type="dxa"/>
            <w:gridSpan w:val="2"/>
            <w:vAlign w:val="center"/>
          </w:tcPr>
          <w:p>
            <w:pPr>
              <w:jc w:val="center"/>
              <w:rPr>
                <w:color w:val="auto"/>
              </w:rPr>
            </w:pPr>
            <w:r>
              <w:rPr>
                <w:color w:val="auto"/>
              </w:rPr>
              <w:t>—</w:t>
            </w:r>
          </w:p>
        </w:tc>
        <w:tc>
          <w:tcPr>
            <w:tcW w:w="2520" w:type="dxa"/>
            <w:gridSpan w:val="2"/>
            <w:vAlign w:val="center"/>
          </w:tcPr>
          <w:p>
            <w:pPr>
              <w:jc w:val="center"/>
              <w:rPr>
                <w:color w:val="auto"/>
              </w:rPr>
            </w:pPr>
            <w:r>
              <w:rPr>
                <w:color w:val="auto"/>
              </w:rPr>
              <w:t>—</w:t>
            </w:r>
          </w:p>
        </w:tc>
        <w:tc>
          <w:tcPr>
            <w:tcW w:w="2624" w:type="dxa"/>
            <w:gridSpan w:val="2"/>
            <w:vAlign w:val="center"/>
          </w:tcPr>
          <w:p>
            <w:pPr>
              <w:jc w:val="center"/>
              <w:rPr>
                <w:color w:val="auto"/>
              </w:rPr>
            </w:pPr>
            <w:r>
              <w:rPr>
                <w:color w:val="auto"/>
              </w:rPr>
              <w:t>—</w:t>
            </w:r>
          </w:p>
        </w:tc>
      </w:tr>
    </w:tbl>
    <w:p>
      <w:pPr>
        <w:pStyle w:val="176"/>
        <w:spacing w:line="520" w:lineRule="exact"/>
        <w:ind w:firstLine="512"/>
        <w:rPr>
          <w:color w:val="auto"/>
        </w:rPr>
      </w:pPr>
      <w:r>
        <w:rPr>
          <w:rFonts w:hint="default" w:ascii="Times New Roman" w:hAnsi="Times New Roman" w:cs="Times New Roman"/>
          <w:color w:val="auto"/>
          <w:lang w:val="en-US"/>
        </w:rPr>
        <w:t>预测分析</w:t>
      </w:r>
      <w:r>
        <w:rPr>
          <w:rFonts w:hint="default" w:ascii="Times New Roman" w:hAnsi="Times New Roman" w:cs="Times New Roman"/>
          <w:b w:val="0"/>
          <w:bCs w:val="0"/>
          <w:color w:val="auto"/>
          <w:lang w:val="en-US"/>
        </w:rPr>
        <w:t>可</w:t>
      </w:r>
      <w:r>
        <w:rPr>
          <w:rFonts w:hint="default" w:ascii="Times New Roman" w:hAnsi="Times New Roman" w:cs="Times New Roman"/>
          <w:b w:val="0"/>
          <w:bCs w:val="0"/>
          <w:color w:val="000000"/>
          <w:sz w:val="24"/>
          <w:szCs w:val="24"/>
          <w:lang w:val="en-US" w:eastAsia="zh-CN"/>
        </w:rPr>
        <w:t>知</w:t>
      </w:r>
      <w:r>
        <w:rPr>
          <w:rFonts w:hint="default" w:ascii="Times New Roman" w:hAnsi="Times New Roman" w:cs="Times New Roman"/>
          <w:b w:val="0"/>
          <w:bCs w:val="0"/>
          <w:color w:val="000000"/>
          <w:sz w:val="24"/>
          <w:szCs w:val="24"/>
          <w:lang w:eastAsia="zh-CN"/>
        </w:rPr>
        <w:t>，本项目Pmax最大值出现的是无组织源排放的</w:t>
      </w:r>
      <w:r>
        <w:rPr>
          <w:rFonts w:hint="eastAsia" w:ascii="Times New Roman" w:hAnsi="Times New Roman" w:cs="Times New Roman"/>
          <w:b w:val="0"/>
          <w:bCs w:val="0"/>
          <w:color w:val="000000"/>
          <w:sz w:val="24"/>
          <w:szCs w:val="24"/>
          <w:lang w:eastAsia="zh-CN"/>
        </w:rPr>
        <w:t>非甲烷总烃</w:t>
      </w:r>
      <w:r>
        <w:rPr>
          <w:rFonts w:hint="default" w:ascii="Times New Roman" w:hAnsi="Times New Roman" w:cs="Times New Roman"/>
          <w:b w:val="0"/>
          <w:bCs w:val="0"/>
          <w:color w:val="000000"/>
          <w:sz w:val="24"/>
          <w:szCs w:val="24"/>
          <w:lang w:eastAsia="zh-CN"/>
        </w:rPr>
        <w:t>，Pmax值</w:t>
      </w:r>
      <w:r>
        <w:rPr>
          <w:rFonts w:hint="default" w:ascii="Times New Roman" w:hAnsi="Times New Roman" w:eastAsia="宋体" w:cs="Times New Roman"/>
          <w:b w:val="0"/>
          <w:bCs w:val="0"/>
          <w:color w:val="auto"/>
          <w:sz w:val="24"/>
          <w:szCs w:val="24"/>
          <w:lang w:eastAsia="zh-CN"/>
        </w:rPr>
        <w:t>为</w:t>
      </w:r>
      <w:r>
        <w:rPr>
          <w:rFonts w:hint="eastAsia"/>
          <w:b w:val="0"/>
          <w:bCs w:val="0"/>
          <w:i w:val="0"/>
          <w:iCs w:val="0"/>
          <w:color w:val="auto"/>
          <w:lang w:val="en-US" w:eastAsia="zh-CN"/>
        </w:rPr>
        <w:t>1.19</w:t>
      </w:r>
      <w:r>
        <w:rPr>
          <w:rFonts w:hint="default" w:ascii="Times New Roman" w:hAnsi="Times New Roman" w:eastAsia="宋体" w:cs="Times New Roman"/>
          <w:b w:val="0"/>
          <w:bCs w:val="0"/>
          <w:i w:val="0"/>
          <w:iCs w:val="0"/>
          <w:color w:val="auto"/>
          <w:sz w:val="24"/>
          <w:szCs w:val="24"/>
          <w:lang w:val="en-US" w:eastAsia="zh-CN"/>
        </w:rPr>
        <w:t>%</w:t>
      </w:r>
      <w:r>
        <w:rPr>
          <w:rFonts w:hint="default" w:ascii="Times New Roman" w:hAnsi="Times New Roman" w:eastAsia="宋体" w:cs="Times New Roman"/>
          <w:b w:val="0"/>
          <w:bCs w:val="0"/>
          <w:i w:val="0"/>
          <w:iCs w:val="0"/>
          <w:color w:val="auto"/>
          <w:sz w:val="24"/>
          <w:szCs w:val="24"/>
          <w:lang w:eastAsia="zh-CN"/>
        </w:rPr>
        <w:t>，</w:t>
      </w:r>
      <w:r>
        <w:rPr>
          <w:rFonts w:hint="default" w:ascii="Times New Roman" w:hAnsi="Times New Roman" w:cs="Times New Roman"/>
          <w:b w:val="0"/>
          <w:bCs w:val="0"/>
          <w:i w:val="0"/>
          <w:iCs w:val="0"/>
          <w:color w:val="auto"/>
          <w:sz w:val="24"/>
          <w:szCs w:val="24"/>
          <w:lang w:eastAsia="zh-CN"/>
        </w:rPr>
        <w:t>本</w:t>
      </w:r>
      <w:r>
        <w:rPr>
          <w:rFonts w:hint="default" w:ascii="Times New Roman" w:hAnsi="Times New Roman" w:cs="Times New Roman"/>
          <w:b w:val="0"/>
          <w:bCs w:val="0"/>
          <w:color w:val="auto"/>
          <w:sz w:val="24"/>
          <w:szCs w:val="24"/>
          <w:lang w:eastAsia="zh-CN"/>
        </w:rPr>
        <w:t>项目废气最大占标率</w:t>
      </w:r>
      <w:r>
        <w:rPr>
          <w:rFonts w:hint="default" w:ascii="Times New Roman" w:hAnsi="Times New Roman" w:cs="Times New Roman"/>
          <w:b w:val="0"/>
          <w:bCs w:val="0"/>
          <w:color w:val="auto"/>
          <w:sz w:val="24"/>
          <w:szCs w:val="24"/>
          <w:lang w:val="en-US" w:eastAsia="zh-CN"/>
        </w:rPr>
        <w:t>1%≤Pmax﹤10%</w:t>
      </w:r>
      <w:r>
        <w:rPr>
          <w:rFonts w:hint="default" w:ascii="Times New Roman" w:hAnsi="Times New Roman" w:cs="Times New Roman"/>
          <w:b w:val="0"/>
          <w:bCs w:val="0"/>
          <w:color w:val="auto"/>
          <w:sz w:val="24"/>
          <w:szCs w:val="24"/>
          <w:lang w:eastAsia="zh-CN"/>
        </w:rPr>
        <w:t>，因此，本项目评价等级为二级。根据《环境影响评价技术导则 大气环境》（HJ2.2-2018），二级评价项目不进行进一步预测与评价，只对污染物排放量进行核算。</w:t>
      </w:r>
    </w:p>
    <w:p>
      <w:pPr>
        <w:pStyle w:val="176"/>
        <w:spacing w:line="520" w:lineRule="exact"/>
        <w:ind w:firstLine="512"/>
        <w:rPr>
          <w:b/>
          <w:bCs/>
          <w:color w:val="auto"/>
          <w:sz w:val="24"/>
        </w:rPr>
      </w:pPr>
      <w:r>
        <w:rPr>
          <w:rFonts w:hint="eastAsia"/>
          <w:b/>
          <w:bCs/>
          <w:color w:val="auto"/>
          <w:lang w:eastAsia="zh-CN"/>
        </w:rPr>
        <w:t>（</w:t>
      </w:r>
      <w:r>
        <w:rPr>
          <w:rFonts w:hint="eastAsia"/>
          <w:b/>
          <w:bCs/>
          <w:color w:val="auto"/>
          <w:lang w:val="en-US" w:eastAsia="zh-CN"/>
        </w:rPr>
        <w:t>3</w:t>
      </w:r>
      <w:r>
        <w:rPr>
          <w:rFonts w:hint="eastAsia"/>
          <w:b/>
          <w:bCs/>
          <w:color w:val="auto"/>
          <w:lang w:eastAsia="zh-CN"/>
        </w:rPr>
        <w:t>）</w:t>
      </w:r>
      <w:r>
        <w:rPr>
          <w:b/>
          <w:bCs/>
          <w:color w:val="auto"/>
          <w:lang w:val="en-US"/>
        </w:rPr>
        <w:t>污染物排放量核算</w:t>
      </w:r>
    </w:p>
    <w:p>
      <w:pPr>
        <w:jc w:val="center"/>
        <w:rPr>
          <w:b/>
          <w:color w:val="auto"/>
          <w:sz w:val="24"/>
        </w:rPr>
      </w:pPr>
    </w:p>
    <w:p>
      <w:pPr>
        <w:jc w:val="center"/>
        <w:rPr>
          <w:b/>
          <w:color w:val="auto"/>
          <w:sz w:val="24"/>
        </w:rPr>
      </w:pPr>
    </w:p>
    <w:p>
      <w:pPr>
        <w:jc w:val="center"/>
        <w:rPr>
          <w:b/>
          <w:color w:val="auto"/>
          <w:sz w:val="24"/>
        </w:rPr>
      </w:pPr>
    </w:p>
    <w:p>
      <w:pPr>
        <w:jc w:val="center"/>
        <w:rPr>
          <w:b/>
          <w:color w:val="auto"/>
          <w:sz w:val="24"/>
        </w:rPr>
      </w:pPr>
    </w:p>
    <w:p>
      <w:pPr>
        <w:jc w:val="center"/>
        <w:rPr>
          <w:b/>
          <w:color w:val="auto"/>
          <w:sz w:val="24"/>
        </w:rPr>
      </w:pPr>
    </w:p>
    <w:p>
      <w:pPr>
        <w:jc w:val="center"/>
        <w:rPr>
          <w:b/>
          <w:color w:val="auto"/>
          <w:sz w:val="24"/>
        </w:rPr>
      </w:pPr>
    </w:p>
    <w:p>
      <w:pPr>
        <w:jc w:val="center"/>
        <w:rPr>
          <w:b/>
          <w:color w:val="auto"/>
          <w:sz w:val="24"/>
        </w:rPr>
      </w:pPr>
    </w:p>
    <w:p>
      <w:pPr>
        <w:jc w:val="center"/>
        <w:rPr>
          <w:b/>
          <w:color w:val="auto"/>
          <w:sz w:val="24"/>
        </w:rPr>
      </w:pPr>
    </w:p>
    <w:p>
      <w:pPr>
        <w:jc w:val="center"/>
        <w:rPr>
          <w:b/>
          <w:color w:val="auto"/>
          <w:sz w:val="24"/>
        </w:rPr>
      </w:pPr>
    </w:p>
    <w:p>
      <w:pPr>
        <w:jc w:val="center"/>
        <w:rPr>
          <w:b/>
          <w:color w:val="auto"/>
          <w:sz w:val="24"/>
        </w:rPr>
      </w:pPr>
    </w:p>
    <w:p>
      <w:pPr>
        <w:jc w:val="center"/>
        <w:rPr>
          <w:b/>
          <w:color w:val="auto"/>
          <w:sz w:val="24"/>
        </w:rPr>
      </w:pPr>
    </w:p>
    <w:p>
      <w:pPr>
        <w:jc w:val="center"/>
        <w:rPr>
          <w:b/>
          <w:color w:val="auto"/>
          <w:sz w:val="24"/>
        </w:rPr>
      </w:pPr>
    </w:p>
    <w:p>
      <w:pPr>
        <w:jc w:val="center"/>
        <w:rPr>
          <w:b/>
          <w:color w:val="auto"/>
          <w:sz w:val="24"/>
        </w:rPr>
      </w:pPr>
    </w:p>
    <w:p>
      <w:pPr>
        <w:jc w:val="center"/>
        <w:rPr>
          <w:b/>
          <w:color w:val="auto"/>
          <w:sz w:val="24"/>
        </w:rPr>
      </w:pPr>
      <w:r>
        <w:rPr>
          <w:b/>
          <w:color w:val="auto"/>
          <w:sz w:val="24"/>
        </w:rPr>
        <w:t>表</w:t>
      </w:r>
      <w:r>
        <w:rPr>
          <w:rFonts w:hint="eastAsia"/>
          <w:b/>
          <w:color w:val="auto"/>
          <w:sz w:val="24"/>
        </w:rPr>
        <w:t>6</w:t>
      </w:r>
      <w:r>
        <w:rPr>
          <w:b/>
          <w:color w:val="auto"/>
          <w:sz w:val="24"/>
        </w:rPr>
        <w:t>-1</w:t>
      </w:r>
      <w:r>
        <w:rPr>
          <w:rFonts w:hint="eastAsia"/>
          <w:b/>
          <w:color w:val="auto"/>
          <w:sz w:val="24"/>
          <w:lang w:val="en-US" w:eastAsia="zh-CN"/>
        </w:rPr>
        <w:t>1</w:t>
      </w:r>
      <w:r>
        <w:rPr>
          <w:b/>
          <w:color w:val="auto"/>
          <w:sz w:val="24"/>
        </w:rPr>
        <w:t xml:space="preserve">  大气污染物有组织排放量核算表</w:t>
      </w:r>
    </w:p>
    <w:tbl>
      <w:tblPr>
        <w:tblStyle w:val="5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14"/>
        <w:gridCol w:w="1200"/>
        <w:gridCol w:w="1755"/>
        <w:gridCol w:w="1547"/>
        <w:gridCol w:w="1468"/>
        <w:gridCol w:w="144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14" w:type="dxa"/>
            <w:vAlign w:val="center"/>
          </w:tcPr>
          <w:p>
            <w:pPr>
              <w:jc w:val="center"/>
              <w:rPr>
                <w:color w:val="auto"/>
              </w:rPr>
            </w:pPr>
            <w:r>
              <w:rPr>
                <w:color w:val="auto"/>
              </w:rPr>
              <w:t>序号</w:t>
            </w:r>
          </w:p>
        </w:tc>
        <w:tc>
          <w:tcPr>
            <w:tcW w:w="1200" w:type="dxa"/>
            <w:vAlign w:val="center"/>
          </w:tcPr>
          <w:p>
            <w:pPr>
              <w:jc w:val="center"/>
              <w:rPr>
                <w:color w:val="auto"/>
              </w:rPr>
            </w:pPr>
            <w:r>
              <w:rPr>
                <w:color w:val="auto"/>
              </w:rPr>
              <w:t>排放口编号</w:t>
            </w:r>
          </w:p>
        </w:tc>
        <w:tc>
          <w:tcPr>
            <w:tcW w:w="1755" w:type="dxa"/>
            <w:vAlign w:val="center"/>
          </w:tcPr>
          <w:p>
            <w:pPr>
              <w:jc w:val="center"/>
              <w:rPr>
                <w:color w:val="auto"/>
              </w:rPr>
            </w:pPr>
            <w:r>
              <w:rPr>
                <w:color w:val="auto"/>
              </w:rPr>
              <w:t>污染物</w:t>
            </w:r>
          </w:p>
        </w:tc>
        <w:tc>
          <w:tcPr>
            <w:tcW w:w="1547" w:type="dxa"/>
            <w:vAlign w:val="center"/>
          </w:tcPr>
          <w:p>
            <w:pPr>
              <w:jc w:val="center"/>
              <w:rPr>
                <w:color w:val="auto"/>
              </w:rPr>
            </w:pPr>
            <w:r>
              <w:rPr>
                <w:color w:val="auto"/>
              </w:rPr>
              <w:t>核算排放浓度/（mg /m³）</w:t>
            </w:r>
          </w:p>
        </w:tc>
        <w:tc>
          <w:tcPr>
            <w:tcW w:w="1468" w:type="dxa"/>
            <w:vAlign w:val="center"/>
          </w:tcPr>
          <w:p>
            <w:pPr>
              <w:jc w:val="center"/>
              <w:rPr>
                <w:color w:val="auto"/>
              </w:rPr>
            </w:pPr>
            <w:r>
              <w:rPr>
                <w:color w:val="auto"/>
              </w:rPr>
              <w:t>核算排放速率/（kg/h）</w:t>
            </w:r>
          </w:p>
        </w:tc>
        <w:tc>
          <w:tcPr>
            <w:tcW w:w="1444" w:type="dxa"/>
            <w:vAlign w:val="center"/>
          </w:tcPr>
          <w:p>
            <w:pPr>
              <w:jc w:val="center"/>
              <w:rPr>
                <w:color w:val="auto"/>
              </w:rPr>
            </w:pPr>
            <w:r>
              <w:rPr>
                <w:color w:val="auto"/>
              </w:rPr>
              <w:t>核算年排放量/（t/a）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28" w:type="dxa"/>
            <w:gridSpan w:val="6"/>
            <w:vAlign w:val="center"/>
          </w:tcPr>
          <w:p>
            <w:pPr>
              <w:jc w:val="center"/>
              <w:rPr>
                <w:color w:val="auto"/>
              </w:rPr>
            </w:pPr>
            <w:r>
              <w:rPr>
                <w:color w:val="auto"/>
              </w:rPr>
              <w:t>主要排放口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114" w:type="dxa"/>
            <w:vAlign w:val="center"/>
          </w:tcPr>
          <w:p>
            <w:pPr>
              <w:jc w:val="center"/>
              <w:rPr>
                <w:color w:val="auto"/>
              </w:rPr>
            </w:pPr>
            <w:r>
              <w:rPr>
                <w:color w:val="auto"/>
              </w:rPr>
              <w:t>1</w:t>
            </w:r>
          </w:p>
        </w:tc>
        <w:tc>
          <w:tcPr>
            <w:tcW w:w="1200" w:type="dxa"/>
            <w:vAlign w:val="center"/>
          </w:tcPr>
          <w:p>
            <w:pPr>
              <w:jc w:val="center"/>
              <w:rPr>
                <w:color w:val="auto"/>
              </w:rPr>
            </w:pPr>
            <w:r>
              <w:rPr>
                <w:rFonts w:hint="eastAsia"/>
                <w:color w:val="auto"/>
                <w:szCs w:val="21"/>
              </w:rPr>
              <w:t>/</w:t>
            </w:r>
          </w:p>
        </w:tc>
        <w:tc>
          <w:tcPr>
            <w:tcW w:w="1755" w:type="dxa"/>
            <w:vAlign w:val="center"/>
          </w:tcPr>
          <w:p>
            <w:pPr>
              <w:jc w:val="center"/>
              <w:rPr>
                <w:color w:val="auto"/>
              </w:rPr>
            </w:pPr>
            <w:r>
              <w:rPr>
                <w:rFonts w:hint="eastAsia"/>
                <w:color w:val="auto"/>
                <w:szCs w:val="21"/>
              </w:rPr>
              <w:t>/</w:t>
            </w:r>
          </w:p>
        </w:tc>
        <w:tc>
          <w:tcPr>
            <w:tcW w:w="1547" w:type="dxa"/>
            <w:vAlign w:val="center"/>
          </w:tcPr>
          <w:p>
            <w:pPr>
              <w:jc w:val="center"/>
              <w:rPr>
                <w:color w:val="auto"/>
                <w:szCs w:val="21"/>
              </w:rPr>
            </w:pPr>
            <w:r>
              <w:rPr>
                <w:rFonts w:hint="eastAsia"/>
                <w:color w:val="auto"/>
                <w:szCs w:val="21"/>
              </w:rPr>
              <w:t>/</w:t>
            </w:r>
          </w:p>
        </w:tc>
        <w:tc>
          <w:tcPr>
            <w:tcW w:w="1468" w:type="dxa"/>
            <w:vAlign w:val="center"/>
          </w:tcPr>
          <w:p>
            <w:pPr>
              <w:jc w:val="center"/>
              <w:rPr>
                <w:color w:val="auto"/>
                <w:szCs w:val="21"/>
              </w:rPr>
            </w:pPr>
            <w:r>
              <w:rPr>
                <w:rFonts w:hint="eastAsia"/>
                <w:color w:val="auto"/>
                <w:szCs w:val="21"/>
              </w:rPr>
              <w:t>/</w:t>
            </w:r>
          </w:p>
        </w:tc>
        <w:tc>
          <w:tcPr>
            <w:tcW w:w="1444" w:type="dxa"/>
            <w:vAlign w:val="center"/>
          </w:tcPr>
          <w:p>
            <w:pPr>
              <w:jc w:val="center"/>
              <w:rPr>
                <w:color w:val="auto"/>
                <w:szCs w:val="21"/>
              </w:rPr>
            </w:pPr>
            <w:r>
              <w:rPr>
                <w:rFonts w:hint="eastAsia"/>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14" w:type="dxa"/>
            <w:vAlign w:val="center"/>
          </w:tcPr>
          <w:p>
            <w:pPr>
              <w:jc w:val="center"/>
              <w:rPr>
                <w:color w:val="auto"/>
              </w:rPr>
            </w:pPr>
            <w:r>
              <w:rPr>
                <w:color w:val="auto"/>
              </w:rPr>
              <w:t>主要排放口合计</w:t>
            </w:r>
          </w:p>
        </w:tc>
        <w:tc>
          <w:tcPr>
            <w:tcW w:w="5970" w:type="dxa"/>
            <w:gridSpan w:val="4"/>
            <w:vAlign w:val="center"/>
          </w:tcPr>
          <w:p>
            <w:pPr>
              <w:jc w:val="center"/>
              <w:rPr>
                <w:color w:val="auto"/>
                <w:szCs w:val="21"/>
              </w:rPr>
            </w:pPr>
            <w:r>
              <w:rPr>
                <w:color w:val="auto"/>
                <w:szCs w:val="21"/>
              </w:rPr>
              <w:t>颗粒物</w:t>
            </w:r>
          </w:p>
        </w:tc>
        <w:tc>
          <w:tcPr>
            <w:tcW w:w="1444" w:type="dxa"/>
            <w:vAlign w:val="center"/>
          </w:tcPr>
          <w:p>
            <w:pPr>
              <w:jc w:val="center"/>
              <w:rPr>
                <w:color w:val="auto"/>
                <w:szCs w:val="21"/>
              </w:rPr>
            </w:pPr>
            <w:r>
              <w:rPr>
                <w:rFonts w:hint="eastAsia"/>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28" w:type="dxa"/>
            <w:gridSpan w:val="6"/>
            <w:vAlign w:val="center"/>
          </w:tcPr>
          <w:p>
            <w:pPr>
              <w:jc w:val="center"/>
              <w:rPr>
                <w:rFonts w:eastAsia="宋体"/>
                <w:bCs/>
                <w:color w:val="auto"/>
                <w:szCs w:val="21"/>
              </w:rPr>
            </w:pPr>
            <w:r>
              <w:rPr>
                <w:rFonts w:eastAsia="宋体"/>
                <w:bCs/>
                <w:color w:val="auto"/>
                <w:szCs w:val="21"/>
              </w:rPr>
              <w:t>一般排放口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14" w:type="dxa"/>
            <w:vAlign w:val="center"/>
          </w:tcPr>
          <w:p>
            <w:pPr>
              <w:jc w:val="center"/>
              <w:rPr>
                <w:rFonts w:eastAsia="宋体"/>
                <w:bCs/>
                <w:color w:val="auto"/>
                <w:szCs w:val="21"/>
              </w:rPr>
            </w:pPr>
            <w:r>
              <w:rPr>
                <w:rFonts w:eastAsia="宋体"/>
                <w:bCs/>
                <w:color w:val="auto"/>
                <w:szCs w:val="21"/>
              </w:rPr>
              <w:t>1</w:t>
            </w:r>
          </w:p>
        </w:tc>
        <w:tc>
          <w:tcPr>
            <w:tcW w:w="1200" w:type="dxa"/>
            <w:vAlign w:val="center"/>
          </w:tcPr>
          <w:p>
            <w:pPr>
              <w:jc w:val="center"/>
              <w:rPr>
                <w:rFonts w:hint="eastAsia" w:eastAsia="宋体"/>
                <w:bCs/>
                <w:color w:val="auto"/>
                <w:szCs w:val="21"/>
                <w:lang w:eastAsia="zh-CN"/>
              </w:rPr>
            </w:pPr>
            <w:r>
              <w:rPr>
                <w:rFonts w:hint="eastAsia" w:eastAsia="宋体"/>
                <w:bCs/>
                <w:color w:val="auto"/>
                <w:szCs w:val="21"/>
                <w:lang w:eastAsia="zh-CN"/>
              </w:rPr>
              <w:t>1#排气筒</w:t>
            </w:r>
          </w:p>
        </w:tc>
        <w:tc>
          <w:tcPr>
            <w:tcW w:w="1755" w:type="dxa"/>
            <w:vAlign w:val="center"/>
          </w:tcPr>
          <w:p>
            <w:pPr>
              <w:jc w:val="center"/>
              <w:rPr>
                <w:rFonts w:hint="eastAsia" w:eastAsia="宋体"/>
                <w:bCs/>
                <w:color w:val="auto"/>
                <w:szCs w:val="21"/>
                <w:lang w:val="en-US" w:eastAsia="zh-CN"/>
              </w:rPr>
            </w:pPr>
            <w:r>
              <w:rPr>
                <w:rFonts w:hint="eastAsia" w:eastAsia="宋体"/>
                <w:bCs/>
                <w:color w:val="auto"/>
                <w:szCs w:val="21"/>
                <w:lang w:eastAsia="zh-CN"/>
              </w:rPr>
              <w:t>颗粒物</w:t>
            </w:r>
          </w:p>
        </w:tc>
        <w:tc>
          <w:tcPr>
            <w:tcW w:w="1547" w:type="dxa"/>
            <w:vAlign w:val="center"/>
          </w:tcPr>
          <w:p>
            <w:pPr>
              <w:jc w:val="center"/>
              <w:rPr>
                <w:rFonts w:eastAsia="宋体"/>
                <w:bCs/>
                <w:color w:val="auto"/>
                <w:szCs w:val="21"/>
                <w:lang w:val="en-US" w:eastAsia="zh-CN"/>
              </w:rPr>
            </w:pPr>
            <w:r>
              <w:rPr>
                <w:rFonts w:hint="eastAsia" w:eastAsia="宋体"/>
                <w:bCs/>
                <w:color w:val="auto"/>
                <w:szCs w:val="21"/>
                <w:lang w:val="en-US" w:eastAsia="zh-CN"/>
              </w:rPr>
              <w:t>0.63</w:t>
            </w:r>
          </w:p>
        </w:tc>
        <w:tc>
          <w:tcPr>
            <w:tcW w:w="1468" w:type="dxa"/>
            <w:vAlign w:val="center"/>
          </w:tcPr>
          <w:p>
            <w:pPr>
              <w:jc w:val="center"/>
              <w:rPr>
                <w:rFonts w:hint="default" w:eastAsia="宋体"/>
                <w:bCs/>
                <w:color w:val="auto"/>
                <w:szCs w:val="21"/>
                <w:lang w:val="en-US" w:eastAsia="zh-CN"/>
              </w:rPr>
            </w:pPr>
            <w:r>
              <w:rPr>
                <w:rFonts w:hint="eastAsia" w:eastAsia="宋体"/>
                <w:bCs/>
                <w:color w:val="auto"/>
                <w:szCs w:val="21"/>
                <w:lang w:val="en-US" w:eastAsia="zh-CN"/>
              </w:rPr>
              <w:t>0.0019</w:t>
            </w:r>
          </w:p>
        </w:tc>
        <w:tc>
          <w:tcPr>
            <w:tcW w:w="1444" w:type="dxa"/>
            <w:vAlign w:val="center"/>
          </w:tcPr>
          <w:p>
            <w:pPr>
              <w:jc w:val="center"/>
              <w:rPr>
                <w:rFonts w:hint="default" w:eastAsia="宋体"/>
                <w:bCs/>
                <w:color w:val="auto"/>
                <w:szCs w:val="21"/>
                <w:lang w:val="en-US" w:eastAsia="zh-CN"/>
              </w:rPr>
            </w:pPr>
            <w:r>
              <w:rPr>
                <w:rFonts w:hint="eastAsia" w:eastAsia="宋体"/>
                <w:bCs/>
                <w:color w:val="auto"/>
                <w:szCs w:val="21"/>
                <w:lang w:val="en-US" w:eastAsia="zh-CN"/>
              </w:rPr>
              <w:t>0.0023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1" w:hRule="atLeast"/>
          <w:jc w:val="center"/>
        </w:trPr>
        <w:tc>
          <w:tcPr>
            <w:tcW w:w="1114" w:type="dxa"/>
            <w:vAlign w:val="center"/>
          </w:tcPr>
          <w:p>
            <w:pPr>
              <w:jc w:val="center"/>
              <w:rPr>
                <w:rFonts w:eastAsia="宋体"/>
                <w:bCs/>
                <w:color w:val="auto"/>
                <w:szCs w:val="21"/>
              </w:rPr>
            </w:pPr>
            <w:r>
              <w:rPr>
                <w:rFonts w:hint="eastAsia" w:eastAsia="宋体"/>
                <w:bCs/>
                <w:color w:val="auto"/>
                <w:szCs w:val="21"/>
              </w:rPr>
              <w:t>2</w:t>
            </w:r>
          </w:p>
        </w:tc>
        <w:tc>
          <w:tcPr>
            <w:tcW w:w="1200" w:type="dxa"/>
            <w:vMerge w:val="restart"/>
            <w:vAlign w:val="center"/>
          </w:tcPr>
          <w:p>
            <w:pPr>
              <w:jc w:val="center"/>
              <w:rPr>
                <w:rFonts w:hint="eastAsia" w:eastAsia="宋体"/>
                <w:bCs/>
                <w:color w:val="auto"/>
                <w:szCs w:val="21"/>
                <w:lang w:eastAsia="zh-CN"/>
              </w:rPr>
            </w:pPr>
            <w:r>
              <w:rPr>
                <w:rFonts w:hint="eastAsia" w:eastAsia="宋体"/>
                <w:bCs/>
                <w:color w:val="auto"/>
                <w:szCs w:val="21"/>
                <w:lang w:eastAsia="zh-CN"/>
              </w:rPr>
              <w:t>2#排气筒</w:t>
            </w:r>
          </w:p>
        </w:tc>
        <w:tc>
          <w:tcPr>
            <w:tcW w:w="1755" w:type="dxa"/>
            <w:vAlign w:val="center"/>
          </w:tcPr>
          <w:p>
            <w:pPr>
              <w:jc w:val="center"/>
              <w:rPr>
                <w:rFonts w:eastAsia="宋体"/>
                <w:bCs/>
                <w:color w:val="auto"/>
                <w:szCs w:val="21"/>
                <w:lang w:val="en-US" w:eastAsia="zh-CN"/>
              </w:rPr>
            </w:pPr>
            <w:r>
              <w:rPr>
                <w:rFonts w:hint="eastAsia" w:eastAsia="宋体"/>
                <w:bCs/>
                <w:color w:val="auto"/>
                <w:szCs w:val="21"/>
                <w:lang w:eastAsia="zh-CN"/>
              </w:rPr>
              <w:t>颗粒物</w:t>
            </w:r>
          </w:p>
        </w:tc>
        <w:tc>
          <w:tcPr>
            <w:tcW w:w="1547" w:type="dxa"/>
            <w:vAlign w:val="center"/>
          </w:tcPr>
          <w:p>
            <w:pPr>
              <w:jc w:val="center"/>
              <w:rPr>
                <w:rFonts w:hint="default" w:eastAsia="宋体"/>
                <w:bCs/>
                <w:color w:val="auto"/>
                <w:szCs w:val="21"/>
                <w:lang w:val="en-US" w:eastAsia="zh-CN"/>
              </w:rPr>
            </w:pPr>
            <w:r>
              <w:rPr>
                <w:rFonts w:hint="eastAsia" w:eastAsia="宋体"/>
                <w:bCs/>
                <w:color w:val="auto"/>
                <w:szCs w:val="21"/>
                <w:lang w:val="en-US" w:eastAsia="zh-CN"/>
              </w:rPr>
              <w:t>0.17</w:t>
            </w:r>
          </w:p>
        </w:tc>
        <w:tc>
          <w:tcPr>
            <w:tcW w:w="1468" w:type="dxa"/>
            <w:vAlign w:val="center"/>
          </w:tcPr>
          <w:p>
            <w:pPr>
              <w:jc w:val="center"/>
              <w:rPr>
                <w:rFonts w:eastAsia="宋体"/>
                <w:bCs/>
                <w:color w:val="auto"/>
                <w:szCs w:val="21"/>
                <w:lang w:val="en-US" w:eastAsia="zh-CN"/>
              </w:rPr>
            </w:pPr>
            <w:r>
              <w:rPr>
                <w:rFonts w:hint="eastAsia" w:eastAsia="宋体"/>
                <w:bCs/>
                <w:color w:val="auto"/>
                <w:szCs w:val="21"/>
                <w:lang w:val="en-US" w:eastAsia="zh-CN"/>
              </w:rPr>
              <w:t>0.0033</w:t>
            </w:r>
          </w:p>
        </w:tc>
        <w:tc>
          <w:tcPr>
            <w:tcW w:w="1444" w:type="dxa"/>
            <w:vAlign w:val="center"/>
          </w:tcPr>
          <w:p>
            <w:pPr>
              <w:jc w:val="center"/>
              <w:rPr>
                <w:rFonts w:eastAsia="宋体"/>
                <w:bCs/>
                <w:color w:val="auto"/>
                <w:szCs w:val="21"/>
                <w:lang w:val="en-US" w:eastAsia="zh-CN"/>
              </w:rPr>
            </w:pPr>
            <w:r>
              <w:rPr>
                <w:rFonts w:hint="eastAsia" w:eastAsia="宋体"/>
                <w:bCs/>
                <w:color w:val="auto"/>
                <w:szCs w:val="21"/>
                <w:lang w:val="en-US" w:eastAsia="zh-CN"/>
              </w:rPr>
              <w:t>0.004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14" w:type="dxa"/>
            <w:vAlign w:val="center"/>
          </w:tcPr>
          <w:p>
            <w:pPr>
              <w:jc w:val="center"/>
              <w:rPr>
                <w:rFonts w:eastAsia="宋体"/>
                <w:bCs/>
                <w:color w:val="auto"/>
                <w:szCs w:val="21"/>
              </w:rPr>
            </w:pPr>
            <w:r>
              <w:rPr>
                <w:rFonts w:hint="eastAsia" w:eastAsia="宋体"/>
                <w:bCs/>
                <w:color w:val="auto"/>
                <w:szCs w:val="21"/>
              </w:rPr>
              <w:t>3</w:t>
            </w:r>
          </w:p>
        </w:tc>
        <w:tc>
          <w:tcPr>
            <w:tcW w:w="1200" w:type="dxa"/>
            <w:vMerge w:val="continue"/>
            <w:vAlign w:val="center"/>
          </w:tcPr>
          <w:p>
            <w:pPr>
              <w:jc w:val="center"/>
              <w:rPr>
                <w:rFonts w:eastAsia="宋体"/>
                <w:bCs/>
                <w:color w:val="auto"/>
                <w:szCs w:val="21"/>
              </w:rPr>
            </w:pPr>
          </w:p>
        </w:tc>
        <w:tc>
          <w:tcPr>
            <w:tcW w:w="1755" w:type="dxa"/>
            <w:vAlign w:val="center"/>
          </w:tcPr>
          <w:p>
            <w:pPr>
              <w:jc w:val="center"/>
              <w:rPr>
                <w:rFonts w:eastAsia="宋体"/>
                <w:bCs/>
                <w:color w:val="auto"/>
                <w:szCs w:val="21"/>
                <w:lang w:val="en-US" w:eastAsia="zh-CN"/>
              </w:rPr>
            </w:pPr>
            <w:r>
              <w:rPr>
                <w:rFonts w:eastAsia="宋体"/>
                <w:bCs/>
                <w:color w:val="auto"/>
                <w:szCs w:val="21"/>
              </w:rPr>
              <w:t>非甲烷总烃</w:t>
            </w:r>
          </w:p>
        </w:tc>
        <w:tc>
          <w:tcPr>
            <w:tcW w:w="1547" w:type="dxa"/>
            <w:vAlign w:val="center"/>
          </w:tcPr>
          <w:p>
            <w:pPr>
              <w:jc w:val="center"/>
              <w:rPr>
                <w:rFonts w:hint="eastAsia" w:eastAsia="宋体"/>
                <w:bCs/>
                <w:color w:val="auto"/>
                <w:szCs w:val="21"/>
                <w:lang w:val="en-US" w:eastAsia="zh-CN"/>
              </w:rPr>
            </w:pPr>
            <w:r>
              <w:rPr>
                <w:rFonts w:hint="eastAsia" w:eastAsia="宋体"/>
                <w:bCs/>
                <w:color w:val="auto"/>
                <w:szCs w:val="21"/>
                <w:lang w:val="en-US" w:eastAsia="zh-CN"/>
              </w:rPr>
              <w:t>0.7</w:t>
            </w:r>
          </w:p>
        </w:tc>
        <w:tc>
          <w:tcPr>
            <w:tcW w:w="1468" w:type="dxa"/>
            <w:vAlign w:val="center"/>
          </w:tcPr>
          <w:p>
            <w:pPr>
              <w:jc w:val="center"/>
              <w:rPr>
                <w:rFonts w:hint="eastAsia" w:eastAsia="宋体"/>
                <w:bCs/>
                <w:color w:val="auto"/>
                <w:szCs w:val="21"/>
                <w:lang w:val="en-US" w:eastAsia="zh-CN"/>
              </w:rPr>
            </w:pPr>
            <w:r>
              <w:rPr>
                <w:rFonts w:hint="eastAsia" w:eastAsia="宋体"/>
                <w:bCs/>
                <w:color w:val="auto"/>
                <w:szCs w:val="21"/>
                <w:lang w:val="en-US" w:eastAsia="zh-CN"/>
              </w:rPr>
              <w:t>0.014</w:t>
            </w:r>
          </w:p>
        </w:tc>
        <w:tc>
          <w:tcPr>
            <w:tcW w:w="1444" w:type="dxa"/>
            <w:vAlign w:val="center"/>
          </w:tcPr>
          <w:p>
            <w:pPr>
              <w:jc w:val="center"/>
              <w:rPr>
                <w:rFonts w:hint="eastAsia" w:eastAsia="宋体"/>
                <w:bCs/>
                <w:color w:val="auto"/>
                <w:szCs w:val="21"/>
                <w:lang w:val="en-US" w:eastAsia="zh-CN"/>
              </w:rPr>
            </w:pPr>
            <w:r>
              <w:rPr>
                <w:rFonts w:hint="eastAsia" w:eastAsia="宋体"/>
                <w:bCs/>
                <w:color w:val="auto"/>
                <w:szCs w:val="21"/>
                <w:lang w:val="en-US" w:eastAsia="zh-CN"/>
              </w:rPr>
              <w:t>0.017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14" w:type="dxa"/>
            <w:vAlign w:val="center"/>
          </w:tcPr>
          <w:p>
            <w:pPr>
              <w:jc w:val="center"/>
              <w:rPr>
                <w:rFonts w:hint="eastAsia" w:eastAsia="宋体"/>
                <w:bCs/>
                <w:color w:val="auto"/>
                <w:szCs w:val="21"/>
                <w:lang w:val="en-US" w:eastAsia="zh-CN"/>
              </w:rPr>
            </w:pPr>
            <w:r>
              <w:rPr>
                <w:rFonts w:hint="eastAsia" w:eastAsia="宋体"/>
                <w:bCs/>
                <w:color w:val="auto"/>
                <w:szCs w:val="21"/>
                <w:lang w:val="en-US" w:eastAsia="zh-CN"/>
              </w:rPr>
              <w:t>4</w:t>
            </w:r>
          </w:p>
        </w:tc>
        <w:tc>
          <w:tcPr>
            <w:tcW w:w="1200" w:type="dxa"/>
            <w:vMerge w:val="continue"/>
            <w:vAlign w:val="center"/>
          </w:tcPr>
          <w:p>
            <w:pPr>
              <w:jc w:val="center"/>
              <w:rPr>
                <w:rFonts w:eastAsia="宋体"/>
                <w:bCs/>
                <w:color w:val="auto"/>
                <w:szCs w:val="21"/>
              </w:rPr>
            </w:pPr>
          </w:p>
        </w:tc>
        <w:tc>
          <w:tcPr>
            <w:tcW w:w="1755" w:type="dxa"/>
            <w:vAlign w:val="center"/>
          </w:tcPr>
          <w:p>
            <w:pPr>
              <w:jc w:val="center"/>
              <w:rPr>
                <w:rFonts w:eastAsia="宋体"/>
                <w:bCs/>
                <w:color w:val="auto"/>
                <w:szCs w:val="21"/>
                <w:lang w:val="en-US" w:eastAsia="zh-CN"/>
              </w:rPr>
            </w:pPr>
            <w:r>
              <w:rPr>
                <w:rFonts w:eastAsia="宋体"/>
                <w:bCs/>
                <w:color w:val="auto"/>
                <w:szCs w:val="21"/>
              </w:rPr>
              <w:t>H2S</w:t>
            </w:r>
          </w:p>
        </w:tc>
        <w:tc>
          <w:tcPr>
            <w:tcW w:w="1547" w:type="dxa"/>
            <w:vAlign w:val="center"/>
          </w:tcPr>
          <w:p>
            <w:pPr>
              <w:jc w:val="center"/>
              <w:rPr>
                <w:rFonts w:eastAsia="宋体"/>
                <w:bCs/>
                <w:color w:val="auto"/>
                <w:szCs w:val="21"/>
                <w:lang w:val="en-US" w:eastAsia="zh-CN"/>
              </w:rPr>
            </w:pPr>
            <w:r>
              <w:rPr>
                <w:rFonts w:hint="eastAsia" w:eastAsia="宋体"/>
                <w:bCs/>
                <w:color w:val="auto"/>
                <w:szCs w:val="21"/>
                <w:lang w:val="en-US" w:eastAsia="zh-CN"/>
              </w:rPr>
              <w:t>0.16</w:t>
            </w:r>
          </w:p>
        </w:tc>
        <w:tc>
          <w:tcPr>
            <w:tcW w:w="1468" w:type="dxa"/>
            <w:vAlign w:val="center"/>
          </w:tcPr>
          <w:p>
            <w:pPr>
              <w:jc w:val="center"/>
              <w:rPr>
                <w:rFonts w:eastAsia="宋体"/>
                <w:bCs/>
                <w:color w:val="auto"/>
                <w:szCs w:val="21"/>
                <w:lang w:val="en-US" w:eastAsia="zh-CN"/>
              </w:rPr>
            </w:pPr>
            <w:r>
              <w:rPr>
                <w:rFonts w:hint="eastAsia" w:eastAsia="宋体"/>
                <w:bCs/>
                <w:color w:val="auto"/>
                <w:szCs w:val="21"/>
                <w:lang w:val="en-US" w:eastAsia="zh-CN"/>
              </w:rPr>
              <w:t>0.0032</w:t>
            </w:r>
          </w:p>
        </w:tc>
        <w:tc>
          <w:tcPr>
            <w:tcW w:w="1444" w:type="dxa"/>
            <w:vAlign w:val="center"/>
          </w:tcPr>
          <w:p>
            <w:pPr>
              <w:jc w:val="center"/>
              <w:rPr>
                <w:rFonts w:eastAsia="宋体"/>
                <w:bCs/>
                <w:color w:val="auto"/>
                <w:szCs w:val="21"/>
                <w:lang w:val="en-US" w:eastAsia="zh-CN"/>
              </w:rPr>
            </w:pPr>
            <w:r>
              <w:rPr>
                <w:rFonts w:hint="eastAsia" w:eastAsia="宋体"/>
                <w:bCs/>
                <w:color w:val="auto"/>
                <w:szCs w:val="21"/>
                <w:lang w:val="en-US" w:eastAsia="zh-CN"/>
              </w:rPr>
              <w:t>0.0038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14" w:type="dxa"/>
            <w:vAlign w:val="center"/>
          </w:tcPr>
          <w:p>
            <w:pPr>
              <w:jc w:val="center"/>
              <w:rPr>
                <w:rFonts w:hint="eastAsia" w:eastAsia="宋体"/>
                <w:bCs/>
                <w:color w:val="auto"/>
                <w:szCs w:val="21"/>
                <w:lang w:val="en-US" w:eastAsia="zh-CN"/>
              </w:rPr>
            </w:pPr>
            <w:r>
              <w:rPr>
                <w:rFonts w:hint="eastAsia" w:eastAsia="宋体"/>
                <w:bCs/>
                <w:color w:val="auto"/>
                <w:szCs w:val="21"/>
                <w:lang w:val="en-US" w:eastAsia="zh-CN"/>
              </w:rPr>
              <w:t>5</w:t>
            </w:r>
          </w:p>
        </w:tc>
        <w:tc>
          <w:tcPr>
            <w:tcW w:w="1200" w:type="dxa"/>
            <w:vAlign w:val="center"/>
          </w:tcPr>
          <w:p>
            <w:pPr>
              <w:jc w:val="center"/>
              <w:rPr>
                <w:rFonts w:eastAsia="宋体"/>
                <w:bCs/>
                <w:color w:val="auto"/>
                <w:szCs w:val="21"/>
              </w:rPr>
            </w:pPr>
            <w:r>
              <w:rPr>
                <w:rFonts w:hint="eastAsia" w:eastAsia="宋体"/>
                <w:bCs/>
                <w:color w:val="auto"/>
                <w:szCs w:val="21"/>
                <w:lang w:val="en-US" w:eastAsia="zh-CN"/>
              </w:rPr>
              <w:t>3</w:t>
            </w:r>
            <w:r>
              <w:rPr>
                <w:rFonts w:hint="eastAsia" w:eastAsia="宋体"/>
                <w:bCs/>
                <w:color w:val="auto"/>
                <w:szCs w:val="21"/>
                <w:lang w:eastAsia="zh-CN"/>
              </w:rPr>
              <w:t>#排气筒</w:t>
            </w:r>
          </w:p>
        </w:tc>
        <w:tc>
          <w:tcPr>
            <w:tcW w:w="1755" w:type="dxa"/>
            <w:vAlign w:val="center"/>
          </w:tcPr>
          <w:p>
            <w:pPr>
              <w:jc w:val="center"/>
              <w:rPr>
                <w:rFonts w:eastAsia="宋体"/>
                <w:bCs/>
                <w:color w:val="auto"/>
                <w:szCs w:val="21"/>
                <w:lang w:val="en-US" w:eastAsia="zh-CN"/>
              </w:rPr>
            </w:pPr>
            <w:r>
              <w:rPr>
                <w:rFonts w:eastAsia="宋体"/>
                <w:bCs/>
                <w:color w:val="auto"/>
                <w:szCs w:val="21"/>
              </w:rPr>
              <w:t>非甲烷总烃</w:t>
            </w:r>
          </w:p>
        </w:tc>
        <w:tc>
          <w:tcPr>
            <w:tcW w:w="1547" w:type="dxa"/>
            <w:vAlign w:val="center"/>
          </w:tcPr>
          <w:p>
            <w:pPr>
              <w:jc w:val="center"/>
              <w:rPr>
                <w:rFonts w:eastAsia="宋体"/>
                <w:bCs/>
                <w:color w:val="auto"/>
                <w:szCs w:val="21"/>
                <w:lang w:val="en-US" w:eastAsia="zh-CN"/>
              </w:rPr>
            </w:pPr>
            <w:r>
              <w:rPr>
                <w:rFonts w:hint="eastAsia" w:eastAsia="宋体"/>
                <w:bCs/>
                <w:color w:val="auto"/>
                <w:szCs w:val="21"/>
                <w:lang w:val="en-US" w:eastAsia="zh-CN"/>
              </w:rPr>
              <w:t>1.7</w:t>
            </w:r>
          </w:p>
        </w:tc>
        <w:tc>
          <w:tcPr>
            <w:tcW w:w="1468" w:type="dxa"/>
            <w:vAlign w:val="center"/>
          </w:tcPr>
          <w:p>
            <w:pPr>
              <w:jc w:val="center"/>
              <w:rPr>
                <w:rFonts w:eastAsia="宋体"/>
                <w:bCs/>
                <w:color w:val="auto"/>
                <w:szCs w:val="21"/>
                <w:lang w:val="en-US" w:eastAsia="zh-CN"/>
              </w:rPr>
            </w:pPr>
            <w:r>
              <w:rPr>
                <w:rFonts w:hint="eastAsia" w:eastAsia="宋体"/>
                <w:bCs/>
                <w:color w:val="auto"/>
                <w:szCs w:val="21"/>
                <w:lang w:val="en-US" w:eastAsia="zh-CN"/>
              </w:rPr>
              <w:t>0.077</w:t>
            </w:r>
          </w:p>
        </w:tc>
        <w:tc>
          <w:tcPr>
            <w:tcW w:w="1444" w:type="dxa"/>
            <w:vAlign w:val="center"/>
          </w:tcPr>
          <w:p>
            <w:pPr>
              <w:jc w:val="center"/>
              <w:rPr>
                <w:rFonts w:eastAsia="宋体"/>
                <w:bCs/>
                <w:color w:val="auto"/>
                <w:szCs w:val="21"/>
                <w:lang w:val="en-US" w:eastAsia="zh-CN"/>
              </w:rPr>
            </w:pPr>
            <w:r>
              <w:rPr>
                <w:rFonts w:hint="eastAsia" w:eastAsia="宋体"/>
                <w:bCs/>
                <w:color w:val="auto"/>
                <w:szCs w:val="21"/>
                <w:lang w:val="en-US" w:eastAsia="zh-CN"/>
              </w:rPr>
              <w:t>0.18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14" w:type="dxa"/>
            <w:vMerge w:val="restart"/>
            <w:vAlign w:val="center"/>
          </w:tcPr>
          <w:p>
            <w:pPr>
              <w:jc w:val="center"/>
              <w:rPr>
                <w:rFonts w:eastAsia="宋体"/>
                <w:bCs/>
                <w:color w:val="auto"/>
                <w:szCs w:val="21"/>
              </w:rPr>
            </w:pPr>
            <w:r>
              <w:rPr>
                <w:rFonts w:eastAsia="宋体"/>
                <w:bCs/>
                <w:color w:val="auto"/>
                <w:szCs w:val="21"/>
              </w:rPr>
              <w:t>一般排放口合计</w:t>
            </w:r>
          </w:p>
        </w:tc>
        <w:tc>
          <w:tcPr>
            <w:tcW w:w="5970" w:type="dxa"/>
            <w:gridSpan w:val="4"/>
            <w:vAlign w:val="center"/>
          </w:tcPr>
          <w:p>
            <w:pPr>
              <w:jc w:val="center"/>
              <w:rPr>
                <w:rFonts w:eastAsia="宋体"/>
                <w:bCs/>
                <w:color w:val="auto"/>
                <w:szCs w:val="21"/>
                <w:lang w:val="en-US" w:eastAsia="zh-CN"/>
              </w:rPr>
            </w:pPr>
            <w:r>
              <w:rPr>
                <w:rFonts w:hint="eastAsia" w:eastAsia="宋体"/>
                <w:bCs/>
                <w:color w:val="auto"/>
                <w:szCs w:val="21"/>
                <w:lang w:eastAsia="zh-CN"/>
              </w:rPr>
              <w:t>颗粒物</w:t>
            </w:r>
          </w:p>
        </w:tc>
        <w:tc>
          <w:tcPr>
            <w:tcW w:w="1444" w:type="dxa"/>
            <w:vAlign w:val="center"/>
          </w:tcPr>
          <w:p>
            <w:pPr>
              <w:jc w:val="center"/>
              <w:rPr>
                <w:rFonts w:eastAsia="宋体"/>
                <w:bCs/>
                <w:color w:val="auto"/>
                <w:szCs w:val="21"/>
              </w:rPr>
            </w:pPr>
            <w:r>
              <w:rPr>
                <w:rFonts w:hint="eastAsia" w:eastAsia="宋体"/>
                <w:bCs/>
                <w:color w:val="auto"/>
                <w:szCs w:val="21"/>
                <w:lang w:val="en-US" w:eastAsia="zh-CN"/>
              </w:rPr>
              <w:t>0.0063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14" w:type="dxa"/>
            <w:vMerge w:val="continue"/>
            <w:vAlign w:val="center"/>
          </w:tcPr>
          <w:p>
            <w:pPr>
              <w:jc w:val="center"/>
              <w:rPr>
                <w:rFonts w:eastAsia="宋体"/>
                <w:bCs/>
                <w:color w:val="auto"/>
                <w:szCs w:val="21"/>
              </w:rPr>
            </w:pPr>
          </w:p>
        </w:tc>
        <w:tc>
          <w:tcPr>
            <w:tcW w:w="5970" w:type="dxa"/>
            <w:gridSpan w:val="4"/>
            <w:vAlign w:val="center"/>
          </w:tcPr>
          <w:p>
            <w:pPr>
              <w:jc w:val="center"/>
              <w:rPr>
                <w:rFonts w:eastAsia="宋体"/>
                <w:bCs/>
                <w:color w:val="auto"/>
                <w:szCs w:val="21"/>
                <w:lang w:val="en-US" w:eastAsia="zh-CN"/>
              </w:rPr>
            </w:pPr>
            <w:r>
              <w:rPr>
                <w:rFonts w:eastAsia="宋体"/>
                <w:bCs/>
                <w:color w:val="auto"/>
                <w:szCs w:val="21"/>
              </w:rPr>
              <w:t>非甲烷总烃</w:t>
            </w:r>
          </w:p>
        </w:tc>
        <w:tc>
          <w:tcPr>
            <w:tcW w:w="1444" w:type="dxa"/>
            <w:vAlign w:val="center"/>
          </w:tcPr>
          <w:p>
            <w:pPr>
              <w:jc w:val="center"/>
              <w:rPr>
                <w:rFonts w:eastAsia="宋体"/>
                <w:bCs/>
                <w:color w:val="auto"/>
                <w:szCs w:val="21"/>
              </w:rPr>
            </w:pPr>
            <w:r>
              <w:rPr>
                <w:rFonts w:hint="eastAsia" w:eastAsia="宋体"/>
                <w:bCs/>
                <w:color w:val="auto"/>
                <w:szCs w:val="21"/>
                <w:lang w:val="en-US" w:eastAsia="zh-CN"/>
              </w:rPr>
              <w:t>0.197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14" w:type="dxa"/>
            <w:vMerge w:val="continue"/>
            <w:vAlign w:val="center"/>
          </w:tcPr>
          <w:p>
            <w:pPr>
              <w:jc w:val="center"/>
              <w:rPr>
                <w:rFonts w:eastAsia="宋体"/>
                <w:bCs/>
                <w:color w:val="auto"/>
                <w:szCs w:val="21"/>
              </w:rPr>
            </w:pPr>
          </w:p>
        </w:tc>
        <w:tc>
          <w:tcPr>
            <w:tcW w:w="5970" w:type="dxa"/>
            <w:gridSpan w:val="4"/>
            <w:vAlign w:val="center"/>
          </w:tcPr>
          <w:p>
            <w:pPr>
              <w:jc w:val="center"/>
              <w:rPr>
                <w:rFonts w:eastAsia="宋体"/>
                <w:bCs/>
                <w:color w:val="auto"/>
                <w:szCs w:val="21"/>
                <w:lang w:val="en-US" w:eastAsia="zh-CN"/>
              </w:rPr>
            </w:pPr>
            <w:r>
              <w:rPr>
                <w:rFonts w:eastAsia="宋体"/>
                <w:bCs/>
                <w:color w:val="auto"/>
                <w:szCs w:val="21"/>
              </w:rPr>
              <w:t>H2S</w:t>
            </w:r>
          </w:p>
        </w:tc>
        <w:tc>
          <w:tcPr>
            <w:tcW w:w="1444" w:type="dxa"/>
            <w:vAlign w:val="center"/>
          </w:tcPr>
          <w:p>
            <w:pPr>
              <w:jc w:val="center"/>
              <w:rPr>
                <w:rFonts w:eastAsia="宋体"/>
                <w:bCs/>
                <w:color w:val="auto"/>
                <w:szCs w:val="21"/>
              </w:rPr>
            </w:pPr>
            <w:r>
              <w:rPr>
                <w:rFonts w:hint="eastAsia" w:eastAsia="宋体"/>
                <w:bCs/>
                <w:color w:val="auto"/>
                <w:szCs w:val="21"/>
                <w:lang w:val="en-US" w:eastAsia="zh-CN"/>
              </w:rPr>
              <w:t>0.0038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28" w:type="dxa"/>
            <w:gridSpan w:val="6"/>
            <w:vAlign w:val="center"/>
          </w:tcPr>
          <w:p>
            <w:pPr>
              <w:jc w:val="center"/>
              <w:rPr>
                <w:rFonts w:eastAsia="宋体"/>
                <w:bCs/>
                <w:color w:val="auto"/>
                <w:szCs w:val="21"/>
              </w:rPr>
            </w:pPr>
            <w:r>
              <w:rPr>
                <w:rFonts w:eastAsia="宋体"/>
                <w:bCs/>
                <w:color w:val="auto"/>
                <w:szCs w:val="21"/>
              </w:rPr>
              <w:t>有组织排放总计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14" w:type="dxa"/>
            <w:vMerge w:val="restart"/>
            <w:vAlign w:val="center"/>
          </w:tcPr>
          <w:p>
            <w:pPr>
              <w:jc w:val="center"/>
              <w:rPr>
                <w:rFonts w:eastAsia="宋体"/>
                <w:bCs/>
                <w:color w:val="auto"/>
                <w:szCs w:val="21"/>
              </w:rPr>
            </w:pPr>
            <w:r>
              <w:rPr>
                <w:rFonts w:eastAsia="宋体"/>
                <w:bCs/>
                <w:color w:val="auto"/>
                <w:szCs w:val="21"/>
              </w:rPr>
              <w:t>有组织排放总计</w:t>
            </w:r>
          </w:p>
        </w:tc>
        <w:tc>
          <w:tcPr>
            <w:tcW w:w="5970" w:type="dxa"/>
            <w:gridSpan w:val="4"/>
            <w:vAlign w:val="center"/>
          </w:tcPr>
          <w:p>
            <w:pPr>
              <w:jc w:val="center"/>
              <w:rPr>
                <w:rFonts w:eastAsia="宋体"/>
                <w:bCs/>
                <w:color w:val="auto"/>
                <w:szCs w:val="21"/>
                <w:lang w:val="en-US" w:eastAsia="zh-CN"/>
              </w:rPr>
            </w:pPr>
            <w:r>
              <w:rPr>
                <w:rFonts w:hint="eastAsia" w:eastAsia="宋体"/>
                <w:bCs/>
                <w:color w:val="auto"/>
                <w:szCs w:val="21"/>
                <w:lang w:eastAsia="zh-CN"/>
              </w:rPr>
              <w:t>颗粒物</w:t>
            </w:r>
          </w:p>
        </w:tc>
        <w:tc>
          <w:tcPr>
            <w:tcW w:w="1444" w:type="dxa"/>
            <w:vAlign w:val="center"/>
          </w:tcPr>
          <w:p>
            <w:pPr>
              <w:jc w:val="center"/>
              <w:rPr>
                <w:rFonts w:eastAsia="宋体"/>
                <w:bCs/>
                <w:color w:val="auto"/>
                <w:szCs w:val="21"/>
              </w:rPr>
            </w:pPr>
            <w:r>
              <w:rPr>
                <w:rFonts w:hint="eastAsia" w:eastAsia="宋体"/>
                <w:bCs/>
                <w:color w:val="auto"/>
                <w:szCs w:val="21"/>
                <w:lang w:val="en-US" w:eastAsia="zh-CN"/>
              </w:rPr>
              <w:t>0.0063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14" w:type="dxa"/>
            <w:vMerge w:val="continue"/>
            <w:vAlign w:val="center"/>
          </w:tcPr>
          <w:p>
            <w:pPr>
              <w:jc w:val="center"/>
              <w:rPr>
                <w:rFonts w:eastAsia="宋体"/>
                <w:bCs/>
                <w:color w:val="auto"/>
                <w:szCs w:val="21"/>
              </w:rPr>
            </w:pPr>
          </w:p>
        </w:tc>
        <w:tc>
          <w:tcPr>
            <w:tcW w:w="5970" w:type="dxa"/>
            <w:gridSpan w:val="4"/>
            <w:vAlign w:val="center"/>
          </w:tcPr>
          <w:p>
            <w:pPr>
              <w:jc w:val="center"/>
              <w:rPr>
                <w:rFonts w:eastAsia="宋体"/>
                <w:bCs/>
                <w:color w:val="auto"/>
                <w:szCs w:val="21"/>
                <w:lang w:val="en-US" w:eastAsia="zh-CN"/>
              </w:rPr>
            </w:pPr>
            <w:r>
              <w:rPr>
                <w:rFonts w:eastAsia="宋体"/>
                <w:bCs/>
                <w:color w:val="auto"/>
                <w:szCs w:val="21"/>
              </w:rPr>
              <w:t>非甲烷总烃</w:t>
            </w:r>
          </w:p>
        </w:tc>
        <w:tc>
          <w:tcPr>
            <w:tcW w:w="1444" w:type="dxa"/>
            <w:vAlign w:val="center"/>
          </w:tcPr>
          <w:p>
            <w:pPr>
              <w:jc w:val="center"/>
              <w:rPr>
                <w:rFonts w:eastAsia="宋体"/>
                <w:bCs/>
                <w:color w:val="auto"/>
                <w:szCs w:val="21"/>
              </w:rPr>
            </w:pPr>
            <w:r>
              <w:rPr>
                <w:rFonts w:hint="eastAsia" w:eastAsia="宋体"/>
                <w:bCs/>
                <w:color w:val="auto"/>
                <w:szCs w:val="21"/>
                <w:lang w:val="en-US" w:eastAsia="zh-CN"/>
              </w:rPr>
              <w:t>0.197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14" w:type="dxa"/>
            <w:vMerge w:val="continue"/>
            <w:vAlign w:val="center"/>
          </w:tcPr>
          <w:p>
            <w:pPr>
              <w:jc w:val="center"/>
              <w:rPr>
                <w:rFonts w:eastAsia="宋体"/>
                <w:bCs/>
                <w:color w:val="auto"/>
                <w:szCs w:val="21"/>
              </w:rPr>
            </w:pPr>
          </w:p>
        </w:tc>
        <w:tc>
          <w:tcPr>
            <w:tcW w:w="5970" w:type="dxa"/>
            <w:gridSpan w:val="4"/>
            <w:vAlign w:val="center"/>
          </w:tcPr>
          <w:p>
            <w:pPr>
              <w:jc w:val="center"/>
              <w:rPr>
                <w:rFonts w:eastAsia="宋体"/>
                <w:bCs/>
                <w:color w:val="auto"/>
                <w:szCs w:val="21"/>
                <w:lang w:val="en-US" w:eastAsia="zh-CN"/>
              </w:rPr>
            </w:pPr>
            <w:r>
              <w:rPr>
                <w:rFonts w:eastAsia="宋体"/>
                <w:bCs/>
                <w:color w:val="auto"/>
                <w:szCs w:val="21"/>
              </w:rPr>
              <w:t>H2S</w:t>
            </w:r>
          </w:p>
        </w:tc>
        <w:tc>
          <w:tcPr>
            <w:tcW w:w="1444" w:type="dxa"/>
            <w:vAlign w:val="center"/>
          </w:tcPr>
          <w:p>
            <w:pPr>
              <w:jc w:val="center"/>
              <w:rPr>
                <w:rFonts w:eastAsia="宋体"/>
                <w:bCs/>
                <w:color w:val="auto"/>
                <w:szCs w:val="21"/>
              </w:rPr>
            </w:pPr>
            <w:r>
              <w:rPr>
                <w:rFonts w:hint="eastAsia" w:eastAsia="宋体"/>
                <w:bCs/>
                <w:color w:val="auto"/>
                <w:szCs w:val="21"/>
                <w:lang w:val="en-US" w:eastAsia="zh-CN"/>
              </w:rPr>
              <w:t>0.0038</w:t>
            </w:r>
          </w:p>
        </w:tc>
      </w:tr>
    </w:tbl>
    <w:p>
      <w:pPr>
        <w:jc w:val="center"/>
        <w:rPr>
          <w:b/>
          <w:color w:val="auto"/>
          <w:sz w:val="24"/>
        </w:rPr>
      </w:pPr>
    </w:p>
    <w:p>
      <w:pPr>
        <w:jc w:val="center"/>
        <w:rPr>
          <w:b/>
          <w:color w:val="auto"/>
          <w:sz w:val="24"/>
        </w:rPr>
      </w:pPr>
      <w:r>
        <w:rPr>
          <w:rFonts w:hint="eastAsia"/>
          <w:b/>
          <w:color w:val="auto"/>
          <w:sz w:val="24"/>
        </w:rPr>
        <w:t>表6</w:t>
      </w:r>
      <w:r>
        <w:rPr>
          <w:b/>
          <w:color w:val="auto"/>
          <w:sz w:val="24"/>
        </w:rPr>
        <w:t>-1</w:t>
      </w:r>
      <w:r>
        <w:rPr>
          <w:rFonts w:hint="eastAsia"/>
          <w:b/>
          <w:color w:val="auto"/>
          <w:sz w:val="24"/>
          <w:lang w:val="en-US" w:eastAsia="zh-CN"/>
        </w:rPr>
        <w:t>2</w:t>
      </w:r>
      <w:r>
        <w:rPr>
          <w:b/>
          <w:color w:val="auto"/>
          <w:sz w:val="24"/>
        </w:rPr>
        <w:t xml:space="preserve">  大气污染物无组织排放量核算表</w:t>
      </w:r>
    </w:p>
    <w:tbl>
      <w:tblPr>
        <w:tblStyle w:val="5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65"/>
        <w:gridCol w:w="606"/>
        <w:gridCol w:w="1161"/>
        <w:gridCol w:w="866"/>
        <w:gridCol w:w="951"/>
        <w:gridCol w:w="1943"/>
        <w:gridCol w:w="1206"/>
        <w:gridCol w:w="9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65" w:type="dxa"/>
            <w:vMerge w:val="restart"/>
            <w:vAlign w:val="center"/>
          </w:tcPr>
          <w:p>
            <w:pPr>
              <w:jc w:val="center"/>
              <w:rPr>
                <w:color w:val="auto"/>
              </w:rPr>
            </w:pPr>
            <w:r>
              <w:rPr>
                <w:color w:val="auto"/>
              </w:rPr>
              <w:t>序号</w:t>
            </w:r>
          </w:p>
        </w:tc>
        <w:tc>
          <w:tcPr>
            <w:tcW w:w="606" w:type="dxa"/>
            <w:vMerge w:val="restart"/>
            <w:vAlign w:val="center"/>
          </w:tcPr>
          <w:p>
            <w:pPr>
              <w:jc w:val="center"/>
              <w:rPr>
                <w:color w:val="auto"/>
              </w:rPr>
            </w:pPr>
            <w:r>
              <w:rPr>
                <w:color w:val="auto"/>
              </w:rPr>
              <w:t>排放口编号</w:t>
            </w:r>
          </w:p>
        </w:tc>
        <w:tc>
          <w:tcPr>
            <w:tcW w:w="1161" w:type="dxa"/>
            <w:vMerge w:val="restart"/>
            <w:vAlign w:val="center"/>
          </w:tcPr>
          <w:p>
            <w:pPr>
              <w:jc w:val="center"/>
              <w:rPr>
                <w:color w:val="auto"/>
              </w:rPr>
            </w:pPr>
            <w:r>
              <w:rPr>
                <w:color w:val="auto"/>
              </w:rPr>
              <w:t>产污环节</w:t>
            </w:r>
          </w:p>
        </w:tc>
        <w:tc>
          <w:tcPr>
            <w:tcW w:w="866" w:type="dxa"/>
            <w:vMerge w:val="restart"/>
            <w:vAlign w:val="center"/>
          </w:tcPr>
          <w:p>
            <w:pPr>
              <w:jc w:val="center"/>
              <w:rPr>
                <w:color w:val="auto"/>
              </w:rPr>
            </w:pPr>
            <w:r>
              <w:rPr>
                <w:color w:val="auto"/>
              </w:rPr>
              <w:t>污染物</w:t>
            </w:r>
          </w:p>
        </w:tc>
        <w:tc>
          <w:tcPr>
            <w:tcW w:w="951" w:type="dxa"/>
            <w:vMerge w:val="restart"/>
            <w:vAlign w:val="center"/>
          </w:tcPr>
          <w:p>
            <w:pPr>
              <w:jc w:val="center"/>
              <w:rPr>
                <w:color w:val="auto"/>
              </w:rPr>
            </w:pPr>
            <w:r>
              <w:rPr>
                <w:color w:val="auto"/>
              </w:rPr>
              <w:t>主要污染防治措施</w:t>
            </w:r>
          </w:p>
        </w:tc>
        <w:tc>
          <w:tcPr>
            <w:tcW w:w="3149" w:type="dxa"/>
            <w:gridSpan w:val="2"/>
            <w:vAlign w:val="center"/>
          </w:tcPr>
          <w:p>
            <w:pPr>
              <w:jc w:val="center"/>
              <w:rPr>
                <w:color w:val="auto"/>
              </w:rPr>
            </w:pPr>
            <w:r>
              <w:rPr>
                <w:color w:val="auto"/>
              </w:rPr>
              <w:t>国家或地方污染物排放标准</w:t>
            </w:r>
          </w:p>
        </w:tc>
        <w:tc>
          <w:tcPr>
            <w:tcW w:w="930" w:type="dxa"/>
            <w:vMerge w:val="restart"/>
            <w:vAlign w:val="center"/>
          </w:tcPr>
          <w:p>
            <w:pPr>
              <w:jc w:val="center"/>
              <w:rPr>
                <w:color w:val="auto"/>
              </w:rPr>
            </w:pPr>
            <w:r>
              <w:rPr>
                <w:color w:val="auto"/>
              </w:rPr>
              <w:t>年排放量/（t/a）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65" w:type="dxa"/>
            <w:vMerge w:val="continue"/>
            <w:vAlign w:val="center"/>
          </w:tcPr>
          <w:p>
            <w:pPr>
              <w:jc w:val="center"/>
              <w:rPr>
                <w:color w:val="auto"/>
              </w:rPr>
            </w:pPr>
          </w:p>
        </w:tc>
        <w:tc>
          <w:tcPr>
            <w:tcW w:w="606" w:type="dxa"/>
            <w:vMerge w:val="continue"/>
            <w:vAlign w:val="center"/>
          </w:tcPr>
          <w:p>
            <w:pPr>
              <w:jc w:val="center"/>
              <w:rPr>
                <w:color w:val="auto"/>
              </w:rPr>
            </w:pPr>
          </w:p>
        </w:tc>
        <w:tc>
          <w:tcPr>
            <w:tcW w:w="1161" w:type="dxa"/>
            <w:vMerge w:val="continue"/>
            <w:vAlign w:val="center"/>
          </w:tcPr>
          <w:p>
            <w:pPr>
              <w:jc w:val="center"/>
              <w:rPr>
                <w:color w:val="auto"/>
              </w:rPr>
            </w:pPr>
          </w:p>
        </w:tc>
        <w:tc>
          <w:tcPr>
            <w:tcW w:w="866" w:type="dxa"/>
            <w:vMerge w:val="continue"/>
            <w:vAlign w:val="center"/>
          </w:tcPr>
          <w:p>
            <w:pPr>
              <w:jc w:val="center"/>
              <w:rPr>
                <w:color w:val="auto"/>
              </w:rPr>
            </w:pPr>
          </w:p>
        </w:tc>
        <w:tc>
          <w:tcPr>
            <w:tcW w:w="951" w:type="dxa"/>
            <w:vMerge w:val="continue"/>
            <w:vAlign w:val="center"/>
          </w:tcPr>
          <w:p>
            <w:pPr>
              <w:jc w:val="center"/>
              <w:rPr>
                <w:color w:val="auto"/>
              </w:rPr>
            </w:pPr>
          </w:p>
        </w:tc>
        <w:tc>
          <w:tcPr>
            <w:tcW w:w="1943" w:type="dxa"/>
            <w:vAlign w:val="center"/>
          </w:tcPr>
          <w:p>
            <w:pPr>
              <w:jc w:val="center"/>
              <w:rPr>
                <w:color w:val="auto"/>
              </w:rPr>
            </w:pPr>
            <w:r>
              <w:rPr>
                <w:color w:val="auto"/>
              </w:rPr>
              <w:t>标准名称</w:t>
            </w:r>
          </w:p>
        </w:tc>
        <w:tc>
          <w:tcPr>
            <w:tcW w:w="1206" w:type="dxa"/>
            <w:vAlign w:val="center"/>
          </w:tcPr>
          <w:p>
            <w:pPr>
              <w:jc w:val="center"/>
              <w:rPr>
                <w:color w:val="auto"/>
              </w:rPr>
            </w:pPr>
            <w:r>
              <w:rPr>
                <w:color w:val="auto"/>
              </w:rPr>
              <w:t>浓度限值/（</w:t>
            </w:r>
            <w:r>
              <w:rPr>
                <w:rFonts w:hint="eastAsia"/>
                <w:color w:val="auto"/>
                <w:szCs w:val="21"/>
              </w:rPr>
              <w:t>m</w:t>
            </w:r>
            <w:r>
              <w:rPr>
                <w:color w:val="auto"/>
              </w:rPr>
              <w:t>g /m³）</w:t>
            </w:r>
          </w:p>
        </w:tc>
        <w:tc>
          <w:tcPr>
            <w:tcW w:w="930" w:type="dxa"/>
            <w:vMerge w:val="continue"/>
            <w:vAlign w:val="center"/>
          </w:tcPr>
          <w:p>
            <w:pPr>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2" w:hRule="atLeast"/>
          <w:jc w:val="center"/>
        </w:trPr>
        <w:tc>
          <w:tcPr>
            <w:tcW w:w="865" w:type="dxa"/>
            <w:vAlign w:val="center"/>
          </w:tcPr>
          <w:p>
            <w:pPr>
              <w:jc w:val="center"/>
              <w:rPr>
                <w:color w:val="auto"/>
              </w:rPr>
            </w:pPr>
            <w:r>
              <w:rPr>
                <w:color w:val="auto"/>
              </w:rPr>
              <w:t>1</w:t>
            </w:r>
          </w:p>
        </w:tc>
        <w:tc>
          <w:tcPr>
            <w:tcW w:w="606" w:type="dxa"/>
            <w:vMerge w:val="restart"/>
            <w:vAlign w:val="center"/>
          </w:tcPr>
          <w:p>
            <w:pPr>
              <w:jc w:val="center"/>
              <w:rPr>
                <w:color w:val="auto"/>
              </w:rPr>
            </w:pPr>
            <w:r>
              <w:rPr>
                <w:color w:val="auto"/>
              </w:rPr>
              <w:t>生产车间</w:t>
            </w:r>
          </w:p>
        </w:tc>
        <w:tc>
          <w:tcPr>
            <w:tcW w:w="1161" w:type="dxa"/>
            <w:vMerge w:val="restart"/>
            <w:vAlign w:val="center"/>
          </w:tcPr>
          <w:p>
            <w:pPr>
              <w:jc w:val="center"/>
              <w:rPr>
                <w:color w:val="auto"/>
              </w:rPr>
            </w:pPr>
            <w:r>
              <w:rPr>
                <w:color w:val="auto"/>
              </w:rPr>
              <w:t>生产工序</w:t>
            </w:r>
          </w:p>
        </w:tc>
        <w:tc>
          <w:tcPr>
            <w:tcW w:w="866" w:type="dxa"/>
            <w:vAlign w:val="center"/>
          </w:tcPr>
          <w:p>
            <w:pPr>
              <w:jc w:val="center"/>
              <w:rPr>
                <w:color w:val="auto"/>
              </w:rPr>
            </w:pPr>
            <w:r>
              <w:rPr>
                <w:color w:val="auto"/>
                <w:szCs w:val="21"/>
              </w:rPr>
              <w:t>颗粒物</w:t>
            </w:r>
          </w:p>
        </w:tc>
        <w:tc>
          <w:tcPr>
            <w:tcW w:w="951" w:type="dxa"/>
            <w:vMerge w:val="restart"/>
            <w:vAlign w:val="center"/>
          </w:tcPr>
          <w:p>
            <w:pPr>
              <w:jc w:val="center"/>
              <w:rPr>
                <w:color w:val="auto"/>
              </w:rPr>
            </w:pPr>
            <w:r>
              <w:rPr>
                <w:color w:val="auto"/>
              </w:rPr>
              <w:t>/</w:t>
            </w:r>
          </w:p>
        </w:tc>
        <w:tc>
          <w:tcPr>
            <w:tcW w:w="1943" w:type="dxa"/>
            <w:vMerge w:val="restart"/>
            <w:vAlign w:val="center"/>
          </w:tcPr>
          <w:p>
            <w:pPr>
              <w:jc w:val="center"/>
              <w:rPr>
                <w:color w:val="auto"/>
              </w:rPr>
            </w:pPr>
            <w:r>
              <w:rPr>
                <w:color w:val="auto"/>
              </w:rPr>
              <w:t>《橡胶制品工业污染物排放标准》（GB27632-2011）、《工业企业挥发性有机物排放控制标准》（DB12/524-2014）</w:t>
            </w:r>
          </w:p>
        </w:tc>
        <w:tc>
          <w:tcPr>
            <w:tcW w:w="1206" w:type="dxa"/>
            <w:vAlign w:val="center"/>
          </w:tcPr>
          <w:p>
            <w:pPr>
              <w:jc w:val="center"/>
              <w:rPr>
                <w:color w:val="auto"/>
              </w:rPr>
            </w:pPr>
            <w:r>
              <w:rPr>
                <w:rFonts w:hint="eastAsia"/>
                <w:color w:val="auto"/>
              </w:rPr>
              <w:t>0.5</w:t>
            </w:r>
          </w:p>
        </w:tc>
        <w:tc>
          <w:tcPr>
            <w:tcW w:w="930" w:type="dxa"/>
            <w:vAlign w:val="center"/>
          </w:tcPr>
          <w:p>
            <w:pPr>
              <w:jc w:val="center"/>
              <w:rPr>
                <w:color w:val="auto"/>
              </w:rPr>
            </w:pPr>
            <w:r>
              <w:rPr>
                <w:rFonts w:hint="eastAsia"/>
                <w:color w:val="auto"/>
              </w:rPr>
              <w:t>0.00087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4" w:hRule="atLeast"/>
          <w:jc w:val="center"/>
        </w:trPr>
        <w:tc>
          <w:tcPr>
            <w:tcW w:w="865" w:type="dxa"/>
            <w:vAlign w:val="center"/>
          </w:tcPr>
          <w:p>
            <w:pPr>
              <w:jc w:val="center"/>
              <w:rPr>
                <w:color w:val="auto"/>
              </w:rPr>
            </w:pPr>
            <w:r>
              <w:rPr>
                <w:color w:val="auto"/>
              </w:rPr>
              <w:t>2</w:t>
            </w:r>
          </w:p>
        </w:tc>
        <w:tc>
          <w:tcPr>
            <w:tcW w:w="606" w:type="dxa"/>
            <w:vMerge w:val="continue"/>
            <w:vAlign w:val="center"/>
          </w:tcPr>
          <w:p>
            <w:pPr>
              <w:jc w:val="center"/>
              <w:rPr>
                <w:color w:val="auto"/>
              </w:rPr>
            </w:pPr>
          </w:p>
        </w:tc>
        <w:tc>
          <w:tcPr>
            <w:tcW w:w="1161" w:type="dxa"/>
            <w:vMerge w:val="continue"/>
            <w:vAlign w:val="center"/>
          </w:tcPr>
          <w:p>
            <w:pPr>
              <w:jc w:val="center"/>
              <w:rPr>
                <w:color w:val="auto"/>
              </w:rPr>
            </w:pPr>
          </w:p>
        </w:tc>
        <w:tc>
          <w:tcPr>
            <w:tcW w:w="866" w:type="dxa"/>
            <w:vAlign w:val="center"/>
          </w:tcPr>
          <w:p>
            <w:pPr>
              <w:jc w:val="center"/>
              <w:rPr>
                <w:color w:val="auto"/>
                <w:szCs w:val="21"/>
              </w:rPr>
            </w:pPr>
            <w:r>
              <w:rPr>
                <w:color w:val="auto"/>
                <w:szCs w:val="21"/>
              </w:rPr>
              <w:t>非甲烷总烃</w:t>
            </w:r>
          </w:p>
        </w:tc>
        <w:tc>
          <w:tcPr>
            <w:tcW w:w="951" w:type="dxa"/>
            <w:vMerge w:val="continue"/>
            <w:vAlign w:val="center"/>
          </w:tcPr>
          <w:p>
            <w:pPr>
              <w:jc w:val="center"/>
              <w:rPr>
                <w:color w:val="auto"/>
              </w:rPr>
            </w:pPr>
          </w:p>
        </w:tc>
        <w:tc>
          <w:tcPr>
            <w:tcW w:w="1943" w:type="dxa"/>
            <w:vMerge w:val="continue"/>
            <w:vAlign w:val="center"/>
          </w:tcPr>
          <w:p>
            <w:pPr>
              <w:jc w:val="center"/>
              <w:rPr>
                <w:color w:val="auto"/>
              </w:rPr>
            </w:pPr>
          </w:p>
        </w:tc>
        <w:tc>
          <w:tcPr>
            <w:tcW w:w="1206" w:type="dxa"/>
            <w:vAlign w:val="center"/>
          </w:tcPr>
          <w:p>
            <w:pPr>
              <w:jc w:val="center"/>
              <w:rPr>
                <w:color w:val="auto"/>
              </w:rPr>
            </w:pPr>
            <w:r>
              <w:rPr>
                <w:rFonts w:hint="eastAsia"/>
                <w:color w:val="auto"/>
              </w:rPr>
              <w:t>2.0</w:t>
            </w:r>
          </w:p>
        </w:tc>
        <w:tc>
          <w:tcPr>
            <w:tcW w:w="930" w:type="dxa"/>
            <w:vAlign w:val="center"/>
          </w:tcPr>
          <w:p>
            <w:pPr>
              <w:jc w:val="center"/>
              <w:rPr>
                <w:color w:val="auto"/>
              </w:rPr>
            </w:pPr>
            <w:r>
              <w:rPr>
                <w:rFonts w:hint="eastAsia"/>
                <w:color w:val="auto"/>
              </w:rPr>
              <w:t>0.029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5" w:hRule="atLeast"/>
          <w:jc w:val="center"/>
        </w:trPr>
        <w:tc>
          <w:tcPr>
            <w:tcW w:w="865" w:type="dxa"/>
            <w:vAlign w:val="center"/>
          </w:tcPr>
          <w:p>
            <w:pPr>
              <w:jc w:val="center"/>
              <w:rPr>
                <w:color w:val="auto"/>
              </w:rPr>
            </w:pPr>
            <w:r>
              <w:rPr>
                <w:color w:val="auto"/>
              </w:rPr>
              <w:t>3</w:t>
            </w:r>
          </w:p>
        </w:tc>
        <w:tc>
          <w:tcPr>
            <w:tcW w:w="606" w:type="dxa"/>
            <w:vMerge w:val="continue"/>
            <w:vAlign w:val="center"/>
          </w:tcPr>
          <w:p>
            <w:pPr>
              <w:jc w:val="center"/>
              <w:rPr>
                <w:color w:val="auto"/>
              </w:rPr>
            </w:pPr>
          </w:p>
        </w:tc>
        <w:tc>
          <w:tcPr>
            <w:tcW w:w="1161" w:type="dxa"/>
            <w:vMerge w:val="continue"/>
            <w:tcBorders>
              <w:bottom w:val="single" w:color="auto" w:sz="8" w:space="0"/>
            </w:tcBorders>
            <w:vAlign w:val="center"/>
          </w:tcPr>
          <w:p>
            <w:pPr>
              <w:jc w:val="center"/>
              <w:rPr>
                <w:color w:val="auto"/>
              </w:rPr>
            </w:pPr>
          </w:p>
        </w:tc>
        <w:tc>
          <w:tcPr>
            <w:tcW w:w="866" w:type="dxa"/>
            <w:vAlign w:val="center"/>
          </w:tcPr>
          <w:p>
            <w:pPr>
              <w:jc w:val="center"/>
              <w:rPr>
                <w:color w:val="auto"/>
              </w:rPr>
            </w:pPr>
            <w:r>
              <w:rPr>
                <w:color w:val="auto"/>
                <w:szCs w:val="21"/>
              </w:rPr>
              <w:t>H</w:t>
            </w:r>
            <w:r>
              <w:rPr>
                <w:bCs/>
                <w:color w:val="auto"/>
                <w:szCs w:val="21"/>
                <w:vertAlign w:val="subscript"/>
              </w:rPr>
              <w:t>2</w:t>
            </w:r>
            <w:r>
              <w:rPr>
                <w:bCs/>
                <w:color w:val="auto"/>
                <w:szCs w:val="21"/>
              </w:rPr>
              <w:t>S</w:t>
            </w:r>
          </w:p>
        </w:tc>
        <w:tc>
          <w:tcPr>
            <w:tcW w:w="951" w:type="dxa"/>
            <w:vMerge w:val="continue"/>
            <w:vAlign w:val="center"/>
          </w:tcPr>
          <w:p>
            <w:pPr>
              <w:jc w:val="center"/>
              <w:rPr>
                <w:color w:val="auto"/>
              </w:rPr>
            </w:pPr>
          </w:p>
        </w:tc>
        <w:tc>
          <w:tcPr>
            <w:tcW w:w="1943" w:type="dxa"/>
            <w:vAlign w:val="center"/>
          </w:tcPr>
          <w:p>
            <w:pPr>
              <w:jc w:val="center"/>
              <w:rPr>
                <w:color w:val="auto"/>
              </w:rPr>
            </w:pPr>
            <w:r>
              <w:rPr>
                <w:color w:val="auto"/>
              </w:rPr>
              <w:t>《恶臭污染物排放标准》（GB14554-93）</w:t>
            </w:r>
          </w:p>
        </w:tc>
        <w:tc>
          <w:tcPr>
            <w:tcW w:w="1206" w:type="dxa"/>
            <w:vAlign w:val="center"/>
          </w:tcPr>
          <w:p>
            <w:pPr>
              <w:jc w:val="center"/>
              <w:rPr>
                <w:color w:val="auto"/>
              </w:rPr>
            </w:pPr>
            <w:r>
              <w:rPr>
                <w:rFonts w:hint="eastAsia"/>
                <w:color w:val="auto"/>
              </w:rPr>
              <w:t>0.06</w:t>
            </w:r>
          </w:p>
        </w:tc>
        <w:tc>
          <w:tcPr>
            <w:tcW w:w="930" w:type="dxa"/>
            <w:vAlign w:val="center"/>
          </w:tcPr>
          <w:p>
            <w:pPr>
              <w:jc w:val="center"/>
              <w:rPr>
                <w:color w:val="auto"/>
              </w:rPr>
            </w:pPr>
            <w:r>
              <w:rPr>
                <w:rFonts w:hint="eastAsia"/>
                <w:color w:val="auto"/>
              </w:rPr>
              <w:t>0.0000049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28" w:type="dxa"/>
            <w:gridSpan w:val="8"/>
            <w:vAlign w:val="center"/>
          </w:tcPr>
          <w:p>
            <w:pPr>
              <w:jc w:val="center"/>
              <w:rPr>
                <w:color w:val="auto"/>
              </w:rPr>
            </w:pPr>
            <w:r>
              <w:rPr>
                <w:color w:val="auto"/>
              </w:rPr>
              <w:t>无组织排放总计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3" w:hRule="atLeast"/>
          <w:jc w:val="center"/>
        </w:trPr>
        <w:tc>
          <w:tcPr>
            <w:tcW w:w="865" w:type="dxa"/>
            <w:vMerge w:val="restart"/>
            <w:vAlign w:val="center"/>
          </w:tcPr>
          <w:p>
            <w:pPr>
              <w:jc w:val="center"/>
              <w:rPr>
                <w:color w:val="auto"/>
              </w:rPr>
            </w:pPr>
            <w:r>
              <w:rPr>
                <w:color w:val="auto"/>
              </w:rPr>
              <w:t>无组织排放总计</w:t>
            </w:r>
          </w:p>
        </w:tc>
        <w:tc>
          <w:tcPr>
            <w:tcW w:w="6733" w:type="dxa"/>
            <w:gridSpan w:val="6"/>
            <w:vAlign w:val="center"/>
          </w:tcPr>
          <w:p>
            <w:pPr>
              <w:jc w:val="center"/>
              <w:rPr>
                <w:color w:val="auto"/>
              </w:rPr>
            </w:pPr>
            <w:r>
              <w:rPr>
                <w:color w:val="auto"/>
              </w:rPr>
              <w:t>颗粒物</w:t>
            </w:r>
          </w:p>
        </w:tc>
        <w:tc>
          <w:tcPr>
            <w:tcW w:w="930" w:type="dxa"/>
            <w:vAlign w:val="center"/>
          </w:tcPr>
          <w:p>
            <w:pPr>
              <w:jc w:val="center"/>
              <w:rPr>
                <w:color w:val="auto"/>
              </w:rPr>
            </w:pPr>
            <w:r>
              <w:rPr>
                <w:rFonts w:hint="eastAsia"/>
                <w:color w:val="auto"/>
              </w:rPr>
              <w:t>0.00087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atLeast"/>
          <w:jc w:val="center"/>
        </w:trPr>
        <w:tc>
          <w:tcPr>
            <w:tcW w:w="865" w:type="dxa"/>
            <w:vMerge w:val="continue"/>
            <w:vAlign w:val="center"/>
          </w:tcPr>
          <w:p>
            <w:pPr>
              <w:jc w:val="center"/>
              <w:rPr>
                <w:color w:val="auto"/>
              </w:rPr>
            </w:pPr>
          </w:p>
        </w:tc>
        <w:tc>
          <w:tcPr>
            <w:tcW w:w="6733" w:type="dxa"/>
            <w:gridSpan w:val="6"/>
            <w:vAlign w:val="center"/>
          </w:tcPr>
          <w:p>
            <w:pPr>
              <w:jc w:val="center"/>
              <w:rPr>
                <w:color w:val="auto"/>
              </w:rPr>
            </w:pPr>
            <w:r>
              <w:rPr>
                <w:color w:val="auto"/>
              </w:rPr>
              <w:t>非甲烷总烃</w:t>
            </w:r>
          </w:p>
        </w:tc>
        <w:tc>
          <w:tcPr>
            <w:tcW w:w="930" w:type="dxa"/>
            <w:vAlign w:val="center"/>
          </w:tcPr>
          <w:p>
            <w:pPr>
              <w:jc w:val="center"/>
              <w:rPr>
                <w:color w:val="auto"/>
              </w:rPr>
            </w:pPr>
            <w:r>
              <w:rPr>
                <w:rFonts w:hint="eastAsia"/>
                <w:color w:val="auto"/>
              </w:rPr>
              <w:t>0.029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9" w:hRule="atLeast"/>
          <w:jc w:val="center"/>
        </w:trPr>
        <w:tc>
          <w:tcPr>
            <w:tcW w:w="865" w:type="dxa"/>
            <w:vMerge w:val="continue"/>
            <w:vAlign w:val="center"/>
          </w:tcPr>
          <w:p>
            <w:pPr>
              <w:jc w:val="center"/>
              <w:rPr>
                <w:color w:val="auto"/>
              </w:rPr>
            </w:pPr>
          </w:p>
        </w:tc>
        <w:tc>
          <w:tcPr>
            <w:tcW w:w="6733" w:type="dxa"/>
            <w:gridSpan w:val="6"/>
            <w:vAlign w:val="center"/>
          </w:tcPr>
          <w:p>
            <w:pPr>
              <w:jc w:val="center"/>
              <w:rPr>
                <w:color w:val="auto"/>
              </w:rPr>
            </w:pPr>
            <w:r>
              <w:rPr>
                <w:color w:val="auto"/>
              </w:rPr>
              <w:t>H2S</w:t>
            </w:r>
          </w:p>
        </w:tc>
        <w:tc>
          <w:tcPr>
            <w:tcW w:w="930" w:type="dxa"/>
            <w:vAlign w:val="center"/>
          </w:tcPr>
          <w:p>
            <w:pPr>
              <w:jc w:val="center"/>
              <w:rPr>
                <w:color w:val="auto"/>
              </w:rPr>
            </w:pPr>
            <w:r>
              <w:rPr>
                <w:rFonts w:hint="eastAsia"/>
                <w:color w:val="auto"/>
              </w:rPr>
              <w:t>0.0000049</w:t>
            </w:r>
          </w:p>
        </w:tc>
      </w:tr>
    </w:tbl>
    <w:p>
      <w:pPr>
        <w:jc w:val="center"/>
        <w:rPr>
          <w:b/>
          <w:color w:val="auto"/>
          <w:sz w:val="24"/>
        </w:rPr>
      </w:pPr>
    </w:p>
    <w:p>
      <w:pPr>
        <w:jc w:val="center"/>
        <w:rPr>
          <w:b/>
          <w:color w:val="auto"/>
          <w:sz w:val="24"/>
        </w:rPr>
      </w:pPr>
    </w:p>
    <w:p>
      <w:pPr>
        <w:jc w:val="center"/>
        <w:rPr>
          <w:b/>
          <w:color w:val="auto"/>
          <w:sz w:val="24"/>
        </w:rPr>
      </w:pPr>
    </w:p>
    <w:p>
      <w:pPr>
        <w:jc w:val="center"/>
        <w:rPr>
          <w:b/>
          <w:color w:val="auto"/>
          <w:sz w:val="24"/>
        </w:rPr>
      </w:pPr>
    </w:p>
    <w:p>
      <w:pPr>
        <w:jc w:val="center"/>
        <w:rPr>
          <w:b/>
          <w:color w:val="auto"/>
          <w:sz w:val="24"/>
        </w:rPr>
      </w:pPr>
    </w:p>
    <w:p>
      <w:pPr>
        <w:jc w:val="center"/>
        <w:rPr>
          <w:b/>
          <w:color w:val="auto"/>
          <w:sz w:val="24"/>
        </w:rPr>
      </w:pPr>
    </w:p>
    <w:p>
      <w:pPr>
        <w:jc w:val="center"/>
        <w:rPr>
          <w:b/>
          <w:color w:val="auto"/>
          <w:sz w:val="24"/>
        </w:rPr>
      </w:pPr>
    </w:p>
    <w:p>
      <w:pPr>
        <w:rPr>
          <w:b/>
          <w:color w:val="auto"/>
          <w:sz w:val="24"/>
        </w:rPr>
      </w:pPr>
    </w:p>
    <w:p>
      <w:pPr>
        <w:jc w:val="center"/>
        <w:rPr>
          <w:b/>
          <w:color w:val="auto"/>
          <w:sz w:val="24"/>
        </w:rPr>
      </w:pPr>
      <w:r>
        <w:rPr>
          <w:rFonts w:hint="eastAsia"/>
          <w:b/>
          <w:color w:val="auto"/>
          <w:sz w:val="24"/>
        </w:rPr>
        <w:t>表6</w:t>
      </w:r>
      <w:r>
        <w:rPr>
          <w:b/>
          <w:color w:val="auto"/>
          <w:sz w:val="24"/>
        </w:rPr>
        <w:t>-</w:t>
      </w:r>
      <w:r>
        <w:rPr>
          <w:rFonts w:hint="eastAsia"/>
          <w:b/>
          <w:color w:val="auto"/>
          <w:sz w:val="24"/>
        </w:rPr>
        <w:t>1</w:t>
      </w:r>
      <w:r>
        <w:rPr>
          <w:rFonts w:hint="eastAsia"/>
          <w:b/>
          <w:color w:val="auto"/>
          <w:sz w:val="24"/>
          <w:lang w:val="en-US" w:eastAsia="zh-CN"/>
        </w:rPr>
        <w:t>3</w:t>
      </w:r>
      <w:r>
        <w:rPr>
          <w:b/>
          <w:color w:val="auto"/>
          <w:sz w:val="24"/>
        </w:rPr>
        <w:t xml:space="preserve">  非正常排放量核算</w:t>
      </w:r>
    </w:p>
    <w:tbl>
      <w:tblPr>
        <w:tblStyle w:val="53"/>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69"/>
        <w:gridCol w:w="697"/>
        <w:gridCol w:w="1049"/>
        <w:gridCol w:w="890"/>
        <w:gridCol w:w="1536"/>
        <w:gridCol w:w="1536"/>
        <w:gridCol w:w="802"/>
        <w:gridCol w:w="738"/>
        <w:gridCol w:w="12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2" w:hRule="atLeast"/>
          <w:jc w:val="center"/>
        </w:trPr>
        <w:tc>
          <w:tcPr>
            <w:tcW w:w="262" w:type="pct"/>
            <w:vAlign w:val="center"/>
          </w:tcPr>
          <w:p>
            <w:pPr>
              <w:jc w:val="center"/>
              <w:rPr>
                <w:color w:val="auto"/>
              </w:rPr>
            </w:pPr>
            <w:r>
              <w:rPr>
                <w:color w:val="auto"/>
              </w:rPr>
              <w:t>序号</w:t>
            </w:r>
          </w:p>
        </w:tc>
        <w:tc>
          <w:tcPr>
            <w:tcW w:w="389" w:type="pct"/>
            <w:vAlign w:val="center"/>
          </w:tcPr>
          <w:p>
            <w:pPr>
              <w:jc w:val="center"/>
              <w:rPr>
                <w:color w:val="auto"/>
              </w:rPr>
            </w:pPr>
            <w:r>
              <w:rPr>
                <w:color w:val="auto"/>
              </w:rPr>
              <w:t>污染源</w:t>
            </w:r>
          </w:p>
        </w:tc>
        <w:tc>
          <w:tcPr>
            <w:tcW w:w="586" w:type="pct"/>
            <w:vAlign w:val="center"/>
          </w:tcPr>
          <w:p>
            <w:pPr>
              <w:jc w:val="center"/>
              <w:rPr>
                <w:color w:val="auto"/>
              </w:rPr>
            </w:pPr>
            <w:r>
              <w:rPr>
                <w:color w:val="auto"/>
              </w:rPr>
              <w:t>非正常排放原因</w:t>
            </w:r>
          </w:p>
        </w:tc>
        <w:tc>
          <w:tcPr>
            <w:tcW w:w="497" w:type="pct"/>
            <w:vAlign w:val="center"/>
          </w:tcPr>
          <w:p>
            <w:pPr>
              <w:jc w:val="center"/>
              <w:rPr>
                <w:color w:val="auto"/>
              </w:rPr>
            </w:pPr>
            <w:r>
              <w:rPr>
                <w:color w:val="auto"/>
              </w:rPr>
              <w:t>污染物</w:t>
            </w:r>
          </w:p>
        </w:tc>
        <w:tc>
          <w:tcPr>
            <w:tcW w:w="858" w:type="pct"/>
            <w:vAlign w:val="center"/>
          </w:tcPr>
          <w:p>
            <w:pPr>
              <w:jc w:val="center"/>
              <w:rPr>
                <w:color w:val="auto"/>
              </w:rPr>
            </w:pPr>
            <w:r>
              <w:rPr>
                <w:color w:val="auto"/>
              </w:rPr>
              <w:t>非正常排放速率/（kg/h）</w:t>
            </w:r>
          </w:p>
        </w:tc>
        <w:tc>
          <w:tcPr>
            <w:tcW w:w="858" w:type="pct"/>
            <w:vAlign w:val="center"/>
          </w:tcPr>
          <w:p>
            <w:pPr>
              <w:jc w:val="center"/>
              <w:rPr>
                <w:color w:val="auto"/>
              </w:rPr>
            </w:pPr>
            <w:r>
              <w:rPr>
                <w:color w:val="auto"/>
              </w:rPr>
              <w:t>非正常排放浓度/（mg/m³）</w:t>
            </w:r>
          </w:p>
        </w:tc>
        <w:tc>
          <w:tcPr>
            <w:tcW w:w="448" w:type="pct"/>
            <w:vAlign w:val="center"/>
          </w:tcPr>
          <w:p>
            <w:pPr>
              <w:jc w:val="center"/>
              <w:rPr>
                <w:color w:val="auto"/>
              </w:rPr>
            </w:pPr>
            <w:r>
              <w:rPr>
                <w:color w:val="auto"/>
              </w:rPr>
              <w:t>单次持续时间/h</w:t>
            </w:r>
          </w:p>
        </w:tc>
        <w:tc>
          <w:tcPr>
            <w:tcW w:w="412" w:type="pct"/>
            <w:vAlign w:val="center"/>
          </w:tcPr>
          <w:p>
            <w:pPr>
              <w:jc w:val="center"/>
              <w:rPr>
                <w:color w:val="auto"/>
              </w:rPr>
            </w:pPr>
            <w:r>
              <w:rPr>
                <w:color w:val="auto"/>
              </w:rPr>
              <w:t>年发生频次/次</w:t>
            </w:r>
          </w:p>
        </w:tc>
        <w:tc>
          <w:tcPr>
            <w:tcW w:w="687" w:type="pct"/>
            <w:vAlign w:val="center"/>
          </w:tcPr>
          <w:p>
            <w:pPr>
              <w:jc w:val="center"/>
              <w:rPr>
                <w:color w:val="auto"/>
              </w:rPr>
            </w:pPr>
            <w:r>
              <w:rPr>
                <w:color w:val="auto"/>
              </w:rPr>
              <w:t>应对措施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1" w:hRule="atLeast"/>
          <w:jc w:val="center"/>
        </w:trPr>
        <w:tc>
          <w:tcPr>
            <w:tcW w:w="262" w:type="pct"/>
            <w:vAlign w:val="center"/>
          </w:tcPr>
          <w:p>
            <w:pPr>
              <w:jc w:val="center"/>
              <w:rPr>
                <w:color w:val="auto"/>
              </w:rPr>
            </w:pPr>
            <w:r>
              <w:rPr>
                <w:color w:val="auto"/>
              </w:rPr>
              <w:t>1</w:t>
            </w:r>
          </w:p>
        </w:tc>
        <w:tc>
          <w:tcPr>
            <w:tcW w:w="389" w:type="pct"/>
            <w:vAlign w:val="center"/>
          </w:tcPr>
          <w:p>
            <w:pPr>
              <w:jc w:val="center"/>
              <w:rPr>
                <w:rFonts w:hint="eastAsia" w:eastAsia="宋体"/>
                <w:color w:val="auto"/>
                <w:lang w:eastAsia="zh-CN"/>
              </w:rPr>
            </w:pPr>
            <w:r>
              <w:rPr>
                <w:rFonts w:hint="eastAsia"/>
                <w:color w:val="auto"/>
                <w:lang w:eastAsia="zh-CN"/>
              </w:rPr>
              <w:t>1#排气筒</w:t>
            </w:r>
          </w:p>
        </w:tc>
        <w:tc>
          <w:tcPr>
            <w:tcW w:w="586" w:type="pct"/>
            <w:vMerge w:val="restart"/>
            <w:vAlign w:val="center"/>
          </w:tcPr>
          <w:p>
            <w:pPr>
              <w:jc w:val="center"/>
              <w:rPr>
                <w:color w:val="auto"/>
              </w:rPr>
            </w:pPr>
            <w:r>
              <w:rPr>
                <w:color w:val="auto"/>
              </w:rPr>
              <w:t>废气处理设施处理效率为50%</w:t>
            </w:r>
          </w:p>
        </w:tc>
        <w:tc>
          <w:tcPr>
            <w:tcW w:w="497" w:type="pct"/>
            <w:vAlign w:val="center"/>
          </w:tcPr>
          <w:p>
            <w:pPr>
              <w:jc w:val="center"/>
              <w:rPr>
                <w:rFonts w:hint="eastAsia"/>
                <w:color w:val="auto"/>
                <w:lang w:eastAsia="zh-CN"/>
              </w:rPr>
            </w:pPr>
            <w:r>
              <w:rPr>
                <w:rFonts w:hint="eastAsia"/>
                <w:color w:val="auto"/>
                <w:lang w:eastAsia="zh-CN"/>
              </w:rPr>
              <w:t>颗粒物</w:t>
            </w:r>
          </w:p>
        </w:tc>
        <w:tc>
          <w:tcPr>
            <w:tcW w:w="858" w:type="pct"/>
            <w:vAlign w:val="center"/>
          </w:tcPr>
          <w:p>
            <w:pPr>
              <w:jc w:val="center"/>
              <w:rPr>
                <w:rFonts w:hint="default"/>
                <w:color w:val="auto"/>
                <w:lang w:val="en-US"/>
              </w:rPr>
            </w:pPr>
            <w:r>
              <w:rPr>
                <w:rFonts w:hint="eastAsia"/>
                <w:color w:val="auto"/>
                <w:lang w:val="en-US" w:eastAsia="zh-CN"/>
              </w:rPr>
              <w:t>0.095</w:t>
            </w:r>
          </w:p>
        </w:tc>
        <w:tc>
          <w:tcPr>
            <w:tcW w:w="858" w:type="pct"/>
            <w:vAlign w:val="center"/>
          </w:tcPr>
          <w:p>
            <w:pPr>
              <w:jc w:val="center"/>
              <w:rPr>
                <w:rFonts w:hint="default"/>
                <w:color w:val="auto"/>
                <w:lang w:val="en-US"/>
              </w:rPr>
            </w:pPr>
            <w:r>
              <w:rPr>
                <w:rFonts w:hint="eastAsia"/>
                <w:color w:val="auto"/>
                <w:lang w:val="en-US" w:eastAsia="zh-CN"/>
              </w:rPr>
              <w:t>31.57</w:t>
            </w:r>
          </w:p>
        </w:tc>
        <w:tc>
          <w:tcPr>
            <w:tcW w:w="448" w:type="pct"/>
            <w:vAlign w:val="center"/>
          </w:tcPr>
          <w:p>
            <w:pPr>
              <w:jc w:val="center"/>
              <w:rPr>
                <w:color w:val="auto"/>
              </w:rPr>
            </w:pPr>
            <w:r>
              <w:rPr>
                <w:color w:val="auto"/>
              </w:rPr>
              <w:t>0.5</w:t>
            </w:r>
          </w:p>
        </w:tc>
        <w:tc>
          <w:tcPr>
            <w:tcW w:w="412" w:type="pct"/>
            <w:vAlign w:val="center"/>
          </w:tcPr>
          <w:p>
            <w:pPr>
              <w:jc w:val="center"/>
              <w:rPr>
                <w:color w:val="auto"/>
              </w:rPr>
            </w:pPr>
            <w:r>
              <w:rPr>
                <w:color w:val="auto"/>
              </w:rPr>
              <w:t>1</w:t>
            </w:r>
          </w:p>
        </w:tc>
        <w:tc>
          <w:tcPr>
            <w:tcW w:w="687" w:type="pct"/>
            <w:vMerge w:val="restart"/>
            <w:vAlign w:val="center"/>
          </w:tcPr>
          <w:p>
            <w:pPr>
              <w:jc w:val="center"/>
              <w:rPr>
                <w:color w:val="auto"/>
              </w:rPr>
            </w:pPr>
            <w:r>
              <w:rPr>
                <w:color w:val="auto"/>
              </w:rPr>
              <w:t>停止该生产线的运行，检查废气处理设施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1" w:hRule="atLeast"/>
          <w:jc w:val="center"/>
        </w:trPr>
        <w:tc>
          <w:tcPr>
            <w:tcW w:w="262" w:type="pct"/>
            <w:vAlign w:val="center"/>
          </w:tcPr>
          <w:p>
            <w:pPr>
              <w:jc w:val="center"/>
              <w:rPr>
                <w:color w:val="auto"/>
              </w:rPr>
            </w:pPr>
            <w:r>
              <w:rPr>
                <w:color w:val="auto"/>
              </w:rPr>
              <w:t>2</w:t>
            </w:r>
          </w:p>
        </w:tc>
        <w:tc>
          <w:tcPr>
            <w:tcW w:w="389" w:type="pct"/>
            <w:vMerge w:val="restart"/>
            <w:vAlign w:val="center"/>
          </w:tcPr>
          <w:p>
            <w:pPr>
              <w:jc w:val="center"/>
              <w:rPr>
                <w:rFonts w:hint="eastAsia" w:eastAsia="宋体"/>
                <w:color w:val="auto"/>
                <w:lang w:eastAsia="zh-CN"/>
              </w:rPr>
            </w:pPr>
            <w:r>
              <w:rPr>
                <w:rFonts w:hint="eastAsia"/>
                <w:color w:val="auto"/>
                <w:lang w:eastAsia="zh-CN"/>
              </w:rPr>
              <w:t>2#排气筒</w:t>
            </w:r>
          </w:p>
        </w:tc>
        <w:tc>
          <w:tcPr>
            <w:tcW w:w="586" w:type="pct"/>
            <w:vMerge w:val="continue"/>
            <w:vAlign w:val="center"/>
          </w:tcPr>
          <w:p>
            <w:pPr>
              <w:jc w:val="center"/>
              <w:rPr>
                <w:color w:val="auto"/>
              </w:rPr>
            </w:pPr>
          </w:p>
        </w:tc>
        <w:tc>
          <w:tcPr>
            <w:tcW w:w="497" w:type="pct"/>
            <w:vAlign w:val="center"/>
          </w:tcPr>
          <w:p>
            <w:pPr>
              <w:jc w:val="center"/>
              <w:rPr>
                <w:color w:val="auto"/>
              </w:rPr>
            </w:pPr>
            <w:r>
              <w:rPr>
                <w:rFonts w:hint="eastAsia"/>
                <w:color w:val="auto"/>
                <w:lang w:eastAsia="zh-CN"/>
              </w:rPr>
              <w:t>颗粒物</w:t>
            </w:r>
          </w:p>
        </w:tc>
        <w:tc>
          <w:tcPr>
            <w:tcW w:w="858" w:type="pct"/>
            <w:vAlign w:val="center"/>
          </w:tcPr>
          <w:p>
            <w:pPr>
              <w:jc w:val="center"/>
              <w:rPr>
                <w:rFonts w:hint="default"/>
                <w:color w:val="auto"/>
                <w:lang w:val="en-US"/>
              </w:rPr>
            </w:pPr>
            <w:r>
              <w:rPr>
                <w:rFonts w:hint="eastAsia"/>
                <w:color w:val="auto"/>
                <w:lang w:val="en-US" w:eastAsia="zh-CN"/>
              </w:rPr>
              <w:t>0.088</w:t>
            </w:r>
          </w:p>
        </w:tc>
        <w:tc>
          <w:tcPr>
            <w:tcW w:w="858" w:type="pct"/>
            <w:vAlign w:val="center"/>
          </w:tcPr>
          <w:p>
            <w:pPr>
              <w:jc w:val="center"/>
              <w:rPr>
                <w:color w:val="auto"/>
              </w:rPr>
            </w:pPr>
            <w:r>
              <w:rPr>
                <w:rFonts w:hint="eastAsia"/>
                <w:color w:val="auto"/>
                <w:lang w:val="en-US" w:eastAsia="zh-CN"/>
              </w:rPr>
              <w:t>4.38</w:t>
            </w:r>
          </w:p>
        </w:tc>
        <w:tc>
          <w:tcPr>
            <w:tcW w:w="448" w:type="pct"/>
            <w:vMerge w:val="restart"/>
            <w:vAlign w:val="center"/>
          </w:tcPr>
          <w:p>
            <w:pPr>
              <w:jc w:val="center"/>
              <w:rPr>
                <w:color w:val="auto"/>
              </w:rPr>
            </w:pPr>
            <w:r>
              <w:rPr>
                <w:color w:val="auto"/>
              </w:rPr>
              <w:t>0.5</w:t>
            </w:r>
          </w:p>
        </w:tc>
        <w:tc>
          <w:tcPr>
            <w:tcW w:w="412" w:type="pct"/>
            <w:vMerge w:val="restart"/>
            <w:vAlign w:val="center"/>
          </w:tcPr>
          <w:p>
            <w:pPr>
              <w:jc w:val="center"/>
              <w:rPr>
                <w:color w:val="auto"/>
              </w:rPr>
            </w:pPr>
            <w:r>
              <w:rPr>
                <w:color w:val="auto"/>
              </w:rPr>
              <w:t>1</w:t>
            </w:r>
          </w:p>
        </w:tc>
        <w:tc>
          <w:tcPr>
            <w:tcW w:w="687" w:type="pct"/>
            <w:vMerge w:val="continue"/>
            <w:vAlign w:val="center"/>
          </w:tcPr>
          <w:p>
            <w:pPr>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1" w:hRule="atLeast"/>
          <w:jc w:val="center"/>
        </w:trPr>
        <w:tc>
          <w:tcPr>
            <w:tcW w:w="262" w:type="pct"/>
            <w:vAlign w:val="center"/>
          </w:tcPr>
          <w:p>
            <w:pPr>
              <w:jc w:val="center"/>
              <w:rPr>
                <w:rFonts w:ascii="Times New Roman" w:hAnsi="Times New Roman" w:eastAsia="宋体" w:cs="Times New Roman"/>
                <w:color w:val="auto"/>
                <w:kern w:val="2"/>
                <w:sz w:val="21"/>
                <w:szCs w:val="24"/>
                <w:lang w:val="en-US" w:eastAsia="zh-CN" w:bidi="ar-SA"/>
              </w:rPr>
            </w:pPr>
            <w:r>
              <w:rPr>
                <w:color w:val="auto"/>
              </w:rPr>
              <w:t>3</w:t>
            </w:r>
          </w:p>
        </w:tc>
        <w:tc>
          <w:tcPr>
            <w:tcW w:w="389" w:type="pct"/>
            <w:vMerge w:val="continue"/>
            <w:vAlign w:val="center"/>
          </w:tcPr>
          <w:p>
            <w:pPr>
              <w:jc w:val="center"/>
              <w:rPr>
                <w:rFonts w:hint="eastAsia"/>
                <w:color w:val="auto"/>
                <w:lang w:eastAsia="zh-CN"/>
              </w:rPr>
            </w:pPr>
          </w:p>
        </w:tc>
        <w:tc>
          <w:tcPr>
            <w:tcW w:w="586" w:type="pct"/>
            <w:vMerge w:val="continue"/>
            <w:vAlign w:val="center"/>
          </w:tcPr>
          <w:p>
            <w:pPr>
              <w:jc w:val="center"/>
              <w:rPr>
                <w:color w:val="auto"/>
              </w:rPr>
            </w:pPr>
          </w:p>
        </w:tc>
        <w:tc>
          <w:tcPr>
            <w:tcW w:w="497" w:type="pct"/>
            <w:vAlign w:val="center"/>
          </w:tcPr>
          <w:p>
            <w:pPr>
              <w:jc w:val="center"/>
              <w:rPr>
                <w:color w:val="auto"/>
                <w:lang w:val="en-US" w:eastAsia="zh-CN"/>
              </w:rPr>
            </w:pPr>
            <w:r>
              <w:rPr>
                <w:color w:val="auto"/>
              </w:rPr>
              <w:t>非甲烷总烃</w:t>
            </w:r>
          </w:p>
        </w:tc>
        <w:tc>
          <w:tcPr>
            <w:tcW w:w="858" w:type="pct"/>
            <w:vAlign w:val="center"/>
          </w:tcPr>
          <w:p>
            <w:pPr>
              <w:jc w:val="center"/>
              <w:rPr>
                <w:rFonts w:hint="default"/>
                <w:color w:val="auto"/>
                <w:lang w:val="en-US" w:eastAsia="zh-CN"/>
              </w:rPr>
            </w:pPr>
            <w:r>
              <w:rPr>
                <w:rFonts w:hint="eastAsia"/>
                <w:color w:val="auto"/>
                <w:lang w:val="en-US" w:eastAsia="zh-CN"/>
              </w:rPr>
              <w:t>0.14</w:t>
            </w:r>
          </w:p>
        </w:tc>
        <w:tc>
          <w:tcPr>
            <w:tcW w:w="858" w:type="pct"/>
            <w:vAlign w:val="center"/>
          </w:tcPr>
          <w:p>
            <w:pPr>
              <w:jc w:val="center"/>
              <w:rPr>
                <w:rFonts w:hint="default"/>
                <w:color w:val="auto"/>
                <w:lang w:val="en-US" w:eastAsia="zh-CN"/>
              </w:rPr>
            </w:pPr>
            <w:r>
              <w:rPr>
                <w:rFonts w:hint="eastAsia"/>
                <w:color w:val="auto"/>
                <w:lang w:val="en-US" w:eastAsia="zh-CN"/>
              </w:rPr>
              <w:t>6.97</w:t>
            </w:r>
          </w:p>
        </w:tc>
        <w:tc>
          <w:tcPr>
            <w:tcW w:w="448" w:type="pct"/>
            <w:vMerge w:val="continue"/>
            <w:vAlign w:val="center"/>
          </w:tcPr>
          <w:p>
            <w:pPr>
              <w:jc w:val="center"/>
              <w:rPr>
                <w:color w:val="auto"/>
              </w:rPr>
            </w:pPr>
          </w:p>
        </w:tc>
        <w:tc>
          <w:tcPr>
            <w:tcW w:w="412" w:type="pct"/>
            <w:vMerge w:val="continue"/>
            <w:vAlign w:val="center"/>
          </w:tcPr>
          <w:p>
            <w:pPr>
              <w:jc w:val="center"/>
              <w:rPr>
                <w:color w:val="auto"/>
              </w:rPr>
            </w:pPr>
          </w:p>
        </w:tc>
        <w:tc>
          <w:tcPr>
            <w:tcW w:w="687" w:type="pct"/>
            <w:vMerge w:val="continue"/>
            <w:vAlign w:val="center"/>
          </w:tcPr>
          <w:p>
            <w:pPr>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1" w:hRule="atLeast"/>
          <w:jc w:val="center"/>
        </w:trPr>
        <w:tc>
          <w:tcPr>
            <w:tcW w:w="262" w:type="pct"/>
            <w:vAlign w:val="center"/>
          </w:tcPr>
          <w:p>
            <w:pPr>
              <w:jc w:val="center"/>
              <w:rPr>
                <w:rFonts w:ascii="Times New Roman" w:hAnsi="Times New Roman" w:eastAsia="宋体" w:cs="Times New Roman"/>
                <w:color w:val="auto"/>
                <w:kern w:val="2"/>
                <w:sz w:val="21"/>
                <w:szCs w:val="24"/>
                <w:lang w:val="en-US" w:eastAsia="zh-CN" w:bidi="ar-SA"/>
              </w:rPr>
            </w:pPr>
            <w:r>
              <w:rPr>
                <w:rFonts w:hint="eastAsia"/>
                <w:color w:val="auto"/>
              </w:rPr>
              <w:t>4</w:t>
            </w:r>
          </w:p>
        </w:tc>
        <w:tc>
          <w:tcPr>
            <w:tcW w:w="389" w:type="pct"/>
            <w:vMerge w:val="continue"/>
            <w:vAlign w:val="center"/>
          </w:tcPr>
          <w:p>
            <w:pPr>
              <w:jc w:val="center"/>
              <w:rPr>
                <w:color w:val="auto"/>
              </w:rPr>
            </w:pPr>
          </w:p>
        </w:tc>
        <w:tc>
          <w:tcPr>
            <w:tcW w:w="586" w:type="pct"/>
            <w:vMerge w:val="continue"/>
            <w:vAlign w:val="center"/>
          </w:tcPr>
          <w:p>
            <w:pPr>
              <w:jc w:val="center"/>
              <w:rPr>
                <w:color w:val="auto"/>
              </w:rPr>
            </w:pPr>
          </w:p>
        </w:tc>
        <w:tc>
          <w:tcPr>
            <w:tcW w:w="497" w:type="pct"/>
            <w:vAlign w:val="center"/>
          </w:tcPr>
          <w:p>
            <w:pPr>
              <w:jc w:val="center"/>
              <w:rPr>
                <w:color w:val="auto"/>
              </w:rPr>
            </w:pPr>
            <w:r>
              <w:rPr>
                <w:color w:val="auto"/>
              </w:rPr>
              <w:t>H</w:t>
            </w:r>
            <w:r>
              <w:rPr>
                <w:color w:val="auto"/>
                <w:vertAlign w:val="subscript"/>
              </w:rPr>
              <w:t>2</w:t>
            </w:r>
            <w:r>
              <w:rPr>
                <w:color w:val="auto"/>
              </w:rPr>
              <w:t>S</w:t>
            </w:r>
          </w:p>
        </w:tc>
        <w:tc>
          <w:tcPr>
            <w:tcW w:w="858" w:type="pct"/>
            <w:vAlign w:val="center"/>
          </w:tcPr>
          <w:p>
            <w:pPr>
              <w:jc w:val="center"/>
              <w:rPr>
                <w:rFonts w:hint="default"/>
                <w:color w:val="auto"/>
                <w:lang w:val="en-US"/>
              </w:rPr>
            </w:pPr>
            <w:r>
              <w:rPr>
                <w:rFonts w:hint="eastAsia"/>
                <w:color w:val="auto"/>
                <w:lang w:val="en-US" w:eastAsia="zh-CN"/>
              </w:rPr>
              <w:t>0.17</w:t>
            </w:r>
          </w:p>
        </w:tc>
        <w:tc>
          <w:tcPr>
            <w:tcW w:w="858" w:type="pct"/>
            <w:vAlign w:val="center"/>
          </w:tcPr>
          <w:p>
            <w:pPr>
              <w:jc w:val="center"/>
              <w:rPr>
                <w:color w:val="auto"/>
              </w:rPr>
            </w:pPr>
            <w:r>
              <w:rPr>
                <w:rFonts w:hint="eastAsia"/>
                <w:color w:val="auto"/>
                <w:lang w:val="en-US" w:eastAsia="zh-CN"/>
              </w:rPr>
              <w:t>8.34</w:t>
            </w:r>
          </w:p>
        </w:tc>
        <w:tc>
          <w:tcPr>
            <w:tcW w:w="448" w:type="pct"/>
            <w:vMerge w:val="continue"/>
            <w:vAlign w:val="center"/>
          </w:tcPr>
          <w:p>
            <w:pPr>
              <w:jc w:val="center"/>
              <w:rPr>
                <w:color w:val="auto"/>
              </w:rPr>
            </w:pPr>
          </w:p>
        </w:tc>
        <w:tc>
          <w:tcPr>
            <w:tcW w:w="412" w:type="pct"/>
            <w:vMerge w:val="continue"/>
            <w:vAlign w:val="center"/>
          </w:tcPr>
          <w:p>
            <w:pPr>
              <w:jc w:val="center"/>
              <w:rPr>
                <w:color w:val="auto"/>
              </w:rPr>
            </w:pPr>
          </w:p>
        </w:tc>
        <w:tc>
          <w:tcPr>
            <w:tcW w:w="687" w:type="pct"/>
            <w:vMerge w:val="continue"/>
            <w:vAlign w:val="center"/>
          </w:tcPr>
          <w:p>
            <w:pPr>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9" w:hRule="atLeast"/>
          <w:jc w:val="center"/>
        </w:trPr>
        <w:tc>
          <w:tcPr>
            <w:tcW w:w="262" w:type="pct"/>
            <w:vAlign w:val="center"/>
          </w:tcPr>
          <w:p>
            <w:pPr>
              <w:jc w:val="center"/>
              <w:rPr>
                <w:rFonts w:hint="eastAsia" w:eastAsia="宋体"/>
                <w:color w:val="auto"/>
                <w:lang w:val="en-US" w:eastAsia="zh-CN"/>
              </w:rPr>
            </w:pPr>
            <w:r>
              <w:rPr>
                <w:rFonts w:hint="eastAsia"/>
                <w:color w:val="auto"/>
                <w:lang w:val="en-US" w:eastAsia="zh-CN"/>
              </w:rPr>
              <w:t>5</w:t>
            </w:r>
          </w:p>
        </w:tc>
        <w:tc>
          <w:tcPr>
            <w:tcW w:w="389" w:type="pct"/>
            <w:vAlign w:val="center"/>
          </w:tcPr>
          <w:p>
            <w:pPr>
              <w:jc w:val="center"/>
              <w:rPr>
                <w:color w:val="auto"/>
              </w:rPr>
            </w:pPr>
            <w:r>
              <w:rPr>
                <w:rFonts w:hint="eastAsia"/>
                <w:color w:val="auto"/>
                <w:lang w:val="en-US" w:eastAsia="zh-CN"/>
              </w:rPr>
              <w:t>3</w:t>
            </w:r>
            <w:r>
              <w:rPr>
                <w:rFonts w:hint="eastAsia"/>
                <w:color w:val="auto"/>
                <w:lang w:eastAsia="zh-CN"/>
              </w:rPr>
              <w:t>#排气筒</w:t>
            </w:r>
          </w:p>
        </w:tc>
        <w:tc>
          <w:tcPr>
            <w:tcW w:w="586" w:type="pct"/>
            <w:vMerge w:val="continue"/>
            <w:vAlign w:val="center"/>
          </w:tcPr>
          <w:p>
            <w:pPr>
              <w:jc w:val="center"/>
              <w:rPr>
                <w:color w:val="auto"/>
              </w:rPr>
            </w:pPr>
          </w:p>
        </w:tc>
        <w:tc>
          <w:tcPr>
            <w:tcW w:w="497" w:type="pct"/>
            <w:vAlign w:val="center"/>
          </w:tcPr>
          <w:p>
            <w:pPr>
              <w:jc w:val="center"/>
              <w:rPr>
                <w:color w:val="auto"/>
              </w:rPr>
            </w:pPr>
            <w:r>
              <w:rPr>
                <w:color w:val="auto"/>
              </w:rPr>
              <w:t>非甲烷总烃</w:t>
            </w:r>
          </w:p>
        </w:tc>
        <w:tc>
          <w:tcPr>
            <w:tcW w:w="858" w:type="pct"/>
            <w:vAlign w:val="center"/>
          </w:tcPr>
          <w:p>
            <w:pPr>
              <w:jc w:val="center"/>
              <w:rPr>
                <w:color w:val="auto"/>
              </w:rPr>
            </w:pPr>
            <w:r>
              <w:rPr>
                <w:rFonts w:hint="eastAsia"/>
                <w:color w:val="auto"/>
                <w:lang w:val="en-US" w:eastAsia="zh-CN"/>
              </w:rPr>
              <w:t>3.84</w:t>
            </w:r>
          </w:p>
        </w:tc>
        <w:tc>
          <w:tcPr>
            <w:tcW w:w="858" w:type="pct"/>
            <w:vAlign w:val="center"/>
          </w:tcPr>
          <w:p>
            <w:pPr>
              <w:jc w:val="center"/>
              <w:rPr>
                <w:color w:val="auto"/>
              </w:rPr>
            </w:pPr>
            <w:r>
              <w:rPr>
                <w:rFonts w:hint="eastAsia"/>
                <w:color w:val="auto"/>
                <w:lang w:val="en-US" w:eastAsia="zh-CN"/>
              </w:rPr>
              <w:t>85.34</w:t>
            </w:r>
          </w:p>
        </w:tc>
        <w:tc>
          <w:tcPr>
            <w:tcW w:w="448" w:type="pct"/>
            <w:vAlign w:val="center"/>
          </w:tcPr>
          <w:p>
            <w:pPr>
              <w:jc w:val="center"/>
              <w:rPr>
                <w:color w:val="auto"/>
              </w:rPr>
            </w:pPr>
            <w:r>
              <w:rPr>
                <w:color w:val="auto"/>
              </w:rPr>
              <w:t>0.5</w:t>
            </w:r>
          </w:p>
        </w:tc>
        <w:tc>
          <w:tcPr>
            <w:tcW w:w="412" w:type="pct"/>
            <w:vAlign w:val="center"/>
          </w:tcPr>
          <w:p>
            <w:pPr>
              <w:jc w:val="center"/>
              <w:rPr>
                <w:color w:val="auto"/>
              </w:rPr>
            </w:pPr>
            <w:r>
              <w:rPr>
                <w:color w:val="auto"/>
              </w:rPr>
              <w:t>1</w:t>
            </w:r>
          </w:p>
        </w:tc>
        <w:tc>
          <w:tcPr>
            <w:tcW w:w="687" w:type="pct"/>
            <w:vMerge w:val="continue"/>
            <w:vAlign w:val="center"/>
          </w:tcPr>
          <w:p>
            <w:pPr>
              <w:jc w:val="center"/>
              <w:rPr>
                <w:color w:val="auto"/>
              </w:rPr>
            </w:pPr>
          </w:p>
        </w:tc>
      </w:tr>
    </w:tbl>
    <w:p>
      <w:pPr>
        <w:pStyle w:val="5"/>
        <w:spacing w:before="0" w:after="0" w:line="520" w:lineRule="exact"/>
        <w:rPr>
          <w:color w:val="auto"/>
          <w:sz w:val="24"/>
          <w:szCs w:val="24"/>
        </w:rPr>
      </w:pPr>
      <w:bookmarkStart w:id="268" w:name="_Toc535157645"/>
      <w:r>
        <w:rPr>
          <w:color w:val="auto"/>
          <w:sz w:val="24"/>
          <w:szCs w:val="24"/>
        </w:rPr>
        <w:t>（</w:t>
      </w:r>
      <w:r>
        <w:rPr>
          <w:rFonts w:hint="eastAsia"/>
          <w:color w:val="auto"/>
          <w:sz w:val="24"/>
          <w:szCs w:val="24"/>
          <w:lang w:val="en-US" w:eastAsia="zh-CN"/>
        </w:rPr>
        <w:t>4</w:t>
      </w:r>
      <w:r>
        <w:rPr>
          <w:color w:val="auto"/>
          <w:sz w:val="24"/>
          <w:szCs w:val="24"/>
        </w:rPr>
        <w:t>）项目大气环境影响评价自查表</w:t>
      </w:r>
      <w:bookmarkEnd w:id="268"/>
    </w:p>
    <w:p>
      <w:pPr>
        <w:jc w:val="center"/>
        <w:rPr>
          <w:b/>
          <w:color w:val="auto"/>
          <w:sz w:val="24"/>
        </w:rPr>
      </w:pPr>
    </w:p>
    <w:p>
      <w:pPr>
        <w:jc w:val="center"/>
        <w:rPr>
          <w:b/>
          <w:color w:val="auto"/>
          <w:sz w:val="24"/>
        </w:rPr>
      </w:pPr>
      <w:r>
        <w:rPr>
          <w:rFonts w:hint="eastAsia"/>
          <w:b/>
          <w:color w:val="auto"/>
          <w:sz w:val="24"/>
        </w:rPr>
        <w:t>表6</w:t>
      </w:r>
      <w:r>
        <w:rPr>
          <w:b/>
          <w:color w:val="auto"/>
          <w:sz w:val="24"/>
        </w:rPr>
        <w:t>-1</w:t>
      </w:r>
      <w:r>
        <w:rPr>
          <w:rFonts w:hint="eastAsia"/>
          <w:b/>
          <w:color w:val="auto"/>
          <w:sz w:val="24"/>
          <w:lang w:val="en-US" w:eastAsia="zh-CN"/>
        </w:rPr>
        <w:t>4</w:t>
      </w:r>
      <w:r>
        <w:rPr>
          <w:b/>
          <w:color w:val="auto"/>
          <w:sz w:val="24"/>
        </w:rPr>
        <w:t xml:space="preserve">  建设项目大气环境影响评价自查表</w:t>
      </w:r>
    </w:p>
    <w:tbl>
      <w:tblPr>
        <w:tblStyle w:val="5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06"/>
        <w:gridCol w:w="1637"/>
        <w:gridCol w:w="1041"/>
        <w:gridCol w:w="298"/>
        <w:gridCol w:w="446"/>
        <w:gridCol w:w="447"/>
        <w:gridCol w:w="594"/>
        <w:gridCol w:w="298"/>
        <w:gridCol w:w="442"/>
        <w:gridCol w:w="154"/>
        <w:gridCol w:w="595"/>
        <w:gridCol w:w="148"/>
        <w:gridCol w:w="149"/>
        <w:gridCol w:w="744"/>
        <w:gridCol w:w="299"/>
        <w:gridCol w:w="65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43" w:type="dxa"/>
            <w:gridSpan w:val="2"/>
            <w:vAlign w:val="center"/>
          </w:tcPr>
          <w:p>
            <w:pPr>
              <w:spacing w:line="240" w:lineRule="exact"/>
              <w:jc w:val="center"/>
              <w:rPr>
                <w:color w:val="auto"/>
              </w:rPr>
            </w:pPr>
            <w:r>
              <w:rPr>
                <w:color w:val="auto"/>
              </w:rPr>
              <w:t>工作内容</w:t>
            </w:r>
          </w:p>
        </w:tc>
        <w:tc>
          <w:tcPr>
            <w:tcW w:w="6310" w:type="dxa"/>
            <w:gridSpan w:val="14"/>
            <w:vAlign w:val="center"/>
          </w:tcPr>
          <w:p>
            <w:pPr>
              <w:spacing w:line="240" w:lineRule="exact"/>
              <w:jc w:val="center"/>
              <w:rPr>
                <w:color w:val="auto"/>
              </w:rPr>
            </w:pPr>
            <w:r>
              <w:rPr>
                <w:color w:val="auto"/>
              </w:rPr>
              <w:t>自查项目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6" w:type="dxa"/>
            <w:vMerge w:val="restart"/>
            <w:vAlign w:val="center"/>
          </w:tcPr>
          <w:p>
            <w:pPr>
              <w:spacing w:line="240" w:lineRule="exact"/>
              <w:jc w:val="center"/>
              <w:rPr>
                <w:color w:val="auto"/>
              </w:rPr>
            </w:pPr>
            <w:r>
              <w:rPr>
                <w:color w:val="auto"/>
              </w:rPr>
              <w:t>评价等级与范围</w:t>
            </w:r>
          </w:p>
        </w:tc>
        <w:tc>
          <w:tcPr>
            <w:tcW w:w="1637" w:type="dxa"/>
            <w:vAlign w:val="center"/>
          </w:tcPr>
          <w:p>
            <w:pPr>
              <w:spacing w:line="240" w:lineRule="exact"/>
              <w:jc w:val="center"/>
              <w:rPr>
                <w:color w:val="auto"/>
              </w:rPr>
            </w:pPr>
            <w:r>
              <w:rPr>
                <w:color w:val="auto"/>
              </w:rPr>
              <w:t>评价等级</w:t>
            </w:r>
          </w:p>
        </w:tc>
        <w:tc>
          <w:tcPr>
            <w:tcW w:w="2232" w:type="dxa"/>
            <w:gridSpan w:val="4"/>
            <w:vAlign w:val="center"/>
          </w:tcPr>
          <w:p>
            <w:pPr>
              <w:spacing w:line="240" w:lineRule="exact"/>
              <w:jc w:val="center"/>
              <w:rPr>
                <w:color w:val="auto"/>
              </w:rPr>
            </w:pPr>
            <w:r>
              <w:rPr>
                <w:color w:val="auto"/>
              </w:rPr>
              <w:t>一级□</w:t>
            </w:r>
          </w:p>
        </w:tc>
        <w:tc>
          <w:tcPr>
            <w:tcW w:w="1333" w:type="dxa"/>
            <w:gridSpan w:val="3"/>
            <w:vAlign w:val="center"/>
          </w:tcPr>
          <w:p>
            <w:pPr>
              <w:spacing w:line="240" w:lineRule="exact"/>
              <w:jc w:val="center"/>
              <w:rPr>
                <w:color w:val="auto"/>
              </w:rPr>
            </w:pPr>
            <w:r>
              <w:rPr>
                <w:color w:val="auto"/>
              </w:rPr>
              <w:t>二级</w:t>
            </w:r>
            <w:r>
              <w:rPr>
                <w:color w:val="auto"/>
              </w:rPr>
              <w:sym w:font="Wingdings 2" w:char="0052"/>
            </w:r>
          </w:p>
        </w:tc>
        <w:tc>
          <w:tcPr>
            <w:tcW w:w="2745" w:type="dxa"/>
            <w:gridSpan w:val="7"/>
            <w:vAlign w:val="center"/>
          </w:tcPr>
          <w:p>
            <w:pPr>
              <w:spacing w:line="240" w:lineRule="exact"/>
              <w:jc w:val="center"/>
              <w:rPr>
                <w:color w:val="auto"/>
              </w:rPr>
            </w:pPr>
            <w:r>
              <w:rPr>
                <w:color w:val="auto"/>
              </w:rPr>
              <w:t>三级</w:t>
            </w:r>
            <w:r>
              <w:rPr>
                <w:color w:val="auto"/>
              </w:rPr>
              <w:sym w:font="Wingdings 2" w:char="00A3"/>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6" w:type="dxa"/>
            <w:vMerge w:val="continue"/>
            <w:vAlign w:val="center"/>
          </w:tcPr>
          <w:p>
            <w:pPr>
              <w:spacing w:line="240" w:lineRule="exact"/>
              <w:jc w:val="center"/>
              <w:rPr>
                <w:color w:val="auto"/>
              </w:rPr>
            </w:pPr>
          </w:p>
        </w:tc>
        <w:tc>
          <w:tcPr>
            <w:tcW w:w="1637" w:type="dxa"/>
            <w:vAlign w:val="center"/>
          </w:tcPr>
          <w:p>
            <w:pPr>
              <w:spacing w:line="240" w:lineRule="exact"/>
              <w:jc w:val="center"/>
              <w:rPr>
                <w:color w:val="auto"/>
              </w:rPr>
            </w:pPr>
            <w:r>
              <w:rPr>
                <w:color w:val="auto"/>
              </w:rPr>
              <w:t>评价范围</w:t>
            </w:r>
          </w:p>
        </w:tc>
        <w:tc>
          <w:tcPr>
            <w:tcW w:w="2232" w:type="dxa"/>
            <w:gridSpan w:val="4"/>
            <w:vAlign w:val="center"/>
          </w:tcPr>
          <w:p>
            <w:pPr>
              <w:spacing w:line="240" w:lineRule="exact"/>
              <w:jc w:val="center"/>
              <w:rPr>
                <w:color w:val="auto"/>
              </w:rPr>
            </w:pPr>
            <w:r>
              <w:rPr>
                <w:color w:val="auto"/>
              </w:rPr>
              <w:t>边长=50km□</w:t>
            </w:r>
          </w:p>
        </w:tc>
        <w:tc>
          <w:tcPr>
            <w:tcW w:w="1333" w:type="dxa"/>
            <w:gridSpan w:val="3"/>
            <w:vAlign w:val="center"/>
          </w:tcPr>
          <w:p>
            <w:pPr>
              <w:spacing w:line="240" w:lineRule="exact"/>
              <w:jc w:val="center"/>
              <w:rPr>
                <w:color w:val="auto"/>
              </w:rPr>
            </w:pPr>
            <w:r>
              <w:rPr>
                <w:color w:val="auto"/>
              </w:rPr>
              <w:t>边长5-50km</w:t>
            </w:r>
            <w:r>
              <w:rPr>
                <w:color w:val="auto"/>
              </w:rPr>
              <w:sym w:font="Wingdings 2" w:char="00A3"/>
            </w:r>
          </w:p>
        </w:tc>
        <w:tc>
          <w:tcPr>
            <w:tcW w:w="2745" w:type="dxa"/>
            <w:gridSpan w:val="7"/>
            <w:vAlign w:val="center"/>
          </w:tcPr>
          <w:p>
            <w:pPr>
              <w:spacing w:line="240" w:lineRule="exact"/>
              <w:jc w:val="center"/>
              <w:rPr>
                <w:color w:val="auto"/>
              </w:rPr>
            </w:pPr>
            <w:r>
              <w:rPr>
                <w:color w:val="auto"/>
              </w:rPr>
              <w:t>边长=5km</w:t>
            </w:r>
            <w:r>
              <w:rPr>
                <w:color w:val="auto"/>
              </w:rPr>
              <w:sym w:font="Wingdings 2" w:char="0052"/>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6" w:type="dxa"/>
            <w:vMerge w:val="restart"/>
            <w:vAlign w:val="center"/>
          </w:tcPr>
          <w:p>
            <w:pPr>
              <w:spacing w:line="240" w:lineRule="exact"/>
              <w:jc w:val="center"/>
              <w:rPr>
                <w:color w:val="auto"/>
              </w:rPr>
            </w:pPr>
            <w:r>
              <w:rPr>
                <w:color w:val="auto"/>
              </w:rPr>
              <w:t>评价因子</w:t>
            </w:r>
          </w:p>
        </w:tc>
        <w:tc>
          <w:tcPr>
            <w:tcW w:w="1637" w:type="dxa"/>
            <w:vAlign w:val="center"/>
          </w:tcPr>
          <w:p>
            <w:pPr>
              <w:spacing w:line="240" w:lineRule="exact"/>
              <w:jc w:val="center"/>
              <w:rPr>
                <w:color w:val="auto"/>
              </w:rPr>
            </w:pPr>
            <w:r>
              <w:rPr>
                <w:color w:val="auto"/>
              </w:rPr>
              <w:t>SO</w:t>
            </w:r>
            <w:r>
              <w:rPr>
                <w:color w:val="auto"/>
                <w:vertAlign w:val="subscript"/>
              </w:rPr>
              <w:t>2</w:t>
            </w:r>
            <w:r>
              <w:rPr>
                <w:color w:val="auto"/>
              </w:rPr>
              <w:t>+NO</w:t>
            </w:r>
            <w:r>
              <w:rPr>
                <w:color w:val="auto"/>
                <w:vertAlign w:val="subscript"/>
              </w:rPr>
              <w:t>X</w:t>
            </w:r>
            <w:r>
              <w:rPr>
                <w:color w:val="auto"/>
              </w:rPr>
              <w:t>排放量</w:t>
            </w:r>
          </w:p>
        </w:tc>
        <w:tc>
          <w:tcPr>
            <w:tcW w:w="2232" w:type="dxa"/>
            <w:gridSpan w:val="4"/>
            <w:vAlign w:val="center"/>
          </w:tcPr>
          <w:p>
            <w:pPr>
              <w:spacing w:line="240" w:lineRule="exact"/>
              <w:jc w:val="center"/>
              <w:rPr>
                <w:color w:val="auto"/>
              </w:rPr>
            </w:pPr>
            <w:r>
              <w:rPr>
                <w:color w:val="auto"/>
              </w:rPr>
              <w:t>≥2000t/a□</w:t>
            </w:r>
          </w:p>
        </w:tc>
        <w:tc>
          <w:tcPr>
            <w:tcW w:w="1333" w:type="dxa"/>
            <w:gridSpan w:val="3"/>
            <w:vAlign w:val="center"/>
          </w:tcPr>
          <w:p>
            <w:pPr>
              <w:spacing w:line="240" w:lineRule="exact"/>
              <w:jc w:val="center"/>
              <w:rPr>
                <w:color w:val="auto"/>
              </w:rPr>
            </w:pPr>
            <w:r>
              <w:rPr>
                <w:color w:val="auto"/>
              </w:rPr>
              <w:t>500-2000t/a□</w:t>
            </w:r>
          </w:p>
        </w:tc>
        <w:tc>
          <w:tcPr>
            <w:tcW w:w="2745" w:type="dxa"/>
            <w:gridSpan w:val="7"/>
            <w:vAlign w:val="center"/>
          </w:tcPr>
          <w:p>
            <w:pPr>
              <w:spacing w:line="240" w:lineRule="exact"/>
              <w:jc w:val="center"/>
              <w:rPr>
                <w:color w:val="auto"/>
              </w:rPr>
            </w:pPr>
            <w:r>
              <w:rPr>
                <w:color w:val="auto"/>
              </w:rPr>
              <w:t>＜500t/a</w:t>
            </w:r>
            <w:r>
              <w:rPr>
                <w:color w:val="auto"/>
              </w:rPr>
              <w:sym w:font="Wingdings 2" w:char="F052"/>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6" w:type="dxa"/>
            <w:vMerge w:val="continue"/>
            <w:vAlign w:val="center"/>
          </w:tcPr>
          <w:p>
            <w:pPr>
              <w:spacing w:line="240" w:lineRule="exact"/>
              <w:jc w:val="center"/>
              <w:rPr>
                <w:color w:val="auto"/>
              </w:rPr>
            </w:pPr>
          </w:p>
        </w:tc>
        <w:tc>
          <w:tcPr>
            <w:tcW w:w="1637" w:type="dxa"/>
            <w:vAlign w:val="center"/>
          </w:tcPr>
          <w:p>
            <w:pPr>
              <w:spacing w:line="240" w:lineRule="exact"/>
              <w:jc w:val="center"/>
              <w:rPr>
                <w:color w:val="auto"/>
              </w:rPr>
            </w:pPr>
            <w:r>
              <w:rPr>
                <w:color w:val="auto"/>
              </w:rPr>
              <w:t>评价因子</w:t>
            </w:r>
          </w:p>
        </w:tc>
        <w:tc>
          <w:tcPr>
            <w:tcW w:w="3565" w:type="dxa"/>
            <w:gridSpan w:val="7"/>
            <w:vAlign w:val="center"/>
          </w:tcPr>
          <w:p>
            <w:pPr>
              <w:spacing w:line="240" w:lineRule="exact"/>
              <w:jc w:val="center"/>
              <w:rPr>
                <w:color w:val="auto"/>
              </w:rPr>
            </w:pPr>
            <w:r>
              <w:rPr>
                <w:color w:val="auto"/>
              </w:rPr>
              <w:t>基本污染物（</w:t>
            </w:r>
            <w:r>
              <w:rPr>
                <w:rFonts w:hint="eastAsia"/>
                <w:color w:val="auto"/>
              </w:rPr>
              <w:t>/</w:t>
            </w:r>
            <w:r>
              <w:rPr>
                <w:color w:val="auto"/>
              </w:rPr>
              <w:t>）</w:t>
            </w:r>
          </w:p>
          <w:p>
            <w:pPr>
              <w:spacing w:line="240" w:lineRule="exact"/>
              <w:jc w:val="center"/>
              <w:rPr>
                <w:color w:val="auto"/>
              </w:rPr>
            </w:pPr>
            <w:r>
              <w:rPr>
                <w:color w:val="auto"/>
              </w:rPr>
              <w:t>其他污染物（非甲烷总烃、H</w:t>
            </w:r>
            <w:r>
              <w:rPr>
                <w:color w:val="auto"/>
                <w:vertAlign w:val="subscript"/>
              </w:rPr>
              <w:t>2</w:t>
            </w:r>
            <w:r>
              <w:rPr>
                <w:color w:val="auto"/>
              </w:rPr>
              <w:t>S</w:t>
            </w:r>
            <w:r>
              <w:rPr>
                <w:rFonts w:hint="eastAsia"/>
                <w:color w:val="auto"/>
              </w:rPr>
              <w:t>、TSP</w:t>
            </w:r>
            <w:r>
              <w:rPr>
                <w:color w:val="auto"/>
              </w:rPr>
              <w:t>）</w:t>
            </w:r>
          </w:p>
        </w:tc>
        <w:tc>
          <w:tcPr>
            <w:tcW w:w="2745" w:type="dxa"/>
            <w:gridSpan w:val="7"/>
            <w:vAlign w:val="center"/>
          </w:tcPr>
          <w:p>
            <w:pPr>
              <w:spacing w:line="240" w:lineRule="exact"/>
              <w:jc w:val="center"/>
              <w:rPr>
                <w:color w:val="auto"/>
              </w:rPr>
            </w:pPr>
            <w:r>
              <w:rPr>
                <w:color w:val="auto"/>
              </w:rPr>
              <w:t>包括二次PM2.5□</w:t>
            </w:r>
          </w:p>
          <w:p>
            <w:pPr>
              <w:spacing w:line="240" w:lineRule="exact"/>
              <w:jc w:val="center"/>
              <w:rPr>
                <w:color w:val="auto"/>
              </w:rPr>
            </w:pPr>
            <w:r>
              <w:rPr>
                <w:color w:val="auto"/>
              </w:rPr>
              <w:t>不包括二次PM2.5</w:t>
            </w:r>
            <w:r>
              <w:rPr>
                <w:color w:val="auto"/>
              </w:rPr>
              <w:sym w:font="Wingdings 2" w:char="F052"/>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6" w:type="dxa"/>
            <w:vAlign w:val="center"/>
          </w:tcPr>
          <w:p>
            <w:pPr>
              <w:spacing w:line="240" w:lineRule="exact"/>
              <w:jc w:val="center"/>
              <w:rPr>
                <w:color w:val="auto"/>
              </w:rPr>
            </w:pPr>
            <w:r>
              <w:rPr>
                <w:color w:val="auto"/>
              </w:rPr>
              <w:t>评价标准</w:t>
            </w:r>
          </w:p>
        </w:tc>
        <w:tc>
          <w:tcPr>
            <w:tcW w:w="1637" w:type="dxa"/>
            <w:vAlign w:val="center"/>
          </w:tcPr>
          <w:p>
            <w:pPr>
              <w:spacing w:line="240" w:lineRule="exact"/>
              <w:jc w:val="center"/>
              <w:rPr>
                <w:color w:val="auto"/>
              </w:rPr>
            </w:pPr>
            <w:r>
              <w:rPr>
                <w:color w:val="auto"/>
              </w:rPr>
              <w:t>评价标准</w:t>
            </w:r>
          </w:p>
        </w:tc>
        <w:tc>
          <w:tcPr>
            <w:tcW w:w="2231" w:type="dxa"/>
            <w:gridSpan w:val="4"/>
            <w:vAlign w:val="center"/>
          </w:tcPr>
          <w:p>
            <w:pPr>
              <w:spacing w:line="240" w:lineRule="exact"/>
              <w:jc w:val="center"/>
              <w:rPr>
                <w:color w:val="auto"/>
              </w:rPr>
            </w:pPr>
            <w:r>
              <w:rPr>
                <w:color w:val="auto"/>
              </w:rPr>
              <w:t>国家标准</w:t>
            </w:r>
            <w:r>
              <w:rPr>
                <w:color w:val="auto"/>
              </w:rPr>
              <w:sym w:font="Wingdings 2" w:char="0052"/>
            </w:r>
          </w:p>
        </w:tc>
        <w:tc>
          <w:tcPr>
            <w:tcW w:w="1334" w:type="dxa"/>
            <w:gridSpan w:val="3"/>
            <w:vAlign w:val="center"/>
          </w:tcPr>
          <w:p>
            <w:pPr>
              <w:spacing w:line="240" w:lineRule="exact"/>
              <w:jc w:val="center"/>
              <w:rPr>
                <w:color w:val="auto"/>
              </w:rPr>
            </w:pPr>
            <w:r>
              <w:rPr>
                <w:color w:val="auto"/>
              </w:rPr>
              <w:t>地方标准</w:t>
            </w:r>
            <w:r>
              <w:rPr>
                <w:color w:val="auto"/>
              </w:rPr>
              <w:sym w:font="Wingdings 2" w:char="00A3"/>
            </w:r>
          </w:p>
        </w:tc>
        <w:tc>
          <w:tcPr>
            <w:tcW w:w="2089" w:type="dxa"/>
            <w:gridSpan w:val="6"/>
            <w:vAlign w:val="center"/>
          </w:tcPr>
          <w:p>
            <w:pPr>
              <w:spacing w:line="240" w:lineRule="exact"/>
              <w:jc w:val="center"/>
              <w:rPr>
                <w:color w:val="auto"/>
              </w:rPr>
            </w:pPr>
            <w:r>
              <w:rPr>
                <w:color w:val="auto"/>
              </w:rPr>
              <w:t>附录D</w:t>
            </w:r>
            <w:r>
              <w:rPr>
                <w:color w:val="auto"/>
              </w:rPr>
              <w:sym w:font="Wingdings 2" w:char="00A3"/>
            </w:r>
          </w:p>
        </w:tc>
        <w:tc>
          <w:tcPr>
            <w:tcW w:w="656" w:type="dxa"/>
            <w:vAlign w:val="center"/>
          </w:tcPr>
          <w:p>
            <w:pPr>
              <w:spacing w:line="240" w:lineRule="exact"/>
              <w:jc w:val="center"/>
              <w:rPr>
                <w:color w:val="auto"/>
              </w:rPr>
            </w:pPr>
            <w:r>
              <w:rPr>
                <w:color w:val="auto"/>
              </w:rPr>
              <w:t>其他标准□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6" w:type="dxa"/>
            <w:vMerge w:val="restart"/>
            <w:vAlign w:val="center"/>
          </w:tcPr>
          <w:p>
            <w:pPr>
              <w:spacing w:line="240" w:lineRule="exact"/>
              <w:jc w:val="center"/>
              <w:rPr>
                <w:color w:val="auto"/>
              </w:rPr>
            </w:pPr>
            <w:r>
              <w:rPr>
                <w:color w:val="auto"/>
              </w:rPr>
              <w:t>现状评价</w:t>
            </w:r>
          </w:p>
        </w:tc>
        <w:tc>
          <w:tcPr>
            <w:tcW w:w="1637" w:type="dxa"/>
            <w:vAlign w:val="center"/>
          </w:tcPr>
          <w:p>
            <w:pPr>
              <w:spacing w:line="240" w:lineRule="exact"/>
              <w:jc w:val="center"/>
              <w:rPr>
                <w:color w:val="auto"/>
              </w:rPr>
            </w:pPr>
            <w:r>
              <w:rPr>
                <w:color w:val="auto"/>
              </w:rPr>
              <w:t>环境功能区</w:t>
            </w:r>
          </w:p>
        </w:tc>
        <w:tc>
          <w:tcPr>
            <w:tcW w:w="2231" w:type="dxa"/>
            <w:gridSpan w:val="4"/>
            <w:vAlign w:val="center"/>
          </w:tcPr>
          <w:p>
            <w:pPr>
              <w:spacing w:line="240" w:lineRule="exact"/>
              <w:jc w:val="center"/>
              <w:rPr>
                <w:color w:val="auto"/>
              </w:rPr>
            </w:pPr>
            <w:r>
              <w:rPr>
                <w:color w:val="auto"/>
              </w:rPr>
              <w:t>一类区□</w:t>
            </w:r>
          </w:p>
        </w:tc>
        <w:tc>
          <w:tcPr>
            <w:tcW w:w="1334" w:type="dxa"/>
            <w:gridSpan w:val="3"/>
            <w:vAlign w:val="center"/>
          </w:tcPr>
          <w:p>
            <w:pPr>
              <w:spacing w:line="240" w:lineRule="exact"/>
              <w:jc w:val="center"/>
              <w:rPr>
                <w:color w:val="auto"/>
              </w:rPr>
            </w:pPr>
            <w:r>
              <w:rPr>
                <w:color w:val="auto"/>
              </w:rPr>
              <w:t>二类区</w:t>
            </w:r>
            <w:r>
              <w:rPr>
                <w:color w:val="auto"/>
              </w:rPr>
              <w:sym w:font="Wingdings 2" w:char="0052"/>
            </w:r>
          </w:p>
        </w:tc>
        <w:tc>
          <w:tcPr>
            <w:tcW w:w="2745" w:type="dxa"/>
            <w:gridSpan w:val="7"/>
            <w:vAlign w:val="center"/>
          </w:tcPr>
          <w:p>
            <w:pPr>
              <w:spacing w:line="240" w:lineRule="exact"/>
              <w:jc w:val="center"/>
              <w:rPr>
                <w:color w:val="auto"/>
              </w:rPr>
            </w:pPr>
            <w:r>
              <w:rPr>
                <w:color w:val="auto"/>
              </w:rPr>
              <w:t>三类区</w:t>
            </w:r>
            <w:r>
              <w:rPr>
                <w:color w:val="auto"/>
              </w:rPr>
              <w:sym w:font="Wingdings 2" w:char="00A3"/>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6" w:type="dxa"/>
            <w:vMerge w:val="continue"/>
            <w:vAlign w:val="center"/>
          </w:tcPr>
          <w:p>
            <w:pPr>
              <w:spacing w:line="240" w:lineRule="exact"/>
              <w:jc w:val="center"/>
              <w:rPr>
                <w:color w:val="auto"/>
              </w:rPr>
            </w:pPr>
          </w:p>
        </w:tc>
        <w:tc>
          <w:tcPr>
            <w:tcW w:w="1637" w:type="dxa"/>
            <w:vAlign w:val="center"/>
          </w:tcPr>
          <w:p>
            <w:pPr>
              <w:spacing w:line="240" w:lineRule="exact"/>
              <w:jc w:val="center"/>
              <w:rPr>
                <w:color w:val="auto"/>
              </w:rPr>
            </w:pPr>
            <w:r>
              <w:rPr>
                <w:color w:val="auto"/>
              </w:rPr>
              <w:t>评价基准年</w:t>
            </w:r>
          </w:p>
        </w:tc>
        <w:tc>
          <w:tcPr>
            <w:tcW w:w="6310" w:type="dxa"/>
            <w:gridSpan w:val="14"/>
            <w:vAlign w:val="center"/>
          </w:tcPr>
          <w:p>
            <w:pPr>
              <w:spacing w:line="240" w:lineRule="exact"/>
              <w:jc w:val="center"/>
              <w:rPr>
                <w:color w:val="auto"/>
              </w:rPr>
            </w:pPr>
            <w:r>
              <w:rPr>
                <w:color w:val="auto"/>
              </w:rPr>
              <w:t>（201</w:t>
            </w:r>
            <w:r>
              <w:rPr>
                <w:rFonts w:hint="eastAsia"/>
                <w:color w:val="auto"/>
                <w:lang w:val="en-US" w:eastAsia="zh-CN"/>
              </w:rPr>
              <w:t>9</w:t>
            </w:r>
            <w:r>
              <w:rPr>
                <w:color w:val="auto"/>
              </w:rPr>
              <w:t>）年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6" w:type="dxa"/>
            <w:vMerge w:val="continue"/>
            <w:vAlign w:val="center"/>
          </w:tcPr>
          <w:p>
            <w:pPr>
              <w:spacing w:line="240" w:lineRule="exact"/>
              <w:jc w:val="center"/>
              <w:rPr>
                <w:color w:val="auto"/>
              </w:rPr>
            </w:pPr>
          </w:p>
        </w:tc>
        <w:tc>
          <w:tcPr>
            <w:tcW w:w="1637" w:type="dxa"/>
            <w:vAlign w:val="center"/>
          </w:tcPr>
          <w:p>
            <w:pPr>
              <w:spacing w:line="240" w:lineRule="exact"/>
              <w:jc w:val="center"/>
              <w:rPr>
                <w:color w:val="auto"/>
              </w:rPr>
            </w:pPr>
            <w:r>
              <w:rPr>
                <w:color w:val="auto"/>
              </w:rPr>
              <w:t>环境空气质量现状调查数据来源</w:t>
            </w:r>
          </w:p>
        </w:tc>
        <w:tc>
          <w:tcPr>
            <w:tcW w:w="2231" w:type="dxa"/>
            <w:gridSpan w:val="4"/>
            <w:vAlign w:val="center"/>
          </w:tcPr>
          <w:p>
            <w:pPr>
              <w:spacing w:line="240" w:lineRule="exact"/>
              <w:jc w:val="center"/>
              <w:rPr>
                <w:color w:val="auto"/>
              </w:rPr>
            </w:pPr>
            <w:r>
              <w:rPr>
                <w:color w:val="auto"/>
              </w:rPr>
              <w:t>长期例行监测数据□</w:t>
            </w:r>
          </w:p>
        </w:tc>
        <w:tc>
          <w:tcPr>
            <w:tcW w:w="1488" w:type="dxa"/>
            <w:gridSpan w:val="4"/>
            <w:vAlign w:val="center"/>
          </w:tcPr>
          <w:p>
            <w:pPr>
              <w:spacing w:line="240" w:lineRule="exact"/>
              <w:jc w:val="center"/>
              <w:rPr>
                <w:color w:val="auto"/>
              </w:rPr>
            </w:pPr>
            <w:r>
              <w:rPr>
                <w:color w:val="auto"/>
              </w:rPr>
              <w:t>主管部门发布的数据</w:t>
            </w:r>
            <w:r>
              <w:rPr>
                <w:color w:val="auto"/>
              </w:rPr>
              <w:sym w:font="Wingdings 2" w:char="F052"/>
            </w:r>
          </w:p>
        </w:tc>
        <w:tc>
          <w:tcPr>
            <w:tcW w:w="2591" w:type="dxa"/>
            <w:gridSpan w:val="6"/>
            <w:vAlign w:val="center"/>
          </w:tcPr>
          <w:p>
            <w:pPr>
              <w:spacing w:line="240" w:lineRule="exact"/>
              <w:jc w:val="center"/>
              <w:rPr>
                <w:color w:val="auto"/>
              </w:rPr>
            </w:pPr>
            <w:r>
              <w:rPr>
                <w:color w:val="auto"/>
              </w:rPr>
              <w:t>现状补充监测</w:t>
            </w:r>
            <w:r>
              <w:rPr>
                <w:color w:val="auto"/>
              </w:rPr>
              <w:sym w:font="Wingdings 2" w:char="F052"/>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6" w:type="dxa"/>
            <w:vMerge w:val="continue"/>
            <w:vAlign w:val="center"/>
          </w:tcPr>
          <w:p>
            <w:pPr>
              <w:spacing w:line="240" w:lineRule="exact"/>
              <w:jc w:val="center"/>
              <w:rPr>
                <w:color w:val="auto"/>
              </w:rPr>
            </w:pPr>
          </w:p>
        </w:tc>
        <w:tc>
          <w:tcPr>
            <w:tcW w:w="1637" w:type="dxa"/>
            <w:vAlign w:val="center"/>
          </w:tcPr>
          <w:p>
            <w:pPr>
              <w:spacing w:line="240" w:lineRule="exact"/>
              <w:jc w:val="center"/>
              <w:rPr>
                <w:color w:val="auto"/>
              </w:rPr>
            </w:pPr>
            <w:r>
              <w:rPr>
                <w:color w:val="auto"/>
              </w:rPr>
              <w:t>现状评价</w:t>
            </w:r>
          </w:p>
        </w:tc>
        <w:tc>
          <w:tcPr>
            <w:tcW w:w="2231" w:type="dxa"/>
            <w:gridSpan w:val="4"/>
            <w:vAlign w:val="center"/>
          </w:tcPr>
          <w:p>
            <w:pPr>
              <w:spacing w:line="240" w:lineRule="exact"/>
              <w:jc w:val="center"/>
              <w:rPr>
                <w:color w:val="auto"/>
              </w:rPr>
            </w:pPr>
            <w:r>
              <w:rPr>
                <w:color w:val="auto"/>
              </w:rPr>
              <w:t>达标区</w:t>
            </w:r>
            <w:r>
              <w:rPr>
                <w:color w:val="auto"/>
              </w:rPr>
              <w:sym w:font="Wingdings 2" w:char="00A3"/>
            </w:r>
          </w:p>
        </w:tc>
        <w:tc>
          <w:tcPr>
            <w:tcW w:w="4079" w:type="dxa"/>
            <w:gridSpan w:val="10"/>
            <w:vAlign w:val="center"/>
          </w:tcPr>
          <w:p>
            <w:pPr>
              <w:spacing w:line="240" w:lineRule="exact"/>
              <w:jc w:val="center"/>
              <w:rPr>
                <w:color w:val="auto"/>
              </w:rPr>
            </w:pPr>
            <w:r>
              <w:rPr>
                <w:color w:val="auto"/>
              </w:rPr>
              <w:t>不达标区</w:t>
            </w:r>
            <w:r>
              <w:rPr>
                <w:color w:val="auto"/>
              </w:rPr>
              <w:sym w:font="Wingdings 2" w:char="0052"/>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6" w:type="dxa"/>
            <w:vAlign w:val="center"/>
          </w:tcPr>
          <w:p>
            <w:pPr>
              <w:spacing w:line="240" w:lineRule="exact"/>
              <w:jc w:val="center"/>
              <w:rPr>
                <w:color w:val="auto"/>
              </w:rPr>
            </w:pPr>
            <w:r>
              <w:rPr>
                <w:color w:val="auto"/>
              </w:rPr>
              <w:t>污染源调查</w:t>
            </w:r>
          </w:p>
        </w:tc>
        <w:tc>
          <w:tcPr>
            <w:tcW w:w="1637" w:type="dxa"/>
            <w:vAlign w:val="center"/>
          </w:tcPr>
          <w:p>
            <w:pPr>
              <w:spacing w:line="240" w:lineRule="exact"/>
              <w:jc w:val="center"/>
              <w:rPr>
                <w:color w:val="auto"/>
              </w:rPr>
            </w:pPr>
            <w:r>
              <w:rPr>
                <w:color w:val="auto"/>
              </w:rPr>
              <w:t>调查内容</w:t>
            </w:r>
          </w:p>
        </w:tc>
        <w:tc>
          <w:tcPr>
            <w:tcW w:w="2231" w:type="dxa"/>
            <w:gridSpan w:val="4"/>
            <w:vAlign w:val="center"/>
          </w:tcPr>
          <w:p>
            <w:pPr>
              <w:spacing w:line="240" w:lineRule="exact"/>
              <w:jc w:val="center"/>
              <w:rPr>
                <w:color w:val="auto"/>
              </w:rPr>
            </w:pPr>
            <w:r>
              <w:rPr>
                <w:color w:val="auto"/>
              </w:rPr>
              <w:t>本项目正常排放源</w:t>
            </w:r>
            <w:r>
              <w:rPr>
                <w:color w:val="auto"/>
              </w:rPr>
              <w:sym w:font="Wingdings 2" w:char="F052"/>
            </w:r>
          </w:p>
          <w:p>
            <w:pPr>
              <w:spacing w:line="240" w:lineRule="exact"/>
              <w:jc w:val="center"/>
              <w:rPr>
                <w:color w:val="auto"/>
              </w:rPr>
            </w:pPr>
            <w:r>
              <w:rPr>
                <w:color w:val="auto"/>
              </w:rPr>
              <w:t>本项目非正常排放源</w:t>
            </w:r>
            <w:r>
              <w:rPr>
                <w:color w:val="auto"/>
              </w:rPr>
              <w:sym w:font="Wingdings 2" w:char="F052"/>
            </w:r>
          </w:p>
          <w:p>
            <w:pPr>
              <w:spacing w:line="240" w:lineRule="exact"/>
              <w:jc w:val="center"/>
              <w:rPr>
                <w:color w:val="auto"/>
              </w:rPr>
            </w:pPr>
            <w:r>
              <w:rPr>
                <w:color w:val="auto"/>
              </w:rPr>
              <w:t>现有污染源□</w:t>
            </w:r>
          </w:p>
        </w:tc>
        <w:tc>
          <w:tcPr>
            <w:tcW w:w="1488" w:type="dxa"/>
            <w:gridSpan w:val="4"/>
            <w:vAlign w:val="center"/>
          </w:tcPr>
          <w:p>
            <w:pPr>
              <w:spacing w:line="240" w:lineRule="exact"/>
              <w:jc w:val="center"/>
              <w:rPr>
                <w:color w:val="auto"/>
              </w:rPr>
            </w:pPr>
            <w:r>
              <w:rPr>
                <w:color w:val="auto"/>
              </w:rPr>
              <w:t>拟替代的污染源□</w:t>
            </w:r>
          </w:p>
        </w:tc>
        <w:tc>
          <w:tcPr>
            <w:tcW w:w="1636" w:type="dxa"/>
            <w:gridSpan w:val="4"/>
            <w:vAlign w:val="center"/>
          </w:tcPr>
          <w:p>
            <w:pPr>
              <w:spacing w:line="240" w:lineRule="exact"/>
              <w:jc w:val="center"/>
              <w:rPr>
                <w:color w:val="auto"/>
              </w:rPr>
            </w:pPr>
            <w:r>
              <w:rPr>
                <w:color w:val="auto"/>
              </w:rPr>
              <w:t>其他在建、拟建项目污染源□</w:t>
            </w:r>
          </w:p>
        </w:tc>
        <w:tc>
          <w:tcPr>
            <w:tcW w:w="955" w:type="dxa"/>
            <w:gridSpan w:val="2"/>
            <w:vAlign w:val="center"/>
          </w:tcPr>
          <w:p>
            <w:pPr>
              <w:spacing w:line="240" w:lineRule="exact"/>
              <w:jc w:val="center"/>
              <w:rPr>
                <w:color w:val="auto"/>
              </w:rPr>
            </w:pPr>
            <w:r>
              <w:rPr>
                <w:color w:val="auto"/>
              </w:rPr>
              <w:t>区域污染源□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6" w:type="dxa"/>
            <w:vMerge w:val="restart"/>
            <w:vAlign w:val="center"/>
          </w:tcPr>
          <w:p>
            <w:pPr>
              <w:spacing w:line="240" w:lineRule="exact"/>
              <w:jc w:val="center"/>
              <w:rPr>
                <w:color w:val="auto"/>
              </w:rPr>
            </w:pPr>
            <w:r>
              <w:rPr>
                <w:color w:val="auto"/>
              </w:rPr>
              <w:t>大气环境影响预测与评价</w:t>
            </w:r>
          </w:p>
        </w:tc>
        <w:tc>
          <w:tcPr>
            <w:tcW w:w="1637" w:type="dxa"/>
            <w:vAlign w:val="center"/>
          </w:tcPr>
          <w:p>
            <w:pPr>
              <w:spacing w:line="240" w:lineRule="exact"/>
              <w:jc w:val="center"/>
              <w:rPr>
                <w:color w:val="auto"/>
              </w:rPr>
            </w:pPr>
            <w:r>
              <w:rPr>
                <w:color w:val="auto"/>
              </w:rPr>
              <w:t>预测模型</w:t>
            </w:r>
          </w:p>
        </w:tc>
        <w:tc>
          <w:tcPr>
            <w:tcW w:w="1041" w:type="dxa"/>
            <w:vAlign w:val="center"/>
          </w:tcPr>
          <w:p>
            <w:pPr>
              <w:spacing w:line="240" w:lineRule="exact"/>
              <w:jc w:val="center"/>
              <w:rPr>
                <w:color w:val="auto"/>
              </w:rPr>
            </w:pPr>
            <w:r>
              <w:rPr>
                <w:color w:val="auto"/>
              </w:rPr>
              <w:t>AERMOD□</w:t>
            </w:r>
          </w:p>
        </w:tc>
        <w:tc>
          <w:tcPr>
            <w:tcW w:w="744" w:type="dxa"/>
            <w:gridSpan w:val="2"/>
            <w:vAlign w:val="center"/>
          </w:tcPr>
          <w:p>
            <w:pPr>
              <w:spacing w:line="240" w:lineRule="exact"/>
              <w:jc w:val="center"/>
              <w:rPr>
                <w:color w:val="auto"/>
              </w:rPr>
            </w:pPr>
            <w:r>
              <w:rPr>
                <w:color w:val="auto"/>
              </w:rPr>
              <w:t>ADMS□</w:t>
            </w:r>
          </w:p>
        </w:tc>
        <w:tc>
          <w:tcPr>
            <w:tcW w:w="1041" w:type="dxa"/>
            <w:gridSpan w:val="2"/>
            <w:vAlign w:val="center"/>
          </w:tcPr>
          <w:p>
            <w:pPr>
              <w:spacing w:line="240" w:lineRule="exact"/>
              <w:jc w:val="center"/>
              <w:rPr>
                <w:color w:val="auto"/>
              </w:rPr>
            </w:pPr>
            <w:r>
              <w:rPr>
                <w:color w:val="auto"/>
              </w:rPr>
              <w:t>AUSTAL2000□</w:t>
            </w:r>
          </w:p>
        </w:tc>
        <w:tc>
          <w:tcPr>
            <w:tcW w:w="893" w:type="dxa"/>
            <w:gridSpan w:val="3"/>
            <w:vAlign w:val="center"/>
          </w:tcPr>
          <w:p>
            <w:pPr>
              <w:spacing w:line="240" w:lineRule="exact"/>
              <w:jc w:val="center"/>
              <w:rPr>
                <w:color w:val="auto"/>
              </w:rPr>
            </w:pPr>
            <w:r>
              <w:rPr>
                <w:color w:val="auto"/>
              </w:rPr>
              <w:t>EDMS/AEDT□</w:t>
            </w:r>
          </w:p>
        </w:tc>
        <w:tc>
          <w:tcPr>
            <w:tcW w:w="892" w:type="dxa"/>
            <w:gridSpan w:val="3"/>
            <w:vAlign w:val="center"/>
          </w:tcPr>
          <w:p>
            <w:pPr>
              <w:spacing w:line="240" w:lineRule="exact"/>
              <w:jc w:val="center"/>
              <w:rPr>
                <w:color w:val="auto"/>
              </w:rPr>
            </w:pPr>
            <w:r>
              <w:rPr>
                <w:color w:val="auto"/>
              </w:rPr>
              <w:t>CALPUFF□</w:t>
            </w:r>
          </w:p>
        </w:tc>
        <w:tc>
          <w:tcPr>
            <w:tcW w:w="1042" w:type="dxa"/>
            <w:gridSpan w:val="2"/>
            <w:vAlign w:val="center"/>
          </w:tcPr>
          <w:p>
            <w:pPr>
              <w:spacing w:line="240" w:lineRule="exact"/>
              <w:jc w:val="center"/>
              <w:rPr>
                <w:color w:val="auto"/>
              </w:rPr>
            </w:pPr>
            <w:r>
              <w:rPr>
                <w:color w:val="auto"/>
              </w:rPr>
              <w:t>网络模型</w:t>
            </w:r>
            <w:r>
              <w:rPr>
                <w:color w:val="auto"/>
              </w:rPr>
              <w:sym w:font="Wingdings 2" w:char="00A3"/>
            </w:r>
          </w:p>
        </w:tc>
        <w:tc>
          <w:tcPr>
            <w:tcW w:w="657" w:type="dxa"/>
            <w:vAlign w:val="center"/>
          </w:tcPr>
          <w:p>
            <w:pPr>
              <w:spacing w:line="240" w:lineRule="exact"/>
              <w:jc w:val="center"/>
              <w:rPr>
                <w:color w:val="auto"/>
              </w:rPr>
            </w:pPr>
            <w:r>
              <w:rPr>
                <w:color w:val="auto"/>
              </w:rPr>
              <w:t>其他□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6" w:type="dxa"/>
            <w:vMerge w:val="continue"/>
            <w:vAlign w:val="center"/>
          </w:tcPr>
          <w:p>
            <w:pPr>
              <w:spacing w:line="240" w:lineRule="exact"/>
              <w:jc w:val="center"/>
              <w:rPr>
                <w:color w:val="auto"/>
              </w:rPr>
            </w:pPr>
          </w:p>
        </w:tc>
        <w:tc>
          <w:tcPr>
            <w:tcW w:w="1637" w:type="dxa"/>
            <w:vAlign w:val="center"/>
          </w:tcPr>
          <w:p>
            <w:pPr>
              <w:spacing w:line="240" w:lineRule="exact"/>
              <w:jc w:val="center"/>
              <w:rPr>
                <w:color w:val="auto"/>
              </w:rPr>
            </w:pPr>
            <w:r>
              <w:rPr>
                <w:color w:val="auto"/>
              </w:rPr>
              <w:t>预测范围</w:t>
            </w:r>
          </w:p>
        </w:tc>
        <w:tc>
          <w:tcPr>
            <w:tcW w:w="2231" w:type="dxa"/>
            <w:gridSpan w:val="4"/>
            <w:vAlign w:val="center"/>
          </w:tcPr>
          <w:p>
            <w:pPr>
              <w:spacing w:line="240" w:lineRule="exact"/>
              <w:jc w:val="center"/>
              <w:rPr>
                <w:color w:val="auto"/>
              </w:rPr>
            </w:pPr>
            <w:r>
              <w:rPr>
                <w:color w:val="auto"/>
              </w:rPr>
              <w:t>边长≥50km□</w:t>
            </w:r>
          </w:p>
        </w:tc>
        <w:tc>
          <w:tcPr>
            <w:tcW w:w="1488" w:type="dxa"/>
            <w:gridSpan w:val="4"/>
            <w:vAlign w:val="center"/>
          </w:tcPr>
          <w:p>
            <w:pPr>
              <w:spacing w:line="240" w:lineRule="exact"/>
              <w:jc w:val="center"/>
              <w:rPr>
                <w:color w:val="auto"/>
              </w:rPr>
            </w:pPr>
            <w:r>
              <w:rPr>
                <w:color w:val="auto"/>
              </w:rPr>
              <w:t>边长5-50km</w:t>
            </w:r>
            <w:r>
              <w:rPr>
                <w:color w:val="auto"/>
              </w:rPr>
              <w:sym w:font="Wingdings 2" w:char="00A3"/>
            </w:r>
          </w:p>
        </w:tc>
        <w:tc>
          <w:tcPr>
            <w:tcW w:w="2591" w:type="dxa"/>
            <w:gridSpan w:val="6"/>
            <w:vAlign w:val="center"/>
          </w:tcPr>
          <w:p>
            <w:pPr>
              <w:spacing w:line="240" w:lineRule="exact"/>
              <w:jc w:val="center"/>
              <w:rPr>
                <w:color w:val="auto"/>
              </w:rPr>
            </w:pPr>
            <w:r>
              <w:rPr>
                <w:color w:val="auto"/>
              </w:rPr>
              <w:t>边长=5km</w:t>
            </w:r>
            <w:r>
              <w:rPr>
                <w:color w:val="auto"/>
              </w:rPr>
              <w:sym w:font="Wingdings 2" w:char="00A3"/>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6" w:type="dxa"/>
            <w:vMerge w:val="continue"/>
            <w:vAlign w:val="center"/>
          </w:tcPr>
          <w:p>
            <w:pPr>
              <w:spacing w:line="240" w:lineRule="exact"/>
              <w:jc w:val="center"/>
              <w:rPr>
                <w:color w:val="auto"/>
              </w:rPr>
            </w:pPr>
          </w:p>
        </w:tc>
        <w:tc>
          <w:tcPr>
            <w:tcW w:w="1637" w:type="dxa"/>
            <w:vAlign w:val="center"/>
          </w:tcPr>
          <w:p>
            <w:pPr>
              <w:spacing w:line="240" w:lineRule="exact"/>
              <w:jc w:val="center"/>
              <w:rPr>
                <w:color w:val="auto"/>
              </w:rPr>
            </w:pPr>
            <w:r>
              <w:rPr>
                <w:color w:val="auto"/>
              </w:rPr>
              <w:t>预测因子</w:t>
            </w:r>
          </w:p>
        </w:tc>
        <w:tc>
          <w:tcPr>
            <w:tcW w:w="3719" w:type="dxa"/>
            <w:gridSpan w:val="8"/>
            <w:vAlign w:val="center"/>
          </w:tcPr>
          <w:p>
            <w:pPr>
              <w:spacing w:line="240" w:lineRule="exact"/>
              <w:jc w:val="center"/>
              <w:rPr>
                <w:color w:val="auto"/>
              </w:rPr>
            </w:pPr>
            <w:r>
              <w:rPr>
                <w:color w:val="auto"/>
              </w:rPr>
              <w:t>预测因子（）</w:t>
            </w:r>
          </w:p>
        </w:tc>
        <w:tc>
          <w:tcPr>
            <w:tcW w:w="2591" w:type="dxa"/>
            <w:gridSpan w:val="6"/>
            <w:vAlign w:val="center"/>
          </w:tcPr>
          <w:p>
            <w:pPr>
              <w:spacing w:line="240" w:lineRule="exact"/>
              <w:jc w:val="center"/>
              <w:rPr>
                <w:color w:val="auto"/>
              </w:rPr>
            </w:pPr>
            <w:r>
              <w:rPr>
                <w:color w:val="auto"/>
              </w:rPr>
              <w:t>包括二次PM2.5□</w:t>
            </w:r>
          </w:p>
          <w:p>
            <w:pPr>
              <w:spacing w:line="240" w:lineRule="exact"/>
              <w:jc w:val="center"/>
              <w:rPr>
                <w:color w:val="auto"/>
              </w:rPr>
            </w:pPr>
            <w:r>
              <w:rPr>
                <w:color w:val="auto"/>
              </w:rPr>
              <w:t>不包括二次PM2.5</w:t>
            </w:r>
            <w:r>
              <w:rPr>
                <w:color w:val="auto"/>
              </w:rPr>
              <w:sym w:font="Wingdings 2" w:char="00A3"/>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6" w:type="dxa"/>
            <w:vMerge w:val="continue"/>
            <w:vAlign w:val="center"/>
          </w:tcPr>
          <w:p>
            <w:pPr>
              <w:spacing w:line="240" w:lineRule="exact"/>
              <w:jc w:val="center"/>
              <w:rPr>
                <w:color w:val="auto"/>
              </w:rPr>
            </w:pPr>
          </w:p>
        </w:tc>
        <w:tc>
          <w:tcPr>
            <w:tcW w:w="1637" w:type="dxa"/>
            <w:vAlign w:val="center"/>
          </w:tcPr>
          <w:p>
            <w:pPr>
              <w:spacing w:line="240" w:lineRule="exact"/>
              <w:jc w:val="center"/>
              <w:rPr>
                <w:color w:val="auto"/>
              </w:rPr>
            </w:pPr>
            <w:r>
              <w:rPr>
                <w:color w:val="auto"/>
              </w:rPr>
              <w:t>正常排放短期浓度贡献值</w:t>
            </w:r>
          </w:p>
        </w:tc>
        <w:tc>
          <w:tcPr>
            <w:tcW w:w="3124" w:type="dxa"/>
            <w:gridSpan w:val="6"/>
            <w:vAlign w:val="center"/>
          </w:tcPr>
          <w:p>
            <w:pPr>
              <w:spacing w:line="240" w:lineRule="exact"/>
              <w:jc w:val="center"/>
              <w:rPr>
                <w:color w:val="auto"/>
              </w:rPr>
            </w:pPr>
            <w:r>
              <w:rPr>
                <w:color w:val="auto"/>
              </w:rPr>
              <w:t>C本项目最大占标率≤100%</w:t>
            </w:r>
            <w:r>
              <w:rPr>
                <w:color w:val="auto"/>
              </w:rPr>
              <w:sym w:font="Wingdings 2" w:char="00A3"/>
            </w:r>
          </w:p>
        </w:tc>
        <w:tc>
          <w:tcPr>
            <w:tcW w:w="3186" w:type="dxa"/>
            <w:gridSpan w:val="8"/>
            <w:vAlign w:val="center"/>
          </w:tcPr>
          <w:p>
            <w:pPr>
              <w:spacing w:line="240" w:lineRule="exact"/>
              <w:jc w:val="center"/>
              <w:rPr>
                <w:color w:val="auto"/>
              </w:rPr>
            </w:pPr>
            <w:r>
              <w:rPr>
                <w:color w:val="auto"/>
              </w:rPr>
              <w:t>C本项目最大占标率＞100%□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6" w:type="dxa"/>
            <w:vMerge w:val="continue"/>
            <w:vAlign w:val="center"/>
          </w:tcPr>
          <w:p>
            <w:pPr>
              <w:spacing w:line="240" w:lineRule="exact"/>
              <w:jc w:val="center"/>
              <w:rPr>
                <w:color w:val="auto"/>
              </w:rPr>
            </w:pPr>
          </w:p>
        </w:tc>
        <w:tc>
          <w:tcPr>
            <w:tcW w:w="1637" w:type="dxa"/>
            <w:vMerge w:val="restart"/>
            <w:vAlign w:val="center"/>
          </w:tcPr>
          <w:p>
            <w:pPr>
              <w:spacing w:line="240" w:lineRule="exact"/>
              <w:jc w:val="center"/>
              <w:rPr>
                <w:color w:val="auto"/>
              </w:rPr>
            </w:pPr>
            <w:r>
              <w:rPr>
                <w:color w:val="auto"/>
              </w:rPr>
              <w:t>正常排放年均浓度贡献值</w:t>
            </w:r>
          </w:p>
        </w:tc>
        <w:tc>
          <w:tcPr>
            <w:tcW w:w="1339" w:type="dxa"/>
            <w:gridSpan w:val="2"/>
            <w:vAlign w:val="center"/>
          </w:tcPr>
          <w:p>
            <w:pPr>
              <w:spacing w:line="240" w:lineRule="exact"/>
              <w:jc w:val="center"/>
              <w:rPr>
                <w:color w:val="auto"/>
              </w:rPr>
            </w:pPr>
            <w:r>
              <w:rPr>
                <w:color w:val="auto"/>
              </w:rPr>
              <w:t>一类区</w:t>
            </w:r>
          </w:p>
        </w:tc>
        <w:tc>
          <w:tcPr>
            <w:tcW w:w="2380" w:type="dxa"/>
            <w:gridSpan w:val="6"/>
            <w:vAlign w:val="center"/>
          </w:tcPr>
          <w:p>
            <w:pPr>
              <w:spacing w:line="240" w:lineRule="exact"/>
              <w:jc w:val="center"/>
              <w:rPr>
                <w:color w:val="auto"/>
              </w:rPr>
            </w:pPr>
            <w:r>
              <w:rPr>
                <w:color w:val="auto"/>
              </w:rPr>
              <w:t>C本项目最大占标率≤10%□</w:t>
            </w:r>
          </w:p>
        </w:tc>
        <w:tc>
          <w:tcPr>
            <w:tcW w:w="2591" w:type="dxa"/>
            <w:gridSpan w:val="6"/>
            <w:vAlign w:val="center"/>
          </w:tcPr>
          <w:p>
            <w:pPr>
              <w:spacing w:line="240" w:lineRule="exact"/>
              <w:jc w:val="center"/>
              <w:rPr>
                <w:color w:val="auto"/>
              </w:rPr>
            </w:pPr>
            <w:r>
              <w:rPr>
                <w:color w:val="auto"/>
              </w:rPr>
              <w:t>C本项目最大占标率＞10%□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6" w:type="dxa"/>
            <w:vMerge w:val="continue"/>
            <w:vAlign w:val="center"/>
          </w:tcPr>
          <w:p>
            <w:pPr>
              <w:spacing w:line="240" w:lineRule="exact"/>
              <w:jc w:val="center"/>
              <w:rPr>
                <w:color w:val="auto"/>
              </w:rPr>
            </w:pPr>
          </w:p>
        </w:tc>
        <w:tc>
          <w:tcPr>
            <w:tcW w:w="1637" w:type="dxa"/>
            <w:vMerge w:val="continue"/>
            <w:vAlign w:val="center"/>
          </w:tcPr>
          <w:p>
            <w:pPr>
              <w:spacing w:line="240" w:lineRule="exact"/>
              <w:jc w:val="center"/>
              <w:rPr>
                <w:color w:val="auto"/>
              </w:rPr>
            </w:pPr>
          </w:p>
        </w:tc>
        <w:tc>
          <w:tcPr>
            <w:tcW w:w="1339" w:type="dxa"/>
            <w:gridSpan w:val="2"/>
            <w:vAlign w:val="center"/>
          </w:tcPr>
          <w:p>
            <w:pPr>
              <w:spacing w:line="240" w:lineRule="exact"/>
              <w:jc w:val="center"/>
              <w:rPr>
                <w:color w:val="auto"/>
              </w:rPr>
            </w:pPr>
            <w:r>
              <w:rPr>
                <w:color w:val="auto"/>
              </w:rPr>
              <w:t>二类区</w:t>
            </w:r>
          </w:p>
        </w:tc>
        <w:tc>
          <w:tcPr>
            <w:tcW w:w="2380" w:type="dxa"/>
            <w:gridSpan w:val="6"/>
            <w:vAlign w:val="center"/>
          </w:tcPr>
          <w:p>
            <w:pPr>
              <w:spacing w:line="240" w:lineRule="exact"/>
              <w:jc w:val="center"/>
              <w:rPr>
                <w:color w:val="auto"/>
              </w:rPr>
            </w:pPr>
            <w:r>
              <w:rPr>
                <w:color w:val="auto"/>
              </w:rPr>
              <w:t>C本项目最大占标率≤30%</w:t>
            </w:r>
            <w:r>
              <w:rPr>
                <w:color w:val="auto"/>
              </w:rPr>
              <w:sym w:font="Wingdings 2" w:char="00A3"/>
            </w:r>
          </w:p>
        </w:tc>
        <w:tc>
          <w:tcPr>
            <w:tcW w:w="2591" w:type="dxa"/>
            <w:gridSpan w:val="6"/>
            <w:vAlign w:val="center"/>
          </w:tcPr>
          <w:p>
            <w:pPr>
              <w:spacing w:line="240" w:lineRule="exact"/>
              <w:jc w:val="center"/>
              <w:rPr>
                <w:color w:val="auto"/>
              </w:rPr>
            </w:pPr>
            <w:r>
              <w:rPr>
                <w:color w:val="auto"/>
              </w:rPr>
              <w:t>C本项目最大占标率＞30%□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6" w:type="dxa"/>
            <w:vMerge w:val="continue"/>
            <w:vAlign w:val="center"/>
          </w:tcPr>
          <w:p>
            <w:pPr>
              <w:spacing w:line="240" w:lineRule="exact"/>
              <w:jc w:val="center"/>
              <w:rPr>
                <w:color w:val="auto"/>
              </w:rPr>
            </w:pPr>
          </w:p>
        </w:tc>
        <w:tc>
          <w:tcPr>
            <w:tcW w:w="1637" w:type="dxa"/>
            <w:vAlign w:val="center"/>
          </w:tcPr>
          <w:p>
            <w:pPr>
              <w:spacing w:line="240" w:lineRule="exact"/>
              <w:jc w:val="center"/>
              <w:rPr>
                <w:color w:val="auto"/>
              </w:rPr>
            </w:pPr>
            <w:r>
              <w:rPr>
                <w:color w:val="auto"/>
              </w:rPr>
              <w:t>非正常排放1h浓度贡献值</w:t>
            </w:r>
          </w:p>
        </w:tc>
        <w:tc>
          <w:tcPr>
            <w:tcW w:w="2231" w:type="dxa"/>
            <w:gridSpan w:val="4"/>
            <w:vAlign w:val="center"/>
          </w:tcPr>
          <w:p>
            <w:pPr>
              <w:spacing w:line="240" w:lineRule="exact"/>
              <w:jc w:val="center"/>
              <w:rPr>
                <w:color w:val="auto"/>
              </w:rPr>
            </w:pPr>
            <w:r>
              <w:rPr>
                <w:color w:val="auto"/>
              </w:rPr>
              <w:t>非正常持续时间（0.5）h</w:t>
            </w:r>
          </w:p>
        </w:tc>
        <w:tc>
          <w:tcPr>
            <w:tcW w:w="2083" w:type="dxa"/>
            <w:gridSpan w:val="5"/>
            <w:vAlign w:val="center"/>
          </w:tcPr>
          <w:p>
            <w:pPr>
              <w:spacing w:line="240" w:lineRule="exact"/>
              <w:jc w:val="center"/>
              <w:rPr>
                <w:color w:val="auto"/>
              </w:rPr>
            </w:pPr>
            <w:r>
              <w:rPr>
                <w:color w:val="auto"/>
              </w:rPr>
              <w:t>C非正常占标率≤100%</w:t>
            </w:r>
            <w:r>
              <w:rPr>
                <w:color w:val="auto"/>
              </w:rPr>
              <w:sym w:font="Wingdings 2" w:char="00A3"/>
            </w:r>
          </w:p>
        </w:tc>
        <w:tc>
          <w:tcPr>
            <w:tcW w:w="1996" w:type="dxa"/>
            <w:gridSpan w:val="5"/>
            <w:vAlign w:val="center"/>
          </w:tcPr>
          <w:p>
            <w:pPr>
              <w:spacing w:line="240" w:lineRule="exact"/>
              <w:jc w:val="center"/>
              <w:rPr>
                <w:color w:val="auto"/>
              </w:rPr>
            </w:pPr>
            <w:r>
              <w:rPr>
                <w:color w:val="auto"/>
              </w:rPr>
              <w:t>C非正常占标率＞100%□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6" w:type="dxa"/>
            <w:vMerge w:val="continue"/>
            <w:vAlign w:val="center"/>
          </w:tcPr>
          <w:p>
            <w:pPr>
              <w:spacing w:line="240" w:lineRule="exact"/>
              <w:jc w:val="center"/>
              <w:rPr>
                <w:color w:val="auto"/>
              </w:rPr>
            </w:pPr>
          </w:p>
        </w:tc>
        <w:tc>
          <w:tcPr>
            <w:tcW w:w="1637" w:type="dxa"/>
            <w:vAlign w:val="center"/>
          </w:tcPr>
          <w:p>
            <w:pPr>
              <w:spacing w:line="240" w:lineRule="exact"/>
              <w:jc w:val="center"/>
              <w:rPr>
                <w:color w:val="auto"/>
              </w:rPr>
            </w:pPr>
            <w:r>
              <w:rPr>
                <w:color w:val="auto"/>
              </w:rPr>
              <w:t>保证率日平均浓度和年平均浓度叠加值</w:t>
            </w:r>
          </w:p>
        </w:tc>
        <w:tc>
          <w:tcPr>
            <w:tcW w:w="2231" w:type="dxa"/>
            <w:gridSpan w:val="4"/>
            <w:vAlign w:val="center"/>
          </w:tcPr>
          <w:p>
            <w:pPr>
              <w:spacing w:line="240" w:lineRule="exact"/>
              <w:jc w:val="center"/>
              <w:rPr>
                <w:color w:val="auto"/>
              </w:rPr>
            </w:pPr>
            <w:r>
              <w:rPr>
                <w:color w:val="auto"/>
              </w:rPr>
              <w:t>C叠加达标□</w:t>
            </w:r>
          </w:p>
        </w:tc>
        <w:tc>
          <w:tcPr>
            <w:tcW w:w="4079" w:type="dxa"/>
            <w:gridSpan w:val="10"/>
            <w:vAlign w:val="center"/>
          </w:tcPr>
          <w:p>
            <w:pPr>
              <w:spacing w:line="240" w:lineRule="exact"/>
              <w:jc w:val="center"/>
              <w:rPr>
                <w:color w:val="auto"/>
              </w:rPr>
            </w:pPr>
            <w:r>
              <w:rPr>
                <w:color w:val="auto"/>
              </w:rPr>
              <w:t>C叠加不达标□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6" w:type="dxa"/>
            <w:vMerge w:val="continue"/>
            <w:vAlign w:val="center"/>
          </w:tcPr>
          <w:p>
            <w:pPr>
              <w:spacing w:line="240" w:lineRule="exact"/>
              <w:jc w:val="center"/>
              <w:rPr>
                <w:color w:val="auto"/>
              </w:rPr>
            </w:pPr>
          </w:p>
        </w:tc>
        <w:tc>
          <w:tcPr>
            <w:tcW w:w="1637" w:type="dxa"/>
            <w:vAlign w:val="center"/>
          </w:tcPr>
          <w:p>
            <w:pPr>
              <w:spacing w:line="240" w:lineRule="exact"/>
              <w:jc w:val="center"/>
              <w:rPr>
                <w:color w:val="auto"/>
              </w:rPr>
            </w:pPr>
            <w:r>
              <w:rPr>
                <w:color w:val="auto"/>
              </w:rPr>
              <w:t>区域环境质量的整体变化情况</w:t>
            </w:r>
          </w:p>
        </w:tc>
        <w:tc>
          <w:tcPr>
            <w:tcW w:w="2231" w:type="dxa"/>
            <w:gridSpan w:val="4"/>
            <w:vAlign w:val="center"/>
          </w:tcPr>
          <w:p>
            <w:pPr>
              <w:spacing w:line="240" w:lineRule="exact"/>
              <w:jc w:val="center"/>
              <w:rPr>
                <w:color w:val="auto"/>
              </w:rPr>
            </w:pPr>
            <w:r>
              <w:rPr>
                <w:color w:val="auto"/>
              </w:rPr>
              <w:t>k≤-20%□</w:t>
            </w:r>
          </w:p>
        </w:tc>
        <w:tc>
          <w:tcPr>
            <w:tcW w:w="4079" w:type="dxa"/>
            <w:gridSpan w:val="10"/>
            <w:vAlign w:val="center"/>
          </w:tcPr>
          <w:p>
            <w:pPr>
              <w:spacing w:line="240" w:lineRule="exact"/>
              <w:jc w:val="center"/>
              <w:rPr>
                <w:color w:val="auto"/>
              </w:rPr>
            </w:pPr>
            <w:r>
              <w:rPr>
                <w:color w:val="auto"/>
              </w:rPr>
              <w:t>k＞-20%□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6" w:type="dxa"/>
            <w:vMerge w:val="restart"/>
            <w:vAlign w:val="center"/>
          </w:tcPr>
          <w:p>
            <w:pPr>
              <w:spacing w:line="240" w:lineRule="exact"/>
              <w:jc w:val="center"/>
              <w:rPr>
                <w:color w:val="auto"/>
              </w:rPr>
            </w:pPr>
            <w:r>
              <w:rPr>
                <w:color w:val="auto"/>
              </w:rPr>
              <w:t>环境监测计划</w:t>
            </w:r>
          </w:p>
        </w:tc>
        <w:tc>
          <w:tcPr>
            <w:tcW w:w="1637" w:type="dxa"/>
            <w:vAlign w:val="center"/>
          </w:tcPr>
          <w:p>
            <w:pPr>
              <w:spacing w:line="240" w:lineRule="exact"/>
              <w:jc w:val="center"/>
              <w:rPr>
                <w:color w:val="auto"/>
              </w:rPr>
            </w:pPr>
            <w:r>
              <w:rPr>
                <w:color w:val="auto"/>
              </w:rPr>
              <w:t>污染源监测</w:t>
            </w:r>
          </w:p>
        </w:tc>
        <w:tc>
          <w:tcPr>
            <w:tcW w:w="2231" w:type="dxa"/>
            <w:gridSpan w:val="4"/>
            <w:vAlign w:val="center"/>
          </w:tcPr>
          <w:p>
            <w:pPr>
              <w:spacing w:line="240" w:lineRule="exact"/>
              <w:jc w:val="center"/>
              <w:rPr>
                <w:color w:val="auto"/>
              </w:rPr>
            </w:pPr>
            <w:r>
              <w:rPr>
                <w:color w:val="auto"/>
              </w:rPr>
              <w:t>监测因子：（非甲烷总烃、颗粒物、H</w:t>
            </w:r>
            <w:r>
              <w:rPr>
                <w:color w:val="auto"/>
                <w:vertAlign w:val="subscript"/>
              </w:rPr>
              <w:t>2</w:t>
            </w:r>
            <w:r>
              <w:rPr>
                <w:color w:val="auto"/>
              </w:rPr>
              <w:t>S）</w:t>
            </w:r>
          </w:p>
        </w:tc>
        <w:tc>
          <w:tcPr>
            <w:tcW w:w="2380" w:type="dxa"/>
            <w:gridSpan w:val="7"/>
            <w:vAlign w:val="center"/>
          </w:tcPr>
          <w:p>
            <w:pPr>
              <w:spacing w:line="240" w:lineRule="exact"/>
              <w:jc w:val="center"/>
              <w:rPr>
                <w:color w:val="auto"/>
              </w:rPr>
            </w:pPr>
            <w:r>
              <w:rPr>
                <w:color w:val="auto"/>
              </w:rPr>
              <w:t>有组织废气监测</w:t>
            </w:r>
            <w:r>
              <w:rPr>
                <w:color w:val="auto"/>
              </w:rPr>
              <w:sym w:font="Wingdings 2" w:char="F052"/>
            </w:r>
          </w:p>
          <w:p>
            <w:pPr>
              <w:spacing w:line="240" w:lineRule="exact"/>
              <w:jc w:val="center"/>
              <w:rPr>
                <w:color w:val="auto"/>
              </w:rPr>
            </w:pPr>
            <w:r>
              <w:rPr>
                <w:color w:val="auto"/>
              </w:rPr>
              <w:t>无组织废气监测</w:t>
            </w:r>
            <w:r>
              <w:rPr>
                <w:color w:val="auto"/>
              </w:rPr>
              <w:sym w:font="Wingdings 2" w:char="F052"/>
            </w:r>
          </w:p>
        </w:tc>
        <w:tc>
          <w:tcPr>
            <w:tcW w:w="1699" w:type="dxa"/>
            <w:gridSpan w:val="3"/>
            <w:vAlign w:val="center"/>
          </w:tcPr>
          <w:p>
            <w:pPr>
              <w:spacing w:line="240" w:lineRule="exact"/>
              <w:jc w:val="center"/>
              <w:rPr>
                <w:color w:val="auto"/>
              </w:rPr>
            </w:pPr>
            <w:r>
              <w:rPr>
                <w:color w:val="auto"/>
              </w:rPr>
              <w:t>无监测□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6" w:type="dxa"/>
            <w:vMerge w:val="continue"/>
            <w:vAlign w:val="center"/>
          </w:tcPr>
          <w:p>
            <w:pPr>
              <w:spacing w:line="240" w:lineRule="exact"/>
              <w:jc w:val="center"/>
              <w:rPr>
                <w:color w:val="auto"/>
              </w:rPr>
            </w:pPr>
          </w:p>
        </w:tc>
        <w:tc>
          <w:tcPr>
            <w:tcW w:w="1637" w:type="dxa"/>
            <w:vAlign w:val="center"/>
          </w:tcPr>
          <w:p>
            <w:pPr>
              <w:spacing w:line="240" w:lineRule="exact"/>
              <w:jc w:val="center"/>
              <w:rPr>
                <w:color w:val="auto"/>
              </w:rPr>
            </w:pPr>
            <w:r>
              <w:rPr>
                <w:color w:val="auto"/>
              </w:rPr>
              <w:t>环境质量监测</w:t>
            </w:r>
          </w:p>
        </w:tc>
        <w:tc>
          <w:tcPr>
            <w:tcW w:w="2231" w:type="dxa"/>
            <w:gridSpan w:val="4"/>
            <w:vAlign w:val="center"/>
          </w:tcPr>
          <w:p>
            <w:pPr>
              <w:spacing w:line="240" w:lineRule="exact"/>
              <w:jc w:val="center"/>
              <w:rPr>
                <w:color w:val="auto"/>
              </w:rPr>
            </w:pPr>
            <w:r>
              <w:rPr>
                <w:color w:val="auto"/>
              </w:rPr>
              <w:t>监测因子：（）</w:t>
            </w:r>
          </w:p>
        </w:tc>
        <w:tc>
          <w:tcPr>
            <w:tcW w:w="1488" w:type="dxa"/>
            <w:gridSpan w:val="4"/>
            <w:vAlign w:val="center"/>
          </w:tcPr>
          <w:p>
            <w:pPr>
              <w:spacing w:line="240" w:lineRule="exact"/>
              <w:jc w:val="center"/>
              <w:rPr>
                <w:color w:val="auto"/>
              </w:rPr>
            </w:pPr>
            <w:r>
              <w:rPr>
                <w:color w:val="auto"/>
              </w:rPr>
              <w:t>监测点位数（）</w:t>
            </w:r>
          </w:p>
        </w:tc>
        <w:tc>
          <w:tcPr>
            <w:tcW w:w="2591" w:type="dxa"/>
            <w:gridSpan w:val="6"/>
            <w:vAlign w:val="center"/>
          </w:tcPr>
          <w:p>
            <w:pPr>
              <w:spacing w:line="240" w:lineRule="exact"/>
              <w:jc w:val="center"/>
              <w:rPr>
                <w:color w:val="auto"/>
              </w:rPr>
            </w:pPr>
            <w:r>
              <w:rPr>
                <w:color w:val="auto"/>
              </w:rPr>
              <w:t>无监测□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6" w:type="dxa"/>
            <w:vMerge w:val="restart"/>
            <w:vAlign w:val="center"/>
          </w:tcPr>
          <w:p>
            <w:pPr>
              <w:spacing w:line="240" w:lineRule="exact"/>
              <w:jc w:val="center"/>
              <w:rPr>
                <w:color w:val="auto"/>
              </w:rPr>
            </w:pPr>
            <w:r>
              <w:rPr>
                <w:color w:val="auto"/>
              </w:rPr>
              <w:t>评价结论</w:t>
            </w:r>
          </w:p>
        </w:tc>
        <w:tc>
          <w:tcPr>
            <w:tcW w:w="1637" w:type="dxa"/>
            <w:vAlign w:val="center"/>
          </w:tcPr>
          <w:p>
            <w:pPr>
              <w:spacing w:line="240" w:lineRule="exact"/>
              <w:jc w:val="center"/>
              <w:rPr>
                <w:color w:val="auto"/>
              </w:rPr>
            </w:pPr>
            <w:r>
              <w:rPr>
                <w:color w:val="auto"/>
              </w:rPr>
              <w:t>环境影响</w:t>
            </w:r>
          </w:p>
        </w:tc>
        <w:tc>
          <w:tcPr>
            <w:tcW w:w="6310" w:type="dxa"/>
            <w:gridSpan w:val="14"/>
            <w:vAlign w:val="center"/>
          </w:tcPr>
          <w:p>
            <w:pPr>
              <w:spacing w:line="240" w:lineRule="exact"/>
              <w:jc w:val="center"/>
              <w:rPr>
                <w:color w:val="auto"/>
              </w:rPr>
            </w:pPr>
            <w:r>
              <w:rPr>
                <w:color w:val="auto"/>
              </w:rPr>
              <w:t>可以接受</w:t>
            </w:r>
            <w:r>
              <w:rPr>
                <w:color w:val="auto"/>
              </w:rPr>
              <w:sym w:font="Wingdings 2" w:char="F052"/>
            </w:r>
            <w:r>
              <w:rPr>
                <w:color w:val="auto"/>
              </w:rPr>
              <w:t xml:space="preserve">   不可以接受□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6" w:type="dxa"/>
            <w:vMerge w:val="continue"/>
            <w:vAlign w:val="center"/>
          </w:tcPr>
          <w:p>
            <w:pPr>
              <w:spacing w:line="240" w:lineRule="exact"/>
              <w:jc w:val="center"/>
              <w:rPr>
                <w:color w:val="auto"/>
              </w:rPr>
            </w:pPr>
          </w:p>
        </w:tc>
        <w:tc>
          <w:tcPr>
            <w:tcW w:w="1637" w:type="dxa"/>
            <w:vAlign w:val="center"/>
          </w:tcPr>
          <w:p>
            <w:pPr>
              <w:spacing w:line="240" w:lineRule="exact"/>
              <w:jc w:val="center"/>
              <w:rPr>
                <w:color w:val="auto"/>
              </w:rPr>
            </w:pPr>
            <w:r>
              <w:rPr>
                <w:color w:val="auto"/>
              </w:rPr>
              <w:t>大气环境防护距离</w:t>
            </w:r>
          </w:p>
        </w:tc>
        <w:tc>
          <w:tcPr>
            <w:tcW w:w="6310" w:type="dxa"/>
            <w:gridSpan w:val="14"/>
            <w:vAlign w:val="center"/>
          </w:tcPr>
          <w:p>
            <w:pPr>
              <w:spacing w:line="240" w:lineRule="exact"/>
              <w:jc w:val="center"/>
              <w:rPr>
                <w:color w:val="auto"/>
              </w:rPr>
            </w:pPr>
            <w:r>
              <w:rPr>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6" w:type="dxa"/>
            <w:vMerge w:val="continue"/>
            <w:vAlign w:val="center"/>
          </w:tcPr>
          <w:p>
            <w:pPr>
              <w:spacing w:line="240" w:lineRule="exact"/>
              <w:jc w:val="center"/>
              <w:rPr>
                <w:color w:val="auto"/>
              </w:rPr>
            </w:pPr>
          </w:p>
        </w:tc>
        <w:tc>
          <w:tcPr>
            <w:tcW w:w="1637" w:type="dxa"/>
            <w:vAlign w:val="center"/>
          </w:tcPr>
          <w:p>
            <w:pPr>
              <w:spacing w:line="240" w:lineRule="exact"/>
              <w:jc w:val="center"/>
              <w:rPr>
                <w:color w:val="auto"/>
              </w:rPr>
            </w:pPr>
            <w:r>
              <w:rPr>
                <w:color w:val="auto"/>
              </w:rPr>
              <w:t>污染物年排放量</w:t>
            </w:r>
          </w:p>
        </w:tc>
        <w:tc>
          <w:tcPr>
            <w:tcW w:w="1339" w:type="dxa"/>
            <w:gridSpan w:val="2"/>
            <w:vAlign w:val="center"/>
          </w:tcPr>
          <w:p>
            <w:pPr>
              <w:spacing w:line="240" w:lineRule="exact"/>
              <w:jc w:val="center"/>
              <w:rPr>
                <w:color w:val="auto"/>
              </w:rPr>
            </w:pPr>
            <w:r>
              <w:rPr>
                <w:color w:val="auto"/>
              </w:rPr>
              <w:t>SO2：（</w:t>
            </w:r>
            <w:r>
              <w:rPr>
                <w:rFonts w:hint="eastAsia"/>
                <w:color w:val="auto"/>
              </w:rPr>
              <w:t>0</w:t>
            </w:r>
            <w:r>
              <w:rPr>
                <w:color w:val="auto"/>
              </w:rPr>
              <w:t>）t/a</w:t>
            </w:r>
          </w:p>
        </w:tc>
        <w:tc>
          <w:tcPr>
            <w:tcW w:w="1487" w:type="dxa"/>
            <w:gridSpan w:val="3"/>
            <w:vAlign w:val="center"/>
          </w:tcPr>
          <w:p>
            <w:pPr>
              <w:spacing w:line="240" w:lineRule="exact"/>
              <w:jc w:val="center"/>
              <w:rPr>
                <w:color w:val="auto"/>
              </w:rPr>
            </w:pPr>
            <w:r>
              <w:rPr>
                <w:color w:val="auto"/>
              </w:rPr>
              <w:t>NOX:（</w:t>
            </w:r>
            <w:r>
              <w:rPr>
                <w:rFonts w:hint="eastAsia"/>
                <w:color w:val="auto"/>
              </w:rPr>
              <w:t>0</w:t>
            </w:r>
            <w:r>
              <w:rPr>
                <w:color w:val="auto"/>
              </w:rPr>
              <w:t>）t/a</w:t>
            </w:r>
          </w:p>
        </w:tc>
        <w:tc>
          <w:tcPr>
            <w:tcW w:w="1637" w:type="dxa"/>
            <w:gridSpan w:val="5"/>
            <w:vAlign w:val="center"/>
          </w:tcPr>
          <w:p>
            <w:pPr>
              <w:spacing w:line="240" w:lineRule="exact"/>
              <w:jc w:val="center"/>
              <w:rPr>
                <w:color w:val="auto"/>
              </w:rPr>
            </w:pPr>
            <w:r>
              <w:rPr>
                <w:color w:val="auto"/>
              </w:rPr>
              <w:t>颗粒物：（0</w:t>
            </w:r>
            <w:r>
              <w:rPr>
                <w:rFonts w:hint="eastAsia"/>
                <w:color w:val="auto"/>
                <w:lang w:val="en-US" w:eastAsia="zh-CN"/>
              </w:rPr>
              <w:t>.0063</w:t>
            </w:r>
            <w:r>
              <w:rPr>
                <w:color w:val="auto"/>
              </w:rPr>
              <w:t>）t/a</w:t>
            </w:r>
          </w:p>
        </w:tc>
        <w:tc>
          <w:tcPr>
            <w:tcW w:w="1847" w:type="dxa"/>
            <w:gridSpan w:val="4"/>
            <w:vAlign w:val="center"/>
          </w:tcPr>
          <w:p>
            <w:pPr>
              <w:spacing w:line="240" w:lineRule="exact"/>
              <w:jc w:val="center"/>
              <w:rPr>
                <w:color w:val="auto"/>
              </w:rPr>
            </w:pPr>
            <w:r>
              <w:rPr>
                <w:color w:val="auto"/>
              </w:rPr>
              <w:t>VOCs：</w:t>
            </w:r>
          </w:p>
          <w:p>
            <w:pPr>
              <w:spacing w:line="240" w:lineRule="exact"/>
              <w:jc w:val="center"/>
              <w:rPr>
                <w:color w:val="auto"/>
              </w:rPr>
            </w:pPr>
            <w:r>
              <w:rPr>
                <w:color w:val="auto"/>
              </w:rPr>
              <w:t>（0.</w:t>
            </w:r>
            <w:r>
              <w:rPr>
                <w:rFonts w:hint="eastAsia"/>
                <w:color w:val="auto"/>
                <w:lang w:val="en-US" w:eastAsia="zh-CN"/>
              </w:rPr>
              <w:t>197</w:t>
            </w:r>
            <w:r>
              <w:rPr>
                <w:color w:val="auto"/>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53" w:type="dxa"/>
            <w:gridSpan w:val="16"/>
            <w:vAlign w:val="center"/>
          </w:tcPr>
          <w:p>
            <w:pPr>
              <w:spacing w:line="240" w:lineRule="exact"/>
              <w:jc w:val="center"/>
              <w:rPr>
                <w:color w:val="auto"/>
              </w:rPr>
            </w:pPr>
            <w:r>
              <w:rPr>
                <w:color w:val="auto"/>
              </w:rPr>
              <w:t>注：“□”为勾选项，填“√”；“（）”为内容填写</w:t>
            </w:r>
          </w:p>
        </w:tc>
      </w:tr>
    </w:tbl>
    <w:p>
      <w:pPr>
        <w:pStyle w:val="31"/>
        <w:spacing w:line="520" w:lineRule="exact"/>
        <w:rPr>
          <w:rFonts w:ascii="Times New Roman" w:hAnsi="Times New Roman"/>
          <w:b/>
          <w:bCs/>
          <w:color w:val="auto"/>
          <w:sz w:val="24"/>
        </w:rPr>
      </w:pPr>
      <w:r>
        <w:rPr>
          <w:rFonts w:hint="eastAsia" w:ascii="Times New Roman" w:hAnsi="Times New Roman"/>
          <w:b/>
          <w:bCs/>
          <w:color w:val="auto"/>
          <w:sz w:val="24"/>
          <w:lang w:eastAsia="zh-CN"/>
        </w:rPr>
        <w:t>（</w:t>
      </w:r>
      <w:r>
        <w:rPr>
          <w:rFonts w:hint="eastAsia" w:ascii="Times New Roman" w:hAnsi="Times New Roman"/>
          <w:b/>
          <w:bCs/>
          <w:color w:val="auto"/>
          <w:sz w:val="24"/>
          <w:lang w:val="en-US" w:eastAsia="zh-CN"/>
        </w:rPr>
        <w:t>5</w:t>
      </w:r>
      <w:r>
        <w:rPr>
          <w:rFonts w:hint="eastAsia" w:ascii="Times New Roman" w:hAnsi="Times New Roman"/>
          <w:b/>
          <w:bCs/>
          <w:color w:val="auto"/>
          <w:sz w:val="24"/>
          <w:lang w:eastAsia="zh-CN"/>
        </w:rPr>
        <w:t>）环境</w:t>
      </w:r>
      <w:r>
        <w:rPr>
          <w:rFonts w:ascii="Times New Roman" w:hAnsi="Times New Roman"/>
          <w:b/>
          <w:bCs/>
          <w:color w:val="auto"/>
          <w:sz w:val="24"/>
        </w:rPr>
        <w:t>防护距离：</w:t>
      </w:r>
    </w:p>
    <w:p>
      <w:pPr>
        <w:spacing w:line="520" w:lineRule="exact"/>
        <w:ind w:firstLine="480" w:firstLineChars="200"/>
        <w:rPr>
          <w:color w:val="auto"/>
          <w:sz w:val="24"/>
        </w:rPr>
      </w:pPr>
      <w:r>
        <w:rPr>
          <w:color w:val="auto"/>
          <w:sz w:val="24"/>
        </w:rPr>
        <w:t>大气环境防护距离</w:t>
      </w:r>
    </w:p>
    <w:p>
      <w:pPr>
        <w:adjustRightInd w:val="0"/>
        <w:snapToGrid w:val="0"/>
        <w:spacing w:line="360" w:lineRule="auto"/>
        <w:ind w:firstLine="480" w:firstLineChars="200"/>
        <w:rPr>
          <w:color w:val="auto"/>
          <w:sz w:val="24"/>
        </w:rPr>
      </w:pPr>
      <w:r>
        <w:rPr>
          <w:color w:val="auto"/>
          <w:sz w:val="24"/>
        </w:rPr>
        <w:t>预测结果显示，本项目大气污染物厂界外浓度贡献值均满足环境质量浓度限值， 无超标点，根据《环境影响评价技术导则 大气环境》（HJ2.2-2018）要求，无需设置大气环境防护距离。</w:t>
      </w:r>
    </w:p>
    <w:p>
      <w:pPr>
        <w:adjustRightInd w:val="0"/>
        <w:snapToGrid w:val="0"/>
        <w:spacing w:line="360" w:lineRule="auto"/>
        <w:ind w:firstLine="480" w:firstLineChars="200"/>
        <w:rPr>
          <w:color w:val="auto"/>
          <w:sz w:val="24"/>
        </w:rPr>
      </w:pPr>
      <w:r>
        <w:rPr>
          <w:color w:val="auto"/>
          <w:sz w:val="24"/>
        </w:rPr>
        <w:t>综上所述，本项目运营期产生的废气经采取合理措施后，对周围空气环境质量影响较小。</w:t>
      </w:r>
    </w:p>
    <w:p>
      <w:pPr>
        <w:adjustRightInd w:val="0"/>
        <w:snapToGrid w:val="0"/>
        <w:spacing w:line="360" w:lineRule="auto"/>
        <w:rPr>
          <w:b/>
          <w:bCs/>
          <w:color w:val="auto"/>
          <w:sz w:val="24"/>
        </w:rPr>
      </w:pPr>
      <w:r>
        <w:rPr>
          <w:b/>
          <w:bCs/>
          <w:color w:val="auto"/>
          <w:sz w:val="24"/>
        </w:rPr>
        <w:t>（</w:t>
      </w:r>
      <w:r>
        <w:rPr>
          <w:rFonts w:hint="eastAsia"/>
          <w:b/>
          <w:bCs/>
          <w:color w:val="auto"/>
          <w:sz w:val="24"/>
          <w:lang w:val="en-US" w:eastAsia="zh-CN"/>
        </w:rPr>
        <w:t>6</w:t>
      </w:r>
      <w:r>
        <w:rPr>
          <w:b/>
          <w:bCs/>
          <w:color w:val="auto"/>
          <w:sz w:val="24"/>
        </w:rPr>
        <w:t>）大气环境影响评价结论</w:t>
      </w:r>
    </w:p>
    <w:p>
      <w:pPr>
        <w:adjustRightInd w:val="0"/>
        <w:snapToGrid w:val="0"/>
        <w:spacing w:line="360" w:lineRule="auto"/>
        <w:ind w:firstLine="480" w:firstLineChars="200"/>
        <w:rPr>
          <w:rFonts w:eastAsia="长城中隶体"/>
          <w:color w:val="auto"/>
          <w:sz w:val="24"/>
        </w:rPr>
      </w:pPr>
      <w:r>
        <w:rPr>
          <w:color w:val="auto"/>
          <w:sz w:val="24"/>
        </w:rPr>
        <w:t>通过采取评价提出的废气污染防治措施，本项目运营期各类废气污染物均可做到达标排放，根据大气环境影响预测结果，评价范围内不会出现大气污染物超标情况，项目建设对区域环境空气影响较小。</w:t>
      </w:r>
    </w:p>
    <w:p>
      <w:pPr>
        <w:pStyle w:val="5"/>
        <w:spacing w:before="0" w:after="0" w:line="520" w:lineRule="exact"/>
        <w:rPr>
          <w:color w:val="auto"/>
          <w:sz w:val="24"/>
          <w:szCs w:val="24"/>
        </w:rPr>
      </w:pPr>
      <w:bookmarkStart w:id="269" w:name="_Toc367091879"/>
      <w:bookmarkStart w:id="270" w:name="_Toc366874120"/>
      <w:r>
        <w:rPr>
          <w:rFonts w:hint="eastAsia"/>
          <w:color w:val="auto"/>
          <w:sz w:val="24"/>
          <w:szCs w:val="24"/>
        </w:rPr>
        <w:t>6.2</w:t>
      </w:r>
      <w:r>
        <w:rPr>
          <w:color w:val="auto"/>
          <w:sz w:val="24"/>
          <w:szCs w:val="24"/>
        </w:rPr>
        <w:t>.2地表水环境影响分析</w:t>
      </w:r>
      <w:bookmarkEnd w:id="269"/>
      <w:bookmarkEnd w:id="270"/>
    </w:p>
    <w:p>
      <w:pPr>
        <w:spacing w:line="500" w:lineRule="exact"/>
        <w:ind w:firstLine="482" w:firstLineChars="200"/>
        <w:outlineLvl w:val="2"/>
        <w:rPr>
          <w:b/>
          <w:color w:val="auto"/>
          <w:sz w:val="24"/>
        </w:rPr>
      </w:pPr>
      <w:bookmarkStart w:id="271" w:name="_Toc206896782"/>
      <w:bookmarkStart w:id="272" w:name="_Toc185302905"/>
      <w:r>
        <w:rPr>
          <w:rFonts w:hint="eastAsia"/>
          <w:b/>
          <w:color w:val="auto"/>
          <w:sz w:val="24"/>
        </w:rPr>
        <w:t>1、废水产排情况及治理措施</w:t>
      </w:r>
    </w:p>
    <w:p>
      <w:pPr>
        <w:spacing w:line="360" w:lineRule="auto"/>
        <w:ind w:firstLine="480" w:firstLineChars="200"/>
        <w:rPr>
          <w:color w:val="auto"/>
          <w:sz w:val="24"/>
        </w:rPr>
      </w:pPr>
      <w:r>
        <w:rPr>
          <w:color w:val="auto"/>
          <w:sz w:val="24"/>
        </w:rPr>
        <w:t>营运期</w:t>
      </w:r>
      <w:r>
        <w:rPr>
          <w:rFonts w:hint="eastAsia"/>
          <w:color w:val="auto"/>
          <w:sz w:val="24"/>
        </w:rPr>
        <w:t>生</w:t>
      </w:r>
      <w:r>
        <w:rPr>
          <w:rFonts w:hint="eastAsia"/>
          <w:color w:val="auto"/>
          <w:sz w:val="24"/>
          <w:lang w:eastAsia="zh-CN"/>
        </w:rPr>
        <w:t>生活污水经化粪池预处理后排入市政污水管网</w:t>
      </w:r>
      <w:r>
        <w:rPr>
          <w:color w:val="auto"/>
          <w:sz w:val="24"/>
        </w:rPr>
        <w:t>，</w:t>
      </w:r>
      <w:r>
        <w:rPr>
          <w:rFonts w:hint="eastAsia"/>
          <w:color w:val="auto"/>
          <w:sz w:val="24"/>
          <w:lang w:eastAsia="zh-CN"/>
        </w:rPr>
        <w:t>进入宁国市污水处理厂</w:t>
      </w:r>
      <w:r>
        <w:rPr>
          <w:bCs/>
          <w:color w:val="auto"/>
          <w:sz w:val="24"/>
        </w:rPr>
        <w:t>。</w:t>
      </w:r>
      <w:r>
        <w:rPr>
          <w:color w:val="auto"/>
          <w:sz w:val="24"/>
        </w:rPr>
        <w:t>据《环境影响评价技术导则 地表水环境》（HJ 2.3-2018）相关规定，本项目地表水环境影响评价等级为三级B。依据《环境影响评价技术导则 地表水环境》（HJ 2.3-2018）7.1.2，水污染影响型三级B评价可不进行水环境影响预测。</w:t>
      </w:r>
    </w:p>
    <w:p>
      <w:pPr>
        <w:spacing w:line="500" w:lineRule="exact"/>
        <w:ind w:firstLine="482" w:firstLineChars="200"/>
        <w:outlineLvl w:val="2"/>
        <w:rPr>
          <w:b/>
          <w:color w:val="auto"/>
          <w:sz w:val="24"/>
        </w:rPr>
      </w:pPr>
      <w:r>
        <w:rPr>
          <w:rFonts w:hint="eastAsia"/>
          <w:b/>
          <w:color w:val="auto"/>
          <w:sz w:val="24"/>
        </w:rPr>
        <w:t>2、</w:t>
      </w:r>
      <w:r>
        <w:rPr>
          <w:rFonts w:hint="eastAsia"/>
          <w:b/>
          <w:color w:val="auto"/>
          <w:sz w:val="24"/>
          <w:lang w:eastAsia="zh-CN"/>
        </w:rPr>
        <w:t>宁国市污水处理厂</w:t>
      </w:r>
      <w:r>
        <w:rPr>
          <w:b/>
          <w:color w:val="auto"/>
          <w:sz w:val="24"/>
        </w:rPr>
        <w:t>概况</w:t>
      </w:r>
    </w:p>
    <w:p>
      <w:pPr>
        <w:spacing w:line="360" w:lineRule="auto"/>
        <w:ind w:firstLine="480" w:firstLineChars="200"/>
        <w:rPr>
          <w:color w:val="auto"/>
        </w:rPr>
      </w:pPr>
      <w:r>
        <w:rPr>
          <w:color w:val="auto"/>
          <w:sz w:val="24"/>
        </w:rPr>
        <w:t>本项目处于</w:t>
      </w:r>
      <w:r>
        <w:rPr>
          <w:rFonts w:hint="eastAsia"/>
          <w:color w:val="auto"/>
          <w:sz w:val="24"/>
          <w:lang w:eastAsia="zh-CN"/>
        </w:rPr>
        <w:t>宁国市污水处理厂</w:t>
      </w:r>
      <w:r>
        <w:rPr>
          <w:color w:val="auto"/>
          <w:sz w:val="24"/>
        </w:rPr>
        <w:t>收水范围内，满足废水接管要求。</w:t>
      </w:r>
      <w:r>
        <w:rPr>
          <w:rFonts w:hint="eastAsia"/>
          <w:color w:val="auto"/>
          <w:sz w:val="24"/>
          <w:lang w:eastAsia="zh-CN"/>
        </w:rPr>
        <w:t>宁国市污水处理厂</w:t>
      </w:r>
      <w:r>
        <w:rPr>
          <w:color w:val="auto"/>
          <w:sz w:val="24"/>
        </w:rPr>
        <w:t>设计处理能力为日处理污水4.00万m</w:t>
      </w:r>
      <w:r>
        <w:rPr>
          <w:color w:val="auto"/>
          <w:sz w:val="24"/>
          <w:vertAlign w:val="superscript"/>
        </w:rPr>
        <w:t>3</w:t>
      </w:r>
      <w:r>
        <w:rPr>
          <w:color w:val="auto"/>
          <w:sz w:val="24"/>
        </w:rPr>
        <w:t>/d，自2010年2月正式投入运行以来，污水处理设备运转良好，日平均处理污水量为3.21万m</w:t>
      </w:r>
      <w:r>
        <w:rPr>
          <w:color w:val="auto"/>
          <w:sz w:val="24"/>
          <w:vertAlign w:val="superscript"/>
        </w:rPr>
        <w:t>3</w:t>
      </w:r>
      <w:r>
        <w:rPr>
          <w:color w:val="auto"/>
          <w:sz w:val="24"/>
        </w:rPr>
        <w:t>/d。厂区主体工艺采用氧化沟处理工艺，经处理后的污水水质排放标准为《城镇污水处理厂污染物排放标准》（GB18918-2002）一级</w:t>
      </w:r>
      <w:r>
        <w:rPr>
          <w:rFonts w:hint="eastAsia"/>
          <w:color w:val="auto"/>
          <w:sz w:val="24"/>
          <w:lang w:val="en-US" w:eastAsia="zh-CN"/>
        </w:rPr>
        <w:t>A</w:t>
      </w:r>
      <w:r>
        <w:rPr>
          <w:color w:val="auto"/>
          <w:sz w:val="24"/>
        </w:rPr>
        <w:t>标准。</w:t>
      </w:r>
    </w:p>
    <w:p>
      <w:pPr>
        <w:pStyle w:val="19"/>
        <w:rPr>
          <w:color w:val="auto"/>
          <w:kern w:val="0"/>
          <w:sz w:val="24"/>
        </w:rPr>
      </w:pPr>
    </w:p>
    <w:p>
      <w:pPr>
        <w:pStyle w:val="24"/>
        <w:ind w:left="0" w:leftChars="0" w:firstLine="482"/>
        <w:rPr>
          <w:color w:val="auto"/>
          <w:sz w:val="24"/>
        </w:rPr>
      </w:pPr>
      <w:r>
        <w:rPr>
          <w:rFonts w:hint="eastAsia"/>
          <w:b/>
          <w:bCs/>
          <w:color w:val="auto"/>
          <w:sz w:val="24"/>
        </w:rPr>
        <w:t>3、接管可行性分析</w:t>
      </w:r>
    </w:p>
    <w:p>
      <w:pPr>
        <w:pStyle w:val="227"/>
        <w:adjustRightInd w:val="0"/>
        <w:snapToGrid w:val="0"/>
        <w:spacing w:before="0" w:line="360" w:lineRule="auto"/>
        <w:rPr>
          <w:color w:val="auto"/>
        </w:rPr>
      </w:pPr>
      <w:r>
        <w:rPr>
          <w:color w:val="auto"/>
        </w:rPr>
        <w:fldChar w:fldCharType="begin"/>
      </w:r>
      <w:r>
        <w:rPr>
          <w:color w:val="auto"/>
        </w:rPr>
        <w:instrText xml:space="preserve"> = 1 \* GB3 </w:instrText>
      </w:r>
      <w:r>
        <w:rPr>
          <w:color w:val="auto"/>
        </w:rPr>
        <w:fldChar w:fldCharType="separate"/>
      </w:r>
      <w:r>
        <w:rPr>
          <w:color w:val="auto"/>
        </w:rPr>
        <w:t>①</w:t>
      </w:r>
      <w:r>
        <w:rPr>
          <w:color w:val="auto"/>
        </w:rPr>
        <w:fldChar w:fldCharType="end"/>
      </w:r>
      <w:r>
        <w:rPr>
          <w:color w:val="auto"/>
        </w:rPr>
        <w:t>收水可行性分析</w:t>
      </w:r>
    </w:p>
    <w:p>
      <w:pPr>
        <w:pStyle w:val="227"/>
        <w:adjustRightInd w:val="0"/>
        <w:snapToGrid w:val="0"/>
        <w:spacing w:before="0" w:line="360" w:lineRule="auto"/>
        <w:rPr>
          <w:color w:val="auto"/>
        </w:rPr>
      </w:pPr>
      <w:r>
        <w:rPr>
          <w:color w:val="auto"/>
        </w:rPr>
        <w:t>本项目所在地属于宁国经济技术开发区</w:t>
      </w:r>
      <w:r>
        <w:rPr>
          <w:rFonts w:hint="eastAsia"/>
          <w:color w:val="auto"/>
          <w:lang w:eastAsia="zh-CN"/>
        </w:rPr>
        <w:t>宁国市污水处理厂</w:t>
      </w:r>
      <w:r>
        <w:rPr>
          <w:color w:val="auto"/>
        </w:rPr>
        <w:t>收水范围之内，项目废水可以</w:t>
      </w:r>
      <w:r>
        <w:rPr>
          <w:rFonts w:hint="eastAsia"/>
          <w:color w:val="auto"/>
          <w:lang w:eastAsia="zh-CN"/>
        </w:rPr>
        <w:t>进入宁国市污水处理厂</w:t>
      </w:r>
      <w:r>
        <w:rPr>
          <w:color w:val="auto"/>
        </w:rPr>
        <w:t>处理。目前，厂区</w:t>
      </w:r>
      <w:r>
        <w:rPr>
          <w:rFonts w:hint="eastAsia"/>
          <w:color w:val="auto"/>
        </w:rPr>
        <w:t>污水管网及市政污水管网已铺设完毕</w:t>
      </w:r>
      <w:r>
        <w:rPr>
          <w:color w:val="auto"/>
        </w:rPr>
        <w:t>，</w:t>
      </w:r>
      <w:r>
        <w:rPr>
          <w:rFonts w:hint="eastAsia"/>
          <w:color w:val="auto"/>
        </w:rPr>
        <w:t>可</w:t>
      </w:r>
      <w:r>
        <w:rPr>
          <w:color w:val="auto"/>
        </w:rPr>
        <w:t>实现雨水收集、污水纳管功能。</w:t>
      </w:r>
    </w:p>
    <w:p>
      <w:pPr>
        <w:pStyle w:val="227"/>
        <w:adjustRightInd w:val="0"/>
        <w:snapToGrid w:val="0"/>
        <w:spacing w:before="0" w:line="360" w:lineRule="auto"/>
        <w:rPr>
          <w:color w:val="auto"/>
        </w:rPr>
      </w:pPr>
      <w:r>
        <w:rPr>
          <w:color w:val="auto"/>
        </w:rPr>
        <w:fldChar w:fldCharType="begin"/>
      </w:r>
      <w:r>
        <w:rPr>
          <w:color w:val="auto"/>
        </w:rPr>
        <w:instrText xml:space="preserve"> = 2 \* GB3 </w:instrText>
      </w:r>
      <w:r>
        <w:rPr>
          <w:color w:val="auto"/>
        </w:rPr>
        <w:fldChar w:fldCharType="separate"/>
      </w:r>
      <w:r>
        <w:rPr>
          <w:color w:val="auto"/>
        </w:rPr>
        <w:t>②</w:t>
      </w:r>
      <w:r>
        <w:rPr>
          <w:color w:val="auto"/>
        </w:rPr>
        <w:fldChar w:fldCharType="end"/>
      </w:r>
      <w:r>
        <w:rPr>
          <w:color w:val="auto"/>
        </w:rPr>
        <w:t>水量冲击影响分析</w:t>
      </w:r>
    </w:p>
    <w:p>
      <w:pPr>
        <w:pStyle w:val="227"/>
        <w:adjustRightInd w:val="0"/>
        <w:snapToGrid w:val="0"/>
        <w:spacing w:before="0" w:line="360" w:lineRule="auto"/>
        <w:rPr>
          <w:color w:val="auto"/>
        </w:rPr>
      </w:pPr>
      <w:r>
        <w:rPr>
          <w:color w:val="auto"/>
        </w:rPr>
        <w:t>本项目</w:t>
      </w:r>
      <w:r>
        <w:rPr>
          <w:rFonts w:hint="eastAsia"/>
          <w:color w:val="auto"/>
        </w:rPr>
        <w:t>扩建后全厂</w:t>
      </w:r>
      <w:r>
        <w:rPr>
          <w:color w:val="auto"/>
        </w:rPr>
        <w:t>废水总量</w:t>
      </w:r>
      <w:r>
        <w:rPr>
          <w:b w:val="0"/>
          <w:bCs w:val="0"/>
          <w:color w:val="auto"/>
        </w:rPr>
        <w:t>约为</w:t>
      </w:r>
      <w:r>
        <w:rPr>
          <w:rFonts w:hint="eastAsia"/>
          <w:b w:val="0"/>
          <w:bCs w:val="0"/>
          <w:color w:val="auto"/>
          <w:szCs w:val="21"/>
          <w:lang w:val="en-US" w:eastAsia="zh-CN"/>
        </w:rPr>
        <w:t>2</w:t>
      </w:r>
      <w:r>
        <w:rPr>
          <w:rFonts w:hint="eastAsia"/>
          <w:b w:val="0"/>
          <w:bCs w:val="0"/>
          <w:color w:val="auto"/>
          <w:lang w:val="en-US" w:eastAsia="zh-CN"/>
        </w:rPr>
        <w:t>t</w:t>
      </w:r>
      <w:r>
        <w:rPr>
          <w:b w:val="0"/>
          <w:bCs w:val="0"/>
          <w:color w:val="auto"/>
        </w:rPr>
        <w:t>/d，</w:t>
      </w:r>
      <w:r>
        <w:rPr>
          <w:color w:val="auto"/>
        </w:rPr>
        <w:t>项目废水经预处理后可满足</w:t>
      </w:r>
      <w:r>
        <w:rPr>
          <w:rFonts w:hint="eastAsia"/>
          <w:color w:val="auto"/>
          <w:lang w:eastAsia="zh-CN"/>
        </w:rPr>
        <w:t>宁国市污水处理厂</w:t>
      </w:r>
      <w:r>
        <w:rPr>
          <w:color w:val="auto"/>
        </w:rPr>
        <w:t>的接管标准。</w:t>
      </w:r>
      <w:r>
        <w:rPr>
          <w:rFonts w:hint="eastAsia"/>
          <w:color w:val="auto"/>
          <w:lang w:eastAsia="zh-CN"/>
        </w:rPr>
        <w:t>宁国市污水处理厂</w:t>
      </w:r>
      <w:r>
        <w:rPr>
          <w:color w:val="auto"/>
        </w:rPr>
        <w:t>已建设完成并投入使用，运行稳定，目前尚有余量来接纳本项目污水。本项目废水不会影响</w:t>
      </w:r>
      <w:r>
        <w:rPr>
          <w:rFonts w:hint="eastAsia"/>
          <w:color w:val="auto"/>
          <w:lang w:eastAsia="zh-CN"/>
        </w:rPr>
        <w:t>宁国市污水处理厂</w:t>
      </w:r>
      <w:r>
        <w:rPr>
          <w:color w:val="auto"/>
        </w:rPr>
        <w:t>的处理能力。</w:t>
      </w:r>
    </w:p>
    <w:p>
      <w:pPr>
        <w:pStyle w:val="227"/>
        <w:adjustRightInd w:val="0"/>
        <w:snapToGrid w:val="0"/>
        <w:spacing w:before="0" w:line="360" w:lineRule="auto"/>
        <w:rPr>
          <w:color w:val="auto"/>
        </w:rPr>
      </w:pPr>
      <w:r>
        <w:rPr>
          <w:color w:val="auto"/>
        </w:rPr>
        <w:fldChar w:fldCharType="begin"/>
      </w:r>
      <w:r>
        <w:rPr>
          <w:color w:val="auto"/>
        </w:rPr>
        <w:instrText xml:space="preserve"> = 3 \* GB3 </w:instrText>
      </w:r>
      <w:r>
        <w:rPr>
          <w:color w:val="auto"/>
        </w:rPr>
        <w:fldChar w:fldCharType="separate"/>
      </w:r>
      <w:r>
        <w:rPr>
          <w:color w:val="auto"/>
        </w:rPr>
        <w:t>③</w:t>
      </w:r>
      <w:r>
        <w:rPr>
          <w:color w:val="auto"/>
        </w:rPr>
        <w:fldChar w:fldCharType="end"/>
      </w:r>
      <w:r>
        <w:rPr>
          <w:color w:val="auto"/>
        </w:rPr>
        <w:t>达标接管的可行性分析</w:t>
      </w:r>
    </w:p>
    <w:p>
      <w:pPr>
        <w:pStyle w:val="227"/>
        <w:adjustRightInd w:val="0"/>
        <w:snapToGrid w:val="0"/>
        <w:spacing w:before="0" w:line="360" w:lineRule="auto"/>
        <w:rPr>
          <w:color w:val="auto"/>
        </w:rPr>
      </w:pPr>
      <w:r>
        <w:rPr>
          <w:color w:val="auto"/>
        </w:rPr>
        <w:t>本项目废水排放浓度能够满足</w:t>
      </w:r>
      <w:r>
        <w:rPr>
          <w:rFonts w:hint="eastAsia"/>
          <w:color w:val="auto"/>
          <w:lang w:eastAsia="zh-CN"/>
        </w:rPr>
        <w:t>宁国市污水处理厂</w:t>
      </w:r>
      <w:r>
        <w:rPr>
          <w:color w:val="auto"/>
        </w:rPr>
        <w:t>的接管标准要求，可以实现达标接管。</w:t>
      </w:r>
    </w:p>
    <w:p>
      <w:pPr>
        <w:pStyle w:val="227"/>
        <w:adjustRightInd w:val="0"/>
        <w:snapToGrid w:val="0"/>
        <w:spacing w:before="0" w:line="360" w:lineRule="auto"/>
        <w:rPr>
          <w:color w:val="auto"/>
        </w:rPr>
      </w:pPr>
      <w:r>
        <w:rPr>
          <w:color w:val="auto"/>
        </w:rPr>
        <w:t>结合以上几点分析，本项目废水可纳入</w:t>
      </w:r>
      <w:r>
        <w:rPr>
          <w:rFonts w:hint="eastAsia"/>
          <w:color w:val="auto"/>
          <w:lang w:eastAsia="zh-CN"/>
        </w:rPr>
        <w:t>宁国市污水处理厂</w:t>
      </w:r>
      <w:r>
        <w:rPr>
          <w:color w:val="auto"/>
        </w:rPr>
        <w:t>进行深度处理，不会对污水处理厂产生冲击影响。本项目废水具有纳管的可行性。</w:t>
      </w:r>
    </w:p>
    <w:p>
      <w:pPr>
        <w:pStyle w:val="227"/>
        <w:adjustRightInd w:val="0"/>
        <w:snapToGrid w:val="0"/>
        <w:spacing w:before="0" w:line="360" w:lineRule="auto"/>
        <w:ind w:firstLine="482"/>
        <w:rPr>
          <w:b/>
          <w:bCs/>
          <w:color w:val="auto"/>
        </w:rPr>
      </w:pPr>
      <w:r>
        <w:rPr>
          <w:rFonts w:hint="eastAsia"/>
          <w:b/>
          <w:bCs/>
          <w:color w:val="auto"/>
        </w:rPr>
        <w:t>4</w:t>
      </w:r>
      <w:r>
        <w:rPr>
          <w:b/>
          <w:bCs/>
          <w:color w:val="auto"/>
        </w:rPr>
        <w:t>、水环境影响分析结论</w:t>
      </w:r>
    </w:p>
    <w:p>
      <w:pPr>
        <w:pStyle w:val="227"/>
        <w:adjustRightInd w:val="0"/>
        <w:snapToGrid w:val="0"/>
        <w:spacing w:before="0" w:line="360" w:lineRule="auto"/>
        <w:rPr>
          <w:b/>
          <w:color w:val="auto"/>
          <w:sz w:val="24"/>
        </w:rPr>
      </w:pPr>
      <w:r>
        <w:rPr>
          <w:color w:val="auto"/>
        </w:rPr>
        <w:t>本项目废水经预处理后，排放浓度能够满足</w:t>
      </w:r>
      <w:r>
        <w:rPr>
          <w:rFonts w:hint="eastAsia"/>
          <w:color w:val="auto"/>
          <w:lang w:eastAsia="zh-CN"/>
        </w:rPr>
        <w:t>宁国市污水处理厂</w:t>
      </w:r>
      <w:r>
        <w:rPr>
          <w:color w:val="auto"/>
        </w:rPr>
        <w:t>的接管标准，可以由市政污水管网排放到</w:t>
      </w:r>
      <w:r>
        <w:rPr>
          <w:rFonts w:hint="eastAsia"/>
          <w:color w:val="auto"/>
          <w:lang w:eastAsia="zh-CN"/>
        </w:rPr>
        <w:t>宁国市污水处理厂</w:t>
      </w:r>
      <w:r>
        <w:rPr>
          <w:color w:val="auto"/>
        </w:rPr>
        <w:t>。项目废水经</w:t>
      </w:r>
      <w:r>
        <w:rPr>
          <w:rFonts w:hint="eastAsia"/>
          <w:color w:val="auto"/>
          <w:lang w:eastAsia="zh-CN"/>
        </w:rPr>
        <w:t>宁国市污水处理厂</w:t>
      </w:r>
      <w:r>
        <w:rPr>
          <w:color w:val="auto"/>
        </w:rPr>
        <w:t>处理后排放到</w:t>
      </w:r>
      <w:r>
        <w:rPr>
          <w:rFonts w:hint="eastAsia"/>
          <w:color w:val="auto"/>
          <w:lang w:eastAsia="zh-CN"/>
        </w:rPr>
        <w:t>东</w:t>
      </w:r>
      <w:r>
        <w:rPr>
          <w:rFonts w:hint="eastAsia"/>
          <w:color w:val="auto"/>
        </w:rPr>
        <w:t>津河</w:t>
      </w:r>
      <w:r>
        <w:rPr>
          <w:color w:val="auto"/>
        </w:rPr>
        <w:t>，出水水质能够满足《城镇污水处理厂污染物排放标准》（GB18918-2002）中的一级A标准，不会对</w:t>
      </w:r>
      <w:r>
        <w:rPr>
          <w:rFonts w:hint="eastAsia"/>
          <w:color w:val="auto"/>
          <w:lang w:eastAsia="zh-CN"/>
        </w:rPr>
        <w:t>东</w:t>
      </w:r>
      <w:r>
        <w:rPr>
          <w:rFonts w:hint="eastAsia"/>
          <w:color w:val="auto"/>
        </w:rPr>
        <w:t>津河</w:t>
      </w:r>
      <w:r>
        <w:rPr>
          <w:color w:val="auto"/>
        </w:rPr>
        <w:t>的水质造成影响。</w:t>
      </w:r>
    </w:p>
    <w:p>
      <w:pPr>
        <w:ind w:firstLine="482"/>
        <w:jc w:val="center"/>
        <w:rPr>
          <w:color w:val="auto"/>
          <w:sz w:val="24"/>
        </w:rPr>
      </w:pPr>
      <w:r>
        <w:rPr>
          <w:rFonts w:hint="eastAsia"/>
          <w:b/>
          <w:color w:val="auto"/>
          <w:sz w:val="24"/>
        </w:rPr>
        <w:t>表6-1</w:t>
      </w:r>
      <w:r>
        <w:rPr>
          <w:rFonts w:hint="eastAsia"/>
          <w:b/>
          <w:color w:val="auto"/>
          <w:sz w:val="24"/>
          <w:lang w:val="en-US" w:eastAsia="zh-CN"/>
        </w:rPr>
        <w:t>5</w:t>
      </w:r>
      <w:r>
        <w:rPr>
          <w:b/>
          <w:color w:val="auto"/>
          <w:sz w:val="24"/>
        </w:rPr>
        <w:t xml:space="preserve">  地表水环境影响评价自查表</w:t>
      </w:r>
    </w:p>
    <w:tbl>
      <w:tblPr>
        <w:tblStyle w:val="53"/>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78"/>
        <w:gridCol w:w="1122"/>
        <w:gridCol w:w="1864"/>
        <w:gridCol w:w="344"/>
        <w:gridCol w:w="47"/>
        <w:gridCol w:w="413"/>
        <w:gridCol w:w="404"/>
        <w:gridCol w:w="771"/>
        <w:gridCol w:w="456"/>
        <w:gridCol w:w="179"/>
        <w:gridCol w:w="231"/>
        <w:gridCol w:w="814"/>
        <w:gridCol w:w="957"/>
        <w:gridCol w:w="86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94" w:type="pct"/>
            <w:gridSpan w:val="2"/>
            <w:vAlign w:val="center"/>
          </w:tcPr>
          <w:p>
            <w:pPr>
              <w:jc w:val="center"/>
              <w:rPr>
                <w:color w:val="auto"/>
                <w:szCs w:val="21"/>
              </w:rPr>
            </w:pPr>
            <w:r>
              <w:rPr>
                <w:color w:val="auto"/>
                <w:szCs w:val="21"/>
              </w:rPr>
              <w:t>工作内容</w:t>
            </w:r>
          </w:p>
        </w:tc>
        <w:tc>
          <w:tcPr>
            <w:tcW w:w="4105" w:type="pct"/>
            <w:gridSpan w:val="12"/>
            <w:vAlign w:val="center"/>
          </w:tcPr>
          <w:p>
            <w:pPr>
              <w:jc w:val="center"/>
              <w:rPr>
                <w:color w:val="auto"/>
                <w:szCs w:val="21"/>
              </w:rPr>
            </w:pPr>
            <w:r>
              <w:rPr>
                <w:color w:val="auto"/>
                <w:szCs w:val="21"/>
              </w:rPr>
              <w:t>自查项目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7" w:type="pct"/>
            <w:vMerge w:val="restart"/>
            <w:vAlign w:val="center"/>
          </w:tcPr>
          <w:p>
            <w:pPr>
              <w:jc w:val="center"/>
              <w:rPr>
                <w:color w:val="auto"/>
                <w:szCs w:val="21"/>
              </w:rPr>
            </w:pPr>
            <w:r>
              <w:rPr>
                <w:color w:val="auto"/>
                <w:szCs w:val="21"/>
              </w:rPr>
              <w:t>影</w:t>
            </w:r>
          </w:p>
          <w:p>
            <w:pPr>
              <w:jc w:val="center"/>
              <w:rPr>
                <w:color w:val="auto"/>
                <w:szCs w:val="21"/>
              </w:rPr>
            </w:pPr>
            <w:r>
              <w:rPr>
                <w:color w:val="auto"/>
                <w:szCs w:val="21"/>
              </w:rPr>
              <w:t>响</w:t>
            </w:r>
          </w:p>
          <w:p>
            <w:pPr>
              <w:jc w:val="center"/>
              <w:rPr>
                <w:color w:val="auto"/>
                <w:szCs w:val="21"/>
              </w:rPr>
            </w:pPr>
            <w:r>
              <w:rPr>
                <w:color w:val="auto"/>
                <w:szCs w:val="21"/>
              </w:rPr>
              <w:t>识</w:t>
            </w:r>
          </w:p>
          <w:p>
            <w:pPr>
              <w:jc w:val="center"/>
              <w:rPr>
                <w:color w:val="auto"/>
                <w:szCs w:val="21"/>
              </w:rPr>
            </w:pPr>
            <w:r>
              <w:rPr>
                <w:color w:val="auto"/>
                <w:szCs w:val="21"/>
              </w:rPr>
              <w:t>别</w:t>
            </w:r>
          </w:p>
        </w:tc>
        <w:tc>
          <w:tcPr>
            <w:tcW w:w="627" w:type="pct"/>
            <w:vAlign w:val="center"/>
          </w:tcPr>
          <w:p>
            <w:pPr>
              <w:jc w:val="center"/>
              <w:rPr>
                <w:color w:val="auto"/>
                <w:szCs w:val="21"/>
              </w:rPr>
            </w:pPr>
            <w:r>
              <w:rPr>
                <w:color w:val="auto"/>
                <w:szCs w:val="21"/>
              </w:rPr>
              <w:t>影响类型</w:t>
            </w:r>
          </w:p>
        </w:tc>
        <w:tc>
          <w:tcPr>
            <w:tcW w:w="4105" w:type="pct"/>
            <w:gridSpan w:val="12"/>
            <w:vAlign w:val="center"/>
          </w:tcPr>
          <w:p>
            <w:pPr>
              <w:jc w:val="left"/>
              <w:rPr>
                <w:color w:val="auto"/>
                <w:szCs w:val="21"/>
              </w:rPr>
            </w:pPr>
            <w:r>
              <w:rPr>
                <w:color w:val="auto"/>
                <w:szCs w:val="21"/>
              </w:rPr>
              <w:t xml:space="preserve">水污染影响型 </w:t>
            </w:r>
            <w:r>
              <w:rPr>
                <w:color w:val="auto"/>
                <w:szCs w:val="21"/>
              </w:rPr>
              <w:sym w:font="Wingdings 2" w:char="0052"/>
            </w:r>
            <w:r>
              <w:rPr>
                <w:color w:val="auto"/>
                <w:szCs w:val="21"/>
              </w:rPr>
              <w:t>；水文要素影响型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7" w:type="pct"/>
            <w:vMerge w:val="continue"/>
            <w:vAlign w:val="center"/>
          </w:tcPr>
          <w:p>
            <w:pPr>
              <w:jc w:val="center"/>
              <w:rPr>
                <w:color w:val="auto"/>
                <w:szCs w:val="21"/>
              </w:rPr>
            </w:pPr>
          </w:p>
        </w:tc>
        <w:tc>
          <w:tcPr>
            <w:tcW w:w="627" w:type="pct"/>
            <w:vAlign w:val="center"/>
          </w:tcPr>
          <w:p>
            <w:pPr>
              <w:jc w:val="center"/>
              <w:rPr>
                <w:color w:val="auto"/>
                <w:szCs w:val="21"/>
              </w:rPr>
            </w:pPr>
            <w:r>
              <w:rPr>
                <w:color w:val="auto"/>
                <w:szCs w:val="21"/>
              </w:rPr>
              <w:t>水环境保护目标</w:t>
            </w:r>
          </w:p>
        </w:tc>
        <w:tc>
          <w:tcPr>
            <w:tcW w:w="4105" w:type="pct"/>
            <w:gridSpan w:val="12"/>
            <w:vAlign w:val="center"/>
          </w:tcPr>
          <w:p>
            <w:pPr>
              <w:jc w:val="left"/>
              <w:rPr>
                <w:color w:val="auto"/>
                <w:szCs w:val="21"/>
              </w:rPr>
            </w:pPr>
            <w:r>
              <w:rPr>
                <w:color w:val="auto"/>
                <w:szCs w:val="21"/>
              </w:rPr>
              <w:t xml:space="preserve">饮用水水源保护区 □；饮用水取水口 □；涉水的自然保护区 □；重要湿地 □； </w:t>
            </w:r>
          </w:p>
          <w:p>
            <w:pPr>
              <w:jc w:val="left"/>
              <w:rPr>
                <w:color w:val="auto"/>
                <w:szCs w:val="21"/>
              </w:rPr>
            </w:pPr>
            <w:r>
              <w:rPr>
                <w:color w:val="auto"/>
                <w:szCs w:val="21"/>
              </w:rPr>
              <w:t>重点保护与珍稀水生生物的栖息地 □；重要水生生物的自然产卵场及索饵场、越冬场和洄游通道、天然渔场等渔业水体 □；涉水的风景名胜区 □；其他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7" w:type="pct"/>
            <w:vMerge w:val="continue"/>
            <w:vAlign w:val="center"/>
          </w:tcPr>
          <w:p>
            <w:pPr>
              <w:jc w:val="center"/>
              <w:rPr>
                <w:color w:val="auto"/>
                <w:szCs w:val="21"/>
              </w:rPr>
            </w:pPr>
          </w:p>
        </w:tc>
        <w:tc>
          <w:tcPr>
            <w:tcW w:w="627" w:type="pct"/>
            <w:vMerge w:val="restart"/>
            <w:vAlign w:val="center"/>
          </w:tcPr>
          <w:p>
            <w:pPr>
              <w:jc w:val="center"/>
              <w:rPr>
                <w:color w:val="auto"/>
                <w:szCs w:val="21"/>
              </w:rPr>
            </w:pPr>
            <w:r>
              <w:rPr>
                <w:color w:val="auto"/>
                <w:szCs w:val="21"/>
              </w:rPr>
              <w:t>影响途径</w:t>
            </w:r>
          </w:p>
        </w:tc>
        <w:tc>
          <w:tcPr>
            <w:tcW w:w="2147" w:type="pct"/>
            <w:gridSpan w:val="6"/>
            <w:vAlign w:val="center"/>
          </w:tcPr>
          <w:p>
            <w:pPr>
              <w:jc w:val="center"/>
              <w:rPr>
                <w:color w:val="auto"/>
                <w:szCs w:val="21"/>
              </w:rPr>
            </w:pPr>
            <w:r>
              <w:rPr>
                <w:color w:val="auto"/>
                <w:szCs w:val="21"/>
              </w:rPr>
              <w:t>水污染影响型</w:t>
            </w:r>
          </w:p>
        </w:tc>
        <w:tc>
          <w:tcPr>
            <w:tcW w:w="1957" w:type="pct"/>
            <w:gridSpan w:val="6"/>
            <w:vAlign w:val="center"/>
          </w:tcPr>
          <w:p>
            <w:pPr>
              <w:jc w:val="center"/>
              <w:rPr>
                <w:color w:val="auto"/>
                <w:szCs w:val="21"/>
              </w:rPr>
            </w:pPr>
            <w:r>
              <w:rPr>
                <w:color w:val="auto"/>
                <w:szCs w:val="21"/>
              </w:rPr>
              <w:t>水文要素影响型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7" w:type="pct"/>
            <w:vMerge w:val="continue"/>
            <w:vAlign w:val="center"/>
          </w:tcPr>
          <w:p>
            <w:pPr>
              <w:jc w:val="center"/>
              <w:rPr>
                <w:color w:val="auto"/>
                <w:szCs w:val="21"/>
              </w:rPr>
            </w:pPr>
          </w:p>
        </w:tc>
        <w:tc>
          <w:tcPr>
            <w:tcW w:w="627" w:type="pct"/>
            <w:vMerge w:val="continue"/>
            <w:vAlign w:val="center"/>
          </w:tcPr>
          <w:p>
            <w:pPr>
              <w:jc w:val="center"/>
              <w:rPr>
                <w:color w:val="auto"/>
                <w:szCs w:val="21"/>
              </w:rPr>
            </w:pPr>
          </w:p>
        </w:tc>
        <w:tc>
          <w:tcPr>
            <w:tcW w:w="2147" w:type="pct"/>
            <w:gridSpan w:val="6"/>
            <w:vAlign w:val="center"/>
          </w:tcPr>
          <w:p>
            <w:pPr>
              <w:jc w:val="left"/>
              <w:rPr>
                <w:color w:val="auto"/>
                <w:szCs w:val="21"/>
              </w:rPr>
            </w:pPr>
            <w:r>
              <w:rPr>
                <w:color w:val="auto"/>
                <w:szCs w:val="21"/>
              </w:rPr>
              <w:t xml:space="preserve">直接排放 □；间接排放 </w:t>
            </w:r>
            <w:r>
              <w:rPr>
                <w:color w:val="auto"/>
                <w:szCs w:val="21"/>
              </w:rPr>
              <w:sym w:font="Wingdings 2" w:char="0052"/>
            </w:r>
            <w:r>
              <w:rPr>
                <w:color w:val="auto"/>
                <w:szCs w:val="21"/>
              </w:rPr>
              <w:t xml:space="preserve">；其他 </w:t>
            </w:r>
            <w:r>
              <w:rPr>
                <w:color w:val="auto"/>
                <w:szCs w:val="21"/>
              </w:rPr>
              <w:sym w:font="Wingdings 2" w:char="00A3"/>
            </w:r>
          </w:p>
        </w:tc>
        <w:tc>
          <w:tcPr>
            <w:tcW w:w="1957" w:type="pct"/>
            <w:gridSpan w:val="6"/>
            <w:vAlign w:val="center"/>
          </w:tcPr>
          <w:p>
            <w:pPr>
              <w:jc w:val="left"/>
              <w:rPr>
                <w:color w:val="auto"/>
                <w:szCs w:val="21"/>
              </w:rPr>
            </w:pPr>
            <w:r>
              <w:rPr>
                <w:color w:val="auto"/>
                <w:szCs w:val="21"/>
              </w:rPr>
              <w:t>水温 □；径流 □；水域面积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7" w:type="pct"/>
            <w:vMerge w:val="continue"/>
            <w:vAlign w:val="center"/>
          </w:tcPr>
          <w:p>
            <w:pPr>
              <w:jc w:val="center"/>
              <w:rPr>
                <w:color w:val="auto"/>
                <w:szCs w:val="21"/>
              </w:rPr>
            </w:pPr>
          </w:p>
        </w:tc>
        <w:tc>
          <w:tcPr>
            <w:tcW w:w="627" w:type="pct"/>
            <w:vAlign w:val="center"/>
          </w:tcPr>
          <w:p>
            <w:pPr>
              <w:jc w:val="center"/>
              <w:rPr>
                <w:color w:val="auto"/>
                <w:szCs w:val="21"/>
              </w:rPr>
            </w:pPr>
            <w:r>
              <w:rPr>
                <w:color w:val="auto"/>
                <w:szCs w:val="21"/>
              </w:rPr>
              <w:t>影响因子</w:t>
            </w:r>
          </w:p>
        </w:tc>
        <w:tc>
          <w:tcPr>
            <w:tcW w:w="2147" w:type="pct"/>
            <w:gridSpan w:val="6"/>
            <w:vAlign w:val="center"/>
          </w:tcPr>
          <w:p>
            <w:pPr>
              <w:jc w:val="left"/>
              <w:rPr>
                <w:color w:val="auto"/>
                <w:szCs w:val="21"/>
              </w:rPr>
            </w:pPr>
            <w:r>
              <w:rPr>
                <w:color w:val="auto"/>
                <w:szCs w:val="21"/>
              </w:rPr>
              <w:t>持久性污染物 □；有毒有害污染物 □；非持久性污染物 □；pH值 □；热污染 □；富营养化 □；其他 □</w:t>
            </w:r>
          </w:p>
        </w:tc>
        <w:tc>
          <w:tcPr>
            <w:tcW w:w="1957" w:type="pct"/>
            <w:gridSpan w:val="6"/>
            <w:vAlign w:val="center"/>
          </w:tcPr>
          <w:p>
            <w:pPr>
              <w:jc w:val="left"/>
              <w:rPr>
                <w:color w:val="auto"/>
                <w:szCs w:val="21"/>
              </w:rPr>
            </w:pPr>
            <w:r>
              <w:rPr>
                <w:color w:val="auto"/>
                <w:szCs w:val="21"/>
              </w:rPr>
              <w:t>水温 □；水位（水深） □；流速 □；流量 □；其他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94" w:type="pct"/>
            <w:gridSpan w:val="2"/>
            <w:vMerge w:val="restart"/>
            <w:vAlign w:val="center"/>
          </w:tcPr>
          <w:p>
            <w:pPr>
              <w:jc w:val="center"/>
              <w:rPr>
                <w:color w:val="auto"/>
                <w:szCs w:val="21"/>
              </w:rPr>
            </w:pPr>
            <w:r>
              <w:rPr>
                <w:color w:val="auto"/>
                <w:szCs w:val="21"/>
              </w:rPr>
              <w:t>评价等级</w:t>
            </w:r>
          </w:p>
        </w:tc>
        <w:tc>
          <w:tcPr>
            <w:tcW w:w="2147" w:type="pct"/>
            <w:gridSpan w:val="6"/>
            <w:vAlign w:val="center"/>
          </w:tcPr>
          <w:p>
            <w:pPr>
              <w:jc w:val="center"/>
              <w:rPr>
                <w:color w:val="auto"/>
                <w:szCs w:val="21"/>
              </w:rPr>
            </w:pPr>
            <w:r>
              <w:rPr>
                <w:color w:val="auto"/>
                <w:szCs w:val="21"/>
              </w:rPr>
              <w:t>水污染影响型</w:t>
            </w:r>
          </w:p>
        </w:tc>
        <w:tc>
          <w:tcPr>
            <w:tcW w:w="1957" w:type="pct"/>
            <w:gridSpan w:val="6"/>
            <w:vAlign w:val="center"/>
          </w:tcPr>
          <w:p>
            <w:pPr>
              <w:jc w:val="center"/>
              <w:rPr>
                <w:color w:val="auto"/>
                <w:szCs w:val="21"/>
              </w:rPr>
            </w:pPr>
            <w:r>
              <w:rPr>
                <w:color w:val="auto"/>
                <w:szCs w:val="21"/>
              </w:rPr>
              <w:t>水文要素影响型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94" w:type="pct"/>
            <w:gridSpan w:val="2"/>
            <w:vMerge w:val="continue"/>
            <w:vAlign w:val="center"/>
          </w:tcPr>
          <w:p>
            <w:pPr>
              <w:jc w:val="center"/>
              <w:rPr>
                <w:color w:val="auto"/>
                <w:szCs w:val="21"/>
              </w:rPr>
            </w:pPr>
          </w:p>
        </w:tc>
        <w:tc>
          <w:tcPr>
            <w:tcW w:w="2147" w:type="pct"/>
            <w:gridSpan w:val="6"/>
            <w:vAlign w:val="center"/>
          </w:tcPr>
          <w:p>
            <w:pPr>
              <w:jc w:val="left"/>
              <w:rPr>
                <w:color w:val="auto"/>
                <w:szCs w:val="21"/>
              </w:rPr>
            </w:pPr>
            <w:r>
              <w:rPr>
                <w:color w:val="auto"/>
                <w:szCs w:val="21"/>
              </w:rPr>
              <w:t xml:space="preserve">一级 □；二级 □；三级A □；三级B </w:t>
            </w:r>
            <w:r>
              <w:rPr>
                <w:color w:val="auto"/>
                <w:szCs w:val="21"/>
              </w:rPr>
              <w:sym w:font="Wingdings 2" w:char="0052"/>
            </w:r>
          </w:p>
        </w:tc>
        <w:tc>
          <w:tcPr>
            <w:tcW w:w="1957" w:type="pct"/>
            <w:gridSpan w:val="6"/>
            <w:vAlign w:val="center"/>
          </w:tcPr>
          <w:p>
            <w:pPr>
              <w:jc w:val="left"/>
              <w:rPr>
                <w:color w:val="auto"/>
                <w:szCs w:val="21"/>
              </w:rPr>
            </w:pPr>
            <w:r>
              <w:rPr>
                <w:color w:val="auto"/>
                <w:szCs w:val="21"/>
              </w:rPr>
              <w:t>一级 □；二级 □；三级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7" w:type="pct"/>
            <w:vMerge w:val="restart"/>
            <w:vAlign w:val="center"/>
          </w:tcPr>
          <w:p>
            <w:pPr>
              <w:jc w:val="center"/>
              <w:rPr>
                <w:color w:val="auto"/>
                <w:szCs w:val="21"/>
              </w:rPr>
            </w:pPr>
            <w:r>
              <w:rPr>
                <w:color w:val="auto"/>
                <w:szCs w:val="21"/>
              </w:rPr>
              <w:t>现</w:t>
            </w:r>
          </w:p>
          <w:p>
            <w:pPr>
              <w:jc w:val="center"/>
              <w:rPr>
                <w:color w:val="auto"/>
                <w:szCs w:val="21"/>
              </w:rPr>
            </w:pPr>
            <w:r>
              <w:rPr>
                <w:color w:val="auto"/>
                <w:szCs w:val="21"/>
              </w:rPr>
              <w:t>状</w:t>
            </w:r>
          </w:p>
          <w:p>
            <w:pPr>
              <w:jc w:val="center"/>
              <w:rPr>
                <w:color w:val="auto"/>
                <w:szCs w:val="21"/>
              </w:rPr>
            </w:pPr>
            <w:r>
              <w:rPr>
                <w:color w:val="auto"/>
                <w:szCs w:val="21"/>
              </w:rPr>
              <w:t>调</w:t>
            </w:r>
          </w:p>
          <w:p>
            <w:pPr>
              <w:jc w:val="center"/>
              <w:rPr>
                <w:color w:val="auto"/>
                <w:szCs w:val="21"/>
              </w:rPr>
            </w:pPr>
            <w:r>
              <w:rPr>
                <w:color w:val="auto"/>
                <w:szCs w:val="21"/>
              </w:rPr>
              <w:t>查</w:t>
            </w:r>
          </w:p>
        </w:tc>
        <w:tc>
          <w:tcPr>
            <w:tcW w:w="627" w:type="pct"/>
            <w:vMerge w:val="restart"/>
            <w:vAlign w:val="center"/>
          </w:tcPr>
          <w:p>
            <w:pPr>
              <w:jc w:val="center"/>
              <w:rPr>
                <w:color w:val="auto"/>
                <w:szCs w:val="21"/>
              </w:rPr>
            </w:pPr>
            <w:r>
              <w:rPr>
                <w:color w:val="auto"/>
                <w:szCs w:val="21"/>
              </w:rPr>
              <w:t>区域污染源</w:t>
            </w:r>
          </w:p>
        </w:tc>
        <w:tc>
          <w:tcPr>
            <w:tcW w:w="2147" w:type="pct"/>
            <w:gridSpan w:val="6"/>
            <w:vAlign w:val="center"/>
          </w:tcPr>
          <w:p>
            <w:pPr>
              <w:jc w:val="center"/>
              <w:rPr>
                <w:color w:val="auto"/>
                <w:szCs w:val="21"/>
              </w:rPr>
            </w:pPr>
            <w:r>
              <w:rPr>
                <w:color w:val="auto"/>
                <w:szCs w:val="21"/>
              </w:rPr>
              <w:t>调查项目</w:t>
            </w:r>
          </w:p>
        </w:tc>
        <w:tc>
          <w:tcPr>
            <w:tcW w:w="1957" w:type="pct"/>
            <w:gridSpan w:val="6"/>
            <w:vAlign w:val="center"/>
          </w:tcPr>
          <w:p>
            <w:pPr>
              <w:jc w:val="center"/>
              <w:rPr>
                <w:color w:val="auto"/>
                <w:szCs w:val="21"/>
              </w:rPr>
            </w:pPr>
            <w:r>
              <w:rPr>
                <w:color w:val="auto"/>
                <w:szCs w:val="21"/>
              </w:rPr>
              <w:t>数据来源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7" w:type="pct"/>
            <w:vMerge w:val="continue"/>
            <w:vAlign w:val="center"/>
          </w:tcPr>
          <w:p>
            <w:pPr>
              <w:jc w:val="center"/>
              <w:rPr>
                <w:color w:val="auto"/>
                <w:szCs w:val="21"/>
              </w:rPr>
            </w:pPr>
          </w:p>
        </w:tc>
        <w:tc>
          <w:tcPr>
            <w:tcW w:w="627" w:type="pct"/>
            <w:vMerge w:val="continue"/>
            <w:vAlign w:val="center"/>
          </w:tcPr>
          <w:p>
            <w:pPr>
              <w:jc w:val="center"/>
              <w:rPr>
                <w:color w:val="auto"/>
                <w:szCs w:val="21"/>
              </w:rPr>
            </w:pPr>
          </w:p>
        </w:tc>
        <w:tc>
          <w:tcPr>
            <w:tcW w:w="1260" w:type="pct"/>
            <w:gridSpan w:val="3"/>
            <w:vAlign w:val="center"/>
          </w:tcPr>
          <w:p>
            <w:pPr>
              <w:jc w:val="left"/>
              <w:rPr>
                <w:color w:val="auto"/>
                <w:szCs w:val="21"/>
              </w:rPr>
            </w:pPr>
            <w:r>
              <w:rPr>
                <w:color w:val="auto"/>
                <w:szCs w:val="21"/>
              </w:rPr>
              <w:t xml:space="preserve">已建 □；在建 □；拟建 </w:t>
            </w:r>
            <w:r>
              <w:rPr>
                <w:color w:val="auto"/>
                <w:szCs w:val="21"/>
              </w:rPr>
              <w:sym w:font="Wingdings 2" w:char="0052"/>
            </w:r>
            <w:r>
              <w:rPr>
                <w:color w:val="auto"/>
                <w:szCs w:val="21"/>
              </w:rPr>
              <w:t>；其他 □</w:t>
            </w:r>
          </w:p>
        </w:tc>
        <w:tc>
          <w:tcPr>
            <w:tcW w:w="887" w:type="pct"/>
            <w:gridSpan w:val="3"/>
            <w:vAlign w:val="center"/>
          </w:tcPr>
          <w:p>
            <w:pPr>
              <w:jc w:val="left"/>
              <w:rPr>
                <w:color w:val="auto"/>
                <w:szCs w:val="21"/>
              </w:rPr>
            </w:pPr>
            <w:r>
              <w:rPr>
                <w:color w:val="auto"/>
                <w:szCs w:val="21"/>
              </w:rPr>
              <w:t>拟替代的污染源□</w:t>
            </w:r>
          </w:p>
        </w:tc>
        <w:tc>
          <w:tcPr>
            <w:tcW w:w="1957" w:type="pct"/>
            <w:gridSpan w:val="6"/>
            <w:vAlign w:val="center"/>
          </w:tcPr>
          <w:p>
            <w:pPr>
              <w:jc w:val="center"/>
              <w:rPr>
                <w:color w:val="auto"/>
                <w:szCs w:val="21"/>
              </w:rPr>
            </w:pPr>
            <w:r>
              <w:rPr>
                <w:color w:val="auto"/>
                <w:szCs w:val="21"/>
              </w:rPr>
              <w:t xml:space="preserve">排污许可证 □；环评 □；环保验收 □；既有实测 </w:t>
            </w:r>
            <w:r>
              <w:rPr>
                <w:color w:val="auto"/>
                <w:szCs w:val="21"/>
              </w:rPr>
              <w:sym w:font="Wingdings 2" w:char="00A3"/>
            </w:r>
            <w:r>
              <w:rPr>
                <w:color w:val="auto"/>
                <w:szCs w:val="21"/>
              </w:rPr>
              <w:t xml:space="preserve">；现场监测 </w:t>
            </w:r>
            <w:r>
              <w:rPr>
                <w:color w:val="auto"/>
                <w:szCs w:val="21"/>
              </w:rPr>
              <w:sym w:font="Wingdings 2" w:char="00A3"/>
            </w:r>
            <w:r>
              <w:rPr>
                <w:color w:val="auto"/>
                <w:szCs w:val="21"/>
              </w:rPr>
              <w:t>；入河排放口数据 □；其他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7" w:type="pct"/>
            <w:vMerge w:val="continue"/>
            <w:vAlign w:val="center"/>
          </w:tcPr>
          <w:p>
            <w:pPr>
              <w:jc w:val="center"/>
              <w:rPr>
                <w:color w:val="auto"/>
                <w:szCs w:val="21"/>
              </w:rPr>
            </w:pPr>
          </w:p>
        </w:tc>
        <w:tc>
          <w:tcPr>
            <w:tcW w:w="627" w:type="pct"/>
            <w:vMerge w:val="restart"/>
            <w:vAlign w:val="center"/>
          </w:tcPr>
          <w:p>
            <w:pPr>
              <w:jc w:val="center"/>
              <w:rPr>
                <w:color w:val="auto"/>
                <w:szCs w:val="21"/>
              </w:rPr>
            </w:pPr>
            <w:r>
              <w:rPr>
                <w:color w:val="auto"/>
                <w:szCs w:val="21"/>
              </w:rPr>
              <w:t>受影响水体水环境质量</w:t>
            </w:r>
          </w:p>
        </w:tc>
        <w:tc>
          <w:tcPr>
            <w:tcW w:w="2147" w:type="pct"/>
            <w:gridSpan w:val="6"/>
            <w:vAlign w:val="center"/>
          </w:tcPr>
          <w:p>
            <w:pPr>
              <w:jc w:val="center"/>
              <w:rPr>
                <w:color w:val="auto"/>
                <w:szCs w:val="21"/>
              </w:rPr>
            </w:pPr>
            <w:r>
              <w:rPr>
                <w:color w:val="auto"/>
                <w:szCs w:val="21"/>
              </w:rPr>
              <w:t>调查时期</w:t>
            </w:r>
          </w:p>
        </w:tc>
        <w:tc>
          <w:tcPr>
            <w:tcW w:w="1957" w:type="pct"/>
            <w:gridSpan w:val="6"/>
            <w:vAlign w:val="center"/>
          </w:tcPr>
          <w:p>
            <w:pPr>
              <w:jc w:val="center"/>
              <w:rPr>
                <w:color w:val="auto"/>
                <w:szCs w:val="21"/>
              </w:rPr>
            </w:pPr>
            <w:r>
              <w:rPr>
                <w:color w:val="auto"/>
                <w:szCs w:val="21"/>
              </w:rPr>
              <w:t>数据来源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7" w:type="pct"/>
            <w:vMerge w:val="continue"/>
            <w:vAlign w:val="center"/>
          </w:tcPr>
          <w:p>
            <w:pPr>
              <w:jc w:val="center"/>
              <w:rPr>
                <w:color w:val="auto"/>
                <w:szCs w:val="21"/>
              </w:rPr>
            </w:pPr>
          </w:p>
        </w:tc>
        <w:tc>
          <w:tcPr>
            <w:tcW w:w="627" w:type="pct"/>
            <w:vMerge w:val="continue"/>
            <w:vAlign w:val="center"/>
          </w:tcPr>
          <w:p>
            <w:pPr>
              <w:jc w:val="center"/>
              <w:rPr>
                <w:color w:val="auto"/>
                <w:szCs w:val="21"/>
              </w:rPr>
            </w:pPr>
          </w:p>
        </w:tc>
        <w:tc>
          <w:tcPr>
            <w:tcW w:w="2147" w:type="pct"/>
            <w:gridSpan w:val="6"/>
            <w:vAlign w:val="center"/>
          </w:tcPr>
          <w:p>
            <w:pPr>
              <w:jc w:val="left"/>
              <w:rPr>
                <w:color w:val="auto"/>
                <w:szCs w:val="21"/>
              </w:rPr>
            </w:pPr>
            <w:r>
              <w:rPr>
                <w:color w:val="auto"/>
                <w:szCs w:val="21"/>
              </w:rPr>
              <w:t xml:space="preserve">丰水期 □；平水期 □；枯水期 </w:t>
            </w:r>
            <w:r>
              <w:rPr>
                <w:color w:val="auto"/>
                <w:szCs w:val="21"/>
              </w:rPr>
              <w:sym w:font="Wingdings 2" w:char="0052"/>
            </w:r>
            <w:r>
              <w:rPr>
                <w:color w:val="auto"/>
                <w:szCs w:val="21"/>
              </w:rPr>
              <w:t>；冰封期 □</w:t>
            </w:r>
          </w:p>
          <w:p>
            <w:pPr>
              <w:jc w:val="left"/>
              <w:rPr>
                <w:color w:val="auto"/>
                <w:szCs w:val="21"/>
              </w:rPr>
            </w:pPr>
            <w:r>
              <w:rPr>
                <w:color w:val="auto"/>
                <w:szCs w:val="21"/>
              </w:rPr>
              <w:t xml:space="preserve">春季 </w:t>
            </w:r>
            <w:r>
              <w:rPr>
                <w:color w:val="auto"/>
                <w:szCs w:val="21"/>
              </w:rPr>
              <w:sym w:font="Wingdings 2" w:char="0052"/>
            </w:r>
            <w:r>
              <w:rPr>
                <w:color w:val="auto"/>
                <w:szCs w:val="21"/>
              </w:rPr>
              <w:t xml:space="preserve">；夏季 □；秋季 □；冬季 □ </w:t>
            </w:r>
          </w:p>
        </w:tc>
        <w:tc>
          <w:tcPr>
            <w:tcW w:w="1957" w:type="pct"/>
            <w:gridSpan w:val="6"/>
            <w:vAlign w:val="center"/>
          </w:tcPr>
          <w:p>
            <w:pPr>
              <w:rPr>
                <w:color w:val="auto"/>
                <w:szCs w:val="21"/>
              </w:rPr>
            </w:pPr>
            <w:r>
              <w:rPr>
                <w:color w:val="auto"/>
                <w:szCs w:val="21"/>
              </w:rPr>
              <w:t xml:space="preserve">生态环境保护主管部门 </w:t>
            </w:r>
            <w:r>
              <w:rPr>
                <w:color w:val="auto"/>
                <w:szCs w:val="21"/>
              </w:rPr>
              <w:sym w:font="Wingdings 2" w:char="00A3"/>
            </w:r>
            <w:r>
              <w:rPr>
                <w:color w:val="auto"/>
                <w:szCs w:val="21"/>
              </w:rPr>
              <w:t xml:space="preserve">；补充监测 </w:t>
            </w:r>
            <w:r>
              <w:rPr>
                <w:color w:val="auto"/>
                <w:szCs w:val="21"/>
              </w:rPr>
              <w:sym w:font="Wingdings 2" w:char="0052"/>
            </w:r>
            <w:r>
              <w:rPr>
                <w:color w:val="auto"/>
                <w:szCs w:val="21"/>
              </w:rPr>
              <w:t xml:space="preserve">；其他 </w:t>
            </w:r>
            <w:r>
              <w:rPr>
                <w:color w:val="auto"/>
                <w:szCs w:val="21"/>
              </w:rPr>
              <w:sym w:font="Wingdings 2" w:char="00A3"/>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7" w:type="pct"/>
            <w:vMerge w:val="continue"/>
            <w:vAlign w:val="center"/>
          </w:tcPr>
          <w:p>
            <w:pPr>
              <w:jc w:val="center"/>
              <w:rPr>
                <w:color w:val="auto"/>
                <w:szCs w:val="21"/>
              </w:rPr>
            </w:pPr>
          </w:p>
        </w:tc>
        <w:tc>
          <w:tcPr>
            <w:tcW w:w="627" w:type="pct"/>
            <w:vAlign w:val="center"/>
          </w:tcPr>
          <w:p>
            <w:pPr>
              <w:jc w:val="center"/>
              <w:rPr>
                <w:color w:val="auto"/>
                <w:szCs w:val="21"/>
              </w:rPr>
            </w:pPr>
            <w:r>
              <w:rPr>
                <w:color w:val="auto"/>
                <w:szCs w:val="21"/>
              </w:rPr>
              <w:t>区域水资源开发利用状况</w:t>
            </w:r>
          </w:p>
        </w:tc>
        <w:tc>
          <w:tcPr>
            <w:tcW w:w="4105" w:type="pct"/>
            <w:gridSpan w:val="12"/>
            <w:vAlign w:val="center"/>
          </w:tcPr>
          <w:p>
            <w:pPr>
              <w:jc w:val="left"/>
              <w:rPr>
                <w:color w:val="auto"/>
                <w:szCs w:val="21"/>
              </w:rPr>
            </w:pPr>
            <w:r>
              <w:rPr>
                <w:color w:val="auto"/>
                <w:szCs w:val="21"/>
              </w:rPr>
              <w:t>未开发 □；开发量 40%以下 □；开发量 40%以上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7" w:type="pct"/>
            <w:vMerge w:val="continue"/>
            <w:vAlign w:val="center"/>
          </w:tcPr>
          <w:p>
            <w:pPr>
              <w:jc w:val="center"/>
              <w:rPr>
                <w:color w:val="auto"/>
                <w:szCs w:val="21"/>
              </w:rPr>
            </w:pPr>
          </w:p>
        </w:tc>
        <w:tc>
          <w:tcPr>
            <w:tcW w:w="627" w:type="pct"/>
            <w:vMerge w:val="restart"/>
            <w:vAlign w:val="center"/>
          </w:tcPr>
          <w:p>
            <w:pPr>
              <w:jc w:val="center"/>
              <w:rPr>
                <w:color w:val="auto"/>
                <w:szCs w:val="21"/>
              </w:rPr>
            </w:pPr>
            <w:r>
              <w:rPr>
                <w:color w:val="auto"/>
                <w:szCs w:val="21"/>
              </w:rPr>
              <w:t>水文情势调查</w:t>
            </w:r>
          </w:p>
        </w:tc>
        <w:tc>
          <w:tcPr>
            <w:tcW w:w="2147" w:type="pct"/>
            <w:gridSpan w:val="6"/>
            <w:vAlign w:val="center"/>
          </w:tcPr>
          <w:p>
            <w:pPr>
              <w:jc w:val="center"/>
              <w:rPr>
                <w:color w:val="auto"/>
                <w:szCs w:val="21"/>
              </w:rPr>
            </w:pPr>
            <w:r>
              <w:rPr>
                <w:color w:val="auto"/>
                <w:szCs w:val="21"/>
              </w:rPr>
              <w:t>调查时期</w:t>
            </w:r>
          </w:p>
        </w:tc>
        <w:tc>
          <w:tcPr>
            <w:tcW w:w="1957" w:type="pct"/>
            <w:gridSpan w:val="6"/>
            <w:vAlign w:val="center"/>
          </w:tcPr>
          <w:p>
            <w:pPr>
              <w:jc w:val="center"/>
              <w:rPr>
                <w:color w:val="auto"/>
                <w:szCs w:val="21"/>
              </w:rPr>
            </w:pPr>
            <w:r>
              <w:rPr>
                <w:color w:val="auto"/>
                <w:szCs w:val="21"/>
              </w:rPr>
              <w:t>数据来源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7" w:type="pct"/>
            <w:vMerge w:val="continue"/>
            <w:vAlign w:val="center"/>
          </w:tcPr>
          <w:p>
            <w:pPr>
              <w:jc w:val="center"/>
              <w:rPr>
                <w:color w:val="auto"/>
                <w:szCs w:val="21"/>
              </w:rPr>
            </w:pPr>
          </w:p>
        </w:tc>
        <w:tc>
          <w:tcPr>
            <w:tcW w:w="627" w:type="pct"/>
            <w:vMerge w:val="continue"/>
            <w:vAlign w:val="center"/>
          </w:tcPr>
          <w:p>
            <w:pPr>
              <w:jc w:val="center"/>
              <w:rPr>
                <w:color w:val="auto"/>
                <w:szCs w:val="21"/>
              </w:rPr>
            </w:pPr>
          </w:p>
        </w:tc>
        <w:tc>
          <w:tcPr>
            <w:tcW w:w="2147" w:type="pct"/>
            <w:gridSpan w:val="6"/>
            <w:vAlign w:val="center"/>
          </w:tcPr>
          <w:p>
            <w:pPr>
              <w:jc w:val="left"/>
              <w:rPr>
                <w:color w:val="auto"/>
                <w:szCs w:val="21"/>
              </w:rPr>
            </w:pPr>
            <w:r>
              <w:rPr>
                <w:color w:val="auto"/>
                <w:szCs w:val="21"/>
              </w:rPr>
              <w:t>丰水期 □；平水期 □；枯水期 □；冰封期</w:t>
            </w:r>
          </w:p>
          <w:p>
            <w:pPr>
              <w:jc w:val="left"/>
              <w:rPr>
                <w:color w:val="auto"/>
                <w:szCs w:val="21"/>
              </w:rPr>
            </w:pPr>
            <w:r>
              <w:rPr>
                <w:color w:val="auto"/>
                <w:szCs w:val="21"/>
              </w:rPr>
              <w:t>春季 □；夏季 □；秋季 □；冬季 □</w:t>
            </w:r>
          </w:p>
        </w:tc>
        <w:tc>
          <w:tcPr>
            <w:tcW w:w="1957" w:type="pct"/>
            <w:gridSpan w:val="6"/>
            <w:vAlign w:val="center"/>
          </w:tcPr>
          <w:p>
            <w:pPr>
              <w:jc w:val="left"/>
              <w:rPr>
                <w:color w:val="auto"/>
                <w:szCs w:val="21"/>
              </w:rPr>
            </w:pPr>
            <w:r>
              <w:rPr>
                <w:color w:val="auto"/>
                <w:szCs w:val="21"/>
              </w:rPr>
              <w:t>水行政主管部门 □；补充监测 □；其他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7" w:type="pct"/>
            <w:vMerge w:val="continue"/>
            <w:vAlign w:val="center"/>
          </w:tcPr>
          <w:p>
            <w:pPr>
              <w:jc w:val="center"/>
              <w:rPr>
                <w:color w:val="auto"/>
                <w:szCs w:val="21"/>
              </w:rPr>
            </w:pPr>
          </w:p>
        </w:tc>
        <w:tc>
          <w:tcPr>
            <w:tcW w:w="627" w:type="pct"/>
            <w:vMerge w:val="restart"/>
            <w:vAlign w:val="center"/>
          </w:tcPr>
          <w:p>
            <w:pPr>
              <w:jc w:val="center"/>
              <w:rPr>
                <w:color w:val="auto"/>
                <w:szCs w:val="21"/>
              </w:rPr>
            </w:pPr>
            <w:r>
              <w:rPr>
                <w:color w:val="auto"/>
                <w:szCs w:val="21"/>
              </w:rPr>
              <w:t>补充监测</w:t>
            </w:r>
          </w:p>
        </w:tc>
        <w:tc>
          <w:tcPr>
            <w:tcW w:w="1491" w:type="pct"/>
            <w:gridSpan w:val="4"/>
            <w:vAlign w:val="center"/>
          </w:tcPr>
          <w:p>
            <w:pPr>
              <w:jc w:val="center"/>
              <w:rPr>
                <w:color w:val="auto"/>
                <w:szCs w:val="21"/>
              </w:rPr>
            </w:pPr>
            <w:r>
              <w:rPr>
                <w:color w:val="auto"/>
                <w:szCs w:val="21"/>
              </w:rPr>
              <w:t>监测时期</w:t>
            </w:r>
          </w:p>
        </w:tc>
        <w:tc>
          <w:tcPr>
            <w:tcW w:w="1140" w:type="pct"/>
            <w:gridSpan w:val="5"/>
            <w:vAlign w:val="center"/>
          </w:tcPr>
          <w:p>
            <w:pPr>
              <w:jc w:val="center"/>
              <w:rPr>
                <w:color w:val="auto"/>
                <w:szCs w:val="21"/>
              </w:rPr>
            </w:pPr>
            <w:r>
              <w:rPr>
                <w:color w:val="auto"/>
                <w:szCs w:val="21"/>
              </w:rPr>
              <w:t>监测因子</w:t>
            </w:r>
          </w:p>
        </w:tc>
        <w:tc>
          <w:tcPr>
            <w:tcW w:w="1473" w:type="pct"/>
            <w:gridSpan w:val="3"/>
            <w:vAlign w:val="center"/>
          </w:tcPr>
          <w:p>
            <w:pPr>
              <w:jc w:val="center"/>
              <w:rPr>
                <w:color w:val="auto"/>
                <w:szCs w:val="21"/>
              </w:rPr>
            </w:pPr>
            <w:r>
              <w:rPr>
                <w:color w:val="auto"/>
                <w:szCs w:val="21"/>
              </w:rPr>
              <w:t>监测断面或点位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7" w:type="pct"/>
            <w:vMerge w:val="continue"/>
            <w:vAlign w:val="center"/>
          </w:tcPr>
          <w:p>
            <w:pPr>
              <w:jc w:val="center"/>
              <w:rPr>
                <w:color w:val="auto"/>
                <w:szCs w:val="21"/>
              </w:rPr>
            </w:pPr>
          </w:p>
        </w:tc>
        <w:tc>
          <w:tcPr>
            <w:tcW w:w="627" w:type="pct"/>
            <w:vMerge w:val="continue"/>
            <w:vAlign w:val="center"/>
          </w:tcPr>
          <w:p>
            <w:pPr>
              <w:jc w:val="center"/>
              <w:rPr>
                <w:color w:val="auto"/>
                <w:szCs w:val="21"/>
              </w:rPr>
            </w:pPr>
          </w:p>
        </w:tc>
        <w:tc>
          <w:tcPr>
            <w:tcW w:w="1491" w:type="pct"/>
            <w:gridSpan w:val="4"/>
            <w:vAlign w:val="center"/>
          </w:tcPr>
          <w:p>
            <w:pPr>
              <w:jc w:val="left"/>
              <w:rPr>
                <w:color w:val="auto"/>
                <w:szCs w:val="21"/>
              </w:rPr>
            </w:pPr>
            <w:r>
              <w:rPr>
                <w:color w:val="auto"/>
                <w:szCs w:val="21"/>
              </w:rPr>
              <w:t xml:space="preserve">丰水期 □；平水期 □；枯水期 □；冰封期 □ </w:t>
            </w:r>
          </w:p>
          <w:p>
            <w:pPr>
              <w:jc w:val="left"/>
              <w:rPr>
                <w:color w:val="auto"/>
                <w:szCs w:val="21"/>
              </w:rPr>
            </w:pPr>
            <w:r>
              <w:rPr>
                <w:color w:val="auto"/>
                <w:szCs w:val="21"/>
              </w:rPr>
              <w:t xml:space="preserve">春季 </w:t>
            </w:r>
            <w:r>
              <w:rPr>
                <w:color w:val="auto"/>
                <w:szCs w:val="21"/>
              </w:rPr>
              <w:sym w:font="Wingdings 2" w:char="00A3"/>
            </w:r>
            <w:r>
              <w:rPr>
                <w:color w:val="auto"/>
                <w:szCs w:val="21"/>
              </w:rPr>
              <w:t>；夏季 □；秋季 □；冬季 □</w:t>
            </w:r>
          </w:p>
        </w:tc>
        <w:tc>
          <w:tcPr>
            <w:tcW w:w="1140" w:type="pct"/>
            <w:gridSpan w:val="5"/>
            <w:vAlign w:val="center"/>
          </w:tcPr>
          <w:p>
            <w:pPr>
              <w:jc w:val="center"/>
              <w:rPr>
                <w:color w:val="auto"/>
                <w:szCs w:val="21"/>
              </w:rPr>
            </w:pPr>
            <w:r>
              <w:rPr>
                <w:color w:val="auto"/>
                <w:szCs w:val="21"/>
              </w:rPr>
              <w:t>（）</w:t>
            </w:r>
          </w:p>
        </w:tc>
        <w:tc>
          <w:tcPr>
            <w:tcW w:w="1473" w:type="pct"/>
            <w:gridSpan w:val="3"/>
            <w:vAlign w:val="center"/>
          </w:tcPr>
          <w:p>
            <w:pPr>
              <w:jc w:val="center"/>
              <w:rPr>
                <w:color w:val="auto"/>
                <w:szCs w:val="21"/>
              </w:rPr>
            </w:pPr>
            <w:r>
              <w:rPr>
                <w:color w:val="auto"/>
                <w:szCs w:val="21"/>
              </w:rPr>
              <w:t>监测断面或点位个数</w:t>
            </w:r>
          </w:p>
          <w:p>
            <w:pPr>
              <w:jc w:val="center"/>
              <w:rPr>
                <w:color w:val="auto"/>
                <w:szCs w:val="21"/>
              </w:rPr>
            </w:pPr>
            <w:r>
              <w:rPr>
                <w:color w:val="auto"/>
                <w:szCs w:val="21"/>
              </w:rPr>
              <w:t xml:space="preserve">（）个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7" w:type="pct"/>
            <w:vMerge w:val="restart"/>
            <w:vAlign w:val="center"/>
          </w:tcPr>
          <w:p>
            <w:pPr>
              <w:jc w:val="center"/>
              <w:rPr>
                <w:color w:val="auto"/>
                <w:szCs w:val="21"/>
              </w:rPr>
            </w:pPr>
            <w:r>
              <w:rPr>
                <w:color w:val="auto"/>
                <w:szCs w:val="21"/>
              </w:rPr>
              <w:t>现</w:t>
            </w:r>
          </w:p>
          <w:p>
            <w:pPr>
              <w:jc w:val="center"/>
              <w:rPr>
                <w:color w:val="auto"/>
                <w:szCs w:val="21"/>
              </w:rPr>
            </w:pPr>
            <w:r>
              <w:rPr>
                <w:color w:val="auto"/>
                <w:szCs w:val="21"/>
              </w:rPr>
              <w:t>状</w:t>
            </w:r>
          </w:p>
          <w:p>
            <w:pPr>
              <w:jc w:val="center"/>
              <w:rPr>
                <w:color w:val="auto"/>
                <w:szCs w:val="21"/>
              </w:rPr>
            </w:pPr>
            <w:r>
              <w:rPr>
                <w:color w:val="auto"/>
                <w:szCs w:val="21"/>
              </w:rPr>
              <w:t>评</w:t>
            </w:r>
          </w:p>
          <w:p>
            <w:pPr>
              <w:jc w:val="center"/>
              <w:rPr>
                <w:color w:val="auto"/>
                <w:szCs w:val="21"/>
              </w:rPr>
            </w:pPr>
            <w:r>
              <w:rPr>
                <w:color w:val="auto"/>
                <w:szCs w:val="21"/>
              </w:rPr>
              <w:t>价</w:t>
            </w:r>
          </w:p>
        </w:tc>
        <w:tc>
          <w:tcPr>
            <w:tcW w:w="627" w:type="pct"/>
            <w:vAlign w:val="center"/>
          </w:tcPr>
          <w:p>
            <w:pPr>
              <w:jc w:val="center"/>
              <w:rPr>
                <w:color w:val="auto"/>
                <w:szCs w:val="21"/>
              </w:rPr>
            </w:pPr>
            <w:r>
              <w:rPr>
                <w:color w:val="auto"/>
                <w:szCs w:val="21"/>
              </w:rPr>
              <w:t>评价范围</w:t>
            </w:r>
          </w:p>
        </w:tc>
        <w:tc>
          <w:tcPr>
            <w:tcW w:w="4105" w:type="pct"/>
            <w:gridSpan w:val="12"/>
            <w:vAlign w:val="center"/>
          </w:tcPr>
          <w:p>
            <w:pPr>
              <w:jc w:val="left"/>
              <w:rPr>
                <w:color w:val="auto"/>
                <w:szCs w:val="21"/>
              </w:rPr>
            </w:pPr>
            <w:r>
              <w:rPr>
                <w:color w:val="auto"/>
                <w:szCs w:val="21"/>
              </w:rPr>
              <w:t>河流：长度（</w:t>
            </w:r>
            <w:r>
              <w:rPr>
                <w:rFonts w:hint="eastAsia"/>
                <w:color w:val="auto"/>
                <w:szCs w:val="21"/>
              </w:rPr>
              <w:t>2.5</w:t>
            </w:r>
            <w:r>
              <w:rPr>
                <w:color w:val="auto"/>
                <w:szCs w:val="21"/>
              </w:rPr>
              <w:t>）km；湖库、河口及近岸海域：面积（ ）km</w:t>
            </w:r>
            <w:r>
              <w:rPr>
                <w:color w:val="auto"/>
                <w:szCs w:val="21"/>
                <w:vertAlign w:val="superscript"/>
              </w:rPr>
              <w:t>2</w:t>
            </w:r>
            <w:r>
              <w:rPr>
                <w:color w:val="auto"/>
                <w:szCs w:val="21"/>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7" w:type="pct"/>
            <w:vMerge w:val="continue"/>
            <w:vAlign w:val="center"/>
          </w:tcPr>
          <w:p>
            <w:pPr>
              <w:jc w:val="center"/>
              <w:rPr>
                <w:color w:val="auto"/>
                <w:szCs w:val="21"/>
              </w:rPr>
            </w:pPr>
          </w:p>
        </w:tc>
        <w:tc>
          <w:tcPr>
            <w:tcW w:w="627" w:type="pct"/>
            <w:vAlign w:val="center"/>
          </w:tcPr>
          <w:p>
            <w:pPr>
              <w:jc w:val="center"/>
              <w:rPr>
                <w:color w:val="auto"/>
                <w:szCs w:val="21"/>
              </w:rPr>
            </w:pPr>
            <w:r>
              <w:rPr>
                <w:color w:val="auto"/>
                <w:szCs w:val="21"/>
              </w:rPr>
              <w:t>评价因子</w:t>
            </w:r>
          </w:p>
        </w:tc>
        <w:tc>
          <w:tcPr>
            <w:tcW w:w="4105" w:type="pct"/>
            <w:gridSpan w:val="12"/>
            <w:vAlign w:val="center"/>
          </w:tcPr>
          <w:p>
            <w:pPr>
              <w:jc w:val="center"/>
              <w:rPr>
                <w:color w:val="auto"/>
                <w:szCs w:val="21"/>
              </w:rPr>
            </w:pPr>
            <w:r>
              <w:rPr>
                <w:color w:val="auto"/>
                <w:szCs w:val="21"/>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7" w:type="pct"/>
            <w:vMerge w:val="continue"/>
            <w:vAlign w:val="center"/>
          </w:tcPr>
          <w:p>
            <w:pPr>
              <w:jc w:val="center"/>
              <w:rPr>
                <w:color w:val="auto"/>
                <w:szCs w:val="21"/>
              </w:rPr>
            </w:pPr>
          </w:p>
        </w:tc>
        <w:tc>
          <w:tcPr>
            <w:tcW w:w="627" w:type="pct"/>
            <w:vAlign w:val="center"/>
          </w:tcPr>
          <w:p>
            <w:pPr>
              <w:jc w:val="center"/>
              <w:rPr>
                <w:color w:val="auto"/>
                <w:szCs w:val="21"/>
              </w:rPr>
            </w:pPr>
            <w:r>
              <w:rPr>
                <w:color w:val="auto"/>
                <w:szCs w:val="21"/>
              </w:rPr>
              <w:t>评价标准</w:t>
            </w:r>
          </w:p>
        </w:tc>
        <w:tc>
          <w:tcPr>
            <w:tcW w:w="4105" w:type="pct"/>
            <w:gridSpan w:val="12"/>
            <w:vAlign w:val="center"/>
          </w:tcPr>
          <w:p>
            <w:pPr>
              <w:jc w:val="left"/>
              <w:rPr>
                <w:color w:val="auto"/>
                <w:szCs w:val="21"/>
              </w:rPr>
            </w:pPr>
            <w:r>
              <w:rPr>
                <w:color w:val="auto"/>
                <w:szCs w:val="21"/>
              </w:rPr>
              <w:t xml:space="preserve">河流、湖库、河口：Ⅰ类 □；Ⅱ类 □；Ⅲ类 </w:t>
            </w:r>
            <w:r>
              <w:rPr>
                <w:color w:val="auto"/>
                <w:szCs w:val="21"/>
              </w:rPr>
              <w:sym w:font="Wingdings 2" w:char="0052"/>
            </w:r>
            <w:r>
              <w:rPr>
                <w:color w:val="auto"/>
                <w:szCs w:val="21"/>
              </w:rPr>
              <w:t xml:space="preserve">；Ⅳ类 □；Ⅴ类 □ </w:t>
            </w:r>
          </w:p>
          <w:p>
            <w:pPr>
              <w:jc w:val="left"/>
              <w:rPr>
                <w:color w:val="auto"/>
                <w:szCs w:val="21"/>
              </w:rPr>
            </w:pPr>
            <w:r>
              <w:rPr>
                <w:color w:val="auto"/>
                <w:szCs w:val="21"/>
              </w:rPr>
              <w:t xml:space="preserve">近岸海域：第一类 □；第二类 □；第三类 □；第四类 □ </w:t>
            </w:r>
          </w:p>
          <w:p>
            <w:pPr>
              <w:jc w:val="left"/>
              <w:rPr>
                <w:color w:val="auto"/>
                <w:szCs w:val="21"/>
              </w:rPr>
            </w:pPr>
            <w:r>
              <w:rPr>
                <w:color w:val="auto"/>
                <w:szCs w:val="21"/>
              </w:rPr>
              <w:t xml:space="preserve">规划年评价标准（/）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7" w:type="pct"/>
            <w:vMerge w:val="continue"/>
            <w:vAlign w:val="center"/>
          </w:tcPr>
          <w:p>
            <w:pPr>
              <w:jc w:val="center"/>
              <w:rPr>
                <w:color w:val="auto"/>
                <w:szCs w:val="21"/>
              </w:rPr>
            </w:pPr>
          </w:p>
        </w:tc>
        <w:tc>
          <w:tcPr>
            <w:tcW w:w="627" w:type="pct"/>
            <w:vAlign w:val="center"/>
          </w:tcPr>
          <w:p>
            <w:pPr>
              <w:jc w:val="center"/>
              <w:rPr>
                <w:color w:val="auto"/>
                <w:szCs w:val="21"/>
              </w:rPr>
            </w:pPr>
            <w:r>
              <w:rPr>
                <w:color w:val="auto"/>
                <w:szCs w:val="21"/>
              </w:rPr>
              <w:t>评价时期</w:t>
            </w:r>
          </w:p>
        </w:tc>
        <w:tc>
          <w:tcPr>
            <w:tcW w:w="4105" w:type="pct"/>
            <w:gridSpan w:val="12"/>
            <w:vAlign w:val="center"/>
          </w:tcPr>
          <w:p>
            <w:pPr>
              <w:jc w:val="left"/>
              <w:rPr>
                <w:color w:val="auto"/>
                <w:szCs w:val="21"/>
              </w:rPr>
            </w:pPr>
            <w:r>
              <w:rPr>
                <w:color w:val="auto"/>
                <w:szCs w:val="21"/>
              </w:rPr>
              <w:t xml:space="preserve">丰水期 □；平水期 □；枯水期 </w:t>
            </w:r>
            <w:r>
              <w:rPr>
                <w:color w:val="auto"/>
                <w:szCs w:val="21"/>
              </w:rPr>
              <w:sym w:font="Wingdings 2" w:char="0052"/>
            </w:r>
            <w:r>
              <w:rPr>
                <w:color w:val="auto"/>
                <w:szCs w:val="21"/>
              </w:rPr>
              <w:t xml:space="preserve">；冰封期 □ </w:t>
            </w:r>
          </w:p>
          <w:p>
            <w:pPr>
              <w:jc w:val="left"/>
              <w:rPr>
                <w:color w:val="auto"/>
                <w:szCs w:val="21"/>
              </w:rPr>
            </w:pPr>
            <w:r>
              <w:rPr>
                <w:color w:val="auto"/>
                <w:szCs w:val="21"/>
              </w:rPr>
              <w:t xml:space="preserve">春季 </w:t>
            </w:r>
            <w:r>
              <w:rPr>
                <w:color w:val="auto"/>
                <w:szCs w:val="21"/>
              </w:rPr>
              <w:sym w:font="Wingdings 2" w:char="0052"/>
            </w:r>
            <w:r>
              <w:rPr>
                <w:color w:val="auto"/>
                <w:szCs w:val="21"/>
              </w:rPr>
              <w:t xml:space="preserve">；夏季 □；秋季 □；冬季 □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7" w:type="pct"/>
            <w:vMerge w:val="continue"/>
            <w:vAlign w:val="center"/>
          </w:tcPr>
          <w:p>
            <w:pPr>
              <w:jc w:val="center"/>
              <w:rPr>
                <w:color w:val="auto"/>
                <w:szCs w:val="21"/>
              </w:rPr>
            </w:pPr>
          </w:p>
        </w:tc>
        <w:tc>
          <w:tcPr>
            <w:tcW w:w="627" w:type="pct"/>
            <w:vAlign w:val="center"/>
          </w:tcPr>
          <w:p>
            <w:pPr>
              <w:jc w:val="center"/>
              <w:rPr>
                <w:color w:val="auto"/>
                <w:szCs w:val="21"/>
              </w:rPr>
            </w:pPr>
            <w:r>
              <w:rPr>
                <w:color w:val="auto"/>
                <w:szCs w:val="21"/>
              </w:rPr>
              <w:t>评价结论</w:t>
            </w:r>
          </w:p>
        </w:tc>
        <w:tc>
          <w:tcPr>
            <w:tcW w:w="3621" w:type="pct"/>
            <w:gridSpan w:val="11"/>
            <w:vAlign w:val="center"/>
          </w:tcPr>
          <w:p>
            <w:pPr>
              <w:jc w:val="left"/>
              <w:rPr>
                <w:color w:val="auto"/>
                <w:szCs w:val="21"/>
              </w:rPr>
            </w:pPr>
            <w:r>
              <w:rPr>
                <w:color w:val="auto"/>
                <w:szCs w:val="21"/>
              </w:rPr>
              <w:t xml:space="preserve">水环境功能区或水功能区、近岸海域环境功能区水质达标状况 □：达标 </w:t>
            </w:r>
            <w:r>
              <w:rPr>
                <w:color w:val="auto"/>
                <w:szCs w:val="21"/>
              </w:rPr>
              <w:sym w:font="Wingdings 2" w:char="0052"/>
            </w:r>
            <w:r>
              <w:rPr>
                <w:color w:val="auto"/>
                <w:szCs w:val="21"/>
              </w:rPr>
              <w:t xml:space="preserve">；不达标 □ </w:t>
            </w:r>
          </w:p>
          <w:p>
            <w:pPr>
              <w:jc w:val="left"/>
              <w:rPr>
                <w:color w:val="auto"/>
                <w:szCs w:val="21"/>
              </w:rPr>
            </w:pPr>
            <w:r>
              <w:rPr>
                <w:color w:val="auto"/>
                <w:szCs w:val="21"/>
              </w:rPr>
              <w:t>水环境控制单元或断面水质达标状况 □：达标 □；不达标 □</w:t>
            </w:r>
          </w:p>
          <w:p>
            <w:pPr>
              <w:jc w:val="left"/>
              <w:rPr>
                <w:color w:val="auto"/>
                <w:szCs w:val="21"/>
              </w:rPr>
            </w:pPr>
            <w:r>
              <w:rPr>
                <w:color w:val="auto"/>
                <w:szCs w:val="21"/>
              </w:rPr>
              <w:t xml:space="preserve">水环境保护目标质量状况 □：达标 □；不达标 □ </w:t>
            </w:r>
          </w:p>
          <w:p>
            <w:pPr>
              <w:jc w:val="left"/>
              <w:rPr>
                <w:color w:val="auto"/>
                <w:szCs w:val="21"/>
              </w:rPr>
            </w:pPr>
            <w:r>
              <w:rPr>
                <w:color w:val="auto"/>
                <w:szCs w:val="21"/>
              </w:rPr>
              <w:t>对照断面、控制断面等代表性断面的水质状况 □：达标 □；不达标 □</w:t>
            </w:r>
          </w:p>
          <w:p>
            <w:pPr>
              <w:jc w:val="left"/>
              <w:rPr>
                <w:color w:val="auto"/>
                <w:szCs w:val="21"/>
              </w:rPr>
            </w:pPr>
            <w:r>
              <w:rPr>
                <w:color w:val="auto"/>
                <w:szCs w:val="21"/>
              </w:rPr>
              <w:t xml:space="preserve">底泥污染评价 □ </w:t>
            </w:r>
          </w:p>
          <w:p>
            <w:pPr>
              <w:jc w:val="left"/>
              <w:rPr>
                <w:color w:val="auto"/>
                <w:szCs w:val="21"/>
              </w:rPr>
            </w:pPr>
            <w:r>
              <w:rPr>
                <w:color w:val="auto"/>
                <w:szCs w:val="21"/>
              </w:rPr>
              <w:t xml:space="preserve">水资源与开发利用程度及其水文情势评价 □ </w:t>
            </w:r>
          </w:p>
          <w:p>
            <w:pPr>
              <w:jc w:val="left"/>
              <w:rPr>
                <w:color w:val="auto"/>
                <w:szCs w:val="21"/>
              </w:rPr>
            </w:pPr>
            <w:r>
              <w:rPr>
                <w:color w:val="auto"/>
                <w:szCs w:val="21"/>
              </w:rPr>
              <w:t xml:space="preserve">水环境质量回顾评价 □ </w:t>
            </w:r>
          </w:p>
          <w:p>
            <w:pPr>
              <w:jc w:val="left"/>
              <w:rPr>
                <w:color w:val="auto"/>
                <w:szCs w:val="21"/>
              </w:rPr>
            </w:pPr>
            <w:r>
              <w:rPr>
                <w:color w:val="auto"/>
                <w:szCs w:val="21"/>
              </w:rPr>
              <w:t>流域（区域）水资源（包括水能资源）与开发利用总体状况、生态流量管理要求与现状满足程度、建设项目占用水域空间的水流状况与河湖演变状况 □</w:t>
            </w:r>
          </w:p>
          <w:p>
            <w:pPr>
              <w:jc w:val="left"/>
              <w:rPr>
                <w:color w:val="auto"/>
                <w:szCs w:val="21"/>
              </w:rPr>
            </w:pPr>
            <w:r>
              <w:rPr>
                <w:color w:val="auto"/>
                <w:szCs w:val="21"/>
              </w:rPr>
              <w:t>依托污水处理设施稳定达标排放评价 □</w:t>
            </w:r>
          </w:p>
        </w:tc>
        <w:tc>
          <w:tcPr>
            <w:tcW w:w="484" w:type="pct"/>
            <w:vAlign w:val="center"/>
          </w:tcPr>
          <w:p>
            <w:pPr>
              <w:rPr>
                <w:color w:val="auto"/>
                <w:szCs w:val="21"/>
              </w:rPr>
            </w:pPr>
            <w:r>
              <w:rPr>
                <w:color w:val="auto"/>
                <w:szCs w:val="21"/>
              </w:rPr>
              <w:t xml:space="preserve">达标区 </w:t>
            </w:r>
            <w:r>
              <w:rPr>
                <w:color w:val="auto"/>
                <w:szCs w:val="21"/>
              </w:rPr>
              <w:sym w:font="Wingdings 2" w:char="0052"/>
            </w:r>
            <w:r>
              <w:rPr>
                <w:color w:val="auto"/>
                <w:szCs w:val="21"/>
              </w:rPr>
              <w:t xml:space="preserve"> </w:t>
            </w:r>
          </w:p>
          <w:p>
            <w:pPr>
              <w:rPr>
                <w:color w:val="auto"/>
                <w:szCs w:val="21"/>
              </w:rPr>
            </w:pPr>
            <w:r>
              <w:rPr>
                <w:color w:val="auto"/>
                <w:szCs w:val="21"/>
              </w:rPr>
              <w:t>不达标区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7" w:type="pct"/>
            <w:vMerge w:val="restart"/>
            <w:vAlign w:val="center"/>
          </w:tcPr>
          <w:p>
            <w:pPr>
              <w:jc w:val="center"/>
              <w:rPr>
                <w:color w:val="auto"/>
                <w:szCs w:val="21"/>
              </w:rPr>
            </w:pPr>
            <w:r>
              <w:rPr>
                <w:color w:val="auto"/>
                <w:szCs w:val="21"/>
              </w:rPr>
              <w:t>影</w:t>
            </w:r>
          </w:p>
          <w:p>
            <w:pPr>
              <w:jc w:val="center"/>
              <w:rPr>
                <w:color w:val="auto"/>
                <w:szCs w:val="21"/>
              </w:rPr>
            </w:pPr>
            <w:r>
              <w:rPr>
                <w:color w:val="auto"/>
                <w:szCs w:val="21"/>
              </w:rPr>
              <w:t>响</w:t>
            </w:r>
          </w:p>
          <w:p>
            <w:pPr>
              <w:jc w:val="center"/>
              <w:rPr>
                <w:color w:val="auto"/>
                <w:szCs w:val="21"/>
              </w:rPr>
            </w:pPr>
            <w:r>
              <w:rPr>
                <w:color w:val="auto"/>
                <w:szCs w:val="21"/>
              </w:rPr>
              <w:t>预</w:t>
            </w:r>
          </w:p>
          <w:p>
            <w:pPr>
              <w:jc w:val="center"/>
              <w:rPr>
                <w:color w:val="auto"/>
                <w:szCs w:val="21"/>
              </w:rPr>
            </w:pPr>
            <w:r>
              <w:rPr>
                <w:color w:val="auto"/>
                <w:szCs w:val="21"/>
              </w:rPr>
              <w:t>测</w:t>
            </w:r>
          </w:p>
        </w:tc>
        <w:tc>
          <w:tcPr>
            <w:tcW w:w="627" w:type="pct"/>
            <w:vAlign w:val="center"/>
          </w:tcPr>
          <w:p>
            <w:pPr>
              <w:jc w:val="center"/>
              <w:rPr>
                <w:color w:val="auto"/>
                <w:szCs w:val="21"/>
              </w:rPr>
            </w:pPr>
            <w:r>
              <w:rPr>
                <w:color w:val="auto"/>
                <w:szCs w:val="21"/>
              </w:rPr>
              <w:t>预测范围</w:t>
            </w:r>
          </w:p>
        </w:tc>
        <w:tc>
          <w:tcPr>
            <w:tcW w:w="4105" w:type="pct"/>
            <w:gridSpan w:val="12"/>
            <w:vAlign w:val="center"/>
          </w:tcPr>
          <w:p>
            <w:pPr>
              <w:jc w:val="left"/>
              <w:rPr>
                <w:color w:val="auto"/>
                <w:szCs w:val="21"/>
              </w:rPr>
            </w:pPr>
            <w:r>
              <w:rPr>
                <w:color w:val="auto"/>
                <w:szCs w:val="21"/>
              </w:rPr>
              <w:t>河流：长度（  ）km；湖库、河口及近岸海域：面积（  ）km</w:t>
            </w:r>
            <w:r>
              <w:rPr>
                <w:color w:val="auto"/>
                <w:szCs w:val="21"/>
                <w:vertAlign w:val="superscript"/>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7" w:type="pct"/>
            <w:vMerge w:val="continue"/>
            <w:vAlign w:val="center"/>
          </w:tcPr>
          <w:p>
            <w:pPr>
              <w:jc w:val="center"/>
              <w:rPr>
                <w:color w:val="auto"/>
                <w:szCs w:val="21"/>
              </w:rPr>
            </w:pPr>
          </w:p>
        </w:tc>
        <w:tc>
          <w:tcPr>
            <w:tcW w:w="627" w:type="pct"/>
            <w:vAlign w:val="center"/>
          </w:tcPr>
          <w:p>
            <w:pPr>
              <w:jc w:val="center"/>
              <w:rPr>
                <w:color w:val="auto"/>
                <w:szCs w:val="21"/>
              </w:rPr>
            </w:pPr>
            <w:r>
              <w:rPr>
                <w:color w:val="auto"/>
                <w:szCs w:val="21"/>
              </w:rPr>
              <w:t>预测因子</w:t>
            </w:r>
          </w:p>
        </w:tc>
        <w:tc>
          <w:tcPr>
            <w:tcW w:w="4105" w:type="pct"/>
            <w:gridSpan w:val="12"/>
            <w:vAlign w:val="center"/>
          </w:tcPr>
          <w:p>
            <w:pPr>
              <w:jc w:val="left"/>
              <w:rPr>
                <w:color w:val="auto"/>
                <w:szCs w:val="21"/>
              </w:rPr>
            </w:pPr>
            <w:r>
              <w:rPr>
                <w:color w:val="auto"/>
                <w:szCs w:val="21"/>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7" w:type="pct"/>
            <w:vMerge w:val="continue"/>
            <w:vAlign w:val="center"/>
          </w:tcPr>
          <w:p>
            <w:pPr>
              <w:jc w:val="center"/>
              <w:rPr>
                <w:color w:val="auto"/>
                <w:szCs w:val="21"/>
              </w:rPr>
            </w:pPr>
          </w:p>
        </w:tc>
        <w:tc>
          <w:tcPr>
            <w:tcW w:w="627" w:type="pct"/>
            <w:vAlign w:val="center"/>
          </w:tcPr>
          <w:p>
            <w:pPr>
              <w:jc w:val="center"/>
              <w:rPr>
                <w:color w:val="auto"/>
                <w:szCs w:val="21"/>
              </w:rPr>
            </w:pPr>
            <w:r>
              <w:rPr>
                <w:color w:val="auto"/>
                <w:szCs w:val="21"/>
              </w:rPr>
              <w:t>预测时期</w:t>
            </w:r>
          </w:p>
        </w:tc>
        <w:tc>
          <w:tcPr>
            <w:tcW w:w="4105" w:type="pct"/>
            <w:gridSpan w:val="12"/>
            <w:vAlign w:val="center"/>
          </w:tcPr>
          <w:p>
            <w:pPr>
              <w:jc w:val="left"/>
              <w:rPr>
                <w:color w:val="auto"/>
                <w:szCs w:val="21"/>
              </w:rPr>
            </w:pPr>
            <w:r>
              <w:rPr>
                <w:color w:val="auto"/>
                <w:szCs w:val="21"/>
              </w:rPr>
              <w:t>丰水期 □；平水期 □；枯水期 □；冰封期 □</w:t>
            </w:r>
          </w:p>
          <w:p>
            <w:pPr>
              <w:jc w:val="left"/>
              <w:rPr>
                <w:color w:val="auto"/>
                <w:szCs w:val="21"/>
              </w:rPr>
            </w:pPr>
            <w:r>
              <w:rPr>
                <w:color w:val="auto"/>
                <w:szCs w:val="21"/>
              </w:rPr>
              <w:t xml:space="preserve">春季 □；夏季 □；秋季 □；冬季 □ </w:t>
            </w:r>
          </w:p>
          <w:p>
            <w:pPr>
              <w:jc w:val="left"/>
              <w:rPr>
                <w:color w:val="auto"/>
                <w:szCs w:val="21"/>
              </w:rPr>
            </w:pPr>
            <w:r>
              <w:rPr>
                <w:color w:val="auto"/>
                <w:szCs w:val="21"/>
              </w:rPr>
              <w:t>设计水文条件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7" w:type="pct"/>
            <w:vMerge w:val="continue"/>
            <w:vAlign w:val="center"/>
          </w:tcPr>
          <w:p>
            <w:pPr>
              <w:jc w:val="center"/>
              <w:rPr>
                <w:color w:val="auto"/>
                <w:szCs w:val="21"/>
              </w:rPr>
            </w:pPr>
          </w:p>
        </w:tc>
        <w:tc>
          <w:tcPr>
            <w:tcW w:w="627" w:type="pct"/>
            <w:vAlign w:val="center"/>
          </w:tcPr>
          <w:p>
            <w:pPr>
              <w:jc w:val="center"/>
              <w:rPr>
                <w:color w:val="auto"/>
                <w:szCs w:val="21"/>
              </w:rPr>
            </w:pPr>
            <w:r>
              <w:rPr>
                <w:color w:val="auto"/>
                <w:szCs w:val="21"/>
              </w:rPr>
              <w:t>预测情景</w:t>
            </w:r>
          </w:p>
        </w:tc>
        <w:tc>
          <w:tcPr>
            <w:tcW w:w="4105" w:type="pct"/>
            <w:gridSpan w:val="12"/>
            <w:vAlign w:val="center"/>
          </w:tcPr>
          <w:p>
            <w:pPr>
              <w:jc w:val="left"/>
              <w:rPr>
                <w:color w:val="auto"/>
                <w:szCs w:val="21"/>
              </w:rPr>
            </w:pPr>
            <w:r>
              <w:rPr>
                <w:color w:val="auto"/>
                <w:szCs w:val="21"/>
              </w:rPr>
              <w:t xml:space="preserve">建设期 □；生产运行期 □；服务期满后 □ </w:t>
            </w:r>
          </w:p>
          <w:p>
            <w:pPr>
              <w:jc w:val="left"/>
              <w:rPr>
                <w:color w:val="auto"/>
                <w:szCs w:val="21"/>
              </w:rPr>
            </w:pPr>
            <w:r>
              <w:rPr>
                <w:color w:val="auto"/>
                <w:szCs w:val="21"/>
              </w:rPr>
              <w:t xml:space="preserve">正常工况 □；非正常工况 □ </w:t>
            </w:r>
          </w:p>
          <w:p>
            <w:pPr>
              <w:jc w:val="left"/>
              <w:rPr>
                <w:color w:val="auto"/>
                <w:szCs w:val="21"/>
              </w:rPr>
            </w:pPr>
            <w:r>
              <w:rPr>
                <w:color w:val="auto"/>
                <w:szCs w:val="21"/>
              </w:rPr>
              <w:t xml:space="preserve">污染控制和减缓措施方案 □ </w:t>
            </w:r>
          </w:p>
          <w:p>
            <w:pPr>
              <w:jc w:val="left"/>
              <w:rPr>
                <w:color w:val="auto"/>
                <w:szCs w:val="21"/>
              </w:rPr>
            </w:pPr>
            <w:r>
              <w:rPr>
                <w:color w:val="auto"/>
                <w:szCs w:val="21"/>
              </w:rPr>
              <w:t>区（流）域环境质量改善目标要求情景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7" w:type="pct"/>
            <w:vMerge w:val="continue"/>
            <w:vAlign w:val="center"/>
          </w:tcPr>
          <w:p>
            <w:pPr>
              <w:jc w:val="center"/>
              <w:rPr>
                <w:color w:val="auto"/>
                <w:szCs w:val="21"/>
              </w:rPr>
            </w:pPr>
          </w:p>
        </w:tc>
        <w:tc>
          <w:tcPr>
            <w:tcW w:w="627" w:type="pct"/>
            <w:vAlign w:val="center"/>
          </w:tcPr>
          <w:p>
            <w:pPr>
              <w:jc w:val="center"/>
              <w:rPr>
                <w:color w:val="auto"/>
                <w:szCs w:val="21"/>
              </w:rPr>
            </w:pPr>
            <w:r>
              <w:rPr>
                <w:color w:val="auto"/>
                <w:szCs w:val="21"/>
              </w:rPr>
              <w:t>预测方法</w:t>
            </w:r>
          </w:p>
        </w:tc>
        <w:tc>
          <w:tcPr>
            <w:tcW w:w="4105" w:type="pct"/>
            <w:gridSpan w:val="12"/>
            <w:vAlign w:val="center"/>
          </w:tcPr>
          <w:p>
            <w:pPr>
              <w:jc w:val="left"/>
              <w:rPr>
                <w:color w:val="auto"/>
                <w:szCs w:val="21"/>
              </w:rPr>
            </w:pPr>
            <w:r>
              <w:rPr>
                <w:color w:val="auto"/>
                <w:szCs w:val="21"/>
              </w:rPr>
              <w:t xml:space="preserve">数值解 □：解析解 □；其他 □ </w:t>
            </w:r>
          </w:p>
          <w:p>
            <w:pPr>
              <w:jc w:val="left"/>
              <w:rPr>
                <w:color w:val="auto"/>
                <w:szCs w:val="21"/>
              </w:rPr>
            </w:pPr>
            <w:r>
              <w:rPr>
                <w:color w:val="auto"/>
                <w:szCs w:val="21"/>
              </w:rPr>
              <w:t>导则推荐模式 □：其他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7" w:type="pct"/>
            <w:vMerge w:val="restart"/>
            <w:vAlign w:val="center"/>
          </w:tcPr>
          <w:p>
            <w:pPr>
              <w:jc w:val="center"/>
              <w:rPr>
                <w:color w:val="auto"/>
                <w:szCs w:val="21"/>
              </w:rPr>
            </w:pPr>
            <w:r>
              <w:rPr>
                <w:color w:val="auto"/>
                <w:szCs w:val="21"/>
              </w:rPr>
              <w:t>影</w:t>
            </w:r>
          </w:p>
          <w:p>
            <w:pPr>
              <w:jc w:val="center"/>
              <w:rPr>
                <w:color w:val="auto"/>
                <w:szCs w:val="21"/>
              </w:rPr>
            </w:pPr>
            <w:r>
              <w:rPr>
                <w:color w:val="auto"/>
                <w:szCs w:val="21"/>
              </w:rPr>
              <w:t>响</w:t>
            </w:r>
          </w:p>
          <w:p>
            <w:pPr>
              <w:jc w:val="center"/>
              <w:rPr>
                <w:color w:val="auto"/>
                <w:szCs w:val="21"/>
              </w:rPr>
            </w:pPr>
            <w:r>
              <w:rPr>
                <w:color w:val="auto"/>
                <w:szCs w:val="21"/>
              </w:rPr>
              <w:t>评</w:t>
            </w:r>
          </w:p>
          <w:p>
            <w:pPr>
              <w:jc w:val="center"/>
              <w:rPr>
                <w:color w:val="auto"/>
                <w:szCs w:val="21"/>
              </w:rPr>
            </w:pPr>
            <w:r>
              <w:rPr>
                <w:color w:val="auto"/>
                <w:szCs w:val="21"/>
              </w:rPr>
              <w:t>价</w:t>
            </w:r>
          </w:p>
        </w:tc>
        <w:tc>
          <w:tcPr>
            <w:tcW w:w="627" w:type="pct"/>
            <w:vAlign w:val="center"/>
          </w:tcPr>
          <w:p>
            <w:pPr>
              <w:jc w:val="center"/>
              <w:rPr>
                <w:color w:val="auto"/>
                <w:szCs w:val="21"/>
              </w:rPr>
            </w:pPr>
            <w:r>
              <w:rPr>
                <w:color w:val="auto"/>
                <w:szCs w:val="21"/>
              </w:rPr>
              <w:t>水污染控制和水环境影响减缓措</w:t>
            </w:r>
          </w:p>
          <w:p>
            <w:pPr>
              <w:jc w:val="center"/>
              <w:rPr>
                <w:color w:val="auto"/>
                <w:szCs w:val="21"/>
              </w:rPr>
            </w:pPr>
            <w:r>
              <w:rPr>
                <w:color w:val="auto"/>
                <w:szCs w:val="21"/>
              </w:rPr>
              <w:t>施有效性评价</w:t>
            </w:r>
          </w:p>
        </w:tc>
        <w:tc>
          <w:tcPr>
            <w:tcW w:w="4105" w:type="pct"/>
            <w:gridSpan w:val="12"/>
            <w:vAlign w:val="center"/>
          </w:tcPr>
          <w:p>
            <w:pPr>
              <w:jc w:val="left"/>
              <w:rPr>
                <w:color w:val="auto"/>
                <w:szCs w:val="21"/>
              </w:rPr>
            </w:pPr>
            <w:r>
              <w:rPr>
                <w:color w:val="auto"/>
                <w:szCs w:val="21"/>
              </w:rPr>
              <w:t xml:space="preserve">区（流）域水环境质量改善目标 </w:t>
            </w:r>
            <w:r>
              <w:rPr>
                <w:color w:val="auto"/>
                <w:szCs w:val="21"/>
              </w:rPr>
              <w:sym w:font="Wingdings 2" w:char="00A3"/>
            </w:r>
            <w:r>
              <w:rPr>
                <w:color w:val="auto"/>
                <w:szCs w:val="21"/>
              </w:rPr>
              <w:t xml:space="preserve">；替代削减源 □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7" w:type="pct"/>
            <w:vMerge w:val="continue"/>
            <w:vAlign w:val="center"/>
          </w:tcPr>
          <w:p>
            <w:pPr>
              <w:jc w:val="center"/>
              <w:rPr>
                <w:color w:val="auto"/>
                <w:szCs w:val="21"/>
              </w:rPr>
            </w:pPr>
          </w:p>
        </w:tc>
        <w:tc>
          <w:tcPr>
            <w:tcW w:w="627" w:type="pct"/>
            <w:vAlign w:val="center"/>
          </w:tcPr>
          <w:p>
            <w:pPr>
              <w:jc w:val="center"/>
              <w:rPr>
                <w:color w:val="auto"/>
                <w:szCs w:val="21"/>
              </w:rPr>
            </w:pPr>
            <w:r>
              <w:rPr>
                <w:color w:val="auto"/>
                <w:szCs w:val="21"/>
              </w:rPr>
              <w:t>水环境影响评价</w:t>
            </w:r>
          </w:p>
        </w:tc>
        <w:tc>
          <w:tcPr>
            <w:tcW w:w="4105" w:type="pct"/>
            <w:gridSpan w:val="12"/>
            <w:vAlign w:val="center"/>
          </w:tcPr>
          <w:p>
            <w:pPr>
              <w:jc w:val="left"/>
              <w:rPr>
                <w:color w:val="auto"/>
                <w:szCs w:val="21"/>
              </w:rPr>
            </w:pPr>
            <w:r>
              <w:rPr>
                <w:color w:val="auto"/>
                <w:szCs w:val="21"/>
              </w:rPr>
              <w:t xml:space="preserve">排放口混合区外满足水环境管理要求 □ </w:t>
            </w:r>
          </w:p>
          <w:p>
            <w:pPr>
              <w:jc w:val="left"/>
              <w:rPr>
                <w:color w:val="auto"/>
                <w:szCs w:val="21"/>
              </w:rPr>
            </w:pPr>
            <w:r>
              <w:rPr>
                <w:color w:val="auto"/>
                <w:szCs w:val="21"/>
              </w:rPr>
              <w:t xml:space="preserve">水环境功能区或水功能区、近岸海域环境功能区水质达标 □ </w:t>
            </w:r>
          </w:p>
          <w:p>
            <w:pPr>
              <w:jc w:val="left"/>
              <w:rPr>
                <w:color w:val="auto"/>
                <w:szCs w:val="21"/>
              </w:rPr>
            </w:pPr>
            <w:r>
              <w:rPr>
                <w:color w:val="auto"/>
                <w:szCs w:val="21"/>
              </w:rPr>
              <w:t xml:space="preserve">满足水环境保护目标水域水环境质量要求 □ </w:t>
            </w:r>
          </w:p>
          <w:p>
            <w:pPr>
              <w:jc w:val="left"/>
              <w:rPr>
                <w:color w:val="auto"/>
                <w:szCs w:val="21"/>
              </w:rPr>
            </w:pPr>
            <w:r>
              <w:rPr>
                <w:color w:val="auto"/>
                <w:szCs w:val="21"/>
              </w:rPr>
              <w:t xml:space="preserve">水环境控制单元或断面水质达标 □ </w:t>
            </w:r>
          </w:p>
          <w:p>
            <w:pPr>
              <w:jc w:val="left"/>
              <w:rPr>
                <w:color w:val="auto"/>
                <w:szCs w:val="21"/>
              </w:rPr>
            </w:pPr>
            <w:r>
              <w:rPr>
                <w:color w:val="auto"/>
                <w:szCs w:val="21"/>
              </w:rPr>
              <w:t xml:space="preserve">满足重点水污染物排放总量控制指标要求，重点行业建设项目， 主要污染物排放满足等量或减量替代要求 □ </w:t>
            </w:r>
          </w:p>
          <w:p>
            <w:pPr>
              <w:jc w:val="left"/>
              <w:rPr>
                <w:color w:val="auto"/>
                <w:szCs w:val="21"/>
              </w:rPr>
            </w:pPr>
            <w:r>
              <w:rPr>
                <w:color w:val="auto"/>
                <w:szCs w:val="21"/>
              </w:rPr>
              <w:t xml:space="preserve">满足区（流）域水环境质量改善目标要求 □ </w:t>
            </w:r>
          </w:p>
          <w:p>
            <w:pPr>
              <w:jc w:val="left"/>
              <w:rPr>
                <w:color w:val="auto"/>
                <w:szCs w:val="21"/>
              </w:rPr>
            </w:pPr>
            <w:r>
              <w:rPr>
                <w:color w:val="auto"/>
                <w:szCs w:val="21"/>
              </w:rPr>
              <w:t xml:space="preserve">水文要素影响型建设项目同时应包括水文情势变化评价、主要水文特征值影响评价、生态流量符合性评价 □ </w:t>
            </w:r>
          </w:p>
          <w:p>
            <w:pPr>
              <w:jc w:val="left"/>
              <w:rPr>
                <w:color w:val="auto"/>
                <w:szCs w:val="21"/>
              </w:rPr>
            </w:pPr>
            <w:r>
              <w:rPr>
                <w:color w:val="auto"/>
                <w:szCs w:val="21"/>
              </w:rPr>
              <w:t xml:space="preserve">对于新设或调整入河（湖库、近岸海域）排放口的建设项目，应包括排放口设置的环境合理性评价 □ </w:t>
            </w:r>
          </w:p>
          <w:p>
            <w:pPr>
              <w:jc w:val="left"/>
              <w:rPr>
                <w:color w:val="auto"/>
                <w:szCs w:val="21"/>
              </w:rPr>
            </w:pPr>
            <w:r>
              <w:rPr>
                <w:color w:val="auto"/>
                <w:szCs w:val="21"/>
              </w:rPr>
              <w:t>满足生态保护红线、水环境质量底线、资源利用上线和环境准入清单管理要求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7" w:type="pct"/>
            <w:vMerge w:val="continue"/>
            <w:vAlign w:val="center"/>
          </w:tcPr>
          <w:p>
            <w:pPr>
              <w:jc w:val="center"/>
              <w:rPr>
                <w:color w:val="auto"/>
                <w:szCs w:val="21"/>
              </w:rPr>
            </w:pPr>
          </w:p>
        </w:tc>
        <w:tc>
          <w:tcPr>
            <w:tcW w:w="627" w:type="pct"/>
            <w:vMerge w:val="restart"/>
            <w:vAlign w:val="center"/>
          </w:tcPr>
          <w:p>
            <w:pPr>
              <w:jc w:val="center"/>
              <w:rPr>
                <w:color w:val="auto"/>
                <w:szCs w:val="21"/>
              </w:rPr>
            </w:pPr>
            <w:r>
              <w:rPr>
                <w:color w:val="auto"/>
                <w:szCs w:val="21"/>
              </w:rPr>
              <w:t>污染源排放量核算</w:t>
            </w:r>
          </w:p>
        </w:tc>
        <w:tc>
          <w:tcPr>
            <w:tcW w:w="1491" w:type="pct"/>
            <w:gridSpan w:val="4"/>
            <w:vAlign w:val="center"/>
          </w:tcPr>
          <w:p>
            <w:pPr>
              <w:jc w:val="center"/>
              <w:rPr>
                <w:color w:val="auto"/>
                <w:szCs w:val="21"/>
              </w:rPr>
            </w:pPr>
            <w:r>
              <w:rPr>
                <w:color w:val="auto"/>
                <w:szCs w:val="21"/>
              </w:rPr>
              <w:t>污染物名称</w:t>
            </w:r>
          </w:p>
        </w:tc>
        <w:tc>
          <w:tcPr>
            <w:tcW w:w="1140" w:type="pct"/>
            <w:gridSpan w:val="5"/>
            <w:vAlign w:val="center"/>
          </w:tcPr>
          <w:p>
            <w:pPr>
              <w:jc w:val="center"/>
              <w:rPr>
                <w:color w:val="auto"/>
                <w:szCs w:val="21"/>
              </w:rPr>
            </w:pPr>
            <w:r>
              <w:rPr>
                <w:color w:val="auto"/>
                <w:szCs w:val="21"/>
              </w:rPr>
              <w:t>排放量/（t/a）</w:t>
            </w:r>
          </w:p>
        </w:tc>
        <w:tc>
          <w:tcPr>
            <w:tcW w:w="1473" w:type="pct"/>
            <w:gridSpan w:val="3"/>
            <w:vAlign w:val="center"/>
          </w:tcPr>
          <w:p>
            <w:pPr>
              <w:jc w:val="center"/>
              <w:rPr>
                <w:color w:val="auto"/>
                <w:szCs w:val="21"/>
              </w:rPr>
            </w:pPr>
            <w:r>
              <w:rPr>
                <w:color w:val="auto"/>
                <w:szCs w:val="21"/>
              </w:rPr>
              <w:t>排放浓度/（mg/L）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1" w:hRule="atLeast"/>
          <w:jc w:val="center"/>
        </w:trPr>
        <w:tc>
          <w:tcPr>
            <w:tcW w:w="267" w:type="pct"/>
            <w:vMerge w:val="continue"/>
            <w:vAlign w:val="center"/>
          </w:tcPr>
          <w:p>
            <w:pPr>
              <w:jc w:val="center"/>
              <w:rPr>
                <w:color w:val="auto"/>
                <w:szCs w:val="21"/>
              </w:rPr>
            </w:pPr>
          </w:p>
        </w:tc>
        <w:tc>
          <w:tcPr>
            <w:tcW w:w="627" w:type="pct"/>
            <w:vMerge w:val="continue"/>
            <w:vAlign w:val="center"/>
          </w:tcPr>
          <w:p>
            <w:pPr>
              <w:jc w:val="center"/>
              <w:rPr>
                <w:color w:val="auto"/>
                <w:szCs w:val="21"/>
              </w:rPr>
            </w:pPr>
          </w:p>
        </w:tc>
        <w:tc>
          <w:tcPr>
            <w:tcW w:w="1491" w:type="pct"/>
            <w:gridSpan w:val="4"/>
          </w:tcPr>
          <w:p>
            <w:pPr>
              <w:jc w:val="center"/>
              <w:rPr>
                <w:color w:val="auto"/>
                <w:szCs w:val="21"/>
              </w:rPr>
            </w:pPr>
            <w:r>
              <w:rPr>
                <w:color w:val="auto"/>
                <w:szCs w:val="21"/>
              </w:rPr>
              <w:t>COD</w:t>
            </w:r>
          </w:p>
        </w:tc>
        <w:tc>
          <w:tcPr>
            <w:tcW w:w="1140" w:type="pct"/>
            <w:gridSpan w:val="5"/>
            <w:vAlign w:val="center"/>
          </w:tcPr>
          <w:p>
            <w:pPr>
              <w:keepNext w:val="0"/>
              <w:keepLines w:val="0"/>
              <w:widowControl/>
              <w:suppressLineNumbers w:val="0"/>
              <w:jc w:val="center"/>
              <w:textAlignment w:val="center"/>
              <w:rPr>
                <w:color w:val="auto"/>
                <w:szCs w:val="21"/>
              </w:rPr>
            </w:pPr>
            <w:r>
              <w:rPr>
                <w:rFonts w:hint="default" w:ascii="Times New Roman" w:hAnsi="Times New Roman" w:eastAsia="宋体" w:cs="Times New Roman"/>
                <w:i w:val="0"/>
                <w:color w:val="auto"/>
                <w:kern w:val="0"/>
                <w:sz w:val="21"/>
                <w:szCs w:val="21"/>
                <w:u w:val="none"/>
                <w:lang w:val="en-US" w:eastAsia="zh-CN" w:bidi="ar"/>
              </w:rPr>
              <w:t>0.138</w:t>
            </w:r>
          </w:p>
        </w:tc>
        <w:tc>
          <w:tcPr>
            <w:tcW w:w="1473" w:type="pct"/>
            <w:gridSpan w:val="3"/>
            <w:vAlign w:val="center"/>
          </w:tcPr>
          <w:p>
            <w:pPr>
              <w:jc w:val="center"/>
              <w:rPr>
                <w:color w:val="auto"/>
                <w:szCs w:val="21"/>
              </w:rPr>
            </w:pPr>
            <w:r>
              <w:rPr>
                <w:color w:val="auto"/>
                <w:kern w:val="0"/>
                <w:szCs w:val="21"/>
                <w:lang w:bidi="ar"/>
              </w:rPr>
              <w:t>230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6" w:hRule="atLeast"/>
          <w:jc w:val="center"/>
        </w:trPr>
        <w:tc>
          <w:tcPr>
            <w:tcW w:w="267" w:type="pct"/>
            <w:vMerge w:val="continue"/>
            <w:vAlign w:val="center"/>
          </w:tcPr>
          <w:p>
            <w:pPr>
              <w:jc w:val="center"/>
              <w:rPr>
                <w:color w:val="auto"/>
                <w:szCs w:val="21"/>
              </w:rPr>
            </w:pPr>
          </w:p>
        </w:tc>
        <w:tc>
          <w:tcPr>
            <w:tcW w:w="627" w:type="pct"/>
            <w:vMerge w:val="continue"/>
            <w:vAlign w:val="center"/>
          </w:tcPr>
          <w:p>
            <w:pPr>
              <w:jc w:val="center"/>
              <w:rPr>
                <w:color w:val="auto"/>
                <w:szCs w:val="21"/>
              </w:rPr>
            </w:pPr>
          </w:p>
        </w:tc>
        <w:tc>
          <w:tcPr>
            <w:tcW w:w="1491" w:type="pct"/>
            <w:gridSpan w:val="4"/>
          </w:tcPr>
          <w:p>
            <w:pPr>
              <w:jc w:val="center"/>
              <w:rPr>
                <w:color w:val="auto"/>
                <w:szCs w:val="21"/>
              </w:rPr>
            </w:pPr>
            <w:r>
              <w:rPr>
                <w:color w:val="auto"/>
                <w:szCs w:val="21"/>
              </w:rPr>
              <w:t>BOD</w:t>
            </w:r>
            <w:r>
              <w:rPr>
                <w:color w:val="auto"/>
                <w:szCs w:val="21"/>
                <w:vertAlign w:val="subscript"/>
              </w:rPr>
              <w:t>5</w:t>
            </w:r>
          </w:p>
        </w:tc>
        <w:tc>
          <w:tcPr>
            <w:tcW w:w="1140" w:type="pct"/>
            <w:gridSpan w:val="5"/>
            <w:vAlign w:val="center"/>
          </w:tcPr>
          <w:p>
            <w:pPr>
              <w:keepNext w:val="0"/>
              <w:keepLines w:val="0"/>
              <w:widowControl/>
              <w:suppressLineNumbers w:val="0"/>
              <w:jc w:val="center"/>
              <w:textAlignment w:val="center"/>
              <w:rPr>
                <w:color w:val="auto"/>
                <w:szCs w:val="21"/>
              </w:rPr>
            </w:pPr>
            <w:r>
              <w:rPr>
                <w:rFonts w:hint="default" w:ascii="Times New Roman" w:hAnsi="Times New Roman" w:eastAsia="宋体" w:cs="Times New Roman"/>
                <w:i w:val="0"/>
                <w:color w:val="auto"/>
                <w:kern w:val="0"/>
                <w:sz w:val="21"/>
                <w:szCs w:val="21"/>
                <w:u w:val="none"/>
                <w:lang w:val="en-US" w:eastAsia="zh-CN" w:bidi="ar"/>
              </w:rPr>
              <w:t>0.072</w:t>
            </w:r>
          </w:p>
        </w:tc>
        <w:tc>
          <w:tcPr>
            <w:tcW w:w="1473" w:type="pct"/>
            <w:gridSpan w:val="3"/>
            <w:vAlign w:val="center"/>
          </w:tcPr>
          <w:p>
            <w:pPr>
              <w:jc w:val="center"/>
              <w:rPr>
                <w:color w:val="auto"/>
                <w:szCs w:val="21"/>
              </w:rPr>
            </w:pPr>
            <w:r>
              <w:rPr>
                <w:color w:val="auto"/>
                <w:kern w:val="0"/>
                <w:szCs w:val="21"/>
                <w:lang w:bidi="ar"/>
              </w:rPr>
              <w:t>120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7" w:type="pct"/>
            <w:vMerge w:val="continue"/>
            <w:vAlign w:val="center"/>
          </w:tcPr>
          <w:p>
            <w:pPr>
              <w:jc w:val="center"/>
              <w:rPr>
                <w:color w:val="auto"/>
                <w:szCs w:val="21"/>
              </w:rPr>
            </w:pPr>
          </w:p>
        </w:tc>
        <w:tc>
          <w:tcPr>
            <w:tcW w:w="627" w:type="pct"/>
            <w:vMerge w:val="continue"/>
            <w:vAlign w:val="center"/>
          </w:tcPr>
          <w:p>
            <w:pPr>
              <w:jc w:val="center"/>
              <w:rPr>
                <w:color w:val="auto"/>
                <w:szCs w:val="21"/>
              </w:rPr>
            </w:pPr>
          </w:p>
        </w:tc>
        <w:tc>
          <w:tcPr>
            <w:tcW w:w="1491" w:type="pct"/>
            <w:gridSpan w:val="4"/>
          </w:tcPr>
          <w:p>
            <w:pPr>
              <w:jc w:val="center"/>
              <w:rPr>
                <w:color w:val="auto"/>
                <w:szCs w:val="21"/>
              </w:rPr>
            </w:pPr>
            <w:r>
              <w:rPr>
                <w:color w:val="auto"/>
                <w:szCs w:val="21"/>
              </w:rPr>
              <w:t>SS</w:t>
            </w:r>
          </w:p>
        </w:tc>
        <w:tc>
          <w:tcPr>
            <w:tcW w:w="1140" w:type="pct"/>
            <w:gridSpan w:val="5"/>
            <w:vAlign w:val="center"/>
          </w:tcPr>
          <w:p>
            <w:pPr>
              <w:keepNext w:val="0"/>
              <w:keepLines w:val="0"/>
              <w:widowControl/>
              <w:suppressLineNumbers w:val="0"/>
              <w:jc w:val="center"/>
              <w:textAlignment w:val="center"/>
              <w:rPr>
                <w:color w:val="auto"/>
                <w:szCs w:val="21"/>
              </w:rPr>
            </w:pPr>
            <w:r>
              <w:rPr>
                <w:rFonts w:hint="default" w:ascii="Times New Roman" w:hAnsi="Times New Roman" w:eastAsia="宋体" w:cs="Times New Roman"/>
                <w:i w:val="0"/>
                <w:color w:val="auto"/>
                <w:kern w:val="0"/>
                <w:sz w:val="21"/>
                <w:szCs w:val="21"/>
                <w:u w:val="none"/>
                <w:lang w:val="en-US" w:eastAsia="zh-CN" w:bidi="ar"/>
              </w:rPr>
              <w:t>0.09</w:t>
            </w:r>
          </w:p>
        </w:tc>
        <w:tc>
          <w:tcPr>
            <w:tcW w:w="1473" w:type="pct"/>
            <w:gridSpan w:val="3"/>
            <w:vAlign w:val="center"/>
          </w:tcPr>
          <w:p>
            <w:pPr>
              <w:jc w:val="center"/>
              <w:rPr>
                <w:color w:val="auto"/>
                <w:szCs w:val="21"/>
              </w:rPr>
            </w:pPr>
            <w:r>
              <w:rPr>
                <w:color w:val="auto"/>
                <w:kern w:val="0"/>
                <w:szCs w:val="21"/>
                <w:lang w:bidi="ar"/>
              </w:rPr>
              <w:t>150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7" w:type="pct"/>
            <w:vMerge w:val="continue"/>
            <w:vAlign w:val="center"/>
          </w:tcPr>
          <w:p>
            <w:pPr>
              <w:jc w:val="center"/>
              <w:rPr>
                <w:color w:val="auto"/>
                <w:szCs w:val="21"/>
              </w:rPr>
            </w:pPr>
          </w:p>
        </w:tc>
        <w:tc>
          <w:tcPr>
            <w:tcW w:w="627" w:type="pct"/>
            <w:vMerge w:val="continue"/>
            <w:vAlign w:val="center"/>
          </w:tcPr>
          <w:p>
            <w:pPr>
              <w:jc w:val="center"/>
              <w:rPr>
                <w:color w:val="auto"/>
                <w:szCs w:val="21"/>
              </w:rPr>
            </w:pPr>
          </w:p>
        </w:tc>
        <w:tc>
          <w:tcPr>
            <w:tcW w:w="1491" w:type="pct"/>
            <w:gridSpan w:val="4"/>
          </w:tcPr>
          <w:p>
            <w:pPr>
              <w:jc w:val="center"/>
              <w:rPr>
                <w:color w:val="auto"/>
                <w:szCs w:val="21"/>
              </w:rPr>
            </w:pPr>
            <w:r>
              <w:rPr>
                <w:color w:val="auto"/>
                <w:szCs w:val="21"/>
              </w:rPr>
              <w:t>氨氮</w:t>
            </w:r>
          </w:p>
        </w:tc>
        <w:tc>
          <w:tcPr>
            <w:tcW w:w="1140" w:type="pct"/>
            <w:gridSpan w:val="5"/>
            <w:vAlign w:val="center"/>
          </w:tcPr>
          <w:p>
            <w:pPr>
              <w:keepNext w:val="0"/>
              <w:keepLines w:val="0"/>
              <w:widowControl/>
              <w:suppressLineNumbers w:val="0"/>
              <w:jc w:val="center"/>
              <w:textAlignment w:val="center"/>
              <w:rPr>
                <w:color w:val="auto"/>
                <w:szCs w:val="21"/>
              </w:rPr>
            </w:pPr>
            <w:r>
              <w:rPr>
                <w:rFonts w:hint="default" w:ascii="Times New Roman" w:hAnsi="Times New Roman" w:eastAsia="宋体" w:cs="Times New Roman"/>
                <w:i w:val="0"/>
                <w:color w:val="auto"/>
                <w:kern w:val="0"/>
                <w:sz w:val="21"/>
                <w:szCs w:val="21"/>
                <w:u w:val="none"/>
                <w:lang w:val="en-US" w:eastAsia="zh-CN" w:bidi="ar"/>
              </w:rPr>
              <w:t>0.0108</w:t>
            </w:r>
          </w:p>
        </w:tc>
        <w:tc>
          <w:tcPr>
            <w:tcW w:w="1473" w:type="pct"/>
            <w:gridSpan w:val="3"/>
            <w:vAlign w:val="center"/>
          </w:tcPr>
          <w:p>
            <w:pPr>
              <w:widowControl/>
              <w:jc w:val="center"/>
              <w:textAlignment w:val="center"/>
              <w:rPr>
                <w:color w:val="auto"/>
                <w:szCs w:val="21"/>
              </w:rPr>
            </w:pPr>
            <w:r>
              <w:rPr>
                <w:rFonts w:hint="eastAsia"/>
                <w:color w:val="auto"/>
                <w:szCs w:val="21"/>
              </w:rPr>
              <w:t>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7" w:type="pct"/>
            <w:vMerge w:val="continue"/>
            <w:vAlign w:val="center"/>
          </w:tcPr>
          <w:p>
            <w:pPr>
              <w:jc w:val="center"/>
              <w:rPr>
                <w:color w:val="auto"/>
                <w:szCs w:val="21"/>
              </w:rPr>
            </w:pPr>
          </w:p>
        </w:tc>
        <w:tc>
          <w:tcPr>
            <w:tcW w:w="627" w:type="pct"/>
            <w:vMerge w:val="restart"/>
            <w:vAlign w:val="center"/>
          </w:tcPr>
          <w:p>
            <w:pPr>
              <w:jc w:val="center"/>
              <w:rPr>
                <w:color w:val="auto"/>
                <w:szCs w:val="21"/>
              </w:rPr>
            </w:pPr>
            <w:r>
              <w:rPr>
                <w:color w:val="auto"/>
                <w:szCs w:val="21"/>
              </w:rPr>
              <w:t>替代源排放情况</w:t>
            </w:r>
          </w:p>
        </w:tc>
        <w:tc>
          <w:tcPr>
            <w:tcW w:w="1041" w:type="pct"/>
            <w:vAlign w:val="center"/>
          </w:tcPr>
          <w:p>
            <w:pPr>
              <w:jc w:val="center"/>
              <w:rPr>
                <w:color w:val="auto"/>
                <w:szCs w:val="21"/>
              </w:rPr>
            </w:pPr>
            <w:r>
              <w:rPr>
                <w:color w:val="auto"/>
                <w:szCs w:val="21"/>
              </w:rPr>
              <w:t>污染源名称</w:t>
            </w:r>
          </w:p>
        </w:tc>
        <w:tc>
          <w:tcPr>
            <w:tcW w:w="675" w:type="pct"/>
            <w:gridSpan w:val="4"/>
            <w:vAlign w:val="center"/>
          </w:tcPr>
          <w:p>
            <w:pPr>
              <w:jc w:val="center"/>
              <w:rPr>
                <w:color w:val="auto"/>
                <w:spacing w:val="-10"/>
                <w:szCs w:val="21"/>
              </w:rPr>
            </w:pPr>
            <w:r>
              <w:rPr>
                <w:color w:val="auto"/>
                <w:spacing w:val="-10"/>
                <w:szCs w:val="21"/>
              </w:rPr>
              <w:t>排污许可证编号</w:t>
            </w:r>
          </w:p>
        </w:tc>
        <w:tc>
          <w:tcPr>
            <w:tcW w:w="685" w:type="pct"/>
            <w:gridSpan w:val="2"/>
            <w:vAlign w:val="center"/>
          </w:tcPr>
          <w:p>
            <w:pPr>
              <w:jc w:val="center"/>
              <w:rPr>
                <w:color w:val="auto"/>
                <w:szCs w:val="21"/>
              </w:rPr>
            </w:pPr>
            <w:r>
              <w:rPr>
                <w:color w:val="auto"/>
                <w:szCs w:val="21"/>
              </w:rPr>
              <w:t>污染物名称</w:t>
            </w:r>
          </w:p>
        </w:tc>
        <w:tc>
          <w:tcPr>
            <w:tcW w:w="684" w:type="pct"/>
            <w:gridSpan w:val="3"/>
            <w:vAlign w:val="center"/>
          </w:tcPr>
          <w:p>
            <w:pPr>
              <w:jc w:val="center"/>
              <w:rPr>
                <w:color w:val="auto"/>
                <w:szCs w:val="21"/>
              </w:rPr>
            </w:pPr>
            <w:r>
              <w:rPr>
                <w:color w:val="auto"/>
                <w:szCs w:val="21"/>
              </w:rPr>
              <w:t>排放量/（t/a）</w:t>
            </w:r>
          </w:p>
        </w:tc>
        <w:tc>
          <w:tcPr>
            <w:tcW w:w="1018" w:type="pct"/>
            <w:gridSpan w:val="2"/>
            <w:vAlign w:val="center"/>
          </w:tcPr>
          <w:p>
            <w:pPr>
              <w:jc w:val="center"/>
              <w:rPr>
                <w:color w:val="auto"/>
                <w:szCs w:val="21"/>
              </w:rPr>
            </w:pPr>
            <w:r>
              <w:rPr>
                <w:color w:val="auto"/>
                <w:szCs w:val="21"/>
              </w:rPr>
              <w:t>排放浓度/（mg/L）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7" w:type="pct"/>
            <w:vMerge w:val="continue"/>
            <w:vAlign w:val="center"/>
          </w:tcPr>
          <w:p>
            <w:pPr>
              <w:jc w:val="center"/>
              <w:rPr>
                <w:color w:val="auto"/>
                <w:szCs w:val="21"/>
              </w:rPr>
            </w:pPr>
          </w:p>
        </w:tc>
        <w:tc>
          <w:tcPr>
            <w:tcW w:w="627" w:type="pct"/>
            <w:vMerge w:val="continue"/>
            <w:vAlign w:val="center"/>
          </w:tcPr>
          <w:p>
            <w:pPr>
              <w:jc w:val="center"/>
              <w:rPr>
                <w:color w:val="auto"/>
                <w:szCs w:val="21"/>
              </w:rPr>
            </w:pPr>
          </w:p>
        </w:tc>
        <w:tc>
          <w:tcPr>
            <w:tcW w:w="1041" w:type="pct"/>
          </w:tcPr>
          <w:p>
            <w:pPr>
              <w:jc w:val="center"/>
              <w:rPr>
                <w:color w:val="auto"/>
                <w:szCs w:val="21"/>
              </w:rPr>
            </w:pPr>
            <w:r>
              <w:rPr>
                <w:color w:val="auto"/>
                <w:szCs w:val="21"/>
              </w:rPr>
              <w:t>（  ）</w:t>
            </w:r>
          </w:p>
        </w:tc>
        <w:tc>
          <w:tcPr>
            <w:tcW w:w="675" w:type="pct"/>
            <w:gridSpan w:val="4"/>
          </w:tcPr>
          <w:p>
            <w:pPr>
              <w:jc w:val="center"/>
              <w:rPr>
                <w:color w:val="auto"/>
                <w:szCs w:val="21"/>
              </w:rPr>
            </w:pPr>
            <w:r>
              <w:rPr>
                <w:color w:val="auto"/>
                <w:szCs w:val="21"/>
              </w:rPr>
              <w:t>（  ）</w:t>
            </w:r>
          </w:p>
        </w:tc>
        <w:tc>
          <w:tcPr>
            <w:tcW w:w="685" w:type="pct"/>
            <w:gridSpan w:val="2"/>
          </w:tcPr>
          <w:p>
            <w:pPr>
              <w:jc w:val="center"/>
              <w:rPr>
                <w:color w:val="auto"/>
                <w:szCs w:val="21"/>
              </w:rPr>
            </w:pPr>
            <w:r>
              <w:rPr>
                <w:color w:val="auto"/>
                <w:szCs w:val="21"/>
              </w:rPr>
              <w:t>（  ）</w:t>
            </w:r>
          </w:p>
        </w:tc>
        <w:tc>
          <w:tcPr>
            <w:tcW w:w="684" w:type="pct"/>
            <w:gridSpan w:val="3"/>
          </w:tcPr>
          <w:p>
            <w:pPr>
              <w:jc w:val="center"/>
              <w:rPr>
                <w:color w:val="auto"/>
                <w:szCs w:val="21"/>
              </w:rPr>
            </w:pPr>
            <w:r>
              <w:rPr>
                <w:color w:val="auto"/>
                <w:szCs w:val="21"/>
              </w:rPr>
              <w:t>（  ）</w:t>
            </w:r>
          </w:p>
        </w:tc>
        <w:tc>
          <w:tcPr>
            <w:tcW w:w="1018" w:type="pct"/>
            <w:gridSpan w:val="2"/>
          </w:tcPr>
          <w:p>
            <w:pPr>
              <w:jc w:val="center"/>
              <w:rPr>
                <w:color w:val="auto"/>
                <w:szCs w:val="21"/>
              </w:rPr>
            </w:pPr>
            <w:r>
              <w:rPr>
                <w:color w:val="auto"/>
                <w:szCs w:val="21"/>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7" w:type="pct"/>
            <w:vMerge w:val="continue"/>
            <w:vAlign w:val="center"/>
          </w:tcPr>
          <w:p>
            <w:pPr>
              <w:jc w:val="center"/>
              <w:rPr>
                <w:color w:val="auto"/>
                <w:szCs w:val="21"/>
              </w:rPr>
            </w:pPr>
          </w:p>
        </w:tc>
        <w:tc>
          <w:tcPr>
            <w:tcW w:w="627" w:type="pct"/>
            <w:vAlign w:val="center"/>
          </w:tcPr>
          <w:p>
            <w:pPr>
              <w:jc w:val="center"/>
              <w:rPr>
                <w:color w:val="auto"/>
                <w:szCs w:val="21"/>
              </w:rPr>
            </w:pPr>
            <w:r>
              <w:rPr>
                <w:color w:val="auto"/>
                <w:szCs w:val="21"/>
              </w:rPr>
              <w:t>生态流量确定</w:t>
            </w:r>
          </w:p>
        </w:tc>
        <w:tc>
          <w:tcPr>
            <w:tcW w:w="4105" w:type="pct"/>
            <w:gridSpan w:val="12"/>
            <w:vAlign w:val="center"/>
          </w:tcPr>
          <w:p>
            <w:pPr>
              <w:jc w:val="left"/>
              <w:rPr>
                <w:color w:val="auto"/>
                <w:szCs w:val="21"/>
              </w:rPr>
            </w:pPr>
            <w:r>
              <w:rPr>
                <w:color w:val="auto"/>
                <w:szCs w:val="21"/>
              </w:rPr>
              <w:t>生态流量：一般水期（ ）m</w:t>
            </w:r>
            <w:r>
              <w:rPr>
                <w:color w:val="auto"/>
                <w:szCs w:val="21"/>
                <w:vertAlign w:val="superscript"/>
              </w:rPr>
              <w:t>3</w:t>
            </w:r>
            <w:r>
              <w:rPr>
                <w:color w:val="auto"/>
                <w:szCs w:val="21"/>
              </w:rPr>
              <w:t>/s；鱼类繁殖期（ ）m</w:t>
            </w:r>
            <w:r>
              <w:rPr>
                <w:color w:val="auto"/>
                <w:szCs w:val="21"/>
                <w:vertAlign w:val="superscript"/>
              </w:rPr>
              <w:t>3</w:t>
            </w:r>
            <w:r>
              <w:rPr>
                <w:color w:val="auto"/>
                <w:szCs w:val="21"/>
              </w:rPr>
              <w:t>/s；其他（ ）m</w:t>
            </w:r>
            <w:r>
              <w:rPr>
                <w:color w:val="auto"/>
                <w:szCs w:val="21"/>
                <w:vertAlign w:val="superscript"/>
              </w:rPr>
              <w:t>3</w:t>
            </w:r>
            <w:r>
              <w:rPr>
                <w:color w:val="auto"/>
                <w:szCs w:val="21"/>
              </w:rPr>
              <w:t xml:space="preserve">/s </w:t>
            </w:r>
          </w:p>
          <w:p>
            <w:pPr>
              <w:jc w:val="left"/>
              <w:rPr>
                <w:color w:val="auto"/>
                <w:szCs w:val="21"/>
              </w:rPr>
            </w:pPr>
            <w:r>
              <w:rPr>
                <w:color w:val="auto"/>
                <w:szCs w:val="21"/>
              </w:rPr>
              <w:t>生态水位：一般水期（ ）m；鱼类繁殖期（ ）m；其他（ ）m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7" w:type="pct"/>
            <w:vMerge w:val="restart"/>
            <w:vAlign w:val="center"/>
          </w:tcPr>
          <w:p>
            <w:pPr>
              <w:jc w:val="center"/>
              <w:rPr>
                <w:color w:val="auto"/>
                <w:szCs w:val="21"/>
              </w:rPr>
            </w:pPr>
            <w:r>
              <w:rPr>
                <w:color w:val="auto"/>
                <w:szCs w:val="21"/>
              </w:rPr>
              <w:t>防</w:t>
            </w:r>
          </w:p>
          <w:p>
            <w:pPr>
              <w:jc w:val="center"/>
              <w:rPr>
                <w:color w:val="auto"/>
                <w:szCs w:val="21"/>
              </w:rPr>
            </w:pPr>
            <w:r>
              <w:rPr>
                <w:color w:val="auto"/>
                <w:szCs w:val="21"/>
              </w:rPr>
              <w:t>治</w:t>
            </w:r>
          </w:p>
          <w:p>
            <w:pPr>
              <w:jc w:val="center"/>
              <w:rPr>
                <w:color w:val="auto"/>
                <w:szCs w:val="21"/>
              </w:rPr>
            </w:pPr>
            <w:r>
              <w:rPr>
                <w:color w:val="auto"/>
                <w:szCs w:val="21"/>
              </w:rPr>
              <w:t>措</w:t>
            </w:r>
          </w:p>
          <w:p>
            <w:pPr>
              <w:jc w:val="center"/>
              <w:rPr>
                <w:color w:val="auto"/>
                <w:szCs w:val="21"/>
              </w:rPr>
            </w:pPr>
            <w:r>
              <w:rPr>
                <w:color w:val="auto"/>
                <w:szCs w:val="21"/>
              </w:rPr>
              <w:t>施</w:t>
            </w:r>
          </w:p>
        </w:tc>
        <w:tc>
          <w:tcPr>
            <w:tcW w:w="627" w:type="pct"/>
            <w:vAlign w:val="center"/>
          </w:tcPr>
          <w:p>
            <w:pPr>
              <w:jc w:val="center"/>
              <w:rPr>
                <w:color w:val="auto"/>
                <w:szCs w:val="21"/>
              </w:rPr>
            </w:pPr>
            <w:r>
              <w:rPr>
                <w:color w:val="auto"/>
                <w:szCs w:val="21"/>
              </w:rPr>
              <w:t>环保措施</w:t>
            </w:r>
          </w:p>
        </w:tc>
        <w:tc>
          <w:tcPr>
            <w:tcW w:w="4105" w:type="pct"/>
            <w:gridSpan w:val="12"/>
            <w:vAlign w:val="center"/>
          </w:tcPr>
          <w:p>
            <w:pPr>
              <w:jc w:val="center"/>
              <w:rPr>
                <w:color w:val="auto"/>
                <w:szCs w:val="21"/>
              </w:rPr>
            </w:pPr>
            <w:r>
              <w:rPr>
                <w:color w:val="auto"/>
                <w:szCs w:val="21"/>
              </w:rPr>
              <w:t>污水处理设施</w:t>
            </w:r>
            <w:r>
              <w:rPr>
                <w:color w:val="auto"/>
                <w:szCs w:val="21"/>
              </w:rPr>
              <w:sym w:font="Wingdings 2" w:char="00A3"/>
            </w:r>
            <w:r>
              <w:rPr>
                <w:color w:val="auto"/>
                <w:szCs w:val="21"/>
              </w:rPr>
              <w:t xml:space="preserve">；水文减缓设施 </w:t>
            </w:r>
            <w:r>
              <w:rPr>
                <w:color w:val="auto"/>
                <w:szCs w:val="21"/>
              </w:rPr>
              <w:sym w:font="Wingdings 2" w:char="00A3"/>
            </w:r>
            <w:r>
              <w:rPr>
                <w:color w:val="auto"/>
                <w:szCs w:val="21"/>
              </w:rPr>
              <w:t xml:space="preserve">；生态流量保障设施 □；区域削减 □；依托其他工程措施 </w:t>
            </w:r>
            <w:r>
              <w:rPr>
                <w:color w:val="auto"/>
                <w:szCs w:val="21"/>
              </w:rPr>
              <w:sym w:font="Wingdings 2" w:char="00A3"/>
            </w:r>
            <w:r>
              <w:rPr>
                <w:color w:val="auto"/>
                <w:szCs w:val="21"/>
              </w:rPr>
              <w:t xml:space="preserve">；其他 </w:t>
            </w:r>
            <w:r>
              <w:rPr>
                <w:color w:val="auto"/>
                <w:szCs w:val="21"/>
              </w:rPr>
              <w:sym w:font="Wingdings 2" w:char="0052"/>
            </w:r>
            <w:r>
              <w:rPr>
                <w:color w:val="auto"/>
                <w:szCs w:val="21"/>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7" w:type="pct"/>
            <w:vMerge w:val="continue"/>
            <w:vAlign w:val="center"/>
          </w:tcPr>
          <w:p>
            <w:pPr>
              <w:jc w:val="center"/>
              <w:rPr>
                <w:color w:val="auto"/>
                <w:szCs w:val="21"/>
              </w:rPr>
            </w:pPr>
          </w:p>
        </w:tc>
        <w:tc>
          <w:tcPr>
            <w:tcW w:w="627" w:type="pct"/>
            <w:vMerge w:val="restart"/>
            <w:vAlign w:val="center"/>
          </w:tcPr>
          <w:p>
            <w:pPr>
              <w:jc w:val="center"/>
              <w:rPr>
                <w:color w:val="auto"/>
                <w:szCs w:val="21"/>
              </w:rPr>
            </w:pPr>
            <w:r>
              <w:rPr>
                <w:color w:val="auto"/>
                <w:szCs w:val="21"/>
              </w:rPr>
              <w:t>监测计划</w:t>
            </w:r>
          </w:p>
        </w:tc>
        <w:tc>
          <w:tcPr>
            <w:tcW w:w="1234" w:type="pct"/>
            <w:gridSpan w:val="2"/>
            <w:vAlign w:val="center"/>
          </w:tcPr>
          <w:p>
            <w:pPr>
              <w:jc w:val="left"/>
              <w:rPr>
                <w:color w:val="auto"/>
                <w:szCs w:val="21"/>
              </w:rPr>
            </w:pPr>
          </w:p>
        </w:tc>
        <w:tc>
          <w:tcPr>
            <w:tcW w:w="1268" w:type="pct"/>
            <w:gridSpan w:val="6"/>
            <w:vAlign w:val="center"/>
          </w:tcPr>
          <w:p>
            <w:pPr>
              <w:jc w:val="center"/>
              <w:rPr>
                <w:color w:val="auto"/>
                <w:szCs w:val="21"/>
              </w:rPr>
            </w:pPr>
            <w:r>
              <w:rPr>
                <w:color w:val="auto"/>
                <w:szCs w:val="21"/>
              </w:rPr>
              <w:t>环境质量</w:t>
            </w:r>
          </w:p>
        </w:tc>
        <w:tc>
          <w:tcPr>
            <w:tcW w:w="1602" w:type="pct"/>
            <w:gridSpan w:val="4"/>
            <w:vAlign w:val="center"/>
          </w:tcPr>
          <w:p>
            <w:pPr>
              <w:jc w:val="center"/>
              <w:rPr>
                <w:color w:val="auto"/>
                <w:szCs w:val="21"/>
              </w:rPr>
            </w:pPr>
            <w:r>
              <w:rPr>
                <w:color w:val="auto"/>
                <w:szCs w:val="21"/>
              </w:rPr>
              <w:t>污染源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7" w:type="pct"/>
            <w:vMerge w:val="continue"/>
            <w:vAlign w:val="center"/>
          </w:tcPr>
          <w:p>
            <w:pPr>
              <w:jc w:val="center"/>
              <w:rPr>
                <w:color w:val="auto"/>
                <w:szCs w:val="21"/>
              </w:rPr>
            </w:pPr>
          </w:p>
        </w:tc>
        <w:tc>
          <w:tcPr>
            <w:tcW w:w="627" w:type="pct"/>
            <w:vMerge w:val="continue"/>
            <w:vAlign w:val="center"/>
          </w:tcPr>
          <w:p>
            <w:pPr>
              <w:jc w:val="center"/>
              <w:rPr>
                <w:color w:val="auto"/>
                <w:szCs w:val="21"/>
              </w:rPr>
            </w:pPr>
          </w:p>
        </w:tc>
        <w:tc>
          <w:tcPr>
            <w:tcW w:w="1234" w:type="pct"/>
            <w:gridSpan w:val="2"/>
            <w:vAlign w:val="center"/>
          </w:tcPr>
          <w:p>
            <w:pPr>
              <w:jc w:val="center"/>
              <w:rPr>
                <w:color w:val="auto"/>
                <w:szCs w:val="21"/>
              </w:rPr>
            </w:pPr>
            <w:r>
              <w:rPr>
                <w:color w:val="auto"/>
                <w:szCs w:val="21"/>
              </w:rPr>
              <w:t>监测方式</w:t>
            </w:r>
          </w:p>
        </w:tc>
        <w:tc>
          <w:tcPr>
            <w:tcW w:w="1268" w:type="pct"/>
            <w:gridSpan w:val="6"/>
            <w:vAlign w:val="center"/>
          </w:tcPr>
          <w:p>
            <w:pPr>
              <w:jc w:val="center"/>
              <w:rPr>
                <w:color w:val="auto"/>
                <w:szCs w:val="21"/>
              </w:rPr>
            </w:pPr>
            <w:r>
              <w:rPr>
                <w:color w:val="auto"/>
                <w:szCs w:val="21"/>
              </w:rPr>
              <w:t>手动 □；自动 □；无监测 □</w:t>
            </w:r>
          </w:p>
        </w:tc>
        <w:tc>
          <w:tcPr>
            <w:tcW w:w="1602" w:type="pct"/>
            <w:gridSpan w:val="4"/>
            <w:vAlign w:val="center"/>
          </w:tcPr>
          <w:p>
            <w:pPr>
              <w:jc w:val="center"/>
              <w:rPr>
                <w:color w:val="auto"/>
                <w:szCs w:val="21"/>
              </w:rPr>
            </w:pPr>
            <w:r>
              <w:rPr>
                <w:color w:val="auto"/>
                <w:szCs w:val="21"/>
              </w:rPr>
              <w:t xml:space="preserve">手动 </w:t>
            </w:r>
            <w:r>
              <w:rPr>
                <w:color w:val="auto"/>
                <w:szCs w:val="21"/>
              </w:rPr>
              <w:sym w:font="Wingdings 2" w:char="0052"/>
            </w:r>
            <w:r>
              <w:rPr>
                <w:color w:val="auto"/>
                <w:szCs w:val="21"/>
              </w:rPr>
              <w:t>；自动 □；无监测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7" w:type="pct"/>
            <w:vMerge w:val="continue"/>
            <w:vAlign w:val="center"/>
          </w:tcPr>
          <w:p>
            <w:pPr>
              <w:jc w:val="center"/>
              <w:rPr>
                <w:color w:val="auto"/>
                <w:szCs w:val="21"/>
              </w:rPr>
            </w:pPr>
          </w:p>
        </w:tc>
        <w:tc>
          <w:tcPr>
            <w:tcW w:w="627" w:type="pct"/>
            <w:vMerge w:val="continue"/>
            <w:vAlign w:val="center"/>
          </w:tcPr>
          <w:p>
            <w:pPr>
              <w:jc w:val="center"/>
              <w:rPr>
                <w:color w:val="auto"/>
                <w:szCs w:val="21"/>
              </w:rPr>
            </w:pPr>
          </w:p>
        </w:tc>
        <w:tc>
          <w:tcPr>
            <w:tcW w:w="1234" w:type="pct"/>
            <w:gridSpan w:val="2"/>
            <w:vAlign w:val="center"/>
          </w:tcPr>
          <w:p>
            <w:pPr>
              <w:jc w:val="center"/>
              <w:rPr>
                <w:color w:val="auto"/>
                <w:szCs w:val="21"/>
              </w:rPr>
            </w:pPr>
            <w:r>
              <w:rPr>
                <w:color w:val="auto"/>
                <w:szCs w:val="21"/>
              </w:rPr>
              <w:t>监测点位</w:t>
            </w:r>
          </w:p>
        </w:tc>
        <w:tc>
          <w:tcPr>
            <w:tcW w:w="1268" w:type="pct"/>
            <w:gridSpan w:val="6"/>
            <w:vAlign w:val="center"/>
          </w:tcPr>
          <w:p>
            <w:pPr>
              <w:jc w:val="center"/>
              <w:rPr>
                <w:color w:val="auto"/>
                <w:szCs w:val="21"/>
              </w:rPr>
            </w:pPr>
            <w:r>
              <w:rPr>
                <w:color w:val="auto"/>
                <w:szCs w:val="21"/>
              </w:rPr>
              <w:t>（  ）</w:t>
            </w:r>
          </w:p>
        </w:tc>
        <w:tc>
          <w:tcPr>
            <w:tcW w:w="1602" w:type="pct"/>
            <w:gridSpan w:val="4"/>
            <w:vAlign w:val="center"/>
          </w:tcPr>
          <w:p>
            <w:pPr>
              <w:jc w:val="center"/>
              <w:rPr>
                <w:color w:val="auto"/>
                <w:szCs w:val="21"/>
              </w:rPr>
            </w:pPr>
            <w:r>
              <w:rPr>
                <w:color w:val="auto"/>
                <w:szCs w:val="21"/>
              </w:rPr>
              <w:t>厂区总排放口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7" w:type="pct"/>
            <w:vMerge w:val="continue"/>
            <w:vAlign w:val="center"/>
          </w:tcPr>
          <w:p>
            <w:pPr>
              <w:jc w:val="center"/>
              <w:rPr>
                <w:color w:val="auto"/>
                <w:szCs w:val="21"/>
              </w:rPr>
            </w:pPr>
          </w:p>
        </w:tc>
        <w:tc>
          <w:tcPr>
            <w:tcW w:w="627" w:type="pct"/>
            <w:vMerge w:val="continue"/>
            <w:vAlign w:val="center"/>
          </w:tcPr>
          <w:p>
            <w:pPr>
              <w:jc w:val="center"/>
              <w:rPr>
                <w:color w:val="auto"/>
                <w:szCs w:val="21"/>
              </w:rPr>
            </w:pPr>
          </w:p>
        </w:tc>
        <w:tc>
          <w:tcPr>
            <w:tcW w:w="1234" w:type="pct"/>
            <w:gridSpan w:val="2"/>
            <w:vAlign w:val="center"/>
          </w:tcPr>
          <w:p>
            <w:pPr>
              <w:jc w:val="center"/>
              <w:rPr>
                <w:color w:val="auto"/>
                <w:szCs w:val="21"/>
              </w:rPr>
            </w:pPr>
            <w:r>
              <w:rPr>
                <w:color w:val="auto"/>
                <w:szCs w:val="21"/>
              </w:rPr>
              <w:t>监测因子</w:t>
            </w:r>
          </w:p>
        </w:tc>
        <w:tc>
          <w:tcPr>
            <w:tcW w:w="1268" w:type="pct"/>
            <w:gridSpan w:val="6"/>
            <w:vAlign w:val="center"/>
          </w:tcPr>
          <w:p>
            <w:pPr>
              <w:jc w:val="center"/>
              <w:rPr>
                <w:color w:val="auto"/>
                <w:szCs w:val="21"/>
              </w:rPr>
            </w:pPr>
            <w:r>
              <w:rPr>
                <w:color w:val="auto"/>
                <w:szCs w:val="21"/>
              </w:rPr>
              <w:t>（  ）</w:t>
            </w:r>
          </w:p>
        </w:tc>
        <w:tc>
          <w:tcPr>
            <w:tcW w:w="1602" w:type="pct"/>
            <w:gridSpan w:val="4"/>
            <w:vAlign w:val="center"/>
          </w:tcPr>
          <w:p>
            <w:pPr>
              <w:jc w:val="center"/>
              <w:rPr>
                <w:color w:val="auto"/>
                <w:szCs w:val="21"/>
              </w:rPr>
            </w:pPr>
            <w:r>
              <w:rPr>
                <w:color w:val="auto"/>
                <w:szCs w:val="21"/>
              </w:rPr>
              <w:t>COD、氨氮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7" w:type="pct"/>
            <w:vMerge w:val="continue"/>
            <w:vAlign w:val="center"/>
          </w:tcPr>
          <w:p>
            <w:pPr>
              <w:jc w:val="center"/>
              <w:rPr>
                <w:color w:val="auto"/>
                <w:szCs w:val="21"/>
              </w:rPr>
            </w:pPr>
          </w:p>
        </w:tc>
        <w:tc>
          <w:tcPr>
            <w:tcW w:w="627" w:type="pct"/>
            <w:vAlign w:val="center"/>
          </w:tcPr>
          <w:p>
            <w:pPr>
              <w:jc w:val="center"/>
              <w:rPr>
                <w:color w:val="auto"/>
                <w:szCs w:val="21"/>
              </w:rPr>
            </w:pPr>
            <w:r>
              <w:rPr>
                <w:color w:val="auto"/>
                <w:szCs w:val="21"/>
              </w:rPr>
              <w:t>污染物排放清单</w:t>
            </w:r>
          </w:p>
        </w:tc>
        <w:tc>
          <w:tcPr>
            <w:tcW w:w="4105" w:type="pct"/>
            <w:gridSpan w:val="12"/>
            <w:vAlign w:val="center"/>
          </w:tcPr>
          <w:p>
            <w:pPr>
              <w:jc w:val="left"/>
              <w:rPr>
                <w:color w:val="auto"/>
                <w:szCs w:val="21"/>
              </w:rPr>
            </w:pPr>
            <w:r>
              <w:rPr>
                <w:color w:val="auto"/>
                <w:szCs w:val="21"/>
              </w:rPr>
              <w:sym w:font="Wingdings 2" w:char="0052"/>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94" w:type="pct"/>
            <w:gridSpan w:val="2"/>
            <w:vAlign w:val="center"/>
          </w:tcPr>
          <w:p>
            <w:pPr>
              <w:jc w:val="center"/>
              <w:rPr>
                <w:color w:val="auto"/>
                <w:szCs w:val="21"/>
              </w:rPr>
            </w:pPr>
            <w:r>
              <w:rPr>
                <w:color w:val="auto"/>
                <w:szCs w:val="21"/>
              </w:rPr>
              <w:t>评价结论</w:t>
            </w:r>
          </w:p>
        </w:tc>
        <w:tc>
          <w:tcPr>
            <w:tcW w:w="4105" w:type="pct"/>
            <w:gridSpan w:val="12"/>
            <w:vAlign w:val="center"/>
          </w:tcPr>
          <w:p>
            <w:pPr>
              <w:jc w:val="center"/>
              <w:rPr>
                <w:color w:val="auto"/>
                <w:szCs w:val="21"/>
              </w:rPr>
            </w:pPr>
            <w:r>
              <w:rPr>
                <w:color w:val="auto"/>
                <w:szCs w:val="21"/>
              </w:rPr>
              <w:t>可以接受</w:t>
            </w:r>
            <w:r>
              <w:rPr>
                <w:color w:val="auto"/>
                <w:szCs w:val="21"/>
              </w:rPr>
              <w:sym w:font="Wingdings 2" w:char="0052"/>
            </w:r>
            <w:r>
              <w:rPr>
                <w:color w:val="auto"/>
                <w:szCs w:val="21"/>
              </w:rPr>
              <w:t xml:space="preserve">；不可以接受 </w:t>
            </w:r>
            <w:r>
              <w:rPr>
                <w:color w:val="auto"/>
                <w:szCs w:val="21"/>
              </w:rPr>
              <w:sym w:font="Wingdings 2" w:char="00A3"/>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00" w:type="pct"/>
            <w:gridSpan w:val="14"/>
            <w:vAlign w:val="center"/>
          </w:tcPr>
          <w:p>
            <w:pPr>
              <w:rPr>
                <w:color w:val="auto"/>
                <w:szCs w:val="21"/>
              </w:rPr>
            </w:pPr>
            <w:r>
              <w:rPr>
                <w:color w:val="auto"/>
                <w:szCs w:val="21"/>
              </w:rPr>
              <w:t xml:space="preserve">注：“□”为勾选项，可√；“（ ）”为内容填写项；“备注”为其他补充内容。 </w:t>
            </w:r>
          </w:p>
        </w:tc>
      </w:tr>
    </w:tbl>
    <w:p>
      <w:pPr>
        <w:pStyle w:val="85"/>
        <w:rPr>
          <w:color w:val="auto"/>
        </w:rPr>
      </w:pPr>
    </w:p>
    <w:p>
      <w:pPr>
        <w:pStyle w:val="5"/>
        <w:spacing w:before="0" w:after="0" w:line="520" w:lineRule="exact"/>
        <w:rPr>
          <w:color w:val="auto"/>
          <w:sz w:val="24"/>
          <w:szCs w:val="24"/>
        </w:rPr>
      </w:pPr>
      <w:bookmarkStart w:id="273" w:name="_Toc367091880"/>
      <w:bookmarkStart w:id="274" w:name="_Toc366874121"/>
      <w:r>
        <w:rPr>
          <w:rFonts w:hint="eastAsia"/>
          <w:color w:val="auto"/>
          <w:sz w:val="24"/>
          <w:szCs w:val="24"/>
        </w:rPr>
        <w:t>6.2</w:t>
      </w:r>
      <w:r>
        <w:rPr>
          <w:color w:val="auto"/>
          <w:sz w:val="24"/>
          <w:szCs w:val="24"/>
        </w:rPr>
        <w:t>.3地下水环境影响分析</w:t>
      </w:r>
      <w:bookmarkEnd w:id="273"/>
      <w:bookmarkEnd w:id="274"/>
    </w:p>
    <w:p>
      <w:pPr>
        <w:spacing w:line="540" w:lineRule="exact"/>
        <w:rPr>
          <w:b/>
          <w:color w:val="auto"/>
          <w:sz w:val="24"/>
        </w:rPr>
      </w:pPr>
      <w:r>
        <w:rPr>
          <w:b/>
          <w:color w:val="auto"/>
          <w:sz w:val="24"/>
        </w:rPr>
        <w:t>（1）区域地质构造</w:t>
      </w:r>
    </w:p>
    <w:p>
      <w:pPr>
        <w:spacing w:line="520" w:lineRule="exact"/>
        <w:ind w:firstLine="480" w:firstLineChars="200"/>
        <w:rPr>
          <w:color w:val="auto"/>
          <w:sz w:val="24"/>
        </w:rPr>
      </w:pPr>
      <w:r>
        <w:rPr>
          <w:color w:val="auto"/>
          <w:sz w:val="24"/>
        </w:rPr>
        <w:t>宣城市地层属皖南地层区，缺失第三纪及中寒武纪以前的地层，其余均有出露。区域地层划分及主要岩性见下表。</w:t>
      </w:r>
    </w:p>
    <w:p>
      <w:pPr>
        <w:pStyle w:val="134"/>
        <w:snapToGrid w:val="0"/>
        <w:spacing w:line="520" w:lineRule="exact"/>
        <w:ind w:firstLine="0"/>
        <w:jc w:val="center"/>
        <w:rPr>
          <w:rFonts w:ascii="Times New Roman"/>
          <w:b/>
          <w:bCs/>
          <w:color w:val="auto"/>
          <w:kern w:val="2"/>
          <w:sz w:val="24"/>
          <w:szCs w:val="24"/>
        </w:rPr>
      </w:pPr>
      <w:r>
        <w:rPr>
          <w:rFonts w:hint="eastAsia" w:ascii="Times New Roman"/>
          <w:b/>
          <w:bCs/>
          <w:color w:val="auto"/>
          <w:kern w:val="2"/>
          <w:sz w:val="24"/>
          <w:szCs w:val="24"/>
        </w:rPr>
        <w:t>表6</w:t>
      </w:r>
      <w:r>
        <w:rPr>
          <w:rFonts w:ascii="Times New Roman"/>
          <w:b/>
          <w:bCs/>
          <w:color w:val="auto"/>
          <w:kern w:val="2"/>
          <w:sz w:val="24"/>
          <w:szCs w:val="24"/>
        </w:rPr>
        <w:t>-1</w:t>
      </w:r>
      <w:r>
        <w:rPr>
          <w:rFonts w:hint="eastAsia" w:ascii="Times New Roman"/>
          <w:b/>
          <w:bCs/>
          <w:color w:val="auto"/>
          <w:kern w:val="2"/>
          <w:sz w:val="24"/>
          <w:szCs w:val="24"/>
          <w:lang w:val="en-US" w:eastAsia="zh-CN"/>
        </w:rPr>
        <w:t>6</w:t>
      </w:r>
      <w:r>
        <w:rPr>
          <w:rFonts w:ascii="Times New Roman"/>
          <w:b/>
          <w:bCs/>
          <w:color w:val="auto"/>
          <w:kern w:val="2"/>
          <w:sz w:val="24"/>
          <w:szCs w:val="24"/>
        </w:rPr>
        <w:t xml:space="preserve">   区域地层岩性分布表</w:t>
      </w:r>
    </w:p>
    <w:tbl>
      <w:tblPr>
        <w:tblStyle w:val="53"/>
        <w:tblW w:w="0" w:type="auto"/>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834"/>
        <w:gridCol w:w="806"/>
        <w:gridCol w:w="580"/>
        <w:gridCol w:w="664"/>
        <w:gridCol w:w="198"/>
        <w:gridCol w:w="366"/>
        <w:gridCol w:w="665"/>
        <w:gridCol w:w="679"/>
        <w:gridCol w:w="3959"/>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34" w:type="dxa"/>
            <w:vAlign w:val="center"/>
          </w:tcPr>
          <w:p>
            <w:pPr>
              <w:pStyle w:val="107"/>
              <w:jc w:val="center"/>
              <w:rPr>
                <w:color w:val="auto"/>
                <w:sz w:val="18"/>
              </w:rPr>
            </w:pPr>
            <w:r>
              <w:rPr>
                <w:color w:val="auto"/>
                <w:sz w:val="18"/>
              </w:rPr>
              <w:t>界</w:t>
            </w:r>
          </w:p>
        </w:tc>
        <w:tc>
          <w:tcPr>
            <w:tcW w:w="806" w:type="dxa"/>
            <w:vAlign w:val="center"/>
          </w:tcPr>
          <w:p>
            <w:pPr>
              <w:pStyle w:val="107"/>
              <w:jc w:val="center"/>
              <w:rPr>
                <w:color w:val="auto"/>
                <w:sz w:val="18"/>
              </w:rPr>
            </w:pPr>
            <w:r>
              <w:rPr>
                <w:color w:val="auto"/>
                <w:sz w:val="18"/>
              </w:rPr>
              <w:t>系</w:t>
            </w:r>
          </w:p>
        </w:tc>
        <w:tc>
          <w:tcPr>
            <w:tcW w:w="580" w:type="dxa"/>
            <w:vMerge w:val="restart"/>
            <w:vAlign w:val="center"/>
          </w:tcPr>
          <w:p>
            <w:pPr>
              <w:pStyle w:val="107"/>
              <w:jc w:val="center"/>
              <w:rPr>
                <w:color w:val="auto"/>
                <w:sz w:val="23"/>
              </w:rPr>
            </w:pPr>
          </w:p>
          <w:p>
            <w:pPr>
              <w:pStyle w:val="107"/>
              <w:jc w:val="center"/>
              <w:rPr>
                <w:color w:val="auto"/>
                <w:sz w:val="18"/>
              </w:rPr>
            </w:pPr>
            <w:r>
              <w:rPr>
                <w:color w:val="auto"/>
                <w:sz w:val="18"/>
              </w:rPr>
              <w:t>统</w:t>
            </w:r>
          </w:p>
        </w:tc>
        <w:tc>
          <w:tcPr>
            <w:tcW w:w="1228" w:type="dxa"/>
            <w:gridSpan w:val="3"/>
            <w:vMerge w:val="restart"/>
            <w:vAlign w:val="center"/>
          </w:tcPr>
          <w:p>
            <w:pPr>
              <w:pStyle w:val="107"/>
              <w:jc w:val="center"/>
              <w:rPr>
                <w:color w:val="auto"/>
                <w:sz w:val="23"/>
              </w:rPr>
            </w:pPr>
          </w:p>
          <w:p>
            <w:pPr>
              <w:pStyle w:val="107"/>
              <w:jc w:val="center"/>
              <w:rPr>
                <w:color w:val="auto"/>
                <w:sz w:val="18"/>
              </w:rPr>
            </w:pPr>
            <w:r>
              <w:rPr>
                <w:color w:val="auto"/>
                <w:sz w:val="18"/>
              </w:rPr>
              <w:t>地层名称</w:t>
            </w:r>
          </w:p>
        </w:tc>
        <w:tc>
          <w:tcPr>
            <w:tcW w:w="665" w:type="dxa"/>
            <w:vAlign w:val="center"/>
          </w:tcPr>
          <w:p>
            <w:pPr>
              <w:pStyle w:val="107"/>
              <w:jc w:val="center"/>
              <w:rPr>
                <w:color w:val="auto"/>
                <w:sz w:val="18"/>
              </w:rPr>
            </w:pPr>
            <w:r>
              <w:rPr>
                <w:color w:val="auto"/>
                <w:sz w:val="18"/>
              </w:rPr>
              <w:t>符号</w:t>
            </w:r>
          </w:p>
        </w:tc>
        <w:tc>
          <w:tcPr>
            <w:tcW w:w="679" w:type="dxa"/>
            <w:vMerge w:val="restart"/>
            <w:vAlign w:val="center"/>
          </w:tcPr>
          <w:p>
            <w:pPr>
              <w:pStyle w:val="107"/>
              <w:jc w:val="center"/>
              <w:rPr>
                <w:color w:val="auto"/>
                <w:sz w:val="18"/>
              </w:rPr>
            </w:pPr>
            <w:r>
              <w:rPr>
                <w:color w:val="auto"/>
                <w:sz w:val="18"/>
              </w:rPr>
              <w:t>厚度</w:t>
            </w:r>
          </w:p>
          <w:p>
            <w:pPr>
              <w:pStyle w:val="107"/>
              <w:jc w:val="center"/>
              <w:rPr>
                <w:color w:val="auto"/>
                <w:sz w:val="18"/>
              </w:rPr>
            </w:pPr>
            <w:r>
              <w:rPr>
                <w:color w:val="auto"/>
                <w:sz w:val="18"/>
              </w:rPr>
              <w:t>(m)</w:t>
            </w:r>
          </w:p>
        </w:tc>
        <w:tc>
          <w:tcPr>
            <w:tcW w:w="3959" w:type="dxa"/>
            <w:vAlign w:val="center"/>
          </w:tcPr>
          <w:p>
            <w:pPr>
              <w:pStyle w:val="107"/>
              <w:jc w:val="center"/>
              <w:rPr>
                <w:color w:val="auto"/>
                <w:sz w:val="18"/>
              </w:rPr>
            </w:pPr>
            <w:r>
              <w:rPr>
                <w:color w:val="auto"/>
                <w:sz w:val="18"/>
              </w:rPr>
              <w:t>主 要 岩 性</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34" w:type="dxa"/>
            <w:vAlign w:val="center"/>
          </w:tcPr>
          <w:p>
            <w:pPr>
              <w:pStyle w:val="107"/>
              <w:jc w:val="center"/>
              <w:rPr>
                <w:color w:val="auto"/>
                <w:sz w:val="18"/>
              </w:rPr>
            </w:pPr>
            <w:r>
              <w:rPr>
                <w:color w:val="auto"/>
                <w:sz w:val="18"/>
              </w:rPr>
              <w:t>新生界</w:t>
            </w:r>
          </w:p>
        </w:tc>
        <w:tc>
          <w:tcPr>
            <w:tcW w:w="806" w:type="dxa"/>
            <w:vAlign w:val="center"/>
          </w:tcPr>
          <w:p>
            <w:pPr>
              <w:pStyle w:val="107"/>
              <w:jc w:val="center"/>
              <w:rPr>
                <w:color w:val="auto"/>
                <w:sz w:val="18"/>
              </w:rPr>
            </w:pPr>
            <w:r>
              <w:rPr>
                <w:color w:val="auto"/>
                <w:sz w:val="18"/>
              </w:rPr>
              <w:t>第四系</w:t>
            </w:r>
          </w:p>
        </w:tc>
        <w:tc>
          <w:tcPr>
            <w:tcW w:w="580" w:type="dxa"/>
            <w:vMerge w:val="continue"/>
            <w:tcBorders>
              <w:top w:val="nil"/>
            </w:tcBorders>
            <w:vAlign w:val="center"/>
          </w:tcPr>
          <w:p>
            <w:pPr>
              <w:jc w:val="center"/>
              <w:rPr>
                <w:color w:val="auto"/>
                <w:sz w:val="2"/>
                <w:szCs w:val="2"/>
              </w:rPr>
            </w:pPr>
          </w:p>
        </w:tc>
        <w:tc>
          <w:tcPr>
            <w:tcW w:w="1228" w:type="dxa"/>
            <w:gridSpan w:val="3"/>
            <w:vMerge w:val="continue"/>
            <w:tcBorders>
              <w:top w:val="nil"/>
            </w:tcBorders>
            <w:vAlign w:val="center"/>
          </w:tcPr>
          <w:p>
            <w:pPr>
              <w:jc w:val="center"/>
              <w:rPr>
                <w:color w:val="auto"/>
                <w:sz w:val="2"/>
                <w:szCs w:val="2"/>
              </w:rPr>
            </w:pPr>
          </w:p>
        </w:tc>
        <w:tc>
          <w:tcPr>
            <w:tcW w:w="665" w:type="dxa"/>
            <w:vAlign w:val="center"/>
          </w:tcPr>
          <w:p>
            <w:pPr>
              <w:pStyle w:val="107"/>
              <w:jc w:val="center"/>
              <w:rPr>
                <w:color w:val="auto"/>
                <w:sz w:val="18"/>
              </w:rPr>
            </w:pPr>
            <w:r>
              <w:rPr>
                <w:color w:val="auto"/>
                <w:sz w:val="18"/>
              </w:rPr>
              <w:t>Q</w:t>
            </w:r>
            <w:r>
              <w:rPr>
                <w:color w:val="auto"/>
                <w:sz w:val="18"/>
                <w:vertAlign w:val="subscript"/>
              </w:rPr>
              <w:t>4</w:t>
            </w:r>
          </w:p>
        </w:tc>
        <w:tc>
          <w:tcPr>
            <w:tcW w:w="679" w:type="dxa"/>
            <w:vMerge w:val="continue"/>
            <w:tcBorders>
              <w:top w:val="nil"/>
            </w:tcBorders>
            <w:vAlign w:val="center"/>
          </w:tcPr>
          <w:p>
            <w:pPr>
              <w:jc w:val="center"/>
              <w:rPr>
                <w:color w:val="auto"/>
                <w:sz w:val="2"/>
                <w:szCs w:val="2"/>
              </w:rPr>
            </w:pPr>
          </w:p>
        </w:tc>
        <w:tc>
          <w:tcPr>
            <w:tcW w:w="3959" w:type="dxa"/>
            <w:vAlign w:val="center"/>
          </w:tcPr>
          <w:p>
            <w:pPr>
              <w:pStyle w:val="107"/>
              <w:jc w:val="center"/>
              <w:rPr>
                <w:color w:val="auto"/>
                <w:sz w:val="18"/>
              </w:rPr>
            </w:pPr>
            <w:r>
              <w:rPr>
                <w:color w:val="auto"/>
                <w:sz w:val="18"/>
              </w:rPr>
              <w:t>砂、土类，松散堆积物</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34" w:type="dxa"/>
            <w:vMerge w:val="restart"/>
            <w:vAlign w:val="center"/>
          </w:tcPr>
          <w:p>
            <w:pPr>
              <w:pStyle w:val="107"/>
              <w:jc w:val="center"/>
              <w:rPr>
                <w:color w:val="auto"/>
                <w:sz w:val="18"/>
              </w:rPr>
            </w:pPr>
            <w:r>
              <w:rPr>
                <w:color w:val="auto"/>
                <w:sz w:val="18"/>
              </w:rPr>
              <w:t>中生界</w:t>
            </w:r>
          </w:p>
        </w:tc>
        <w:tc>
          <w:tcPr>
            <w:tcW w:w="806" w:type="dxa"/>
            <w:vMerge w:val="restart"/>
            <w:vAlign w:val="center"/>
          </w:tcPr>
          <w:p>
            <w:pPr>
              <w:pStyle w:val="107"/>
              <w:jc w:val="center"/>
              <w:rPr>
                <w:color w:val="auto"/>
                <w:sz w:val="18"/>
              </w:rPr>
            </w:pPr>
            <w:r>
              <w:rPr>
                <w:color w:val="auto"/>
                <w:sz w:val="18"/>
              </w:rPr>
              <w:t>白垩系</w:t>
            </w:r>
          </w:p>
        </w:tc>
        <w:tc>
          <w:tcPr>
            <w:tcW w:w="580" w:type="dxa"/>
            <w:vMerge w:val="restart"/>
            <w:vAlign w:val="center"/>
          </w:tcPr>
          <w:p>
            <w:pPr>
              <w:pStyle w:val="107"/>
              <w:jc w:val="center"/>
              <w:rPr>
                <w:color w:val="auto"/>
                <w:sz w:val="18"/>
              </w:rPr>
            </w:pPr>
            <w:r>
              <w:rPr>
                <w:color w:val="auto"/>
                <w:sz w:val="18"/>
              </w:rPr>
              <w:t>上统</w:t>
            </w:r>
          </w:p>
        </w:tc>
        <w:tc>
          <w:tcPr>
            <w:tcW w:w="664" w:type="dxa"/>
            <w:vMerge w:val="restart"/>
            <w:vAlign w:val="center"/>
          </w:tcPr>
          <w:p>
            <w:pPr>
              <w:pStyle w:val="107"/>
              <w:jc w:val="center"/>
              <w:rPr>
                <w:color w:val="auto"/>
                <w:sz w:val="18"/>
              </w:rPr>
            </w:pPr>
            <w:r>
              <w:rPr>
                <w:color w:val="auto"/>
                <w:sz w:val="18"/>
              </w:rPr>
              <w:t>宣南组</w:t>
            </w:r>
          </w:p>
        </w:tc>
        <w:tc>
          <w:tcPr>
            <w:tcW w:w="564" w:type="dxa"/>
            <w:gridSpan w:val="2"/>
            <w:vAlign w:val="center"/>
          </w:tcPr>
          <w:p>
            <w:pPr>
              <w:pStyle w:val="107"/>
              <w:jc w:val="center"/>
              <w:rPr>
                <w:color w:val="auto"/>
                <w:sz w:val="18"/>
              </w:rPr>
            </w:pPr>
            <w:r>
              <w:rPr>
                <w:color w:val="auto"/>
                <w:sz w:val="18"/>
              </w:rPr>
              <w:t>中段</w:t>
            </w:r>
          </w:p>
        </w:tc>
        <w:tc>
          <w:tcPr>
            <w:tcW w:w="665" w:type="dxa"/>
            <w:vAlign w:val="center"/>
          </w:tcPr>
          <w:p>
            <w:pPr>
              <w:pStyle w:val="107"/>
              <w:jc w:val="center"/>
              <w:rPr>
                <w:color w:val="auto"/>
                <w:sz w:val="18"/>
              </w:rPr>
            </w:pPr>
            <w:r>
              <w:rPr>
                <w:color w:val="auto"/>
                <w:sz w:val="18"/>
              </w:rPr>
              <w:t>K</w:t>
            </w:r>
            <w:r>
              <w:rPr>
                <w:color w:val="auto"/>
                <w:sz w:val="18"/>
                <w:vertAlign w:val="subscript"/>
              </w:rPr>
              <w:t>2</w:t>
            </w:r>
            <w:r>
              <w:rPr>
                <w:color w:val="auto"/>
                <w:sz w:val="18"/>
              </w:rPr>
              <w:t>xn</w:t>
            </w:r>
            <w:r>
              <w:rPr>
                <w:color w:val="auto"/>
                <w:sz w:val="18"/>
                <w:vertAlign w:val="superscript"/>
              </w:rPr>
              <w:t>2</w:t>
            </w:r>
          </w:p>
        </w:tc>
        <w:tc>
          <w:tcPr>
            <w:tcW w:w="679" w:type="dxa"/>
            <w:vAlign w:val="center"/>
          </w:tcPr>
          <w:p>
            <w:pPr>
              <w:pStyle w:val="107"/>
              <w:jc w:val="center"/>
              <w:rPr>
                <w:color w:val="auto"/>
                <w:sz w:val="18"/>
              </w:rPr>
            </w:pPr>
            <w:r>
              <w:rPr>
                <w:color w:val="auto"/>
                <w:sz w:val="18"/>
              </w:rPr>
              <w:t>1966</w:t>
            </w:r>
          </w:p>
        </w:tc>
        <w:tc>
          <w:tcPr>
            <w:tcW w:w="3959" w:type="dxa"/>
            <w:vAlign w:val="center"/>
          </w:tcPr>
          <w:p>
            <w:pPr>
              <w:pStyle w:val="107"/>
              <w:jc w:val="center"/>
              <w:rPr>
                <w:color w:val="auto"/>
                <w:sz w:val="18"/>
              </w:rPr>
            </w:pPr>
            <w:r>
              <w:rPr>
                <w:color w:val="auto"/>
                <w:sz w:val="18"/>
              </w:rPr>
              <w:t>紫红色厚层砾岩夹含砾砂岩，细砂粉砂岩。</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34" w:type="dxa"/>
            <w:vMerge w:val="continue"/>
            <w:tcBorders>
              <w:top w:val="nil"/>
            </w:tcBorders>
            <w:vAlign w:val="center"/>
          </w:tcPr>
          <w:p>
            <w:pPr>
              <w:jc w:val="center"/>
              <w:rPr>
                <w:color w:val="auto"/>
                <w:sz w:val="2"/>
                <w:szCs w:val="2"/>
              </w:rPr>
            </w:pPr>
          </w:p>
        </w:tc>
        <w:tc>
          <w:tcPr>
            <w:tcW w:w="806" w:type="dxa"/>
            <w:vMerge w:val="continue"/>
            <w:tcBorders>
              <w:top w:val="nil"/>
            </w:tcBorders>
            <w:vAlign w:val="center"/>
          </w:tcPr>
          <w:p>
            <w:pPr>
              <w:jc w:val="center"/>
              <w:rPr>
                <w:color w:val="auto"/>
                <w:sz w:val="2"/>
                <w:szCs w:val="2"/>
              </w:rPr>
            </w:pPr>
          </w:p>
        </w:tc>
        <w:tc>
          <w:tcPr>
            <w:tcW w:w="580" w:type="dxa"/>
            <w:vMerge w:val="continue"/>
            <w:tcBorders>
              <w:top w:val="nil"/>
            </w:tcBorders>
            <w:vAlign w:val="center"/>
          </w:tcPr>
          <w:p>
            <w:pPr>
              <w:jc w:val="center"/>
              <w:rPr>
                <w:color w:val="auto"/>
                <w:sz w:val="2"/>
                <w:szCs w:val="2"/>
              </w:rPr>
            </w:pPr>
          </w:p>
        </w:tc>
        <w:tc>
          <w:tcPr>
            <w:tcW w:w="664" w:type="dxa"/>
            <w:vMerge w:val="continue"/>
            <w:tcBorders>
              <w:top w:val="nil"/>
            </w:tcBorders>
            <w:vAlign w:val="center"/>
          </w:tcPr>
          <w:p>
            <w:pPr>
              <w:jc w:val="center"/>
              <w:rPr>
                <w:color w:val="auto"/>
                <w:sz w:val="2"/>
                <w:szCs w:val="2"/>
              </w:rPr>
            </w:pPr>
          </w:p>
        </w:tc>
        <w:tc>
          <w:tcPr>
            <w:tcW w:w="564" w:type="dxa"/>
            <w:gridSpan w:val="2"/>
            <w:vAlign w:val="center"/>
          </w:tcPr>
          <w:p>
            <w:pPr>
              <w:pStyle w:val="107"/>
              <w:jc w:val="center"/>
              <w:rPr>
                <w:color w:val="auto"/>
                <w:sz w:val="18"/>
              </w:rPr>
            </w:pPr>
            <w:r>
              <w:rPr>
                <w:color w:val="auto"/>
                <w:sz w:val="18"/>
              </w:rPr>
              <w:t>下段</w:t>
            </w:r>
          </w:p>
        </w:tc>
        <w:tc>
          <w:tcPr>
            <w:tcW w:w="665" w:type="dxa"/>
            <w:vAlign w:val="center"/>
          </w:tcPr>
          <w:p>
            <w:pPr>
              <w:pStyle w:val="107"/>
              <w:jc w:val="center"/>
              <w:rPr>
                <w:color w:val="auto"/>
                <w:sz w:val="18"/>
              </w:rPr>
            </w:pPr>
            <w:r>
              <w:rPr>
                <w:color w:val="auto"/>
                <w:sz w:val="18"/>
              </w:rPr>
              <w:t>K</w:t>
            </w:r>
            <w:r>
              <w:rPr>
                <w:color w:val="auto"/>
                <w:sz w:val="18"/>
                <w:vertAlign w:val="subscript"/>
              </w:rPr>
              <w:t>2</w:t>
            </w:r>
            <w:r>
              <w:rPr>
                <w:color w:val="auto"/>
                <w:sz w:val="18"/>
              </w:rPr>
              <w:t>xn</w:t>
            </w:r>
            <w:r>
              <w:rPr>
                <w:color w:val="auto"/>
                <w:sz w:val="18"/>
                <w:vertAlign w:val="superscript"/>
              </w:rPr>
              <w:t>1</w:t>
            </w:r>
          </w:p>
        </w:tc>
        <w:tc>
          <w:tcPr>
            <w:tcW w:w="679" w:type="dxa"/>
            <w:vAlign w:val="center"/>
          </w:tcPr>
          <w:p>
            <w:pPr>
              <w:pStyle w:val="107"/>
              <w:jc w:val="center"/>
              <w:rPr>
                <w:color w:val="auto"/>
                <w:sz w:val="18"/>
              </w:rPr>
            </w:pPr>
            <w:r>
              <w:rPr>
                <w:color w:val="auto"/>
                <w:sz w:val="18"/>
              </w:rPr>
              <w:t>508</w:t>
            </w:r>
          </w:p>
        </w:tc>
        <w:tc>
          <w:tcPr>
            <w:tcW w:w="3959" w:type="dxa"/>
            <w:vAlign w:val="center"/>
          </w:tcPr>
          <w:p>
            <w:pPr>
              <w:pStyle w:val="107"/>
              <w:jc w:val="center"/>
              <w:rPr>
                <w:color w:val="auto"/>
                <w:sz w:val="18"/>
              </w:rPr>
            </w:pPr>
            <w:r>
              <w:rPr>
                <w:color w:val="auto"/>
                <w:sz w:val="18"/>
              </w:rPr>
              <w:t>棕红色厚层至块状砾岩夹中厚层含砾粗砂岩、细砂岩、粉砂岩及其透镜体。</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34" w:type="dxa"/>
            <w:vMerge w:val="continue"/>
            <w:tcBorders>
              <w:top w:val="nil"/>
            </w:tcBorders>
            <w:vAlign w:val="center"/>
          </w:tcPr>
          <w:p>
            <w:pPr>
              <w:jc w:val="center"/>
              <w:rPr>
                <w:color w:val="auto"/>
                <w:sz w:val="2"/>
                <w:szCs w:val="2"/>
              </w:rPr>
            </w:pPr>
          </w:p>
        </w:tc>
        <w:tc>
          <w:tcPr>
            <w:tcW w:w="806" w:type="dxa"/>
            <w:vMerge w:val="continue"/>
            <w:tcBorders>
              <w:top w:val="nil"/>
            </w:tcBorders>
            <w:vAlign w:val="center"/>
          </w:tcPr>
          <w:p>
            <w:pPr>
              <w:jc w:val="center"/>
              <w:rPr>
                <w:color w:val="auto"/>
                <w:sz w:val="2"/>
                <w:szCs w:val="2"/>
              </w:rPr>
            </w:pPr>
          </w:p>
        </w:tc>
        <w:tc>
          <w:tcPr>
            <w:tcW w:w="580" w:type="dxa"/>
            <w:vAlign w:val="center"/>
          </w:tcPr>
          <w:p>
            <w:pPr>
              <w:pStyle w:val="107"/>
              <w:jc w:val="center"/>
              <w:rPr>
                <w:color w:val="auto"/>
                <w:sz w:val="18"/>
              </w:rPr>
            </w:pPr>
            <w:r>
              <w:rPr>
                <w:color w:val="auto"/>
                <w:sz w:val="18"/>
              </w:rPr>
              <w:t>下统</w:t>
            </w:r>
          </w:p>
        </w:tc>
        <w:tc>
          <w:tcPr>
            <w:tcW w:w="664" w:type="dxa"/>
            <w:vAlign w:val="center"/>
          </w:tcPr>
          <w:p>
            <w:pPr>
              <w:pStyle w:val="107"/>
              <w:jc w:val="center"/>
              <w:rPr>
                <w:color w:val="auto"/>
                <w:sz w:val="18"/>
              </w:rPr>
            </w:pPr>
            <w:r>
              <w:rPr>
                <w:color w:val="auto"/>
                <w:sz w:val="18"/>
              </w:rPr>
              <w:t>七房</w:t>
            </w:r>
          </w:p>
        </w:tc>
        <w:tc>
          <w:tcPr>
            <w:tcW w:w="564" w:type="dxa"/>
            <w:gridSpan w:val="2"/>
            <w:vAlign w:val="center"/>
          </w:tcPr>
          <w:p>
            <w:pPr>
              <w:pStyle w:val="107"/>
              <w:jc w:val="center"/>
              <w:rPr>
                <w:color w:val="auto"/>
                <w:sz w:val="18"/>
              </w:rPr>
            </w:pPr>
            <w:r>
              <w:rPr>
                <w:color w:val="auto"/>
                <w:sz w:val="18"/>
              </w:rPr>
              <w:t>上段</w:t>
            </w:r>
          </w:p>
        </w:tc>
        <w:tc>
          <w:tcPr>
            <w:tcW w:w="665" w:type="dxa"/>
            <w:vAlign w:val="center"/>
          </w:tcPr>
          <w:p>
            <w:pPr>
              <w:pStyle w:val="107"/>
              <w:jc w:val="center"/>
              <w:rPr>
                <w:color w:val="auto"/>
                <w:sz w:val="18"/>
              </w:rPr>
            </w:pPr>
            <w:r>
              <w:rPr>
                <w:color w:val="auto"/>
                <w:sz w:val="18"/>
              </w:rPr>
              <w:t>K</w:t>
            </w:r>
            <w:r>
              <w:rPr>
                <w:color w:val="auto"/>
                <w:sz w:val="18"/>
                <w:vertAlign w:val="subscript"/>
              </w:rPr>
              <w:t>1</w:t>
            </w:r>
            <w:r>
              <w:rPr>
                <w:color w:val="auto"/>
                <w:sz w:val="18"/>
              </w:rPr>
              <w:t>q</w:t>
            </w:r>
            <w:r>
              <w:rPr>
                <w:color w:val="auto"/>
                <w:sz w:val="18"/>
                <w:vertAlign w:val="superscript"/>
              </w:rPr>
              <w:t>2</w:t>
            </w:r>
          </w:p>
        </w:tc>
        <w:tc>
          <w:tcPr>
            <w:tcW w:w="679" w:type="dxa"/>
            <w:vAlign w:val="center"/>
          </w:tcPr>
          <w:p>
            <w:pPr>
              <w:pStyle w:val="107"/>
              <w:jc w:val="center"/>
              <w:rPr>
                <w:color w:val="auto"/>
                <w:sz w:val="18"/>
              </w:rPr>
            </w:pPr>
            <w:r>
              <w:rPr>
                <w:color w:val="auto"/>
                <w:sz w:val="18"/>
              </w:rPr>
              <w:t>284</w:t>
            </w:r>
          </w:p>
        </w:tc>
        <w:tc>
          <w:tcPr>
            <w:tcW w:w="3959" w:type="dxa"/>
            <w:vAlign w:val="center"/>
          </w:tcPr>
          <w:p>
            <w:pPr>
              <w:pStyle w:val="107"/>
              <w:jc w:val="center"/>
              <w:rPr>
                <w:color w:val="auto"/>
                <w:sz w:val="18"/>
              </w:rPr>
            </w:pPr>
            <w:r>
              <w:rPr>
                <w:color w:val="auto"/>
                <w:sz w:val="18"/>
              </w:rPr>
              <w:t>上部暗紫、紫红色砂砾岩、含砾中粗粒砂岩、含砾钙质细</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34" w:type="dxa"/>
            <w:vMerge w:val="restart"/>
            <w:vAlign w:val="center"/>
          </w:tcPr>
          <w:p>
            <w:pPr>
              <w:pStyle w:val="107"/>
              <w:jc w:val="center"/>
              <w:rPr>
                <w:color w:val="auto"/>
                <w:sz w:val="16"/>
              </w:rPr>
            </w:pPr>
          </w:p>
        </w:tc>
        <w:tc>
          <w:tcPr>
            <w:tcW w:w="806" w:type="dxa"/>
            <w:vMerge w:val="restart"/>
            <w:vAlign w:val="center"/>
          </w:tcPr>
          <w:p>
            <w:pPr>
              <w:pStyle w:val="107"/>
              <w:jc w:val="center"/>
              <w:rPr>
                <w:color w:val="auto"/>
                <w:sz w:val="16"/>
              </w:rPr>
            </w:pPr>
          </w:p>
        </w:tc>
        <w:tc>
          <w:tcPr>
            <w:tcW w:w="580" w:type="dxa"/>
            <w:vMerge w:val="restart"/>
            <w:vAlign w:val="center"/>
          </w:tcPr>
          <w:p>
            <w:pPr>
              <w:pStyle w:val="107"/>
              <w:jc w:val="center"/>
              <w:rPr>
                <w:color w:val="auto"/>
                <w:sz w:val="16"/>
              </w:rPr>
            </w:pPr>
          </w:p>
        </w:tc>
        <w:tc>
          <w:tcPr>
            <w:tcW w:w="664" w:type="dxa"/>
            <w:vMerge w:val="restart"/>
            <w:vAlign w:val="center"/>
          </w:tcPr>
          <w:p>
            <w:pPr>
              <w:pStyle w:val="107"/>
              <w:jc w:val="center"/>
              <w:rPr>
                <w:color w:val="auto"/>
                <w:sz w:val="18"/>
              </w:rPr>
            </w:pPr>
            <w:r>
              <w:rPr>
                <w:color w:val="auto"/>
                <w:sz w:val="18"/>
              </w:rPr>
              <w:t>村组</w:t>
            </w:r>
          </w:p>
        </w:tc>
        <w:tc>
          <w:tcPr>
            <w:tcW w:w="564" w:type="dxa"/>
            <w:gridSpan w:val="2"/>
            <w:vAlign w:val="center"/>
          </w:tcPr>
          <w:p>
            <w:pPr>
              <w:pStyle w:val="107"/>
              <w:jc w:val="center"/>
              <w:rPr>
                <w:color w:val="auto"/>
                <w:sz w:val="16"/>
              </w:rPr>
            </w:pPr>
          </w:p>
        </w:tc>
        <w:tc>
          <w:tcPr>
            <w:tcW w:w="665" w:type="dxa"/>
            <w:vAlign w:val="center"/>
          </w:tcPr>
          <w:p>
            <w:pPr>
              <w:pStyle w:val="107"/>
              <w:jc w:val="center"/>
              <w:rPr>
                <w:color w:val="auto"/>
                <w:sz w:val="16"/>
              </w:rPr>
            </w:pPr>
          </w:p>
        </w:tc>
        <w:tc>
          <w:tcPr>
            <w:tcW w:w="679" w:type="dxa"/>
            <w:vAlign w:val="center"/>
          </w:tcPr>
          <w:p>
            <w:pPr>
              <w:pStyle w:val="107"/>
              <w:jc w:val="center"/>
              <w:rPr>
                <w:color w:val="auto"/>
                <w:sz w:val="16"/>
              </w:rPr>
            </w:pPr>
          </w:p>
        </w:tc>
        <w:tc>
          <w:tcPr>
            <w:tcW w:w="3959" w:type="dxa"/>
            <w:vAlign w:val="center"/>
          </w:tcPr>
          <w:p>
            <w:pPr>
              <w:pStyle w:val="107"/>
              <w:jc w:val="center"/>
              <w:rPr>
                <w:color w:val="auto"/>
                <w:sz w:val="18"/>
              </w:rPr>
            </w:pPr>
            <w:r>
              <w:rPr>
                <w:color w:val="auto"/>
                <w:spacing w:val="-8"/>
                <w:sz w:val="18"/>
              </w:rPr>
              <w:t>砂岩、夹薄层砾岩、层凝灰岩、玻基安山玄武岩。下部暗</w:t>
            </w:r>
            <w:r>
              <w:rPr>
                <w:color w:val="auto"/>
                <w:spacing w:val="-9"/>
                <w:sz w:val="18"/>
              </w:rPr>
              <w:t xml:space="preserve">紫、紫红、肉红薄至中厚层砾岩与含砾凝灰质砂岩互层， </w:t>
            </w:r>
            <w:r>
              <w:rPr>
                <w:color w:val="auto"/>
                <w:sz w:val="18"/>
              </w:rPr>
              <w:t>夹巨厚层含砾岩屑石英砂岩、层火山角砾岩。</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34" w:type="dxa"/>
            <w:vMerge w:val="continue"/>
            <w:tcBorders>
              <w:top w:val="nil"/>
            </w:tcBorders>
            <w:vAlign w:val="center"/>
          </w:tcPr>
          <w:p>
            <w:pPr>
              <w:jc w:val="center"/>
              <w:rPr>
                <w:color w:val="auto"/>
                <w:sz w:val="2"/>
                <w:szCs w:val="2"/>
              </w:rPr>
            </w:pPr>
          </w:p>
        </w:tc>
        <w:tc>
          <w:tcPr>
            <w:tcW w:w="806" w:type="dxa"/>
            <w:vMerge w:val="continue"/>
            <w:tcBorders>
              <w:top w:val="nil"/>
            </w:tcBorders>
            <w:vAlign w:val="center"/>
          </w:tcPr>
          <w:p>
            <w:pPr>
              <w:jc w:val="center"/>
              <w:rPr>
                <w:color w:val="auto"/>
                <w:sz w:val="2"/>
                <w:szCs w:val="2"/>
              </w:rPr>
            </w:pPr>
          </w:p>
        </w:tc>
        <w:tc>
          <w:tcPr>
            <w:tcW w:w="580" w:type="dxa"/>
            <w:vMerge w:val="continue"/>
            <w:tcBorders>
              <w:top w:val="nil"/>
            </w:tcBorders>
            <w:vAlign w:val="center"/>
          </w:tcPr>
          <w:p>
            <w:pPr>
              <w:jc w:val="center"/>
              <w:rPr>
                <w:color w:val="auto"/>
                <w:sz w:val="2"/>
                <w:szCs w:val="2"/>
              </w:rPr>
            </w:pPr>
          </w:p>
        </w:tc>
        <w:tc>
          <w:tcPr>
            <w:tcW w:w="664" w:type="dxa"/>
            <w:vMerge w:val="continue"/>
            <w:tcBorders>
              <w:top w:val="nil"/>
            </w:tcBorders>
            <w:vAlign w:val="center"/>
          </w:tcPr>
          <w:p>
            <w:pPr>
              <w:jc w:val="center"/>
              <w:rPr>
                <w:color w:val="auto"/>
                <w:sz w:val="2"/>
                <w:szCs w:val="2"/>
              </w:rPr>
            </w:pPr>
          </w:p>
        </w:tc>
        <w:tc>
          <w:tcPr>
            <w:tcW w:w="564" w:type="dxa"/>
            <w:gridSpan w:val="2"/>
            <w:vAlign w:val="center"/>
          </w:tcPr>
          <w:p>
            <w:pPr>
              <w:pStyle w:val="107"/>
              <w:jc w:val="center"/>
              <w:rPr>
                <w:color w:val="auto"/>
                <w:sz w:val="18"/>
              </w:rPr>
            </w:pPr>
            <w:r>
              <w:rPr>
                <w:color w:val="auto"/>
                <w:sz w:val="18"/>
              </w:rPr>
              <w:t>下段</w:t>
            </w:r>
          </w:p>
        </w:tc>
        <w:tc>
          <w:tcPr>
            <w:tcW w:w="665" w:type="dxa"/>
            <w:vAlign w:val="center"/>
          </w:tcPr>
          <w:p>
            <w:pPr>
              <w:pStyle w:val="107"/>
              <w:jc w:val="center"/>
              <w:rPr>
                <w:color w:val="auto"/>
                <w:sz w:val="18"/>
              </w:rPr>
            </w:pPr>
            <w:r>
              <w:rPr>
                <w:color w:val="auto"/>
                <w:sz w:val="18"/>
              </w:rPr>
              <w:t>K</w:t>
            </w:r>
            <w:r>
              <w:rPr>
                <w:color w:val="auto"/>
                <w:sz w:val="18"/>
                <w:vertAlign w:val="subscript"/>
              </w:rPr>
              <w:t>1</w:t>
            </w:r>
            <w:r>
              <w:rPr>
                <w:color w:val="auto"/>
                <w:sz w:val="18"/>
              </w:rPr>
              <w:t>q</w:t>
            </w:r>
            <w:r>
              <w:rPr>
                <w:color w:val="auto"/>
                <w:sz w:val="18"/>
                <w:vertAlign w:val="superscript"/>
              </w:rPr>
              <w:t>1</w:t>
            </w:r>
          </w:p>
        </w:tc>
        <w:tc>
          <w:tcPr>
            <w:tcW w:w="679" w:type="dxa"/>
            <w:vAlign w:val="center"/>
          </w:tcPr>
          <w:p>
            <w:pPr>
              <w:pStyle w:val="107"/>
              <w:jc w:val="center"/>
              <w:rPr>
                <w:color w:val="auto"/>
                <w:sz w:val="18"/>
              </w:rPr>
            </w:pPr>
            <w:r>
              <w:rPr>
                <w:color w:val="auto"/>
                <w:sz w:val="18"/>
              </w:rPr>
              <w:t>379</w:t>
            </w:r>
          </w:p>
        </w:tc>
        <w:tc>
          <w:tcPr>
            <w:tcW w:w="3959" w:type="dxa"/>
            <w:vAlign w:val="center"/>
          </w:tcPr>
          <w:p>
            <w:pPr>
              <w:pStyle w:val="107"/>
              <w:jc w:val="center"/>
              <w:rPr>
                <w:color w:val="auto"/>
                <w:sz w:val="18"/>
              </w:rPr>
            </w:pPr>
            <w:r>
              <w:rPr>
                <w:color w:val="auto"/>
                <w:spacing w:val="-5"/>
                <w:sz w:val="18"/>
              </w:rPr>
              <w:t>上部紫红色薄至厚层岩屑石英砂岩、石英砂岩、长石石英</w:t>
            </w:r>
            <w:r>
              <w:rPr>
                <w:color w:val="auto"/>
                <w:spacing w:val="-8"/>
                <w:sz w:val="18"/>
              </w:rPr>
              <w:t>砂岩与粉砂岩、钙质泥岩韵律互层、夹薄层砾岩、含砾岩</w:t>
            </w:r>
            <w:r>
              <w:rPr>
                <w:color w:val="auto"/>
                <w:spacing w:val="-11"/>
                <w:sz w:val="18"/>
              </w:rPr>
              <w:t>屑砂岩。中部紫红色块层状砾岩、砂砾岩互层。下部紫红</w:t>
            </w:r>
          </w:p>
          <w:p>
            <w:pPr>
              <w:pStyle w:val="107"/>
              <w:jc w:val="center"/>
              <w:rPr>
                <w:color w:val="auto"/>
                <w:sz w:val="18"/>
              </w:rPr>
            </w:pPr>
            <w:r>
              <w:rPr>
                <w:color w:val="auto"/>
                <w:sz w:val="18"/>
              </w:rPr>
              <w:t>色块层状砾岩。</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34" w:type="dxa"/>
            <w:vMerge w:val="continue"/>
            <w:tcBorders>
              <w:top w:val="nil"/>
            </w:tcBorders>
            <w:vAlign w:val="center"/>
          </w:tcPr>
          <w:p>
            <w:pPr>
              <w:jc w:val="center"/>
              <w:rPr>
                <w:color w:val="auto"/>
                <w:sz w:val="2"/>
                <w:szCs w:val="2"/>
              </w:rPr>
            </w:pPr>
          </w:p>
        </w:tc>
        <w:tc>
          <w:tcPr>
            <w:tcW w:w="806" w:type="dxa"/>
            <w:vMerge w:val="restart"/>
            <w:vAlign w:val="center"/>
          </w:tcPr>
          <w:p>
            <w:pPr>
              <w:pStyle w:val="107"/>
              <w:jc w:val="center"/>
              <w:rPr>
                <w:color w:val="auto"/>
                <w:sz w:val="18"/>
              </w:rPr>
            </w:pPr>
            <w:r>
              <w:rPr>
                <w:color w:val="auto"/>
                <w:sz w:val="18"/>
              </w:rPr>
              <w:t>侏罗系</w:t>
            </w:r>
          </w:p>
        </w:tc>
        <w:tc>
          <w:tcPr>
            <w:tcW w:w="580" w:type="dxa"/>
            <w:vMerge w:val="restart"/>
            <w:vAlign w:val="center"/>
          </w:tcPr>
          <w:p>
            <w:pPr>
              <w:pStyle w:val="107"/>
              <w:jc w:val="center"/>
              <w:rPr>
                <w:color w:val="auto"/>
                <w:sz w:val="18"/>
              </w:rPr>
            </w:pPr>
            <w:r>
              <w:rPr>
                <w:color w:val="auto"/>
                <w:sz w:val="18"/>
              </w:rPr>
              <w:t>上统</w:t>
            </w:r>
          </w:p>
        </w:tc>
        <w:tc>
          <w:tcPr>
            <w:tcW w:w="1228" w:type="dxa"/>
            <w:gridSpan w:val="3"/>
            <w:vAlign w:val="center"/>
          </w:tcPr>
          <w:p>
            <w:pPr>
              <w:pStyle w:val="107"/>
              <w:jc w:val="center"/>
              <w:rPr>
                <w:color w:val="auto"/>
                <w:sz w:val="18"/>
              </w:rPr>
            </w:pPr>
            <w:r>
              <w:rPr>
                <w:color w:val="auto"/>
                <w:sz w:val="18"/>
              </w:rPr>
              <w:t>广德组</w:t>
            </w:r>
          </w:p>
        </w:tc>
        <w:tc>
          <w:tcPr>
            <w:tcW w:w="665" w:type="dxa"/>
            <w:vAlign w:val="center"/>
          </w:tcPr>
          <w:p>
            <w:pPr>
              <w:pStyle w:val="107"/>
              <w:jc w:val="center"/>
              <w:rPr>
                <w:color w:val="auto"/>
                <w:sz w:val="18"/>
              </w:rPr>
            </w:pPr>
            <w:r>
              <w:rPr>
                <w:color w:val="auto"/>
                <w:sz w:val="18"/>
              </w:rPr>
              <w:t>J</w:t>
            </w:r>
            <w:r>
              <w:rPr>
                <w:color w:val="auto"/>
                <w:sz w:val="18"/>
                <w:vertAlign w:val="subscript"/>
              </w:rPr>
              <w:t>3</w:t>
            </w:r>
            <w:r>
              <w:rPr>
                <w:color w:val="auto"/>
                <w:sz w:val="18"/>
              </w:rPr>
              <w:t>g</w:t>
            </w:r>
          </w:p>
        </w:tc>
        <w:tc>
          <w:tcPr>
            <w:tcW w:w="679" w:type="dxa"/>
            <w:vAlign w:val="center"/>
          </w:tcPr>
          <w:p>
            <w:pPr>
              <w:pStyle w:val="107"/>
              <w:jc w:val="center"/>
              <w:rPr>
                <w:color w:val="auto"/>
                <w:sz w:val="18"/>
              </w:rPr>
            </w:pPr>
            <w:r>
              <w:rPr>
                <w:color w:val="auto"/>
                <w:sz w:val="18"/>
              </w:rPr>
              <w:t>49-370</w:t>
            </w:r>
          </w:p>
        </w:tc>
        <w:tc>
          <w:tcPr>
            <w:tcW w:w="3959" w:type="dxa"/>
            <w:vAlign w:val="center"/>
          </w:tcPr>
          <w:p>
            <w:pPr>
              <w:pStyle w:val="107"/>
              <w:jc w:val="center"/>
              <w:rPr>
                <w:color w:val="auto"/>
                <w:sz w:val="18"/>
              </w:rPr>
            </w:pPr>
            <w:r>
              <w:rPr>
                <w:color w:val="auto"/>
                <w:spacing w:val="-9"/>
                <w:sz w:val="18"/>
              </w:rPr>
              <w:t>上部棕黄色岩屑砂岩、细砂岩、粉砂岩互层夹泥岩，下部</w:t>
            </w:r>
            <w:r>
              <w:rPr>
                <w:color w:val="auto"/>
                <w:spacing w:val="-6"/>
                <w:sz w:val="18"/>
              </w:rPr>
              <w:t>紫红色英安质含砾岩屑晶屑凝灰岩，向西相变为安山玄武</w:t>
            </w:r>
            <w:r>
              <w:rPr>
                <w:color w:val="auto"/>
                <w:sz w:val="18"/>
              </w:rPr>
              <w:t>岩、凝灰质砾岩、凝灰质砂岩、凝灰质细砂岩、泥岩。</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34" w:type="dxa"/>
            <w:vMerge w:val="continue"/>
            <w:tcBorders>
              <w:top w:val="nil"/>
            </w:tcBorders>
            <w:vAlign w:val="center"/>
          </w:tcPr>
          <w:p>
            <w:pPr>
              <w:jc w:val="center"/>
              <w:rPr>
                <w:color w:val="auto"/>
                <w:sz w:val="2"/>
                <w:szCs w:val="2"/>
              </w:rPr>
            </w:pPr>
          </w:p>
        </w:tc>
        <w:tc>
          <w:tcPr>
            <w:tcW w:w="806" w:type="dxa"/>
            <w:vMerge w:val="continue"/>
            <w:tcBorders>
              <w:top w:val="nil"/>
            </w:tcBorders>
            <w:vAlign w:val="center"/>
          </w:tcPr>
          <w:p>
            <w:pPr>
              <w:jc w:val="center"/>
              <w:rPr>
                <w:color w:val="auto"/>
                <w:sz w:val="2"/>
                <w:szCs w:val="2"/>
              </w:rPr>
            </w:pPr>
          </w:p>
        </w:tc>
        <w:tc>
          <w:tcPr>
            <w:tcW w:w="580" w:type="dxa"/>
            <w:vMerge w:val="continue"/>
            <w:tcBorders>
              <w:top w:val="nil"/>
            </w:tcBorders>
            <w:vAlign w:val="center"/>
          </w:tcPr>
          <w:p>
            <w:pPr>
              <w:jc w:val="center"/>
              <w:rPr>
                <w:color w:val="auto"/>
                <w:sz w:val="2"/>
                <w:szCs w:val="2"/>
              </w:rPr>
            </w:pPr>
          </w:p>
        </w:tc>
        <w:tc>
          <w:tcPr>
            <w:tcW w:w="664" w:type="dxa"/>
            <w:vMerge w:val="restart"/>
            <w:vAlign w:val="center"/>
          </w:tcPr>
          <w:p>
            <w:pPr>
              <w:pStyle w:val="107"/>
              <w:jc w:val="center"/>
              <w:rPr>
                <w:color w:val="auto"/>
                <w:sz w:val="18"/>
              </w:rPr>
            </w:pPr>
            <w:r>
              <w:rPr>
                <w:color w:val="auto"/>
                <w:sz w:val="18"/>
              </w:rPr>
              <w:t>黄尖组</w:t>
            </w:r>
          </w:p>
        </w:tc>
        <w:tc>
          <w:tcPr>
            <w:tcW w:w="564" w:type="dxa"/>
            <w:gridSpan w:val="2"/>
            <w:vAlign w:val="center"/>
          </w:tcPr>
          <w:p>
            <w:pPr>
              <w:pStyle w:val="107"/>
              <w:jc w:val="center"/>
              <w:rPr>
                <w:color w:val="auto"/>
                <w:sz w:val="18"/>
              </w:rPr>
            </w:pPr>
            <w:r>
              <w:rPr>
                <w:color w:val="auto"/>
                <w:sz w:val="18"/>
              </w:rPr>
              <w:t>上段</w:t>
            </w:r>
          </w:p>
        </w:tc>
        <w:tc>
          <w:tcPr>
            <w:tcW w:w="665" w:type="dxa"/>
            <w:vAlign w:val="center"/>
          </w:tcPr>
          <w:p>
            <w:pPr>
              <w:pStyle w:val="107"/>
              <w:jc w:val="center"/>
              <w:rPr>
                <w:color w:val="auto"/>
                <w:sz w:val="18"/>
              </w:rPr>
            </w:pPr>
            <w:r>
              <w:rPr>
                <w:color w:val="auto"/>
                <w:sz w:val="18"/>
              </w:rPr>
              <w:t>J</w:t>
            </w:r>
            <w:r>
              <w:rPr>
                <w:color w:val="auto"/>
                <w:sz w:val="18"/>
                <w:vertAlign w:val="subscript"/>
              </w:rPr>
              <w:t>3</w:t>
            </w:r>
            <w:r>
              <w:rPr>
                <w:color w:val="auto"/>
                <w:sz w:val="18"/>
              </w:rPr>
              <w:t>h</w:t>
            </w:r>
            <w:r>
              <w:rPr>
                <w:color w:val="auto"/>
                <w:sz w:val="18"/>
                <w:vertAlign w:val="superscript"/>
              </w:rPr>
              <w:t>3</w:t>
            </w:r>
          </w:p>
        </w:tc>
        <w:tc>
          <w:tcPr>
            <w:tcW w:w="679" w:type="dxa"/>
            <w:vAlign w:val="center"/>
          </w:tcPr>
          <w:p>
            <w:pPr>
              <w:pStyle w:val="107"/>
              <w:jc w:val="center"/>
              <w:rPr>
                <w:color w:val="auto"/>
                <w:sz w:val="18"/>
              </w:rPr>
            </w:pPr>
            <w:r>
              <w:rPr>
                <w:color w:val="auto"/>
                <w:sz w:val="18"/>
              </w:rPr>
              <w:t>775</w:t>
            </w:r>
          </w:p>
        </w:tc>
        <w:tc>
          <w:tcPr>
            <w:tcW w:w="3959" w:type="dxa"/>
            <w:vAlign w:val="center"/>
          </w:tcPr>
          <w:p>
            <w:pPr>
              <w:pStyle w:val="107"/>
              <w:jc w:val="center"/>
              <w:rPr>
                <w:color w:val="auto"/>
                <w:sz w:val="18"/>
              </w:rPr>
            </w:pPr>
            <w:r>
              <w:rPr>
                <w:color w:val="auto"/>
                <w:spacing w:val="-10"/>
                <w:sz w:val="18"/>
              </w:rPr>
              <w:t>上部流纹岩、球泡流纹岩、流纹质凝灰熔岩及熔凝灰岩夹</w:t>
            </w:r>
            <w:r>
              <w:rPr>
                <w:color w:val="auto"/>
                <w:spacing w:val="-9"/>
                <w:sz w:val="18"/>
              </w:rPr>
              <w:t>安山岩、英安岩。下部凝灰岩、安山质角砾凝灰岩、角砾</w:t>
            </w:r>
            <w:r>
              <w:rPr>
                <w:color w:val="auto"/>
                <w:sz w:val="18"/>
              </w:rPr>
              <w:t>集块岩。</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34" w:type="dxa"/>
            <w:vMerge w:val="continue"/>
            <w:tcBorders>
              <w:top w:val="nil"/>
            </w:tcBorders>
            <w:vAlign w:val="center"/>
          </w:tcPr>
          <w:p>
            <w:pPr>
              <w:jc w:val="center"/>
              <w:rPr>
                <w:color w:val="auto"/>
                <w:sz w:val="2"/>
                <w:szCs w:val="2"/>
              </w:rPr>
            </w:pPr>
          </w:p>
        </w:tc>
        <w:tc>
          <w:tcPr>
            <w:tcW w:w="806" w:type="dxa"/>
            <w:vMerge w:val="continue"/>
            <w:tcBorders>
              <w:top w:val="nil"/>
            </w:tcBorders>
            <w:vAlign w:val="center"/>
          </w:tcPr>
          <w:p>
            <w:pPr>
              <w:jc w:val="center"/>
              <w:rPr>
                <w:color w:val="auto"/>
                <w:sz w:val="2"/>
                <w:szCs w:val="2"/>
              </w:rPr>
            </w:pPr>
          </w:p>
        </w:tc>
        <w:tc>
          <w:tcPr>
            <w:tcW w:w="580" w:type="dxa"/>
            <w:vMerge w:val="continue"/>
            <w:tcBorders>
              <w:top w:val="nil"/>
            </w:tcBorders>
            <w:vAlign w:val="center"/>
          </w:tcPr>
          <w:p>
            <w:pPr>
              <w:jc w:val="center"/>
              <w:rPr>
                <w:color w:val="auto"/>
                <w:sz w:val="2"/>
                <w:szCs w:val="2"/>
              </w:rPr>
            </w:pPr>
          </w:p>
        </w:tc>
        <w:tc>
          <w:tcPr>
            <w:tcW w:w="664" w:type="dxa"/>
            <w:vMerge w:val="continue"/>
            <w:tcBorders>
              <w:top w:val="nil"/>
            </w:tcBorders>
            <w:vAlign w:val="center"/>
          </w:tcPr>
          <w:p>
            <w:pPr>
              <w:jc w:val="center"/>
              <w:rPr>
                <w:color w:val="auto"/>
                <w:sz w:val="2"/>
                <w:szCs w:val="2"/>
              </w:rPr>
            </w:pPr>
          </w:p>
        </w:tc>
        <w:tc>
          <w:tcPr>
            <w:tcW w:w="564" w:type="dxa"/>
            <w:gridSpan w:val="2"/>
            <w:vAlign w:val="center"/>
          </w:tcPr>
          <w:p>
            <w:pPr>
              <w:pStyle w:val="107"/>
              <w:jc w:val="center"/>
              <w:rPr>
                <w:color w:val="auto"/>
                <w:sz w:val="18"/>
              </w:rPr>
            </w:pPr>
            <w:r>
              <w:rPr>
                <w:color w:val="auto"/>
                <w:sz w:val="18"/>
              </w:rPr>
              <w:t>中段</w:t>
            </w:r>
          </w:p>
        </w:tc>
        <w:tc>
          <w:tcPr>
            <w:tcW w:w="665" w:type="dxa"/>
            <w:vAlign w:val="center"/>
          </w:tcPr>
          <w:p>
            <w:pPr>
              <w:pStyle w:val="107"/>
              <w:jc w:val="center"/>
              <w:rPr>
                <w:color w:val="auto"/>
                <w:sz w:val="18"/>
              </w:rPr>
            </w:pPr>
            <w:r>
              <w:rPr>
                <w:color w:val="auto"/>
                <w:sz w:val="18"/>
              </w:rPr>
              <w:t>J</w:t>
            </w:r>
            <w:r>
              <w:rPr>
                <w:color w:val="auto"/>
                <w:sz w:val="18"/>
                <w:vertAlign w:val="subscript"/>
              </w:rPr>
              <w:t>3</w:t>
            </w:r>
            <w:r>
              <w:rPr>
                <w:color w:val="auto"/>
                <w:sz w:val="18"/>
              </w:rPr>
              <w:t>h</w:t>
            </w:r>
            <w:r>
              <w:rPr>
                <w:color w:val="auto"/>
                <w:sz w:val="18"/>
                <w:vertAlign w:val="superscript"/>
              </w:rPr>
              <w:t>2</w:t>
            </w:r>
          </w:p>
        </w:tc>
        <w:tc>
          <w:tcPr>
            <w:tcW w:w="679" w:type="dxa"/>
            <w:vAlign w:val="center"/>
          </w:tcPr>
          <w:p>
            <w:pPr>
              <w:pStyle w:val="107"/>
              <w:jc w:val="center"/>
              <w:rPr>
                <w:color w:val="auto"/>
                <w:sz w:val="18"/>
              </w:rPr>
            </w:pPr>
            <w:r>
              <w:rPr>
                <w:color w:val="auto"/>
                <w:sz w:val="18"/>
              </w:rPr>
              <w:t>502-567</w:t>
            </w:r>
          </w:p>
        </w:tc>
        <w:tc>
          <w:tcPr>
            <w:tcW w:w="3959" w:type="dxa"/>
            <w:vAlign w:val="center"/>
          </w:tcPr>
          <w:p>
            <w:pPr>
              <w:pStyle w:val="107"/>
              <w:jc w:val="center"/>
              <w:rPr>
                <w:color w:val="auto"/>
                <w:sz w:val="18"/>
              </w:rPr>
            </w:pPr>
            <w:r>
              <w:rPr>
                <w:color w:val="auto"/>
                <w:spacing w:val="-9"/>
                <w:sz w:val="18"/>
              </w:rPr>
              <w:t>上部安山质凝灰岩。中部安山岩、英安质凝灰熔岩、英安</w:t>
            </w:r>
            <w:r>
              <w:rPr>
                <w:color w:val="auto"/>
                <w:spacing w:val="-10"/>
                <w:sz w:val="18"/>
              </w:rPr>
              <w:t>岩、安山岩、角闪安山岩。下部安山、英安质凝灰岩、粉</w:t>
            </w:r>
            <w:r>
              <w:rPr>
                <w:color w:val="auto"/>
                <w:sz w:val="18"/>
              </w:rPr>
              <w:t>砂质泥岩。</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34" w:type="dxa"/>
            <w:vMerge w:val="continue"/>
            <w:tcBorders>
              <w:top w:val="nil"/>
            </w:tcBorders>
            <w:vAlign w:val="center"/>
          </w:tcPr>
          <w:p>
            <w:pPr>
              <w:jc w:val="center"/>
              <w:rPr>
                <w:color w:val="auto"/>
                <w:sz w:val="2"/>
                <w:szCs w:val="2"/>
              </w:rPr>
            </w:pPr>
          </w:p>
        </w:tc>
        <w:tc>
          <w:tcPr>
            <w:tcW w:w="806" w:type="dxa"/>
            <w:vMerge w:val="continue"/>
            <w:tcBorders>
              <w:top w:val="nil"/>
            </w:tcBorders>
            <w:vAlign w:val="center"/>
          </w:tcPr>
          <w:p>
            <w:pPr>
              <w:jc w:val="center"/>
              <w:rPr>
                <w:color w:val="auto"/>
                <w:sz w:val="2"/>
                <w:szCs w:val="2"/>
              </w:rPr>
            </w:pPr>
          </w:p>
        </w:tc>
        <w:tc>
          <w:tcPr>
            <w:tcW w:w="580" w:type="dxa"/>
            <w:vMerge w:val="continue"/>
            <w:tcBorders>
              <w:top w:val="nil"/>
            </w:tcBorders>
            <w:vAlign w:val="center"/>
          </w:tcPr>
          <w:p>
            <w:pPr>
              <w:jc w:val="center"/>
              <w:rPr>
                <w:color w:val="auto"/>
                <w:sz w:val="2"/>
                <w:szCs w:val="2"/>
              </w:rPr>
            </w:pPr>
          </w:p>
        </w:tc>
        <w:tc>
          <w:tcPr>
            <w:tcW w:w="664" w:type="dxa"/>
            <w:vMerge w:val="continue"/>
            <w:tcBorders>
              <w:top w:val="nil"/>
            </w:tcBorders>
            <w:vAlign w:val="center"/>
          </w:tcPr>
          <w:p>
            <w:pPr>
              <w:jc w:val="center"/>
              <w:rPr>
                <w:color w:val="auto"/>
                <w:sz w:val="2"/>
                <w:szCs w:val="2"/>
              </w:rPr>
            </w:pPr>
          </w:p>
        </w:tc>
        <w:tc>
          <w:tcPr>
            <w:tcW w:w="564" w:type="dxa"/>
            <w:gridSpan w:val="2"/>
            <w:vAlign w:val="center"/>
          </w:tcPr>
          <w:p>
            <w:pPr>
              <w:pStyle w:val="107"/>
              <w:jc w:val="center"/>
              <w:rPr>
                <w:color w:val="auto"/>
                <w:sz w:val="18"/>
              </w:rPr>
            </w:pPr>
            <w:r>
              <w:rPr>
                <w:color w:val="auto"/>
                <w:sz w:val="18"/>
              </w:rPr>
              <w:t>下段</w:t>
            </w:r>
          </w:p>
        </w:tc>
        <w:tc>
          <w:tcPr>
            <w:tcW w:w="665" w:type="dxa"/>
            <w:vAlign w:val="center"/>
          </w:tcPr>
          <w:p>
            <w:pPr>
              <w:pStyle w:val="107"/>
              <w:jc w:val="center"/>
              <w:rPr>
                <w:color w:val="auto"/>
                <w:sz w:val="18"/>
              </w:rPr>
            </w:pPr>
            <w:r>
              <w:rPr>
                <w:color w:val="auto"/>
                <w:sz w:val="18"/>
              </w:rPr>
              <w:t>J</w:t>
            </w:r>
            <w:r>
              <w:rPr>
                <w:color w:val="auto"/>
                <w:sz w:val="18"/>
                <w:vertAlign w:val="subscript"/>
              </w:rPr>
              <w:t>3</w:t>
            </w:r>
            <w:r>
              <w:rPr>
                <w:color w:val="auto"/>
                <w:sz w:val="18"/>
              </w:rPr>
              <w:t>h</w:t>
            </w:r>
            <w:r>
              <w:rPr>
                <w:color w:val="auto"/>
                <w:sz w:val="18"/>
                <w:vertAlign w:val="superscript"/>
              </w:rPr>
              <w:t>1</w:t>
            </w:r>
          </w:p>
        </w:tc>
        <w:tc>
          <w:tcPr>
            <w:tcW w:w="679" w:type="dxa"/>
            <w:vAlign w:val="center"/>
          </w:tcPr>
          <w:p>
            <w:pPr>
              <w:pStyle w:val="107"/>
              <w:jc w:val="center"/>
              <w:rPr>
                <w:color w:val="auto"/>
                <w:sz w:val="18"/>
              </w:rPr>
            </w:pPr>
            <w:r>
              <w:rPr>
                <w:color w:val="auto"/>
                <w:sz w:val="18"/>
              </w:rPr>
              <w:t>1221</w:t>
            </w:r>
          </w:p>
        </w:tc>
        <w:tc>
          <w:tcPr>
            <w:tcW w:w="3959" w:type="dxa"/>
            <w:vAlign w:val="center"/>
          </w:tcPr>
          <w:p>
            <w:pPr>
              <w:pStyle w:val="107"/>
              <w:jc w:val="center"/>
              <w:rPr>
                <w:color w:val="auto"/>
                <w:sz w:val="18"/>
              </w:rPr>
            </w:pPr>
            <w:r>
              <w:rPr>
                <w:color w:val="auto"/>
                <w:spacing w:val="-5"/>
                <w:sz w:val="18"/>
              </w:rPr>
              <w:t>上部流纹质凝灰熔岩夹熔接凝灰岩、中部流纹质流纹英安</w:t>
            </w:r>
            <w:r>
              <w:rPr>
                <w:color w:val="auto"/>
                <w:spacing w:val="-10"/>
                <w:sz w:val="18"/>
              </w:rPr>
              <w:t>质熔接凝灰岩、凝灰熔岩互层夹安山岩，下部含砾层凝灰</w:t>
            </w:r>
            <w:r>
              <w:rPr>
                <w:color w:val="auto"/>
                <w:spacing w:val="-11"/>
                <w:sz w:val="18"/>
              </w:rPr>
              <w:t>岩、角砾凝灰岩岩屑晶屑凝灰岩。底部含砾粉砂质泥岩。</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34" w:type="dxa"/>
            <w:vMerge w:val="continue"/>
            <w:tcBorders>
              <w:top w:val="nil"/>
            </w:tcBorders>
            <w:vAlign w:val="center"/>
          </w:tcPr>
          <w:p>
            <w:pPr>
              <w:jc w:val="center"/>
              <w:rPr>
                <w:color w:val="auto"/>
                <w:sz w:val="2"/>
                <w:szCs w:val="2"/>
              </w:rPr>
            </w:pPr>
          </w:p>
        </w:tc>
        <w:tc>
          <w:tcPr>
            <w:tcW w:w="806" w:type="dxa"/>
            <w:vMerge w:val="continue"/>
            <w:tcBorders>
              <w:top w:val="nil"/>
            </w:tcBorders>
            <w:vAlign w:val="center"/>
          </w:tcPr>
          <w:p>
            <w:pPr>
              <w:jc w:val="center"/>
              <w:rPr>
                <w:color w:val="auto"/>
                <w:sz w:val="2"/>
                <w:szCs w:val="2"/>
              </w:rPr>
            </w:pPr>
          </w:p>
        </w:tc>
        <w:tc>
          <w:tcPr>
            <w:tcW w:w="580" w:type="dxa"/>
            <w:vMerge w:val="continue"/>
            <w:tcBorders>
              <w:top w:val="nil"/>
            </w:tcBorders>
            <w:vAlign w:val="center"/>
          </w:tcPr>
          <w:p>
            <w:pPr>
              <w:jc w:val="center"/>
              <w:rPr>
                <w:color w:val="auto"/>
                <w:sz w:val="2"/>
                <w:szCs w:val="2"/>
              </w:rPr>
            </w:pPr>
          </w:p>
        </w:tc>
        <w:tc>
          <w:tcPr>
            <w:tcW w:w="1228" w:type="dxa"/>
            <w:gridSpan w:val="3"/>
            <w:vAlign w:val="center"/>
          </w:tcPr>
          <w:p>
            <w:pPr>
              <w:pStyle w:val="107"/>
              <w:jc w:val="center"/>
              <w:rPr>
                <w:color w:val="auto"/>
                <w:sz w:val="18"/>
              </w:rPr>
            </w:pPr>
            <w:r>
              <w:rPr>
                <w:color w:val="auto"/>
                <w:sz w:val="18"/>
              </w:rPr>
              <w:t>劳村组</w:t>
            </w:r>
          </w:p>
        </w:tc>
        <w:tc>
          <w:tcPr>
            <w:tcW w:w="665" w:type="dxa"/>
            <w:vAlign w:val="center"/>
          </w:tcPr>
          <w:p>
            <w:pPr>
              <w:pStyle w:val="107"/>
              <w:jc w:val="center"/>
              <w:rPr>
                <w:color w:val="auto"/>
                <w:sz w:val="18"/>
              </w:rPr>
            </w:pPr>
            <w:r>
              <w:rPr>
                <w:color w:val="auto"/>
                <w:sz w:val="18"/>
              </w:rPr>
              <w:t>J</w:t>
            </w:r>
            <w:r>
              <w:rPr>
                <w:color w:val="auto"/>
                <w:sz w:val="18"/>
                <w:vertAlign w:val="subscript"/>
              </w:rPr>
              <w:t>3</w:t>
            </w:r>
            <w:r>
              <w:rPr>
                <w:color w:val="auto"/>
                <w:sz w:val="18"/>
              </w:rPr>
              <w:t>lc</w:t>
            </w:r>
          </w:p>
        </w:tc>
        <w:tc>
          <w:tcPr>
            <w:tcW w:w="679" w:type="dxa"/>
            <w:vAlign w:val="center"/>
          </w:tcPr>
          <w:p>
            <w:pPr>
              <w:pStyle w:val="107"/>
              <w:jc w:val="center"/>
              <w:rPr>
                <w:color w:val="auto"/>
                <w:sz w:val="18"/>
              </w:rPr>
            </w:pPr>
            <w:r>
              <w:rPr>
                <w:color w:val="auto"/>
                <w:sz w:val="18"/>
              </w:rPr>
              <w:t>580-1233</w:t>
            </w:r>
          </w:p>
        </w:tc>
        <w:tc>
          <w:tcPr>
            <w:tcW w:w="3959" w:type="dxa"/>
            <w:vAlign w:val="center"/>
          </w:tcPr>
          <w:p>
            <w:pPr>
              <w:pStyle w:val="107"/>
              <w:jc w:val="center"/>
              <w:rPr>
                <w:color w:val="auto"/>
                <w:sz w:val="18"/>
              </w:rPr>
            </w:pPr>
            <w:r>
              <w:rPr>
                <w:color w:val="auto"/>
                <w:sz w:val="18"/>
              </w:rPr>
              <w:t>上部流纹质熔接凝灰岩。中部流纹质凝灰熔岩夹流纹斑</w:t>
            </w:r>
          </w:p>
          <w:p>
            <w:pPr>
              <w:pStyle w:val="107"/>
              <w:jc w:val="center"/>
              <w:rPr>
                <w:color w:val="auto"/>
                <w:sz w:val="18"/>
              </w:rPr>
            </w:pPr>
            <w:r>
              <w:rPr>
                <w:color w:val="auto"/>
                <w:spacing w:val="-10"/>
                <w:sz w:val="18"/>
              </w:rPr>
              <w:t>岩。下部泫纹质凝灰冉。角砾凝灰岩及英安质熔凝灰岩夹</w:t>
            </w:r>
            <w:r>
              <w:rPr>
                <w:color w:val="auto"/>
                <w:sz w:val="18"/>
              </w:rPr>
              <w:t>流纹岩。底部角砾岩。</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34" w:type="dxa"/>
            <w:vMerge w:val="continue"/>
            <w:tcBorders>
              <w:top w:val="nil"/>
            </w:tcBorders>
            <w:vAlign w:val="center"/>
          </w:tcPr>
          <w:p>
            <w:pPr>
              <w:jc w:val="center"/>
              <w:rPr>
                <w:color w:val="auto"/>
                <w:sz w:val="2"/>
                <w:szCs w:val="2"/>
              </w:rPr>
            </w:pPr>
          </w:p>
        </w:tc>
        <w:tc>
          <w:tcPr>
            <w:tcW w:w="806" w:type="dxa"/>
            <w:vMerge w:val="continue"/>
            <w:tcBorders>
              <w:top w:val="nil"/>
            </w:tcBorders>
            <w:vAlign w:val="center"/>
          </w:tcPr>
          <w:p>
            <w:pPr>
              <w:jc w:val="center"/>
              <w:rPr>
                <w:color w:val="auto"/>
                <w:sz w:val="2"/>
                <w:szCs w:val="2"/>
              </w:rPr>
            </w:pPr>
          </w:p>
        </w:tc>
        <w:tc>
          <w:tcPr>
            <w:tcW w:w="580" w:type="dxa"/>
            <w:vAlign w:val="center"/>
          </w:tcPr>
          <w:p>
            <w:pPr>
              <w:pStyle w:val="107"/>
              <w:jc w:val="center"/>
              <w:rPr>
                <w:color w:val="auto"/>
                <w:sz w:val="18"/>
              </w:rPr>
            </w:pPr>
            <w:r>
              <w:rPr>
                <w:color w:val="auto"/>
                <w:sz w:val="18"/>
              </w:rPr>
              <w:t>中下统</w:t>
            </w:r>
          </w:p>
        </w:tc>
        <w:tc>
          <w:tcPr>
            <w:tcW w:w="1228" w:type="dxa"/>
            <w:gridSpan w:val="3"/>
            <w:vAlign w:val="center"/>
          </w:tcPr>
          <w:p>
            <w:pPr>
              <w:pStyle w:val="107"/>
              <w:jc w:val="center"/>
              <w:rPr>
                <w:color w:val="auto"/>
                <w:sz w:val="18"/>
              </w:rPr>
            </w:pPr>
            <w:r>
              <w:rPr>
                <w:color w:val="auto"/>
                <w:sz w:val="18"/>
              </w:rPr>
              <w:t>象山群</w:t>
            </w:r>
          </w:p>
        </w:tc>
        <w:tc>
          <w:tcPr>
            <w:tcW w:w="665" w:type="dxa"/>
            <w:vAlign w:val="center"/>
          </w:tcPr>
          <w:p>
            <w:pPr>
              <w:pStyle w:val="107"/>
              <w:jc w:val="center"/>
              <w:rPr>
                <w:color w:val="auto"/>
                <w:sz w:val="18"/>
              </w:rPr>
            </w:pPr>
            <w:r>
              <w:rPr>
                <w:color w:val="auto"/>
                <w:sz w:val="18"/>
              </w:rPr>
              <w:t>J</w:t>
            </w:r>
            <w:r>
              <w:rPr>
                <w:color w:val="auto"/>
                <w:sz w:val="18"/>
                <w:vertAlign w:val="subscript"/>
              </w:rPr>
              <w:t>1-2</w:t>
            </w:r>
            <w:r>
              <w:rPr>
                <w:color w:val="auto"/>
                <w:sz w:val="18"/>
              </w:rPr>
              <w:t>xn</w:t>
            </w:r>
          </w:p>
        </w:tc>
        <w:tc>
          <w:tcPr>
            <w:tcW w:w="679" w:type="dxa"/>
            <w:vAlign w:val="center"/>
          </w:tcPr>
          <w:p>
            <w:pPr>
              <w:pStyle w:val="107"/>
              <w:jc w:val="center"/>
              <w:rPr>
                <w:color w:val="auto"/>
                <w:sz w:val="18"/>
              </w:rPr>
            </w:pPr>
            <w:r>
              <w:rPr>
                <w:color w:val="auto"/>
                <w:sz w:val="18"/>
              </w:rPr>
              <w:t>792</w:t>
            </w:r>
          </w:p>
        </w:tc>
        <w:tc>
          <w:tcPr>
            <w:tcW w:w="3959" w:type="dxa"/>
            <w:vAlign w:val="center"/>
          </w:tcPr>
          <w:p>
            <w:pPr>
              <w:pStyle w:val="107"/>
              <w:jc w:val="center"/>
              <w:rPr>
                <w:color w:val="auto"/>
                <w:sz w:val="18"/>
              </w:rPr>
            </w:pPr>
            <w:r>
              <w:rPr>
                <w:color w:val="auto"/>
                <w:spacing w:val="-8"/>
                <w:sz w:val="18"/>
              </w:rPr>
              <w:t>上部灰黑色页岩、砂质页岩、粉砂岩、细砂岩夹中粒石英</w:t>
            </w:r>
            <w:r>
              <w:rPr>
                <w:color w:val="auto"/>
                <w:spacing w:val="-10"/>
                <w:sz w:val="18"/>
              </w:rPr>
              <w:t>砂岩、长石石英砂岩，泥灰岩及煤层，中部灰白、棕黄色</w:t>
            </w:r>
            <w:r>
              <w:rPr>
                <w:color w:val="auto"/>
                <w:spacing w:val="-6"/>
                <w:sz w:val="18"/>
              </w:rPr>
              <w:t>中至粗粒长石石英砂岩夹细砂岩、粉砂岩及煤层，下部灰</w:t>
            </w:r>
          </w:p>
          <w:p>
            <w:pPr>
              <w:pStyle w:val="107"/>
              <w:jc w:val="center"/>
              <w:rPr>
                <w:color w:val="auto"/>
                <w:sz w:val="18"/>
              </w:rPr>
            </w:pPr>
            <w:r>
              <w:rPr>
                <w:color w:val="auto"/>
                <w:sz w:val="18"/>
              </w:rPr>
              <w:t>白、灰黄色砾岩。</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34" w:type="dxa"/>
            <w:vMerge w:val="continue"/>
            <w:tcBorders>
              <w:top w:val="nil"/>
            </w:tcBorders>
            <w:vAlign w:val="center"/>
          </w:tcPr>
          <w:p>
            <w:pPr>
              <w:jc w:val="center"/>
              <w:rPr>
                <w:color w:val="auto"/>
                <w:sz w:val="2"/>
                <w:szCs w:val="2"/>
              </w:rPr>
            </w:pPr>
          </w:p>
        </w:tc>
        <w:tc>
          <w:tcPr>
            <w:tcW w:w="806" w:type="dxa"/>
            <w:vMerge w:val="restart"/>
            <w:vAlign w:val="center"/>
          </w:tcPr>
          <w:p>
            <w:pPr>
              <w:pStyle w:val="107"/>
              <w:jc w:val="center"/>
              <w:rPr>
                <w:color w:val="auto"/>
                <w:sz w:val="18"/>
              </w:rPr>
            </w:pPr>
            <w:r>
              <w:rPr>
                <w:color w:val="auto"/>
                <w:sz w:val="18"/>
              </w:rPr>
              <w:t>三叠系</w:t>
            </w:r>
          </w:p>
        </w:tc>
        <w:tc>
          <w:tcPr>
            <w:tcW w:w="580" w:type="dxa"/>
            <w:vMerge w:val="restart"/>
            <w:vAlign w:val="center"/>
          </w:tcPr>
          <w:p>
            <w:pPr>
              <w:pStyle w:val="107"/>
              <w:jc w:val="center"/>
              <w:rPr>
                <w:color w:val="auto"/>
                <w:sz w:val="18"/>
              </w:rPr>
            </w:pPr>
            <w:r>
              <w:rPr>
                <w:color w:val="auto"/>
                <w:sz w:val="18"/>
              </w:rPr>
              <w:t>中统</w:t>
            </w:r>
          </w:p>
        </w:tc>
        <w:tc>
          <w:tcPr>
            <w:tcW w:w="862" w:type="dxa"/>
            <w:gridSpan w:val="2"/>
            <w:vMerge w:val="restart"/>
            <w:vAlign w:val="center"/>
          </w:tcPr>
          <w:p>
            <w:pPr>
              <w:pStyle w:val="107"/>
              <w:jc w:val="center"/>
              <w:rPr>
                <w:color w:val="auto"/>
                <w:sz w:val="18"/>
              </w:rPr>
            </w:pPr>
            <w:r>
              <w:rPr>
                <w:color w:val="auto"/>
                <w:sz w:val="18"/>
              </w:rPr>
              <w:t>扁担山组</w:t>
            </w:r>
          </w:p>
        </w:tc>
        <w:tc>
          <w:tcPr>
            <w:tcW w:w="366" w:type="dxa"/>
            <w:vAlign w:val="center"/>
          </w:tcPr>
          <w:p>
            <w:pPr>
              <w:pStyle w:val="107"/>
              <w:jc w:val="center"/>
              <w:rPr>
                <w:color w:val="auto"/>
                <w:sz w:val="18"/>
              </w:rPr>
            </w:pPr>
            <w:r>
              <w:rPr>
                <w:color w:val="auto"/>
                <w:sz w:val="18"/>
              </w:rPr>
              <w:t>上段</w:t>
            </w:r>
          </w:p>
        </w:tc>
        <w:tc>
          <w:tcPr>
            <w:tcW w:w="665" w:type="dxa"/>
            <w:vAlign w:val="center"/>
          </w:tcPr>
          <w:p>
            <w:pPr>
              <w:pStyle w:val="107"/>
              <w:jc w:val="center"/>
              <w:rPr>
                <w:color w:val="auto"/>
                <w:sz w:val="18"/>
              </w:rPr>
            </w:pPr>
            <w:r>
              <w:rPr>
                <w:color w:val="auto"/>
                <w:sz w:val="18"/>
              </w:rPr>
              <w:t>T</w:t>
            </w:r>
            <w:r>
              <w:rPr>
                <w:color w:val="auto"/>
                <w:sz w:val="18"/>
                <w:vertAlign w:val="subscript"/>
              </w:rPr>
              <w:t>2</w:t>
            </w:r>
            <w:r>
              <w:rPr>
                <w:color w:val="auto"/>
                <w:sz w:val="18"/>
              </w:rPr>
              <w:t>b</w:t>
            </w:r>
            <w:r>
              <w:rPr>
                <w:color w:val="auto"/>
                <w:sz w:val="18"/>
                <w:vertAlign w:val="superscript"/>
              </w:rPr>
              <w:t>2</w:t>
            </w:r>
          </w:p>
        </w:tc>
        <w:tc>
          <w:tcPr>
            <w:tcW w:w="679" w:type="dxa"/>
            <w:vAlign w:val="center"/>
          </w:tcPr>
          <w:p>
            <w:pPr>
              <w:pStyle w:val="107"/>
              <w:jc w:val="center"/>
              <w:rPr>
                <w:color w:val="auto"/>
                <w:sz w:val="18"/>
              </w:rPr>
            </w:pPr>
            <w:r>
              <w:rPr>
                <w:color w:val="auto"/>
                <w:sz w:val="18"/>
              </w:rPr>
              <w:t>602</w:t>
            </w:r>
          </w:p>
        </w:tc>
        <w:tc>
          <w:tcPr>
            <w:tcW w:w="3959" w:type="dxa"/>
            <w:vAlign w:val="center"/>
          </w:tcPr>
          <w:p>
            <w:pPr>
              <w:pStyle w:val="107"/>
              <w:jc w:val="center"/>
              <w:rPr>
                <w:color w:val="auto"/>
                <w:sz w:val="18"/>
              </w:rPr>
            </w:pPr>
            <w:r>
              <w:rPr>
                <w:color w:val="auto"/>
                <w:spacing w:val="-8"/>
                <w:sz w:val="18"/>
              </w:rPr>
              <w:t>上部灰色薄至厚层灰岩。下部灰色薄至厚层刀砍状灰质白</w:t>
            </w:r>
            <w:r>
              <w:rPr>
                <w:color w:val="auto"/>
                <w:sz w:val="18"/>
              </w:rPr>
              <w:t>云岩，含灰质白云岩、白云岩，夹中厚层至厚层灰岩。</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34" w:type="dxa"/>
            <w:vMerge w:val="continue"/>
            <w:tcBorders>
              <w:top w:val="nil"/>
            </w:tcBorders>
            <w:vAlign w:val="center"/>
          </w:tcPr>
          <w:p>
            <w:pPr>
              <w:jc w:val="center"/>
              <w:rPr>
                <w:color w:val="auto"/>
                <w:sz w:val="2"/>
                <w:szCs w:val="2"/>
              </w:rPr>
            </w:pPr>
          </w:p>
        </w:tc>
        <w:tc>
          <w:tcPr>
            <w:tcW w:w="806" w:type="dxa"/>
            <w:vMerge w:val="continue"/>
            <w:tcBorders>
              <w:top w:val="nil"/>
            </w:tcBorders>
            <w:vAlign w:val="center"/>
          </w:tcPr>
          <w:p>
            <w:pPr>
              <w:jc w:val="center"/>
              <w:rPr>
                <w:color w:val="auto"/>
                <w:sz w:val="2"/>
                <w:szCs w:val="2"/>
              </w:rPr>
            </w:pPr>
          </w:p>
        </w:tc>
        <w:tc>
          <w:tcPr>
            <w:tcW w:w="580" w:type="dxa"/>
            <w:vMerge w:val="continue"/>
            <w:tcBorders>
              <w:top w:val="nil"/>
            </w:tcBorders>
            <w:vAlign w:val="center"/>
          </w:tcPr>
          <w:p>
            <w:pPr>
              <w:jc w:val="center"/>
              <w:rPr>
                <w:color w:val="auto"/>
                <w:sz w:val="2"/>
                <w:szCs w:val="2"/>
              </w:rPr>
            </w:pPr>
          </w:p>
        </w:tc>
        <w:tc>
          <w:tcPr>
            <w:tcW w:w="862" w:type="dxa"/>
            <w:gridSpan w:val="2"/>
            <w:vMerge w:val="continue"/>
            <w:tcBorders>
              <w:top w:val="nil"/>
            </w:tcBorders>
            <w:vAlign w:val="center"/>
          </w:tcPr>
          <w:p>
            <w:pPr>
              <w:jc w:val="center"/>
              <w:rPr>
                <w:color w:val="auto"/>
                <w:sz w:val="2"/>
                <w:szCs w:val="2"/>
              </w:rPr>
            </w:pPr>
          </w:p>
        </w:tc>
        <w:tc>
          <w:tcPr>
            <w:tcW w:w="366" w:type="dxa"/>
            <w:vAlign w:val="center"/>
          </w:tcPr>
          <w:p>
            <w:pPr>
              <w:pStyle w:val="107"/>
              <w:jc w:val="center"/>
              <w:rPr>
                <w:color w:val="auto"/>
                <w:sz w:val="18"/>
              </w:rPr>
            </w:pPr>
            <w:r>
              <w:rPr>
                <w:color w:val="auto"/>
                <w:sz w:val="18"/>
              </w:rPr>
              <w:t>下段</w:t>
            </w:r>
          </w:p>
        </w:tc>
        <w:tc>
          <w:tcPr>
            <w:tcW w:w="665" w:type="dxa"/>
            <w:vAlign w:val="center"/>
          </w:tcPr>
          <w:p>
            <w:pPr>
              <w:pStyle w:val="107"/>
              <w:jc w:val="center"/>
              <w:rPr>
                <w:color w:val="auto"/>
                <w:sz w:val="18"/>
              </w:rPr>
            </w:pPr>
            <w:r>
              <w:rPr>
                <w:color w:val="auto"/>
                <w:sz w:val="18"/>
              </w:rPr>
              <w:t>T</w:t>
            </w:r>
            <w:r>
              <w:rPr>
                <w:color w:val="auto"/>
                <w:sz w:val="18"/>
                <w:vertAlign w:val="subscript"/>
              </w:rPr>
              <w:t>2</w:t>
            </w:r>
            <w:r>
              <w:rPr>
                <w:color w:val="auto"/>
                <w:sz w:val="18"/>
              </w:rPr>
              <w:t>b</w:t>
            </w:r>
            <w:r>
              <w:rPr>
                <w:color w:val="auto"/>
                <w:sz w:val="18"/>
                <w:vertAlign w:val="superscript"/>
              </w:rPr>
              <w:t>1</w:t>
            </w:r>
          </w:p>
        </w:tc>
        <w:tc>
          <w:tcPr>
            <w:tcW w:w="679" w:type="dxa"/>
            <w:vAlign w:val="center"/>
          </w:tcPr>
          <w:p>
            <w:pPr>
              <w:pStyle w:val="107"/>
              <w:jc w:val="center"/>
              <w:rPr>
                <w:color w:val="auto"/>
                <w:sz w:val="18"/>
              </w:rPr>
            </w:pPr>
            <w:r>
              <w:rPr>
                <w:color w:val="auto"/>
                <w:sz w:val="18"/>
              </w:rPr>
              <w:t>301-366</w:t>
            </w:r>
          </w:p>
        </w:tc>
        <w:tc>
          <w:tcPr>
            <w:tcW w:w="3959" w:type="dxa"/>
            <w:vAlign w:val="center"/>
          </w:tcPr>
          <w:p>
            <w:pPr>
              <w:pStyle w:val="107"/>
              <w:jc w:val="center"/>
              <w:rPr>
                <w:color w:val="auto"/>
                <w:sz w:val="18"/>
              </w:rPr>
            </w:pPr>
            <w:r>
              <w:rPr>
                <w:color w:val="auto"/>
                <w:spacing w:val="-10"/>
                <w:sz w:val="18"/>
              </w:rPr>
              <w:t>上、中部灰白、肉灰色厚层至块状灰岩，纯灰岩夹白云质</w:t>
            </w:r>
            <w:r>
              <w:rPr>
                <w:color w:val="auto"/>
                <w:spacing w:val="-11"/>
                <w:sz w:val="18"/>
              </w:rPr>
              <w:t>灰岩，鲕虫灰岩。下部灰、黄绿、紫色薄至中厚层灰岩。</w:t>
            </w:r>
          </w:p>
          <w:p>
            <w:pPr>
              <w:pStyle w:val="107"/>
              <w:jc w:val="center"/>
              <w:rPr>
                <w:color w:val="auto"/>
                <w:sz w:val="18"/>
              </w:rPr>
            </w:pPr>
            <w:r>
              <w:rPr>
                <w:color w:val="auto"/>
                <w:sz w:val="18"/>
              </w:rPr>
              <w:t>泥质灰岩、瘤状泥质灰岩。</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34" w:type="dxa"/>
            <w:vMerge w:val="continue"/>
            <w:tcBorders>
              <w:top w:val="nil"/>
            </w:tcBorders>
            <w:vAlign w:val="center"/>
          </w:tcPr>
          <w:p>
            <w:pPr>
              <w:jc w:val="center"/>
              <w:rPr>
                <w:color w:val="auto"/>
                <w:sz w:val="2"/>
                <w:szCs w:val="2"/>
              </w:rPr>
            </w:pPr>
          </w:p>
        </w:tc>
        <w:tc>
          <w:tcPr>
            <w:tcW w:w="806" w:type="dxa"/>
            <w:vMerge w:val="continue"/>
            <w:tcBorders>
              <w:top w:val="nil"/>
            </w:tcBorders>
            <w:vAlign w:val="center"/>
          </w:tcPr>
          <w:p>
            <w:pPr>
              <w:jc w:val="center"/>
              <w:rPr>
                <w:color w:val="auto"/>
                <w:sz w:val="2"/>
                <w:szCs w:val="2"/>
              </w:rPr>
            </w:pPr>
          </w:p>
        </w:tc>
        <w:tc>
          <w:tcPr>
            <w:tcW w:w="580" w:type="dxa"/>
            <w:vMerge w:val="restart"/>
            <w:vAlign w:val="center"/>
          </w:tcPr>
          <w:p>
            <w:pPr>
              <w:pStyle w:val="107"/>
              <w:jc w:val="center"/>
              <w:rPr>
                <w:color w:val="auto"/>
                <w:sz w:val="18"/>
              </w:rPr>
            </w:pPr>
            <w:r>
              <w:rPr>
                <w:color w:val="auto"/>
                <w:sz w:val="18"/>
              </w:rPr>
              <w:t>下统</w:t>
            </w:r>
          </w:p>
        </w:tc>
        <w:tc>
          <w:tcPr>
            <w:tcW w:w="1228" w:type="dxa"/>
            <w:gridSpan w:val="3"/>
            <w:vAlign w:val="center"/>
          </w:tcPr>
          <w:p>
            <w:pPr>
              <w:pStyle w:val="107"/>
              <w:jc w:val="center"/>
              <w:rPr>
                <w:color w:val="auto"/>
                <w:sz w:val="18"/>
              </w:rPr>
            </w:pPr>
            <w:r>
              <w:rPr>
                <w:color w:val="auto"/>
                <w:sz w:val="18"/>
              </w:rPr>
              <w:t>和龙山组</w:t>
            </w:r>
          </w:p>
        </w:tc>
        <w:tc>
          <w:tcPr>
            <w:tcW w:w="665" w:type="dxa"/>
            <w:vAlign w:val="center"/>
          </w:tcPr>
          <w:p>
            <w:pPr>
              <w:pStyle w:val="107"/>
              <w:jc w:val="center"/>
              <w:rPr>
                <w:color w:val="auto"/>
                <w:sz w:val="18"/>
              </w:rPr>
            </w:pPr>
            <w:r>
              <w:rPr>
                <w:color w:val="auto"/>
                <w:sz w:val="18"/>
              </w:rPr>
              <w:t>T</w:t>
            </w:r>
            <w:r>
              <w:rPr>
                <w:color w:val="auto"/>
                <w:sz w:val="18"/>
                <w:vertAlign w:val="subscript"/>
              </w:rPr>
              <w:t>1</w:t>
            </w:r>
            <w:r>
              <w:rPr>
                <w:color w:val="auto"/>
                <w:sz w:val="18"/>
              </w:rPr>
              <w:t>h</w:t>
            </w:r>
          </w:p>
        </w:tc>
        <w:tc>
          <w:tcPr>
            <w:tcW w:w="679" w:type="dxa"/>
            <w:vAlign w:val="center"/>
          </w:tcPr>
          <w:p>
            <w:pPr>
              <w:pStyle w:val="107"/>
              <w:jc w:val="center"/>
              <w:rPr>
                <w:color w:val="auto"/>
                <w:sz w:val="18"/>
              </w:rPr>
            </w:pPr>
            <w:r>
              <w:rPr>
                <w:color w:val="auto"/>
                <w:sz w:val="18"/>
              </w:rPr>
              <w:t>122—165</w:t>
            </w:r>
          </w:p>
        </w:tc>
        <w:tc>
          <w:tcPr>
            <w:tcW w:w="3959" w:type="dxa"/>
            <w:vAlign w:val="center"/>
          </w:tcPr>
          <w:p>
            <w:pPr>
              <w:pStyle w:val="107"/>
              <w:jc w:val="center"/>
              <w:rPr>
                <w:color w:val="auto"/>
                <w:sz w:val="18"/>
              </w:rPr>
            </w:pPr>
            <w:r>
              <w:rPr>
                <w:color w:val="auto"/>
                <w:sz w:val="18"/>
              </w:rPr>
              <w:t>纯灰岩、灰岩、条带状灰岩夹白云质灰岩，泥岩，同生角</w:t>
            </w:r>
          </w:p>
          <w:p>
            <w:pPr>
              <w:pStyle w:val="107"/>
              <w:jc w:val="center"/>
              <w:rPr>
                <w:color w:val="auto"/>
                <w:sz w:val="18"/>
              </w:rPr>
            </w:pPr>
            <w:r>
              <w:rPr>
                <w:color w:val="auto"/>
                <w:sz w:val="18"/>
              </w:rPr>
              <w:t>砾状灰岩。</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34" w:type="dxa"/>
            <w:vMerge w:val="continue"/>
            <w:tcBorders>
              <w:top w:val="nil"/>
            </w:tcBorders>
            <w:vAlign w:val="center"/>
          </w:tcPr>
          <w:p>
            <w:pPr>
              <w:jc w:val="center"/>
              <w:rPr>
                <w:color w:val="auto"/>
                <w:sz w:val="2"/>
                <w:szCs w:val="2"/>
              </w:rPr>
            </w:pPr>
          </w:p>
        </w:tc>
        <w:tc>
          <w:tcPr>
            <w:tcW w:w="806" w:type="dxa"/>
            <w:vMerge w:val="continue"/>
            <w:tcBorders>
              <w:top w:val="nil"/>
            </w:tcBorders>
            <w:vAlign w:val="center"/>
          </w:tcPr>
          <w:p>
            <w:pPr>
              <w:jc w:val="center"/>
              <w:rPr>
                <w:color w:val="auto"/>
                <w:sz w:val="2"/>
                <w:szCs w:val="2"/>
              </w:rPr>
            </w:pPr>
          </w:p>
        </w:tc>
        <w:tc>
          <w:tcPr>
            <w:tcW w:w="580" w:type="dxa"/>
            <w:vMerge w:val="continue"/>
            <w:tcBorders>
              <w:top w:val="nil"/>
            </w:tcBorders>
            <w:vAlign w:val="center"/>
          </w:tcPr>
          <w:p>
            <w:pPr>
              <w:jc w:val="center"/>
              <w:rPr>
                <w:color w:val="auto"/>
                <w:sz w:val="2"/>
                <w:szCs w:val="2"/>
              </w:rPr>
            </w:pPr>
          </w:p>
        </w:tc>
        <w:tc>
          <w:tcPr>
            <w:tcW w:w="1228" w:type="dxa"/>
            <w:gridSpan w:val="3"/>
            <w:vAlign w:val="center"/>
          </w:tcPr>
          <w:p>
            <w:pPr>
              <w:pStyle w:val="107"/>
              <w:jc w:val="center"/>
              <w:rPr>
                <w:color w:val="auto"/>
                <w:sz w:val="18"/>
              </w:rPr>
            </w:pPr>
            <w:r>
              <w:rPr>
                <w:color w:val="auto"/>
                <w:sz w:val="18"/>
              </w:rPr>
              <w:t>殷坑组</w:t>
            </w:r>
          </w:p>
        </w:tc>
        <w:tc>
          <w:tcPr>
            <w:tcW w:w="665" w:type="dxa"/>
            <w:vAlign w:val="center"/>
          </w:tcPr>
          <w:p>
            <w:pPr>
              <w:pStyle w:val="107"/>
              <w:jc w:val="center"/>
              <w:rPr>
                <w:color w:val="auto"/>
                <w:sz w:val="18"/>
              </w:rPr>
            </w:pPr>
            <w:r>
              <w:rPr>
                <w:color w:val="auto"/>
                <w:sz w:val="18"/>
              </w:rPr>
              <w:t>T</w:t>
            </w:r>
            <w:r>
              <w:rPr>
                <w:color w:val="auto"/>
                <w:sz w:val="18"/>
                <w:vertAlign w:val="subscript"/>
              </w:rPr>
              <w:t>1</w:t>
            </w:r>
            <w:r>
              <w:rPr>
                <w:color w:val="auto"/>
                <w:sz w:val="18"/>
              </w:rPr>
              <w:t>y</w:t>
            </w:r>
          </w:p>
        </w:tc>
        <w:tc>
          <w:tcPr>
            <w:tcW w:w="679" w:type="dxa"/>
            <w:vAlign w:val="center"/>
          </w:tcPr>
          <w:p>
            <w:pPr>
              <w:pStyle w:val="107"/>
              <w:jc w:val="center"/>
              <w:rPr>
                <w:color w:val="auto"/>
                <w:sz w:val="18"/>
              </w:rPr>
            </w:pPr>
            <w:r>
              <w:rPr>
                <w:color w:val="auto"/>
                <w:sz w:val="18"/>
              </w:rPr>
              <w:t>219—234</w:t>
            </w:r>
          </w:p>
        </w:tc>
        <w:tc>
          <w:tcPr>
            <w:tcW w:w="3959" w:type="dxa"/>
            <w:vAlign w:val="center"/>
          </w:tcPr>
          <w:p>
            <w:pPr>
              <w:pStyle w:val="107"/>
              <w:jc w:val="center"/>
              <w:rPr>
                <w:color w:val="auto"/>
                <w:sz w:val="18"/>
              </w:rPr>
            </w:pPr>
            <w:r>
              <w:rPr>
                <w:color w:val="auto"/>
                <w:sz w:val="18"/>
              </w:rPr>
              <w:t>上、中部薄到中层灰岩，条带灰岩夹同生角砾状灰岩，钙</w:t>
            </w:r>
          </w:p>
          <w:p>
            <w:pPr>
              <w:pStyle w:val="107"/>
              <w:jc w:val="center"/>
              <w:rPr>
                <w:color w:val="auto"/>
                <w:sz w:val="18"/>
              </w:rPr>
            </w:pPr>
            <w:r>
              <w:rPr>
                <w:color w:val="auto"/>
                <w:spacing w:val="-8"/>
                <w:sz w:val="18"/>
              </w:rPr>
              <w:t>质泥岩，下部薄板状条带灰岩、页岩，钙质泥岩、灰岩到</w:t>
            </w:r>
            <w:r>
              <w:rPr>
                <w:color w:val="auto"/>
                <w:sz w:val="18"/>
              </w:rPr>
              <w:t>层。底部钙质泥岩夹泥灰岩透镜体。</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34" w:type="dxa"/>
            <w:vAlign w:val="center"/>
          </w:tcPr>
          <w:p>
            <w:pPr>
              <w:pStyle w:val="107"/>
              <w:jc w:val="center"/>
              <w:rPr>
                <w:color w:val="auto"/>
                <w:sz w:val="18"/>
              </w:rPr>
            </w:pPr>
            <w:r>
              <w:rPr>
                <w:color w:val="auto"/>
                <w:sz w:val="18"/>
              </w:rPr>
              <w:t>古生</w:t>
            </w:r>
          </w:p>
        </w:tc>
        <w:tc>
          <w:tcPr>
            <w:tcW w:w="806" w:type="dxa"/>
            <w:vAlign w:val="center"/>
          </w:tcPr>
          <w:p>
            <w:pPr>
              <w:pStyle w:val="107"/>
              <w:jc w:val="center"/>
              <w:rPr>
                <w:color w:val="auto"/>
                <w:sz w:val="18"/>
              </w:rPr>
            </w:pPr>
            <w:r>
              <w:rPr>
                <w:color w:val="auto"/>
                <w:sz w:val="18"/>
              </w:rPr>
              <w:t>二叠系</w:t>
            </w:r>
          </w:p>
        </w:tc>
        <w:tc>
          <w:tcPr>
            <w:tcW w:w="580" w:type="dxa"/>
            <w:vAlign w:val="center"/>
          </w:tcPr>
          <w:p>
            <w:pPr>
              <w:pStyle w:val="107"/>
              <w:jc w:val="center"/>
              <w:rPr>
                <w:color w:val="auto"/>
                <w:sz w:val="18"/>
              </w:rPr>
            </w:pPr>
            <w:r>
              <w:rPr>
                <w:color w:val="auto"/>
                <w:sz w:val="18"/>
              </w:rPr>
              <w:t>上统</w:t>
            </w:r>
          </w:p>
        </w:tc>
        <w:tc>
          <w:tcPr>
            <w:tcW w:w="1228" w:type="dxa"/>
            <w:gridSpan w:val="3"/>
            <w:vAlign w:val="center"/>
          </w:tcPr>
          <w:p>
            <w:pPr>
              <w:pStyle w:val="107"/>
              <w:jc w:val="center"/>
              <w:rPr>
                <w:color w:val="auto"/>
                <w:sz w:val="18"/>
              </w:rPr>
            </w:pPr>
            <w:r>
              <w:rPr>
                <w:color w:val="auto"/>
                <w:sz w:val="18"/>
              </w:rPr>
              <w:t>长兴组</w:t>
            </w:r>
          </w:p>
        </w:tc>
        <w:tc>
          <w:tcPr>
            <w:tcW w:w="665" w:type="dxa"/>
            <w:vAlign w:val="center"/>
          </w:tcPr>
          <w:p>
            <w:pPr>
              <w:pStyle w:val="107"/>
              <w:jc w:val="center"/>
              <w:rPr>
                <w:color w:val="auto"/>
                <w:sz w:val="18"/>
              </w:rPr>
            </w:pPr>
            <w:r>
              <w:rPr>
                <w:color w:val="auto"/>
                <w:sz w:val="18"/>
              </w:rPr>
              <w:t>P</w:t>
            </w:r>
            <w:r>
              <w:rPr>
                <w:color w:val="auto"/>
                <w:sz w:val="18"/>
                <w:vertAlign w:val="subscript"/>
              </w:rPr>
              <w:t>2</w:t>
            </w:r>
            <w:r>
              <w:rPr>
                <w:color w:val="auto"/>
                <w:sz w:val="18"/>
              </w:rPr>
              <w:t>c</w:t>
            </w:r>
          </w:p>
        </w:tc>
        <w:tc>
          <w:tcPr>
            <w:tcW w:w="679" w:type="dxa"/>
            <w:vAlign w:val="center"/>
          </w:tcPr>
          <w:p>
            <w:pPr>
              <w:pStyle w:val="107"/>
              <w:jc w:val="center"/>
              <w:rPr>
                <w:color w:val="auto"/>
                <w:sz w:val="18"/>
              </w:rPr>
            </w:pPr>
            <w:r>
              <w:rPr>
                <w:color w:val="auto"/>
                <w:sz w:val="18"/>
              </w:rPr>
              <w:t>2-167</w:t>
            </w:r>
          </w:p>
        </w:tc>
        <w:tc>
          <w:tcPr>
            <w:tcW w:w="3959" w:type="dxa"/>
            <w:vAlign w:val="center"/>
          </w:tcPr>
          <w:p>
            <w:pPr>
              <w:pStyle w:val="107"/>
              <w:jc w:val="center"/>
              <w:rPr>
                <w:color w:val="auto"/>
                <w:sz w:val="18"/>
              </w:rPr>
            </w:pPr>
            <w:r>
              <w:rPr>
                <w:color w:val="auto"/>
                <w:spacing w:val="-14"/>
                <w:sz w:val="18"/>
              </w:rPr>
              <w:t>结晶灰岩、沥青质灰岩、硅质岩、白云岩、粉砂岩、页岩、燧石层。</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34" w:type="dxa"/>
            <w:vMerge w:val="restart"/>
            <w:vAlign w:val="center"/>
          </w:tcPr>
          <w:p>
            <w:pPr>
              <w:pStyle w:val="107"/>
              <w:jc w:val="center"/>
              <w:rPr>
                <w:color w:val="auto"/>
                <w:sz w:val="18"/>
              </w:rPr>
            </w:pPr>
            <w:r>
              <w:rPr>
                <w:color w:val="auto"/>
                <w:sz w:val="18"/>
              </w:rPr>
              <w:t>界</w:t>
            </w:r>
          </w:p>
        </w:tc>
        <w:tc>
          <w:tcPr>
            <w:tcW w:w="806" w:type="dxa"/>
            <w:vMerge w:val="restart"/>
            <w:vAlign w:val="center"/>
          </w:tcPr>
          <w:p>
            <w:pPr>
              <w:pStyle w:val="107"/>
              <w:jc w:val="center"/>
              <w:rPr>
                <w:color w:val="auto"/>
                <w:sz w:val="16"/>
              </w:rPr>
            </w:pPr>
          </w:p>
        </w:tc>
        <w:tc>
          <w:tcPr>
            <w:tcW w:w="580" w:type="dxa"/>
            <w:vAlign w:val="center"/>
          </w:tcPr>
          <w:p>
            <w:pPr>
              <w:pStyle w:val="107"/>
              <w:jc w:val="center"/>
              <w:rPr>
                <w:color w:val="auto"/>
                <w:sz w:val="16"/>
              </w:rPr>
            </w:pPr>
          </w:p>
        </w:tc>
        <w:tc>
          <w:tcPr>
            <w:tcW w:w="1228" w:type="dxa"/>
            <w:gridSpan w:val="3"/>
            <w:vAlign w:val="center"/>
          </w:tcPr>
          <w:p>
            <w:pPr>
              <w:pStyle w:val="107"/>
              <w:jc w:val="center"/>
              <w:rPr>
                <w:color w:val="auto"/>
                <w:sz w:val="18"/>
              </w:rPr>
            </w:pPr>
            <w:r>
              <w:rPr>
                <w:color w:val="auto"/>
                <w:sz w:val="18"/>
              </w:rPr>
              <w:t>龙潭组</w:t>
            </w:r>
          </w:p>
        </w:tc>
        <w:tc>
          <w:tcPr>
            <w:tcW w:w="665" w:type="dxa"/>
            <w:vAlign w:val="center"/>
          </w:tcPr>
          <w:p>
            <w:pPr>
              <w:pStyle w:val="107"/>
              <w:jc w:val="center"/>
              <w:rPr>
                <w:color w:val="auto"/>
                <w:sz w:val="18"/>
              </w:rPr>
            </w:pPr>
            <w:r>
              <w:rPr>
                <w:color w:val="auto"/>
                <w:sz w:val="18"/>
              </w:rPr>
              <w:t>P</w:t>
            </w:r>
            <w:r>
              <w:rPr>
                <w:color w:val="auto"/>
                <w:sz w:val="18"/>
                <w:vertAlign w:val="subscript"/>
              </w:rPr>
              <w:t>2</w:t>
            </w:r>
            <w:r>
              <w:rPr>
                <w:color w:val="auto"/>
                <w:sz w:val="18"/>
              </w:rPr>
              <w:t>l</w:t>
            </w:r>
          </w:p>
        </w:tc>
        <w:tc>
          <w:tcPr>
            <w:tcW w:w="679" w:type="dxa"/>
            <w:vAlign w:val="center"/>
          </w:tcPr>
          <w:p>
            <w:pPr>
              <w:pStyle w:val="107"/>
              <w:jc w:val="center"/>
              <w:rPr>
                <w:color w:val="auto"/>
                <w:sz w:val="18"/>
              </w:rPr>
            </w:pPr>
            <w:r>
              <w:rPr>
                <w:color w:val="auto"/>
                <w:sz w:val="18"/>
              </w:rPr>
              <w:t>203-463</w:t>
            </w:r>
          </w:p>
        </w:tc>
        <w:tc>
          <w:tcPr>
            <w:tcW w:w="3959" w:type="dxa"/>
            <w:vAlign w:val="center"/>
          </w:tcPr>
          <w:p>
            <w:pPr>
              <w:pStyle w:val="107"/>
              <w:jc w:val="center"/>
              <w:rPr>
                <w:color w:val="auto"/>
                <w:sz w:val="18"/>
              </w:rPr>
            </w:pPr>
            <w:r>
              <w:rPr>
                <w:color w:val="auto"/>
                <w:sz w:val="18"/>
              </w:rPr>
              <w:t>灰至灰黑色砂岩、页岩、长石石英砂岩、夹灰岩，石英砾岩及煤。</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34" w:type="dxa"/>
            <w:vMerge w:val="continue"/>
            <w:tcBorders>
              <w:top w:val="nil"/>
            </w:tcBorders>
            <w:vAlign w:val="center"/>
          </w:tcPr>
          <w:p>
            <w:pPr>
              <w:jc w:val="center"/>
              <w:rPr>
                <w:color w:val="auto"/>
                <w:sz w:val="2"/>
                <w:szCs w:val="2"/>
              </w:rPr>
            </w:pPr>
          </w:p>
        </w:tc>
        <w:tc>
          <w:tcPr>
            <w:tcW w:w="806" w:type="dxa"/>
            <w:vMerge w:val="continue"/>
            <w:tcBorders>
              <w:top w:val="nil"/>
            </w:tcBorders>
            <w:vAlign w:val="center"/>
          </w:tcPr>
          <w:p>
            <w:pPr>
              <w:jc w:val="center"/>
              <w:rPr>
                <w:color w:val="auto"/>
                <w:sz w:val="2"/>
                <w:szCs w:val="2"/>
              </w:rPr>
            </w:pPr>
          </w:p>
        </w:tc>
        <w:tc>
          <w:tcPr>
            <w:tcW w:w="580" w:type="dxa"/>
            <w:vMerge w:val="restart"/>
            <w:vAlign w:val="center"/>
          </w:tcPr>
          <w:p>
            <w:pPr>
              <w:pStyle w:val="107"/>
              <w:jc w:val="center"/>
              <w:rPr>
                <w:color w:val="auto"/>
                <w:sz w:val="18"/>
              </w:rPr>
            </w:pPr>
            <w:r>
              <w:rPr>
                <w:color w:val="auto"/>
                <w:sz w:val="18"/>
              </w:rPr>
              <w:t>下统</w:t>
            </w:r>
          </w:p>
        </w:tc>
        <w:tc>
          <w:tcPr>
            <w:tcW w:w="1228" w:type="dxa"/>
            <w:gridSpan w:val="3"/>
            <w:vAlign w:val="center"/>
          </w:tcPr>
          <w:p>
            <w:pPr>
              <w:pStyle w:val="107"/>
              <w:jc w:val="center"/>
              <w:rPr>
                <w:color w:val="auto"/>
                <w:sz w:val="18"/>
              </w:rPr>
            </w:pPr>
            <w:r>
              <w:rPr>
                <w:color w:val="auto"/>
                <w:sz w:val="18"/>
              </w:rPr>
              <w:t>孤峰组</w:t>
            </w:r>
          </w:p>
        </w:tc>
        <w:tc>
          <w:tcPr>
            <w:tcW w:w="665" w:type="dxa"/>
            <w:vAlign w:val="center"/>
          </w:tcPr>
          <w:p>
            <w:pPr>
              <w:pStyle w:val="107"/>
              <w:jc w:val="center"/>
              <w:rPr>
                <w:color w:val="auto"/>
                <w:sz w:val="18"/>
              </w:rPr>
            </w:pPr>
            <w:r>
              <w:rPr>
                <w:color w:val="auto"/>
                <w:sz w:val="18"/>
              </w:rPr>
              <w:t>P</w:t>
            </w:r>
            <w:r>
              <w:rPr>
                <w:color w:val="auto"/>
                <w:sz w:val="18"/>
                <w:vertAlign w:val="subscript"/>
              </w:rPr>
              <w:t>1</w:t>
            </w:r>
            <w:r>
              <w:rPr>
                <w:color w:val="auto"/>
                <w:sz w:val="18"/>
              </w:rPr>
              <w:t>g</w:t>
            </w:r>
          </w:p>
        </w:tc>
        <w:tc>
          <w:tcPr>
            <w:tcW w:w="679" w:type="dxa"/>
            <w:vAlign w:val="center"/>
          </w:tcPr>
          <w:p>
            <w:pPr>
              <w:pStyle w:val="107"/>
              <w:jc w:val="center"/>
              <w:rPr>
                <w:color w:val="auto"/>
                <w:sz w:val="18"/>
              </w:rPr>
            </w:pPr>
            <w:r>
              <w:rPr>
                <w:color w:val="auto"/>
                <w:sz w:val="18"/>
              </w:rPr>
              <w:t>54-69</w:t>
            </w:r>
          </w:p>
        </w:tc>
        <w:tc>
          <w:tcPr>
            <w:tcW w:w="3959" w:type="dxa"/>
            <w:vAlign w:val="center"/>
          </w:tcPr>
          <w:p>
            <w:pPr>
              <w:pStyle w:val="107"/>
              <w:jc w:val="center"/>
              <w:rPr>
                <w:color w:val="auto"/>
                <w:sz w:val="18"/>
              </w:rPr>
            </w:pPr>
            <w:r>
              <w:rPr>
                <w:color w:val="auto"/>
                <w:sz w:val="18"/>
              </w:rPr>
              <w:t>硅质岩、燧石层，页岩夹灰岩，砂岩、含磷结核。</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34" w:type="dxa"/>
            <w:vMerge w:val="continue"/>
            <w:tcBorders>
              <w:top w:val="nil"/>
            </w:tcBorders>
            <w:vAlign w:val="center"/>
          </w:tcPr>
          <w:p>
            <w:pPr>
              <w:jc w:val="center"/>
              <w:rPr>
                <w:color w:val="auto"/>
                <w:sz w:val="2"/>
                <w:szCs w:val="2"/>
              </w:rPr>
            </w:pPr>
          </w:p>
        </w:tc>
        <w:tc>
          <w:tcPr>
            <w:tcW w:w="806" w:type="dxa"/>
            <w:vMerge w:val="continue"/>
            <w:tcBorders>
              <w:top w:val="nil"/>
            </w:tcBorders>
            <w:vAlign w:val="center"/>
          </w:tcPr>
          <w:p>
            <w:pPr>
              <w:jc w:val="center"/>
              <w:rPr>
                <w:color w:val="auto"/>
                <w:sz w:val="2"/>
                <w:szCs w:val="2"/>
              </w:rPr>
            </w:pPr>
          </w:p>
        </w:tc>
        <w:tc>
          <w:tcPr>
            <w:tcW w:w="580" w:type="dxa"/>
            <w:vMerge w:val="continue"/>
            <w:tcBorders>
              <w:top w:val="nil"/>
            </w:tcBorders>
            <w:vAlign w:val="center"/>
          </w:tcPr>
          <w:p>
            <w:pPr>
              <w:jc w:val="center"/>
              <w:rPr>
                <w:color w:val="auto"/>
                <w:sz w:val="2"/>
                <w:szCs w:val="2"/>
              </w:rPr>
            </w:pPr>
          </w:p>
        </w:tc>
        <w:tc>
          <w:tcPr>
            <w:tcW w:w="1228" w:type="dxa"/>
            <w:gridSpan w:val="3"/>
            <w:vAlign w:val="center"/>
          </w:tcPr>
          <w:p>
            <w:pPr>
              <w:pStyle w:val="107"/>
              <w:jc w:val="center"/>
              <w:rPr>
                <w:color w:val="auto"/>
                <w:sz w:val="18"/>
              </w:rPr>
            </w:pPr>
            <w:r>
              <w:rPr>
                <w:color w:val="auto"/>
                <w:sz w:val="18"/>
              </w:rPr>
              <w:t>栖霞组</w:t>
            </w:r>
          </w:p>
        </w:tc>
        <w:tc>
          <w:tcPr>
            <w:tcW w:w="665" w:type="dxa"/>
            <w:vAlign w:val="center"/>
          </w:tcPr>
          <w:p>
            <w:pPr>
              <w:pStyle w:val="107"/>
              <w:jc w:val="center"/>
              <w:rPr>
                <w:color w:val="auto"/>
                <w:sz w:val="18"/>
              </w:rPr>
            </w:pPr>
            <w:r>
              <w:rPr>
                <w:color w:val="auto"/>
                <w:sz w:val="18"/>
              </w:rPr>
              <w:t>P</w:t>
            </w:r>
            <w:r>
              <w:rPr>
                <w:color w:val="auto"/>
                <w:sz w:val="18"/>
                <w:vertAlign w:val="subscript"/>
              </w:rPr>
              <w:t>1</w:t>
            </w:r>
            <w:r>
              <w:rPr>
                <w:color w:val="auto"/>
                <w:sz w:val="18"/>
              </w:rPr>
              <w:t>q</w:t>
            </w:r>
          </w:p>
        </w:tc>
        <w:tc>
          <w:tcPr>
            <w:tcW w:w="679" w:type="dxa"/>
            <w:vAlign w:val="center"/>
          </w:tcPr>
          <w:p>
            <w:pPr>
              <w:pStyle w:val="107"/>
              <w:jc w:val="center"/>
              <w:rPr>
                <w:color w:val="auto"/>
                <w:sz w:val="18"/>
              </w:rPr>
            </w:pPr>
            <w:r>
              <w:rPr>
                <w:color w:val="auto"/>
                <w:sz w:val="18"/>
              </w:rPr>
              <w:t>116-238</w:t>
            </w:r>
          </w:p>
        </w:tc>
        <w:tc>
          <w:tcPr>
            <w:tcW w:w="3959" w:type="dxa"/>
            <w:vAlign w:val="center"/>
          </w:tcPr>
          <w:p>
            <w:pPr>
              <w:pStyle w:val="107"/>
              <w:jc w:val="center"/>
              <w:rPr>
                <w:color w:val="auto"/>
                <w:sz w:val="18"/>
              </w:rPr>
            </w:pPr>
            <w:r>
              <w:rPr>
                <w:color w:val="auto"/>
                <w:spacing w:val="-9"/>
                <w:sz w:val="18"/>
              </w:rPr>
              <w:t>上部灰岩、硅质岩夹燧石结核灰岩。下部页岩夹沥青质灰</w:t>
            </w:r>
            <w:r>
              <w:rPr>
                <w:color w:val="auto"/>
                <w:sz w:val="18"/>
              </w:rPr>
              <w:t>岩及煤层。</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34" w:type="dxa"/>
            <w:vMerge w:val="continue"/>
            <w:tcBorders>
              <w:top w:val="nil"/>
            </w:tcBorders>
            <w:vAlign w:val="center"/>
          </w:tcPr>
          <w:p>
            <w:pPr>
              <w:jc w:val="center"/>
              <w:rPr>
                <w:color w:val="auto"/>
                <w:sz w:val="2"/>
                <w:szCs w:val="2"/>
              </w:rPr>
            </w:pPr>
          </w:p>
        </w:tc>
        <w:tc>
          <w:tcPr>
            <w:tcW w:w="806" w:type="dxa"/>
            <w:vMerge w:val="restart"/>
            <w:vAlign w:val="center"/>
          </w:tcPr>
          <w:p>
            <w:pPr>
              <w:pStyle w:val="107"/>
              <w:jc w:val="center"/>
              <w:rPr>
                <w:color w:val="auto"/>
                <w:sz w:val="18"/>
              </w:rPr>
            </w:pPr>
            <w:r>
              <w:rPr>
                <w:color w:val="auto"/>
                <w:sz w:val="18"/>
              </w:rPr>
              <w:t>石炭系</w:t>
            </w:r>
          </w:p>
        </w:tc>
        <w:tc>
          <w:tcPr>
            <w:tcW w:w="580" w:type="dxa"/>
            <w:vAlign w:val="center"/>
          </w:tcPr>
          <w:p>
            <w:pPr>
              <w:pStyle w:val="107"/>
              <w:jc w:val="center"/>
              <w:rPr>
                <w:color w:val="auto"/>
                <w:sz w:val="18"/>
              </w:rPr>
            </w:pPr>
            <w:r>
              <w:rPr>
                <w:color w:val="auto"/>
                <w:sz w:val="18"/>
              </w:rPr>
              <w:t>上统</w:t>
            </w:r>
          </w:p>
        </w:tc>
        <w:tc>
          <w:tcPr>
            <w:tcW w:w="1228" w:type="dxa"/>
            <w:gridSpan w:val="3"/>
            <w:vAlign w:val="center"/>
          </w:tcPr>
          <w:p>
            <w:pPr>
              <w:pStyle w:val="107"/>
              <w:jc w:val="center"/>
              <w:rPr>
                <w:color w:val="auto"/>
                <w:sz w:val="18"/>
              </w:rPr>
            </w:pPr>
            <w:r>
              <w:rPr>
                <w:color w:val="auto"/>
                <w:sz w:val="18"/>
              </w:rPr>
              <w:t>船山组</w:t>
            </w:r>
          </w:p>
        </w:tc>
        <w:tc>
          <w:tcPr>
            <w:tcW w:w="665" w:type="dxa"/>
            <w:vAlign w:val="center"/>
          </w:tcPr>
          <w:p>
            <w:pPr>
              <w:pStyle w:val="107"/>
              <w:jc w:val="center"/>
              <w:rPr>
                <w:color w:val="auto"/>
                <w:sz w:val="18"/>
              </w:rPr>
            </w:pPr>
            <w:r>
              <w:rPr>
                <w:color w:val="auto"/>
                <w:sz w:val="18"/>
              </w:rPr>
              <w:t>C</w:t>
            </w:r>
            <w:r>
              <w:rPr>
                <w:color w:val="auto"/>
                <w:sz w:val="18"/>
                <w:vertAlign w:val="subscript"/>
              </w:rPr>
              <w:t>3</w:t>
            </w:r>
            <w:r>
              <w:rPr>
                <w:color w:val="auto"/>
                <w:sz w:val="18"/>
              </w:rPr>
              <w:t>c</w:t>
            </w:r>
          </w:p>
        </w:tc>
        <w:tc>
          <w:tcPr>
            <w:tcW w:w="679" w:type="dxa"/>
            <w:vAlign w:val="center"/>
          </w:tcPr>
          <w:p>
            <w:pPr>
              <w:pStyle w:val="107"/>
              <w:jc w:val="center"/>
              <w:rPr>
                <w:color w:val="auto"/>
                <w:sz w:val="18"/>
              </w:rPr>
            </w:pPr>
            <w:r>
              <w:rPr>
                <w:color w:val="auto"/>
                <w:sz w:val="18"/>
              </w:rPr>
              <w:t>31-43</w:t>
            </w:r>
          </w:p>
        </w:tc>
        <w:tc>
          <w:tcPr>
            <w:tcW w:w="3959" w:type="dxa"/>
            <w:vAlign w:val="center"/>
          </w:tcPr>
          <w:p>
            <w:pPr>
              <w:pStyle w:val="107"/>
              <w:jc w:val="center"/>
              <w:rPr>
                <w:color w:val="auto"/>
                <w:sz w:val="18"/>
              </w:rPr>
            </w:pPr>
            <w:r>
              <w:rPr>
                <w:color w:val="auto"/>
                <w:sz w:val="18"/>
              </w:rPr>
              <w:t>具球状构造的厚层灰岩。</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34" w:type="dxa"/>
            <w:vMerge w:val="continue"/>
            <w:tcBorders>
              <w:top w:val="nil"/>
            </w:tcBorders>
            <w:vAlign w:val="center"/>
          </w:tcPr>
          <w:p>
            <w:pPr>
              <w:jc w:val="center"/>
              <w:rPr>
                <w:color w:val="auto"/>
                <w:sz w:val="2"/>
                <w:szCs w:val="2"/>
              </w:rPr>
            </w:pPr>
          </w:p>
        </w:tc>
        <w:tc>
          <w:tcPr>
            <w:tcW w:w="806" w:type="dxa"/>
            <w:vMerge w:val="continue"/>
            <w:tcBorders>
              <w:top w:val="nil"/>
            </w:tcBorders>
            <w:vAlign w:val="center"/>
          </w:tcPr>
          <w:p>
            <w:pPr>
              <w:jc w:val="center"/>
              <w:rPr>
                <w:color w:val="auto"/>
                <w:sz w:val="2"/>
                <w:szCs w:val="2"/>
              </w:rPr>
            </w:pPr>
          </w:p>
        </w:tc>
        <w:tc>
          <w:tcPr>
            <w:tcW w:w="580" w:type="dxa"/>
            <w:vAlign w:val="center"/>
          </w:tcPr>
          <w:p>
            <w:pPr>
              <w:pStyle w:val="107"/>
              <w:jc w:val="center"/>
              <w:rPr>
                <w:color w:val="auto"/>
                <w:sz w:val="18"/>
              </w:rPr>
            </w:pPr>
            <w:r>
              <w:rPr>
                <w:color w:val="auto"/>
                <w:sz w:val="18"/>
              </w:rPr>
              <w:t>中统</w:t>
            </w:r>
          </w:p>
        </w:tc>
        <w:tc>
          <w:tcPr>
            <w:tcW w:w="1228" w:type="dxa"/>
            <w:gridSpan w:val="3"/>
            <w:vAlign w:val="center"/>
          </w:tcPr>
          <w:p>
            <w:pPr>
              <w:pStyle w:val="107"/>
              <w:jc w:val="center"/>
              <w:rPr>
                <w:color w:val="auto"/>
                <w:sz w:val="18"/>
              </w:rPr>
            </w:pPr>
            <w:r>
              <w:rPr>
                <w:color w:val="auto"/>
                <w:sz w:val="18"/>
              </w:rPr>
              <w:t>黄龙组</w:t>
            </w:r>
          </w:p>
        </w:tc>
        <w:tc>
          <w:tcPr>
            <w:tcW w:w="665" w:type="dxa"/>
            <w:vAlign w:val="center"/>
          </w:tcPr>
          <w:p>
            <w:pPr>
              <w:pStyle w:val="107"/>
              <w:jc w:val="center"/>
              <w:rPr>
                <w:color w:val="auto"/>
                <w:sz w:val="18"/>
              </w:rPr>
            </w:pPr>
            <w:r>
              <w:rPr>
                <w:color w:val="auto"/>
                <w:sz w:val="18"/>
              </w:rPr>
              <w:t>C</w:t>
            </w:r>
            <w:r>
              <w:rPr>
                <w:color w:val="auto"/>
                <w:sz w:val="18"/>
                <w:vertAlign w:val="subscript"/>
              </w:rPr>
              <w:t>2</w:t>
            </w:r>
            <w:r>
              <w:rPr>
                <w:color w:val="auto"/>
                <w:sz w:val="18"/>
              </w:rPr>
              <w:t>h</w:t>
            </w:r>
          </w:p>
        </w:tc>
        <w:tc>
          <w:tcPr>
            <w:tcW w:w="679" w:type="dxa"/>
            <w:vAlign w:val="center"/>
          </w:tcPr>
          <w:p>
            <w:pPr>
              <w:pStyle w:val="107"/>
              <w:jc w:val="center"/>
              <w:rPr>
                <w:color w:val="auto"/>
                <w:sz w:val="18"/>
              </w:rPr>
            </w:pPr>
            <w:r>
              <w:rPr>
                <w:color w:val="auto"/>
                <w:sz w:val="18"/>
              </w:rPr>
              <w:t>88-119</w:t>
            </w:r>
          </w:p>
        </w:tc>
        <w:tc>
          <w:tcPr>
            <w:tcW w:w="3959" w:type="dxa"/>
            <w:vAlign w:val="center"/>
          </w:tcPr>
          <w:p>
            <w:pPr>
              <w:pStyle w:val="107"/>
              <w:jc w:val="center"/>
              <w:rPr>
                <w:color w:val="auto"/>
                <w:sz w:val="18"/>
              </w:rPr>
            </w:pPr>
            <w:r>
              <w:rPr>
                <w:color w:val="auto"/>
                <w:sz w:val="18"/>
              </w:rPr>
              <w:t>上、中部浅灰纯灰岩，下部灰岩白云岩、石英砾岩。</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34" w:type="dxa"/>
            <w:vMerge w:val="continue"/>
            <w:tcBorders>
              <w:top w:val="nil"/>
            </w:tcBorders>
            <w:vAlign w:val="center"/>
          </w:tcPr>
          <w:p>
            <w:pPr>
              <w:jc w:val="center"/>
              <w:rPr>
                <w:color w:val="auto"/>
                <w:sz w:val="2"/>
                <w:szCs w:val="2"/>
              </w:rPr>
            </w:pPr>
          </w:p>
        </w:tc>
        <w:tc>
          <w:tcPr>
            <w:tcW w:w="806" w:type="dxa"/>
            <w:vMerge w:val="continue"/>
            <w:tcBorders>
              <w:top w:val="nil"/>
            </w:tcBorders>
            <w:vAlign w:val="center"/>
          </w:tcPr>
          <w:p>
            <w:pPr>
              <w:jc w:val="center"/>
              <w:rPr>
                <w:color w:val="auto"/>
                <w:sz w:val="2"/>
                <w:szCs w:val="2"/>
              </w:rPr>
            </w:pPr>
          </w:p>
        </w:tc>
        <w:tc>
          <w:tcPr>
            <w:tcW w:w="580" w:type="dxa"/>
            <w:vMerge w:val="restart"/>
            <w:vAlign w:val="center"/>
          </w:tcPr>
          <w:p>
            <w:pPr>
              <w:pStyle w:val="107"/>
              <w:jc w:val="center"/>
              <w:rPr>
                <w:color w:val="auto"/>
                <w:sz w:val="18"/>
              </w:rPr>
            </w:pPr>
            <w:r>
              <w:rPr>
                <w:color w:val="auto"/>
                <w:sz w:val="18"/>
              </w:rPr>
              <w:t>下统</w:t>
            </w:r>
          </w:p>
        </w:tc>
        <w:tc>
          <w:tcPr>
            <w:tcW w:w="1228" w:type="dxa"/>
            <w:gridSpan w:val="3"/>
            <w:vAlign w:val="center"/>
          </w:tcPr>
          <w:p>
            <w:pPr>
              <w:pStyle w:val="107"/>
              <w:jc w:val="center"/>
              <w:rPr>
                <w:color w:val="auto"/>
                <w:sz w:val="18"/>
              </w:rPr>
            </w:pPr>
            <w:r>
              <w:rPr>
                <w:color w:val="auto"/>
                <w:sz w:val="18"/>
              </w:rPr>
              <w:t>高骊山组</w:t>
            </w:r>
          </w:p>
        </w:tc>
        <w:tc>
          <w:tcPr>
            <w:tcW w:w="665" w:type="dxa"/>
            <w:vAlign w:val="center"/>
          </w:tcPr>
          <w:p>
            <w:pPr>
              <w:pStyle w:val="107"/>
              <w:jc w:val="center"/>
              <w:rPr>
                <w:color w:val="auto"/>
                <w:sz w:val="18"/>
              </w:rPr>
            </w:pPr>
            <w:r>
              <w:rPr>
                <w:color w:val="auto"/>
                <w:sz w:val="18"/>
              </w:rPr>
              <w:t>C</w:t>
            </w:r>
            <w:r>
              <w:rPr>
                <w:color w:val="auto"/>
                <w:sz w:val="18"/>
                <w:vertAlign w:val="subscript"/>
              </w:rPr>
              <w:t>1</w:t>
            </w:r>
            <w:r>
              <w:rPr>
                <w:color w:val="auto"/>
                <w:sz w:val="18"/>
              </w:rPr>
              <w:t>g</w:t>
            </w:r>
          </w:p>
        </w:tc>
        <w:tc>
          <w:tcPr>
            <w:tcW w:w="679" w:type="dxa"/>
            <w:vAlign w:val="center"/>
          </w:tcPr>
          <w:p>
            <w:pPr>
              <w:pStyle w:val="107"/>
              <w:jc w:val="center"/>
              <w:rPr>
                <w:color w:val="auto"/>
                <w:sz w:val="18"/>
              </w:rPr>
            </w:pPr>
            <w:r>
              <w:rPr>
                <w:color w:val="auto"/>
                <w:sz w:val="18"/>
              </w:rPr>
              <w:t>70-97</w:t>
            </w:r>
          </w:p>
        </w:tc>
        <w:tc>
          <w:tcPr>
            <w:tcW w:w="3959" w:type="dxa"/>
            <w:vAlign w:val="center"/>
          </w:tcPr>
          <w:p>
            <w:pPr>
              <w:pStyle w:val="107"/>
              <w:jc w:val="center"/>
              <w:rPr>
                <w:color w:val="auto"/>
                <w:sz w:val="18"/>
              </w:rPr>
            </w:pPr>
            <w:r>
              <w:rPr>
                <w:color w:val="auto"/>
                <w:sz w:val="18"/>
              </w:rPr>
              <w:t>粉砂岩、石英砂岩、炭质页岩及煤层。</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34" w:type="dxa"/>
            <w:vMerge w:val="continue"/>
            <w:tcBorders>
              <w:top w:val="nil"/>
            </w:tcBorders>
            <w:vAlign w:val="center"/>
          </w:tcPr>
          <w:p>
            <w:pPr>
              <w:jc w:val="center"/>
              <w:rPr>
                <w:color w:val="auto"/>
                <w:sz w:val="2"/>
                <w:szCs w:val="2"/>
              </w:rPr>
            </w:pPr>
          </w:p>
        </w:tc>
        <w:tc>
          <w:tcPr>
            <w:tcW w:w="806" w:type="dxa"/>
            <w:vMerge w:val="continue"/>
            <w:tcBorders>
              <w:top w:val="nil"/>
            </w:tcBorders>
            <w:vAlign w:val="center"/>
          </w:tcPr>
          <w:p>
            <w:pPr>
              <w:jc w:val="center"/>
              <w:rPr>
                <w:color w:val="auto"/>
                <w:sz w:val="2"/>
                <w:szCs w:val="2"/>
              </w:rPr>
            </w:pPr>
          </w:p>
        </w:tc>
        <w:tc>
          <w:tcPr>
            <w:tcW w:w="580" w:type="dxa"/>
            <w:vMerge w:val="continue"/>
            <w:tcBorders>
              <w:top w:val="nil"/>
            </w:tcBorders>
            <w:vAlign w:val="center"/>
          </w:tcPr>
          <w:p>
            <w:pPr>
              <w:jc w:val="center"/>
              <w:rPr>
                <w:color w:val="auto"/>
                <w:sz w:val="2"/>
                <w:szCs w:val="2"/>
              </w:rPr>
            </w:pPr>
          </w:p>
        </w:tc>
        <w:tc>
          <w:tcPr>
            <w:tcW w:w="1228" w:type="dxa"/>
            <w:gridSpan w:val="3"/>
            <w:vAlign w:val="center"/>
          </w:tcPr>
          <w:p>
            <w:pPr>
              <w:pStyle w:val="107"/>
              <w:jc w:val="center"/>
              <w:rPr>
                <w:color w:val="auto"/>
                <w:sz w:val="18"/>
              </w:rPr>
            </w:pPr>
            <w:r>
              <w:rPr>
                <w:color w:val="auto"/>
                <w:sz w:val="18"/>
              </w:rPr>
              <w:t>金陵组</w:t>
            </w:r>
          </w:p>
        </w:tc>
        <w:tc>
          <w:tcPr>
            <w:tcW w:w="665" w:type="dxa"/>
            <w:vAlign w:val="center"/>
          </w:tcPr>
          <w:p>
            <w:pPr>
              <w:pStyle w:val="107"/>
              <w:jc w:val="center"/>
              <w:rPr>
                <w:color w:val="auto"/>
                <w:sz w:val="18"/>
              </w:rPr>
            </w:pPr>
            <w:r>
              <w:rPr>
                <w:color w:val="auto"/>
                <w:sz w:val="18"/>
              </w:rPr>
              <w:t>C</w:t>
            </w:r>
            <w:r>
              <w:rPr>
                <w:color w:val="auto"/>
                <w:sz w:val="18"/>
                <w:vertAlign w:val="subscript"/>
              </w:rPr>
              <w:t>1</w:t>
            </w:r>
            <w:r>
              <w:rPr>
                <w:color w:val="auto"/>
                <w:sz w:val="18"/>
              </w:rPr>
              <w:t>j</w:t>
            </w:r>
          </w:p>
        </w:tc>
        <w:tc>
          <w:tcPr>
            <w:tcW w:w="679" w:type="dxa"/>
            <w:vAlign w:val="center"/>
          </w:tcPr>
          <w:p>
            <w:pPr>
              <w:pStyle w:val="107"/>
              <w:jc w:val="center"/>
              <w:rPr>
                <w:color w:val="auto"/>
                <w:sz w:val="18"/>
              </w:rPr>
            </w:pPr>
            <w:r>
              <w:rPr>
                <w:color w:val="auto"/>
                <w:sz w:val="18"/>
              </w:rPr>
              <w:t>5-10</w:t>
            </w:r>
          </w:p>
        </w:tc>
        <w:tc>
          <w:tcPr>
            <w:tcW w:w="3959" w:type="dxa"/>
            <w:vAlign w:val="center"/>
          </w:tcPr>
          <w:p>
            <w:pPr>
              <w:pStyle w:val="107"/>
              <w:jc w:val="center"/>
              <w:rPr>
                <w:color w:val="auto"/>
                <w:sz w:val="18"/>
              </w:rPr>
            </w:pPr>
            <w:r>
              <w:rPr>
                <w:color w:val="auto"/>
                <w:sz w:val="18"/>
              </w:rPr>
              <w:t>页岩、石英砂岩、粉砂岩。</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34" w:type="dxa"/>
            <w:vMerge w:val="continue"/>
            <w:tcBorders>
              <w:top w:val="nil"/>
            </w:tcBorders>
            <w:vAlign w:val="center"/>
          </w:tcPr>
          <w:p>
            <w:pPr>
              <w:jc w:val="center"/>
              <w:rPr>
                <w:color w:val="auto"/>
                <w:sz w:val="2"/>
                <w:szCs w:val="2"/>
              </w:rPr>
            </w:pPr>
          </w:p>
        </w:tc>
        <w:tc>
          <w:tcPr>
            <w:tcW w:w="806" w:type="dxa"/>
            <w:vAlign w:val="center"/>
          </w:tcPr>
          <w:p>
            <w:pPr>
              <w:pStyle w:val="107"/>
              <w:jc w:val="center"/>
              <w:rPr>
                <w:color w:val="auto"/>
                <w:sz w:val="18"/>
              </w:rPr>
            </w:pPr>
            <w:r>
              <w:rPr>
                <w:color w:val="auto"/>
                <w:sz w:val="18"/>
              </w:rPr>
              <w:t>泥盆系</w:t>
            </w:r>
          </w:p>
        </w:tc>
        <w:tc>
          <w:tcPr>
            <w:tcW w:w="580" w:type="dxa"/>
            <w:vAlign w:val="center"/>
          </w:tcPr>
          <w:p>
            <w:pPr>
              <w:pStyle w:val="107"/>
              <w:jc w:val="center"/>
              <w:rPr>
                <w:color w:val="auto"/>
                <w:sz w:val="18"/>
              </w:rPr>
            </w:pPr>
            <w:r>
              <w:rPr>
                <w:color w:val="auto"/>
                <w:sz w:val="18"/>
              </w:rPr>
              <w:t>上统</w:t>
            </w:r>
          </w:p>
        </w:tc>
        <w:tc>
          <w:tcPr>
            <w:tcW w:w="1228" w:type="dxa"/>
            <w:gridSpan w:val="3"/>
            <w:vAlign w:val="center"/>
          </w:tcPr>
          <w:p>
            <w:pPr>
              <w:pStyle w:val="107"/>
              <w:jc w:val="center"/>
              <w:rPr>
                <w:color w:val="auto"/>
                <w:sz w:val="18"/>
              </w:rPr>
            </w:pPr>
            <w:r>
              <w:rPr>
                <w:color w:val="auto"/>
                <w:sz w:val="18"/>
              </w:rPr>
              <w:t>五通组</w:t>
            </w:r>
          </w:p>
        </w:tc>
        <w:tc>
          <w:tcPr>
            <w:tcW w:w="665" w:type="dxa"/>
            <w:vAlign w:val="center"/>
          </w:tcPr>
          <w:p>
            <w:pPr>
              <w:pStyle w:val="107"/>
              <w:jc w:val="center"/>
              <w:rPr>
                <w:color w:val="auto"/>
                <w:sz w:val="18"/>
              </w:rPr>
            </w:pPr>
            <w:r>
              <w:rPr>
                <w:color w:val="auto"/>
                <w:sz w:val="18"/>
              </w:rPr>
              <w:t>D</w:t>
            </w:r>
            <w:r>
              <w:rPr>
                <w:color w:val="auto"/>
                <w:sz w:val="18"/>
                <w:vertAlign w:val="subscript"/>
              </w:rPr>
              <w:t>3</w:t>
            </w:r>
            <w:r>
              <w:rPr>
                <w:color w:val="auto"/>
                <w:sz w:val="18"/>
              </w:rPr>
              <w:t>w</w:t>
            </w:r>
          </w:p>
        </w:tc>
        <w:tc>
          <w:tcPr>
            <w:tcW w:w="679" w:type="dxa"/>
            <w:vAlign w:val="center"/>
          </w:tcPr>
          <w:p>
            <w:pPr>
              <w:pStyle w:val="107"/>
              <w:jc w:val="center"/>
              <w:rPr>
                <w:color w:val="auto"/>
                <w:sz w:val="18"/>
              </w:rPr>
            </w:pPr>
            <w:r>
              <w:rPr>
                <w:color w:val="auto"/>
                <w:sz w:val="18"/>
              </w:rPr>
              <w:t>199</w:t>
            </w:r>
          </w:p>
        </w:tc>
        <w:tc>
          <w:tcPr>
            <w:tcW w:w="3959" w:type="dxa"/>
            <w:vAlign w:val="center"/>
          </w:tcPr>
          <w:p>
            <w:pPr>
              <w:pStyle w:val="107"/>
              <w:jc w:val="center"/>
              <w:rPr>
                <w:color w:val="auto"/>
                <w:sz w:val="18"/>
              </w:rPr>
            </w:pPr>
            <w:r>
              <w:rPr>
                <w:color w:val="auto"/>
                <w:sz w:val="18"/>
              </w:rPr>
              <w:t>上部石英砂岩、泥质粉砂岩、页岩。下部石项岩、石英砂</w:t>
            </w:r>
          </w:p>
          <w:p>
            <w:pPr>
              <w:pStyle w:val="107"/>
              <w:jc w:val="center"/>
              <w:rPr>
                <w:color w:val="auto"/>
                <w:sz w:val="18"/>
              </w:rPr>
            </w:pPr>
            <w:r>
              <w:rPr>
                <w:color w:val="auto"/>
                <w:sz w:val="18"/>
              </w:rPr>
              <w:t>岩、含砾石英岩，夹页岩。</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34" w:type="dxa"/>
            <w:vMerge w:val="continue"/>
            <w:tcBorders>
              <w:top w:val="nil"/>
            </w:tcBorders>
            <w:vAlign w:val="center"/>
          </w:tcPr>
          <w:p>
            <w:pPr>
              <w:jc w:val="center"/>
              <w:rPr>
                <w:color w:val="auto"/>
                <w:sz w:val="2"/>
                <w:szCs w:val="2"/>
              </w:rPr>
            </w:pPr>
          </w:p>
        </w:tc>
        <w:tc>
          <w:tcPr>
            <w:tcW w:w="806" w:type="dxa"/>
            <w:vMerge w:val="restart"/>
            <w:vAlign w:val="center"/>
          </w:tcPr>
          <w:p>
            <w:pPr>
              <w:pStyle w:val="107"/>
              <w:jc w:val="center"/>
              <w:rPr>
                <w:color w:val="auto"/>
                <w:sz w:val="18"/>
              </w:rPr>
            </w:pPr>
          </w:p>
          <w:p>
            <w:pPr>
              <w:pStyle w:val="107"/>
              <w:jc w:val="center"/>
              <w:rPr>
                <w:color w:val="auto"/>
                <w:sz w:val="18"/>
              </w:rPr>
            </w:pPr>
          </w:p>
          <w:p>
            <w:pPr>
              <w:pStyle w:val="107"/>
              <w:jc w:val="center"/>
              <w:rPr>
                <w:color w:val="auto"/>
                <w:sz w:val="18"/>
              </w:rPr>
            </w:pPr>
          </w:p>
          <w:p>
            <w:pPr>
              <w:pStyle w:val="107"/>
              <w:jc w:val="center"/>
              <w:rPr>
                <w:color w:val="auto"/>
                <w:sz w:val="18"/>
              </w:rPr>
            </w:pPr>
          </w:p>
          <w:p>
            <w:pPr>
              <w:pStyle w:val="107"/>
              <w:jc w:val="center"/>
              <w:rPr>
                <w:color w:val="auto"/>
                <w:sz w:val="18"/>
              </w:rPr>
            </w:pPr>
          </w:p>
          <w:p>
            <w:pPr>
              <w:pStyle w:val="107"/>
              <w:jc w:val="center"/>
              <w:rPr>
                <w:color w:val="auto"/>
                <w:sz w:val="18"/>
              </w:rPr>
            </w:pPr>
          </w:p>
          <w:p>
            <w:pPr>
              <w:pStyle w:val="107"/>
              <w:jc w:val="center"/>
              <w:rPr>
                <w:color w:val="auto"/>
                <w:sz w:val="18"/>
              </w:rPr>
            </w:pPr>
          </w:p>
          <w:p>
            <w:pPr>
              <w:pStyle w:val="107"/>
              <w:jc w:val="center"/>
              <w:rPr>
                <w:color w:val="auto"/>
                <w:sz w:val="18"/>
              </w:rPr>
            </w:pPr>
          </w:p>
          <w:p>
            <w:pPr>
              <w:pStyle w:val="107"/>
              <w:jc w:val="center"/>
              <w:rPr>
                <w:color w:val="auto"/>
                <w:sz w:val="18"/>
              </w:rPr>
            </w:pPr>
          </w:p>
          <w:p>
            <w:pPr>
              <w:pStyle w:val="107"/>
              <w:jc w:val="center"/>
              <w:rPr>
                <w:color w:val="auto"/>
                <w:sz w:val="18"/>
              </w:rPr>
            </w:pPr>
          </w:p>
          <w:p>
            <w:pPr>
              <w:pStyle w:val="107"/>
              <w:jc w:val="center"/>
              <w:rPr>
                <w:color w:val="auto"/>
                <w:sz w:val="18"/>
              </w:rPr>
            </w:pPr>
          </w:p>
          <w:p>
            <w:pPr>
              <w:pStyle w:val="107"/>
              <w:jc w:val="center"/>
              <w:rPr>
                <w:color w:val="auto"/>
                <w:sz w:val="18"/>
              </w:rPr>
            </w:pPr>
          </w:p>
          <w:p>
            <w:pPr>
              <w:pStyle w:val="107"/>
              <w:jc w:val="center"/>
              <w:rPr>
                <w:color w:val="auto"/>
                <w:sz w:val="18"/>
              </w:rPr>
            </w:pPr>
          </w:p>
          <w:p>
            <w:pPr>
              <w:pStyle w:val="107"/>
              <w:jc w:val="center"/>
              <w:rPr>
                <w:color w:val="auto"/>
                <w:sz w:val="18"/>
              </w:rPr>
            </w:pPr>
            <w:r>
              <w:rPr>
                <w:color w:val="auto"/>
                <w:sz w:val="18"/>
              </w:rPr>
              <w:t>志留系</w:t>
            </w:r>
          </w:p>
        </w:tc>
        <w:tc>
          <w:tcPr>
            <w:tcW w:w="580" w:type="dxa"/>
            <w:vMerge w:val="restart"/>
            <w:vAlign w:val="center"/>
          </w:tcPr>
          <w:p>
            <w:pPr>
              <w:pStyle w:val="107"/>
              <w:jc w:val="center"/>
              <w:rPr>
                <w:color w:val="auto"/>
                <w:sz w:val="18"/>
              </w:rPr>
            </w:pPr>
            <w:r>
              <w:rPr>
                <w:color w:val="auto"/>
                <w:sz w:val="18"/>
              </w:rPr>
              <w:t>上统</w:t>
            </w:r>
          </w:p>
        </w:tc>
        <w:tc>
          <w:tcPr>
            <w:tcW w:w="862" w:type="dxa"/>
            <w:gridSpan w:val="2"/>
            <w:vMerge w:val="restart"/>
            <w:vAlign w:val="center"/>
          </w:tcPr>
          <w:p>
            <w:pPr>
              <w:pStyle w:val="107"/>
              <w:jc w:val="center"/>
              <w:rPr>
                <w:color w:val="auto"/>
                <w:sz w:val="18"/>
              </w:rPr>
            </w:pPr>
            <w:r>
              <w:rPr>
                <w:color w:val="auto"/>
                <w:sz w:val="18"/>
              </w:rPr>
              <w:t>唐家坞组</w:t>
            </w:r>
          </w:p>
        </w:tc>
        <w:tc>
          <w:tcPr>
            <w:tcW w:w="366" w:type="dxa"/>
            <w:vAlign w:val="center"/>
          </w:tcPr>
          <w:p>
            <w:pPr>
              <w:pStyle w:val="107"/>
              <w:jc w:val="center"/>
              <w:rPr>
                <w:color w:val="auto"/>
                <w:sz w:val="18"/>
              </w:rPr>
            </w:pPr>
            <w:r>
              <w:rPr>
                <w:color w:val="auto"/>
                <w:sz w:val="18"/>
              </w:rPr>
              <w:t>上段</w:t>
            </w:r>
          </w:p>
        </w:tc>
        <w:tc>
          <w:tcPr>
            <w:tcW w:w="665" w:type="dxa"/>
            <w:vAlign w:val="center"/>
          </w:tcPr>
          <w:p>
            <w:pPr>
              <w:pStyle w:val="107"/>
              <w:jc w:val="center"/>
              <w:rPr>
                <w:color w:val="auto"/>
                <w:sz w:val="18"/>
              </w:rPr>
            </w:pPr>
            <w:r>
              <w:rPr>
                <w:color w:val="auto"/>
                <w:w w:val="95"/>
                <w:sz w:val="18"/>
              </w:rPr>
              <w:t>S</w:t>
            </w:r>
            <w:r>
              <w:rPr>
                <w:color w:val="auto"/>
                <w:w w:val="95"/>
                <w:sz w:val="18"/>
                <w:vertAlign w:val="subscript"/>
              </w:rPr>
              <w:t>3</w:t>
            </w:r>
            <w:r>
              <w:rPr>
                <w:color w:val="auto"/>
                <w:w w:val="95"/>
                <w:sz w:val="18"/>
              </w:rPr>
              <w:t>tm</w:t>
            </w:r>
            <w:r>
              <w:rPr>
                <w:color w:val="auto"/>
                <w:w w:val="95"/>
                <w:sz w:val="18"/>
                <w:vertAlign w:val="superscript"/>
              </w:rPr>
              <w:t>2</w:t>
            </w:r>
          </w:p>
        </w:tc>
        <w:tc>
          <w:tcPr>
            <w:tcW w:w="679" w:type="dxa"/>
            <w:vAlign w:val="center"/>
          </w:tcPr>
          <w:p>
            <w:pPr>
              <w:pStyle w:val="107"/>
              <w:jc w:val="center"/>
              <w:rPr>
                <w:color w:val="auto"/>
                <w:sz w:val="18"/>
              </w:rPr>
            </w:pPr>
            <w:r>
              <w:rPr>
                <w:color w:val="auto"/>
                <w:sz w:val="18"/>
              </w:rPr>
              <w:t>488-900</w:t>
            </w:r>
          </w:p>
        </w:tc>
        <w:tc>
          <w:tcPr>
            <w:tcW w:w="3959" w:type="dxa"/>
            <w:vAlign w:val="center"/>
          </w:tcPr>
          <w:p>
            <w:pPr>
              <w:pStyle w:val="107"/>
              <w:jc w:val="center"/>
              <w:rPr>
                <w:color w:val="auto"/>
                <w:sz w:val="18"/>
              </w:rPr>
            </w:pPr>
            <w:r>
              <w:rPr>
                <w:color w:val="auto"/>
                <w:spacing w:val="-9"/>
                <w:sz w:val="18"/>
              </w:rPr>
              <w:t>上部紫红、灰紫色岩屑石英砂岩夹粉砂岩；顶部为赤铁矿</w:t>
            </w:r>
            <w:r>
              <w:rPr>
                <w:color w:val="auto"/>
                <w:sz w:val="18"/>
              </w:rPr>
              <w:t>层，下部灰白色石英砂岩。</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34" w:type="dxa"/>
            <w:vMerge w:val="continue"/>
            <w:tcBorders>
              <w:top w:val="nil"/>
            </w:tcBorders>
            <w:vAlign w:val="center"/>
          </w:tcPr>
          <w:p>
            <w:pPr>
              <w:jc w:val="center"/>
              <w:rPr>
                <w:color w:val="auto"/>
                <w:sz w:val="2"/>
                <w:szCs w:val="2"/>
              </w:rPr>
            </w:pPr>
          </w:p>
        </w:tc>
        <w:tc>
          <w:tcPr>
            <w:tcW w:w="806" w:type="dxa"/>
            <w:vMerge w:val="continue"/>
            <w:tcBorders>
              <w:top w:val="nil"/>
            </w:tcBorders>
            <w:vAlign w:val="center"/>
          </w:tcPr>
          <w:p>
            <w:pPr>
              <w:jc w:val="center"/>
              <w:rPr>
                <w:color w:val="auto"/>
                <w:sz w:val="2"/>
                <w:szCs w:val="2"/>
              </w:rPr>
            </w:pPr>
          </w:p>
        </w:tc>
        <w:tc>
          <w:tcPr>
            <w:tcW w:w="580" w:type="dxa"/>
            <w:vMerge w:val="continue"/>
            <w:tcBorders>
              <w:top w:val="nil"/>
            </w:tcBorders>
            <w:vAlign w:val="center"/>
          </w:tcPr>
          <w:p>
            <w:pPr>
              <w:jc w:val="center"/>
              <w:rPr>
                <w:color w:val="auto"/>
                <w:sz w:val="2"/>
                <w:szCs w:val="2"/>
              </w:rPr>
            </w:pPr>
          </w:p>
        </w:tc>
        <w:tc>
          <w:tcPr>
            <w:tcW w:w="862" w:type="dxa"/>
            <w:gridSpan w:val="2"/>
            <w:vMerge w:val="continue"/>
            <w:tcBorders>
              <w:top w:val="nil"/>
            </w:tcBorders>
            <w:vAlign w:val="center"/>
          </w:tcPr>
          <w:p>
            <w:pPr>
              <w:jc w:val="center"/>
              <w:rPr>
                <w:color w:val="auto"/>
                <w:sz w:val="2"/>
                <w:szCs w:val="2"/>
              </w:rPr>
            </w:pPr>
          </w:p>
        </w:tc>
        <w:tc>
          <w:tcPr>
            <w:tcW w:w="366" w:type="dxa"/>
            <w:vAlign w:val="center"/>
          </w:tcPr>
          <w:p>
            <w:pPr>
              <w:pStyle w:val="107"/>
              <w:jc w:val="center"/>
              <w:rPr>
                <w:color w:val="auto"/>
                <w:sz w:val="18"/>
              </w:rPr>
            </w:pPr>
            <w:r>
              <w:rPr>
                <w:color w:val="auto"/>
                <w:sz w:val="18"/>
              </w:rPr>
              <w:t>下段</w:t>
            </w:r>
          </w:p>
        </w:tc>
        <w:tc>
          <w:tcPr>
            <w:tcW w:w="665" w:type="dxa"/>
            <w:vAlign w:val="center"/>
          </w:tcPr>
          <w:p>
            <w:pPr>
              <w:pStyle w:val="107"/>
              <w:jc w:val="center"/>
              <w:rPr>
                <w:color w:val="auto"/>
                <w:sz w:val="18"/>
              </w:rPr>
            </w:pPr>
            <w:r>
              <w:rPr>
                <w:color w:val="auto"/>
                <w:w w:val="95"/>
                <w:sz w:val="18"/>
              </w:rPr>
              <w:t>S</w:t>
            </w:r>
            <w:r>
              <w:rPr>
                <w:color w:val="auto"/>
                <w:w w:val="95"/>
                <w:sz w:val="18"/>
                <w:vertAlign w:val="subscript"/>
              </w:rPr>
              <w:t>3</w:t>
            </w:r>
            <w:r>
              <w:rPr>
                <w:color w:val="auto"/>
                <w:w w:val="95"/>
                <w:sz w:val="18"/>
              </w:rPr>
              <w:t>tm</w:t>
            </w:r>
            <w:r>
              <w:rPr>
                <w:color w:val="auto"/>
                <w:w w:val="95"/>
                <w:sz w:val="18"/>
                <w:vertAlign w:val="superscript"/>
              </w:rPr>
              <w:t>1</w:t>
            </w:r>
          </w:p>
        </w:tc>
        <w:tc>
          <w:tcPr>
            <w:tcW w:w="679" w:type="dxa"/>
            <w:vAlign w:val="center"/>
          </w:tcPr>
          <w:p>
            <w:pPr>
              <w:pStyle w:val="107"/>
              <w:jc w:val="center"/>
              <w:rPr>
                <w:color w:val="auto"/>
                <w:sz w:val="18"/>
              </w:rPr>
            </w:pPr>
            <w:r>
              <w:rPr>
                <w:color w:val="auto"/>
                <w:sz w:val="18"/>
              </w:rPr>
              <w:t>583-1235</w:t>
            </w:r>
          </w:p>
        </w:tc>
        <w:tc>
          <w:tcPr>
            <w:tcW w:w="3959" w:type="dxa"/>
            <w:vAlign w:val="center"/>
          </w:tcPr>
          <w:p>
            <w:pPr>
              <w:pStyle w:val="107"/>
              <w:jc w:val="center"/>
              <w:rPr>
                <w:color w:val="auto"/>
                <w:sz w:val="18"/>
              </w:rPr>
            </w:pPr>
            <w:r>
              <w:rPr>
                <w:color w:val="auto"/>
                <w:spacing w:val="-7"/>
                <w:sz w:val="18"/>
              </w:rPr>
              <w:t>上部暗紫色岩屑砂岩、岩屑石英砂岩，夹灰白、肉红色石</w:t>
            </w:r>
            <w:r>
              <w:rPr>
                <w:color w:val="auto"/>
                <w:spacing w:val="-10"/>
                <w:sz w:val="18"/>
              </w:rPr>
              <w:t>项砂岩、长石砂岩，下部紫红、黄绿色岩屑砂岩，与同色</w:t>
            </w:r>
            <w:r>
              <w:rPr>
                <w:color w:val="auto"/>
                <w:sz w:val="18"/>
              </w:rPr>
              <w:t>细砂岩、粉砂岩、粉砂质泥岩互层。</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34" w:type="dxa"/>
            <w:vMerge w:val="continue"/>
            <w:tcBorders>
              <w:top w:val="nil"/>
            </w:tcBorders>
            <w:vAlign w:val="center"/>
          </w:tcPr>
          <w:p>
            <w:pPr>
              <w:jc w:val="center"/>
              <w:rPr>
                <w:color w:val="auto"/>
                <w:sz w:val="2"/>
                <w:szCs w:val="2"/>
              </w:rPr>
            </w:pPr>
          </w:p>
        </w:tc>
        <w:tc>
          <w:tcPr>
            <w:tcW w:w="806" w:type="dxa"/>
            <w:vMerge w:val="continue"/>
            <w:tcBorders>
              <w:top w:val="nil"/>
            </w:tcBorders>
            <w:vAlign w:val="center"/>
          </w:tcPr>
          <w:p>
            <w:pPr>
              <w:jc w:val="center"/>
              <w:rPr>
                <w:color w:val="auto"/>
                <w:sz w:val="2"/>
                <w:szCs w:val="2"/>
              </w:rPr>
            </w:pPr>
          </w:p>
        </w:tc>
        <w:tc>
          <w:tcPr>
            <w:tcW w:w="580" w:type="dxa"/>
            <w:vAlign w:val="center"/>
          </w:tcPr>
          <w:p>
            <w:pPr>
              <w:pStyle w:val="107"/>
              <w:jc w:val="center"/>
              <w:rPr>
                <w:color w:val="auto"/>
                <w:sz w:val="18"/>
              </w:rPr>
            </w:pPr>
            <w:r>
              <w:rPr>
                <w:color w:val="auto"/>
                <w:sz w:val="18"/>
              </w:rPr>
              <w:t>中统</w:t>
            </w:r>
          </w:p>
        </w:tc>
        <w:tc>
          <w:tcPr>
            <w:tcW w:w="1228" w:type="dxa"/>
            <w:gridSpan w:val="3"/>
            <w:vAlign w:val="center"/>
          </w:tcPr>
          <w:p>
            <w:pPr>
              <w:pStyle w:val="107"/>
              <w:jc w:val="center"/>
              <w:rPr>
                <w:color w:val="auto"/>
                <w:sz w:val="18"/>
              </w:rPr>
            </w:pPr>
            <w:r>
              <w:rPr>
                <w:color w:val="auto"/>
                <w:sz w:val="18"/>
              </w:rPr>
              <w:t>太平群</w:t>
            </w:r>
          </w:p>
        </w:tc>
        <w:tc>
          <w:tcPr>
            <w:tcW w:w="665" w:type="dxa"/>
            <w:vAlign w:val="center"/>
          </w:tcPr>
          <w:p>
            <w:pPr>
              <w:pStyle w:val="107"/>
              <w:jc w:val="center"/>
              <w:rPr>
                <w:color w:val="auto"/>
                <w:sz w:val="18"/>
              </w:rPr>
            </w:pPr>
            <w:r>
              <w:rPr>
                <w:color w:val="auto"/>
                <w:sz w:val="18"/>
              </w:rPr>
              <w:t>S</w:t>
            </w:r>
            <w:r>
              <w:rPr>
                <w:color w:val="auto"/>
                <w:sz w:val="18"/>
                <w:vertAlign w:val="subscript"/>
              </w:rPr>
              <w:t>2</w:t>
            </w:r>
            <w:r>
              <w:rPr>
                <w:color w:val="auto"/>
                <w:sz w:val="18"/>
              </w:rPr>
              <w:t>tp</w:t>
            </w:r>
          </w:p>
        </w:tc>
        <w:tc>
          <w:tcPr>
            <w:tcW w:w="679" w:type="dxa"/>
            <w:vAlign w:val="center"/>
          </w:tcPr>
          <w:p>
            <w:pPr>
              <w:pStyle w:val="107"/>
              <w:jc w:val="center"/>
              <w:rPr>
                <w:color w:val="auto"/>
                <w:sz w:val="18"/>
              </w:rPr>
            </w:pPr>
            <w:r>
              <w:rPr>
                <w:color w:val="auto"/>
                <w:sz w:val="18"/>
              </w:rPr>
              <w:t>805</w:t>
            </w:r>
          </w:p>
        </w:tc>
        <w:tc>
          <w:tcPr>
            <w:tcW w:w="3959" w:type="dxa"/>
            <w:vAlign w:val="center"/>
          </w:tcPr>
          <w:p>
            <w:pPr>
              <w:pStyle w:val="107"/>
              <w:jc w:val="center"/>
              <w:rPr>
                <w:color w:val="auto"/>
                <w:sz w:val="18"/>
              </w:rPr>
            </w:pPr>
            <w:r>
              <w:rPr>
                <w:color w:val="auto"/>
                <w:sz w:val="18"/>
              </w:rPr>
              <w:t>上部灰绿、黄绿色泥质粉砂岩，含粉砂泥岩、页岩夹含砾</w:t>
            </w:r>
          </w:p>
          <w:p>
            <w:pPr>
              <w:pStyle w:val="107"/>
              <w:jc w:val="center"/>
              <w:rPr>
                <w:color w:val="auto"/>
                <w:sz w:val="18"/>
              </w:rPr>
            </w:pPr>
            <w:r>
              <w:rPr>
                <w:color w:val="auto"/>
                <w:sz w:val="18"/>
              </w:rPr>
              <w:t>岩屑砂岩，下部白色厚至巨厚层细粒岩屑石英砂岩夹灰绿、黄绿色粉砂岩。</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34" w:type="dxa"/>
            <w:vMerge w:val="continue"/>
            <w:tcBorders>
              <w:top w:val="nil"/>
            </w:tcBorders>
            <w:vAlign w:val="center"/>
          </w:tcPr>
          <w:p>
            <w:pPr>
              <w:jc w:val="center"/>
              <w:rPr>
                <w:color w:val="auto"/>
                <w:sz w:val="2"/>
                <w:szCs w:val="2"/>
              </w:rPr>
            </w:pPr>
          </w:p>
        </w:tc>
        <w:tc>
          <w:tcPr>
            <w:tcW w:w="806" w:type="dxa"/>
            <w:vMerge w:val="continue"/>
            <w:tcBorders>
              <w:top w:val="nil"/>
            </w:tcBorders>
            <w:vAlign w:val="center"/>
          </w:tcPr>
          <w:p>
            <w:pPr>
              <w:jc w:val="center"/>
              <w:rPr>
                <w:color w:val="auto"/>
                <w:sz w:val="2"/>
                <w:szCs w:val="2"/>
              </w:rPr>
            </w:pPr>
          </w:p>
        </w:tc>
        <w:tc>
          <w:tcPr>
            <w:tcW w:w="580" w:type="dxa"/>
            <w:vMerge w:val="restart"/>
            <w:vAlign w:val="center"/>
          </w:tcPr>
          <w:p>
            <w:pPr>
              <w:pStyle w:val="107"/>
              <w:jc w:val="center"/>
              <w:rPr>
                <w:color w:val="auto"/>
                <w:sz w:val="18"/>
              </w:rPr>
            </w:pPr>
            <w:r>
              <w:rPr>
                <w:color w:val="auto"/>
                <w:sz w:val="18"/>
              </w:rPr>
              <w:t>下统</w:t>
            </w:r>
          </w:p>
        </w:tc>
        <w:tc>
          <w:tcPr>
            <w:tcW w:w="1228" w:type="dxa"/>
            <w:gridSpan w:val="3"/>
            <w:vAlign w:val="center"/>
          </w:tcPr>
          <w:p>
            <w:pPr>
              <w:pStyle w:val="107"/>
              <w:jc w:val="center"/>
              <w:rPr>
                <w:color w:val="auto"/>
                <w:sz w:val="18"/>
              </w:rPr>
            </w:pPr>
            <w:r>
              <w:rPr>
                <w:color w:val="auto"/>
                <w:sz w:val="18"/>
              </w:rPr>
              <w:t>太白地组</w:t>
            </w:r>
          </w:p>
        </w:tc>
        <w:tc>
          <w:tcPr>
            <w:tcW w:w="665" w:type="dxa"/>
            <w:vAlign w:val="center"/>
          </w:tcPr>
          <w:p>
            <w:pPr>
              <w:pStyle w:val="107"/>
              <w:jc w:val="center"/>
              <w:rPr>
                <w:color w:val="auto"/>
                <w:sz w:val="18"/>
              </w:rPr>
            </w:pPr>
            <w:r>
              <w:rPr>
                <w:color w:val="auto"/>
                <w:w w:val="95"/>
                <w:sz w:val="18"/>
              </w:rPr>
              <w:t>S</w:t>
            </w:r>
            <w:r>
              <w:rPr>
                <w:color w:val="auto"/>
                <w:w w:val="95"/>
                <w:sz w:val="18"/>
                <w:vertAlign w:val="subscript"/>
              </w:rPr>
              <w:t>1</w:t>
            </w:r>
            <w:r>
              <w:rPr>
                <w:color w:val="auto"/>
                <w:w w:val="95"/>
                <w:sz w:val="18"/>
              </w:rPr>
              <w:t>d</w:t>
            </w:r>
          </w:p>
        </w:tc>
        <w:tc>
          <w:tcPr>
            <w:tcW w:w="679" w:type="dxa"/>
            <w:vAlign w:val="center"/>
          </w:tcPr>
          <w:p>
            <w:pPr>
              <w:pStyle w:val="107"/>
              <w:jc w:val="center"/>
              <w:rPr>
                <w:color w:val="auto"/>
                <w:sz w:val="18"/>
              </w:rPr>
            </w:pPr>
            <w:r>
              <w:rPr>
                <w:color w:val="auto"/>
                <w:sz w:val="18"/>
              </w:rPr>
              <w:t>656</w:t>
            </w:r>
          </w:p>
        </w:tc>
        <w:tc>
          <w:tcPr>
            <w:tcW w:w="3959" w:type="dxa"/>
            <w:vAlign w:val="center"/>
          </w:tcPr>
          <w:p>
            <w:pPr>
              <w:pStyle w:val="107"/>
              <w:jc w:val="center"/>
              <w:rPr>
                <w:color w:val="auto"/>
                <w:sz w:val="18"/>
              </w:rPr>
            </w:pPr>
            <w:r>
              <w:rPr>
                <w:color w:val="auto"/>
                <w:sz w:val="18"/>
              </w:rPr>
              <w:t xml:space="preserve">上部灰白色薄至中厚层细粒岩屑石英砂岩与黄绿色泥质 </w:t>
            </w:r>
            <w:r>
              <w:rPr>
                <w:color w:val="auto"/>
                <w:spacing w:val="-1"/>
                <w:sz w:val="18"/>
              </w:rPr>
              <w:t>粉砂岩互层。中部黄绿色薄层泥质粉砂岩、粉砂质泥岩、</w:t>
            </w:r>
            <w:r>
              <w:rPr>
                <w:color w:val="auto"/>
                <w:spacing w:val="-5"/>
                <w:sz w:val="18"/>
              </w:rPr>
              <w:t>页岩互层夹细砂岩及细粒岩屑石英砂岩。下部黄绿色薄层</w:t>
            </w:r>
          </w:p>
          <w:p>
            <w:pPr>
              <w:pStyle w:val="107"/>
              <w:jc w:val="center"/>
              <w:rPr>
                <w:color w:val="auto"/>
                <w:sz w:val="18"/>
              </w:rPr>
            </w:pPr>
            <w:r>
              <w:rPr>
                <w:color w:val="auto"/>
                <w:sz w:val="18"/>
              </w:rPr>
              <w:t>含长石细砂岩夹粉砂岩。</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34" w:type="dxa"/>
            <w:vMerge w:val="continue"/>
            <w:tcBorders>
              <w:top w:val="nil"/>
            </w:tcBorders>
            <w:vAlign w:val="center"/>
          </w:tcPr>
          <w:p>
            <w:pPr>
              <w:jc w:val="center"/>
              <w:rPr>
                <w:color w:val="auto"/>
                <w:sz w:val="2"/>
                <w:szCs w:val="2"/>
              </w:rPr>
            </w:pPr>
          </w:p>
        </w:tc>
        <w:tc>
          <w:tcPr>
            <w:tcW w:w="806" w:type="dxa"/>
            <w:vMerge w:val="continue"/>
            <w:tcBorders>
              <w:top w:val="nil"/>
            </w:tcBorders>
            <w:vAlign w:val="center"/>
          </w:tcPr>
          <w:p>
            <w:pPr>
              <w:jc w:val="center"/>
              <w:rPr>
                <w:color w:val="auto"/>
                <w:sz w:val="2"/>
                <w:szCs w:val="2"/>
              </w:rPr>
            </w:pPr>
          </w:p>
        </w:tc>
        <w:tc>
          <w:tcPr>
            <w:tcW w:w="580" w:type="dxa"/>
            <w:vMerge w:val="continue"/>
            <w:tcBorders>
              <w:top w:val="nil"/>
            </w:tcBorders>
            <w:vAlign w:val="center"/>
          </w:tcPr>
          <w:p>
            <w:pPr>
              <w:jc w:val="center"/>
              <w:rPr>
                <w:color w:val="auto"/>
                <w:sz w:val="2"/>
                <w:szCs w:val="2"/>
              </w:rPr>
            </w:pPr>
          </w:p>
        </w:tc>
        <w:tc>
          <w:tcPr>
            <w:tcW w:w="1228" w:type="dxa"/>
            <w:gridSpan w:val="3"/>
            <w:vAlign w:val="center"/>
          </w:tcPr>
          <w:p>
            <w:pPr>
              <w:pStyle w:val="107"/>
              <w:jc w:val="center"/>
              <w:rPr>
                <w:color w:val="auto"/>
                <w:sz w:val="18"/>
              </w:rPr>
            </w:pPr>
            <w:r>
              <w:rPr>
                <w:color w:val="auto"/>
                <w:sz w:val="18"/>
              </w:rPr>
              <w:t>安吉组</w:t>
            </w:r>
          </w:p>
        </w:tc>
        <w:tc>
          <w:tcPr>
            <w:tcW w:w="665" w:type="dxa"/>
            <w:vAlign w:val="center"/>
          </w:tcPr>
          <w:p>
            <w:pPr>
              <w:pStyle w:val="107"/>
              <w:jc w:val="center"/>
              <w:rPr>
                <w:color w:val="auto"/>
                <w:sz w:val="18"/>
              </w:rPr>
            </w:pPr>
            <w:r>
              <w:rPr>
                <w:color w:val="auto"/>
                <w:sz w:val="18"/>
              </w:rPr>
              <w:t>S</w:t>
            </w:r>
            <w:r>
              <w:rPr>
                <w:color w:val="auto"/>
                <w:sz w:val="18"/>
                <w:vertAlign w:val="subscript"/>
              </w:rPr>
              <w:t>1</w:t>
            </w:r>
            <w:r>
              <w:rPr>
                <w:color w:val="auto"/>
                <w:sz w:val="18"/>
              </w:rPr>
              <w:t>a</w:t>
            </w:r>
          </w:p>
        </w:tc>
        <w:tc>
          <w:tcPr>
            <w:tcW w:w="679" w:type="dxa"/>
            <w:vAlign w:val="center"/>
          </w:tcPr>
          <w:p>
            <w:pPr>
              <w:pStyle w:val="107"/>
              <w:jc w:val="center"/>
              <w:rPr>
                <w:color w:val="auto"/>
                <w:sz w:val="18"/>
              </w:rPr>
            </w:pPr>
            <w:r>
              <w:rPr>
                <w:color w:val="auto"/>
                <w:sz w:val="18"/>
              </w:rPr>
              <w:t>1574</w:t>
            </w:r>
          </w:p>
        </w:tc>
        <w:tc>
          <w:tcPr>
            <w:tcW w:w="3959" w:type="dxa"/>
            <w:vAlign w:val="center"/>
          </w:tcPr>
          <w:p>
            <w:pPr>
              <w:pStyle w:val="107"/>
              <w:jc w:val="center"/>
              <w:rPr>
                <w:color w:val="auto"/>
                <w:sz w:val="18"/>
              </w:rPr>
            </w:pPr>
            <w:r>
              <w:rPr>
                <w:color w:val="auto"/>
                <w:spacing w:val="-6"/>
                <w:sz w:val="18"/>
              </w:rPr>
              <w:t>上部薄层泥质粉砂岩夹细砂岩、粉砂质泥岩。中部中厚至厚层细砂岩与泥质粉砂岩、页岩互层，下部厚层岩屑石英</w:t>
            </w:r>
            <w:r>
              <w:rPr>
                <w:color w:val="auto"/>
                <w:spacing w:val="-9"/>
                <w:sz w:val="18"/>
              </w:rPr>
              <w:t>砂岩、细砂岩夹粉砂质泥岩，页岩底部为黄色厚层中细粒</w:t>
            </w:r>
          </w:p>
          <w:p>
            <w:pPr>
              <w:pStyle w:val="107"/>
              <w:jc w:val="center"/>
              <w:rPr>
                <w:color w:val="auto"/>
                <w:sz w:val="18"/>
              </w:rPr>
            </w:pPr>
            <w:r>
              <w:rPr>
                <w:color w:val="auto"/>
                <w:sz w:val="18"/>
              </w:rPr>
              <w:t>长石石英砂岩。</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34" w:type="dxa"/>
            <w:vMerge w:val="continue"/>
            <w:tcBorders>
              <w:top w:val="nil"/>
            </w:tcBorders>
            <w:vAlign w:val="center"/>
          </w:tcPr>
          <w:p>
            <w:pPr>
              <w:jc w:val="center"/>
              <w:rPr>
                <w:color w:val="auto"/>
                <w:sz w:val="2"/>
                <w:szCs w:val="2"/>
              </w:rPr>
            </w:pPr>
          </w:p>
        </w:tc>
        <w:tc>
          <w:tcPr>
            <w:tcW w:w="806" w:type="dxa"/>
            <w:vMerge w:val="restart"/>
            <w:vAlign w:val="center"/>
          </w:tcPr>
          <w:p>
            <w:pPr>
              <w:pStyle w:val="107"/>
              <w:jc w:val="center"/>
              <w:rPr>
                <w:color w:val="auto"/>
                <w:sz w:val="18"/>
              </w:rPr>
            </w:pPr>
            <w:r>
              <w:rPr>
                <w:color w:val="auto"/>
                <w:sz w:val="18"/>
              </w:rPr>
              <w:t>奥陶系</w:t>
            </w:r>
          </w:p>
        </w:tc>
        <w:tc>
          <w:tcPr>
            <w:tcW w:w="580" w:type="dxa"/>
            <w:vMerge w:val="restart"/>
            <w:vAlign w:val="center"/>
          </w:tcPr>
          <w:p>
            <w:pPr>
              <w:pStyle w:val="107"/>
              <w:jc w:val="center"/>
              <w:rPr>
                <w:color w:val="auto"/>
                <w:sz w:val="18"/>
              </w:rPr>
            </w:pPr>
            <w:r>
              <w:rPr>
                <w:color w:val="auto"/>
                <w:sz w:val="18"/>
              </w:rPr>
              <w:t>上统</w:t>
            </w:r>
          </w:p>
        </w:tc>
        <w:tc>
          <w:tcPr>
            <w:tcW w:w="862" w:type="dxa"/>
            <w:gridSpan w:val="2"/>
            <w:vMerge w:val="restart"/>
            <w:vAlign w:val="center"/>
          </w:tcPr>
          <w:p>
            <w:pPr>
              <w:pStyle w:val="107"/>
              <w:jc w:val="center"/>
              <w:rPr>
                <w:color w:val="auto"/>
                <w:sz w:val="18"/>
              </w:rPr>
            </w:pPr>
            <w:r>
              <w:rPr>
                <w:color w:val="auto"/>
                <w:sz w:val="18"/>
              </w:rPr>
              <w:t>新岭组</w:t>
            </w:r>
          </w:p>
        </w:tc>
        <w:tc>
          <w:tcPr>
            <w:tcW w:w="366" w:type="dxa"/>
            <w:vAlign w:val="center"/>
          </w:tcPr>
          <w:p>
            <w:pPr>
              <w:pStyle w:val="107"/>
              <w:jc w:val="center"/>
              <w:rPr>
                <w:color w:val="auto"/>
                <w:sz w:val="18"/>
              </w:rPr>
            </w:pPr>
            <w:r>
              <w:rPr>
                <w:color w:val="auto"/>
                <w:sz w:val="18"/>
              </w:rPr>
              <w:t>上段</w:t>
            </w:r>
          </w:p>
        </w:tc>
        <w:tc>
          <w:tcPr>
            <w:tcW w:w="665" w:type="dxa"/>
            <w:vAlign w:val="center"/>
          </w:tcPr>
          <w:p>
            <w:pPr>
              <w:pStyle w:val="107"/>
              <w:jc w:val="center"/>
              <w:rPr>
                <w:color w:val="auto"/>
                <w:sz w:val="18"/>
              </w:rPr>
            </w:pPr>
            <w:r>
              <w:rPr>
                <w:color w:val="auto"/>
                <w:w w:val="95"/>
                <w:sz w:val="18"/>
              </w:rPr>
              <w:t>O</w:t>
            </w:r>
            <w:r>
              <w:rPr>
                <w:color w:val="auto"/>
                <w:w w:val="95"/>
                <w:sz w:val="18"/>
                <w:vertAlign w:val="subscript"/>
              </w:rPr>
              <w:t>3</w:t>
            </w:r>
            <w:r>
              <w:rPr>
                <w:color w:val="auto"/>
                <w:w w:val="95"/>
                <w:sz w:val="18"/>
              </w:rPr>
              <w:t>x</w:t>
            </w:r>
            <w:r>
              <w:rPr>
                <w:color w:val="auto"/>
                <w:w w:val="95"/>
                <w:sz w:val="18"/>
                <w:vertAlign w:val="superscript"/>
              </w:rPr>
              <w:t>2</w:t>
            </w:r>
          </w:p>
        </w:tc>
        <w:tc>
          <w:tcPr>
            <w:tcW w:w="679" w:type="dxa"/>
            <w:vAlign w:val="center"/>
          </w:tcPr>
          <w:p>
            <w:pPr>
              <w:pStyle w:val="107"/>
              <w:jc w:val="center"/>
              <w:rPr>
                <w:color w:val="auto"/>
                <w:sz w:val="18"/>
              </w:rPr>
            </w:pPr>
            <w:r>
              <w:rPr>
                <w:color w:val="auto"/>
                <w:sz w:val="18"/>
              </w:rPr>
              <w:t>137</w:t>
            </w:r>
          </w:p>
        </w:tc>
        <w:tc>
          <w:tcPr>
            <w:tcW w:w="3959" w:type="dxa"/>
            <w:vAlign w:val="center"/>
          </w:tcPr>
          <w:p>
            <w:pPr>
              <w:pStyle w:val="107"/>
              <w:jc w:val="center"/>
              <w:rPr>
                <w:color w:val="auto"/>
                <w:sz w:val="18"/>
              </w:rPr>
            </w:pPr>
            <w:r>
              <w:rPr>
                <w:color w:val="auto"/>
                <w:sz w:val="18"/>
              </w:rPr>
              <w:t>青灰、黄绿色中厚层细砂岩、粉砂岩，上部夹同色页岩。</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34" w:type="dxa"/>
            <w:vMerge w:val="continue"/>
            <w:tcBorders>
              <w:top w:val="nil"/>
            </w:tcBorders>
            <w:vAlign w:val="center"/>
          </w:tcPr>
          <w:p>
            <w:pPr>
              <w:jc w:val="center"/>
              <w:rPr>
                <w:color w:val="auto"/>
                <w:sz w:val="2"/>
                <w:szCs w:val="2"/>
              </w:rPr>
            </w:pPr>
          </w:p>
        </w:tc>
        <w:tc>
          <w:tcPr>
            <w:tcW w:w="806" w:type="dxa"/>
            <w:vMerge w:val="continue"/>
            <w:tcBorders>
              <w:top w:val="nil"/>
            </w:tcBorders>
            <w:vAlign w:val="center"/>
          </w:tcPr>
          <w:p>
            <w:pPr>
              <w:jc w:val="center"/>
              <w:rPr>
                <w:color w:val="auto"/>
                <w:sz w:val="2"/>
                <w:szCs w:val="2"/>
              </w:rPr>
            </w:pPr>
          </w:p>
        </w:tc>
        <w:tc>
          <w:tcPr>
            <w:tcW w:w="580" w:type="dxa"/>
            <w:vMerge w:val="continue"/>
            <w:tcBorders>
              <w:top w:val="nil"/>
            </w:tcBorders>
            <w:vAlign w:val="center"/>
          </w:tcPr>
          <w:p>
            <w:pPr>
              <w:jc w:val="center"/>
              <w:rPr>
                <w:color w:val="auto"/>
                <w:sz w:val="2"/>
                <w:szCs w:val="2"/>
              </w:rPr>
            </w:pPr>
          </w:p>
        </w:tc>
        <w:tc>
          <w:tcPr>
            <w:tcW w:w="862" w:type="dxa"/>
            <w:gridSpan w:val="2"/>
            <w:vMerge w:val="continue"/>
            <w:tcBorders>
              <w:top w:val="nil"/>
            </w:tcBorders>
            <w:vAlign w:val="center"/>
          </w:tcPr>
          <w:p>
            <w:pPr>
              <w:jc w:val="center"/>
              <w:rPr>
                <w:color w:val="auto"/>
                <w:sz w:val="2"/>
                <w:szCs w:val="2"/>
              </w:rPr>
            </w:pPr>
          </w:p>
        </w:tc>
        <w:tc>
          <w:tcPr>
            <w:tcW w:w="366" w:type="dxa"/>
            <w:vAlign w:val="center"/>
          </w:tcPr>
          <w:p>
            <w:pPr>
              <w:pStyle w:val="107"/>
              <w:jc w:val="center"/>
              <w:rPr>
                <w:color w:val="auto"/>
                <w:sz w:val="18"/>
              </w:rPr>
            </w:pPr>
            <w:r>
              <w:rPr>
                <w:color w:val="auto"/>
                <w:sz w:val="18"/>
              </w:rPr>
              <w:t>下</w:t>
            </w:r>
          </w:p>
          <w:p>
            <w:pPr>
              <w:pStyle w:val="107"/>
              <w:jc w:val="center"/>
              <w:rPr>
                <w:color w:val="auto"/>
                <w:sz w:val="18"/>
              </w:rPr>
            </w:pPr>
            <w:r>
              <w:rPr>
                <w:color w:val="auto"/>
                <w:sz w:val="18"/>
              </w:rPr>
              <w:t>段</w:t>
            </w:r>
          </w:p>
        </w:tc>
        <w:tc>
          <w:tcPr>
            <w:tcW w:w="665" w:type="dxa"/>
            <w:vAlign w:val="center"/>
          </w:tcPr>
          <w:p>
            <w:pPr>
              <w:pStyle w:val="107"/>
              <w:jc w:val="center"/>
              <w:rPr>
                <w:color w:val="auto"/>
                <w:sz w:val="18"/>
              </w:rPr>
            </w:pPr>
            <w:r>
              <w:rPr>
                <w:color w:val="auto"/>
                <w:w w:val="95"/>
                <w:sz w:val="18"/>
              </w:rPr>
              <w:t>O</w:t>
            </w:r>
            <w:r>
              <w:rPr>
                <w:color w:val="auto"/>
                <w:w w:val="95"/>
                <w:sz w:val="18"/>
                <w:vertAlign w:val="subscript"/>
              </w:rPr>
              <w:t>3</w:t>
            </w:r>
            <w:r>
              <w:rPr>
                <w:color w:val="auto"/>
                <w:w w:val="95"/>
                <w:sz w:val="18"/>
              </w:rPr>
              <w:t>x</w:t>
            </w:r>
            <w:r>
              <w:rPr>
                <w:color w:val="auto"/>
                <w:w w:val="95"/>
                <w:sz w:val="18"/>
                <w:vertAlign w:val="superscript"/>
              </w:rPr>
              <w:t>1</w:t>
            </w:r>
          </w:p>
        </w:tc>
        <w:tc>
          <w:tcPr>
            <w:tcW w:w="679" w:type="dxa"/>
            <w:vAlign w:val="center"/>
          </w:tcPr>
          <w:p>
            <w:pPr>
              <w:pStyle w:val="107"/>
              <w:jc w:val="center"/>
              <w:rPr>
                <w:color w:val="auto"/>
                <w:sz w:val="18"/>
              </w:rPr>
            </w:pPr>
            <w:r>
              <w:rPr>
                <w:color w:val="auto"/>
                <w:sz w:val="18"/>
              </w:rPr>
              <w:t>531</w:t>
            </w:r>
          </w:p>
        </w:tc>
        <w:tc>
          <w:tcPr>
            <w:tcW w:w="3959" w:type="dxa"/>
            <w:vAlign w:val="center"/>
          </w:tcPr>
          <w:p>
            <w:pPr>
              <w:pStyle w:val="107"/>
              <w:jc w:val="center"/>
              <w:rPr>
                <w:color w:val="auto"/>
                <w:sz w:val="18"/>
              </w:rPr>
            </w:pPr>
            <w:r>
              <w:rPr>
                <w:color w:val="auto"/>
                <w:sz w:val="18"/>
              </w:rPr>
              <w:t>上部绿色中薄层细砂岩、粉砂岩及粉砂质页岩韵律互层，</w:t>
            </w:r>
          </w:p>
          <w:p>
            <w:pPr>
              <w:pStyle w:val="107"/>
              <w:jc w:val="center"/>
              <w:rPr>
                <w:color w:val="auto"/>
                <w:sz w:val="18"/>
              </w:rPr>
            </w:pPr>
            <w:r>
              <w:rPr>
                <w:color w:val="auto"/>
                <w:sz w:val="18"/>
              </w:rPr>
              <w:t>下部灰色钙质粉砂岩，黄绿色粉砂质泥岩夹同色粉砂岩。</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34" w:type="dxa"/>
            <w:vMerge w:val="continue"/>
            <w:tcBorders>
              <w:top w:val="nil"/>
            </w:tcBorders>
            <w:vAlign w:val="center"/>
          </w:tcPr>
          <w:p>
            <w:pPr>
              <w:jc w:val="center"/>
              <w:rPr>
                <w:color w:val="auto"/>
                <w:sz w:val="2"/>
                <w:szCs w:val="2"/>
              </w:rPr>
            </w:pPr>
          </w:p>
        </w:tc>
        <w:tc>
          <w:tcPr>
            <w:tcW w:w="806" w:type="dxa"/>
            <w:vMerge w:val="continue"/>
            <w:tcBorders>
              <w:top w:val="nil"/>
            </w:tcBorders>
            <w:vAlign w:val="center"/>
          </w:tcPr>
          <w:p>
            <w:pPr>
              <w:jc w:val="center"/>
              <w:rPr>
                <w:color w:val="auto"/>
                <w:sz w:val="2"/>
                <w:szCs w:val="2"/>
              </w:rPr>
            </w:pPr>
          </w:p>
        </w:tc>
        <w:tc>
          <w:tcPr>
            <w:tcW w:w="580" w:type="dxa"/>
            <w:vMerge w:val="continue"/>
            <w:tcBorders>
              <w:top w:val="nil"/>
            </w:tcBorders>
            <w:vAlign w:val="center"/>
          </w:tcPr>
          <w:p>
            <w:pPr>
              <w:jc w:val="center"/>
              <w:rPr>
                <w:color w:val="auto"/>
                <w:sz w:val="2"/>
                <w:szCs w:val="2"/>
              </w:rPr>
            </w:pPr>
          </w:p>
        </w:tc>
        <w:tc>
          <w:tcPr>
            <w:tcW w:w="1228" w:type="dxa"/>
            <w:gridSpan w:val="3"/>
            <w:vAlign w:val="center"/>
          </w:tcPr>
          <w:p>
            <w:pPr>
              <w:pStyle w:val="107"/>
              <w:jc w:val="center"/>
              <w:rPr>
                <w:color w:val="auto"/>
                <w:sz w:val="18"/>
              </w:rPr>
            </w:pPr>
            <w:r>
              <w:rPr>
                <w:color w:val="auto"/>
                <w:sz w:val="18"/>
              </w:rPr>
              <w:t>黄泥岗组</w:t>
            </w:r>
          </w:p>
        </w:tc>
        <w:tc>
          <w:tcPr>
            <w:tcW w:w="665" w:type="dxa"/>
            <w:vAlign w:val="center"/>
          </w:tcPr>
          <w:p>
            <w:pPr>
              <w:pStyle w:val="107"/>
              <w:jc w:val="center"/>
              <w:rPr>
                <w:color w:val="auto"/>
                <w:sz w:val="18"/>
              </w:rPr>
            </w:pPr>
            <w:r>
              <w:rPr>
                <w:color w:val="auto"/>
                <w:sz w:val="18"/>
              </w:rPr>
              <w:t>O</w:t>
            </w:r>
            <w:r>
              <w:rPr>
                <w:color w:val="auto"/>
                <w:sz w:val="18"/>
                <w:vertAlign w:val="subscript"/>
              </w:rPr>
              <w:t>3</w:t>
            </w:r>
            <w:r>
              <w:rPr>
                <w:color w:val="auto"/>
                <w:sz w:val="18"/>
              </w:rPr>
              <w:t>h</w:t>
            </w:r>
          </w:p>
        </w:tc>
        <w:tc>
          <w:tcPr>
            <w:tcW w:w="679" w:type="dxa"/>
            <w:vAlign w:val="center"/>
          </w:tcPr>
          <w:p>
            <w:pPr>
              <w:pStyle w:val="107"/>
              <w:jc w:val="center"/>
              <w:rPr>
                <w:color w:val="auto"/>
                <w:sz w:val="18"/>
              </w:rPr>
            </w:pPr>
            <w:r>
              <w:rPr>
                <w:color w:val="auto"/>
                <w:sz w:val="18"/>
              </w:rPr>
              <w:t>134</w:t>
            </w:r>
          </w:p>
        </w:tc>
        <w:tc>
          <w:tcPr>
            <w:tcW w:w="3959" w:type="dxa"/>
            <w:vAlign w:val="center"/>
          </w:tcPr>
          <w:p>
            <w:pPr>
              <w:pStyle w:val="107"/>
              <w:jc w:val="center"/>
              <w:rPr>
                <w:color w:val="auto"/>
                <w:sz w:val="18"/>
              </w:rPr>
            </w:pPr>
            <w:r>
              <w:rPr>
                <w:color w:val="auto"/>
                <w:spacing w:val="-13"/>
                <w:sz w:val="18"/>
              </w:rPr>
              <w:t>上部深灰色粉砂岩、黄绿色粉砂质泥岩，下部绿色粉砂岩， 泥岩夹同色粉砂质页岩。</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34" w:type="dxa"/>
            <w:vMerge w:val="continue"/>
            <w:tcBorders>
              <w:top w:val="nil"/>
            </w:tcBorders>
            <w:vAlign w:val="center"/>
          </w:tcPr>
          <w:p>
            <w:pPr>
              <w:jc w:val="center"/>
              <w:rPr>
                <w:color w:val="auto"/>
                <w:sz w:val="2"/>
                <w:szCs w:val="2"/>
              </w:rPr>
            </w:pPr>
          </w:p>
        </w:tc>
        <w:tc>
          <w:tcPr>
            <w:tcW w:w="806" w:type="dxa"/>
            <w:vMerge w:val="continue"/>
            <w:tcBorders>
              <w:top w:val="nil"/>
            </w:tcBorders>
            <w:vAlign w:val="center"/>
          </w:tcPr>
          <w:p>
            <w:pPr>
              <w:jc w:val="center"/>
              <w:rPr>
                <w:color w:val="auto"/>
                <w:sz w:val="2"/>
                <w:szCs w:val="2"/>
              </w:rPr>
            </w:pPr>
          </w:p>
        </w:tc>
        <w:tc>
          <w:tcPr>
            <w:tcW w:w="580" w:type="dxa"/>
            <w:vMerge w:val="restart"/>
            <w:vAlign w:val="center"/>
          </w:tcPr>
          <w:p>
            <w:pPr>
              <w:pStyle w:val="107"/>
              <w:jc w:val="center"/>
              <w:rPr>
                <w:color w:val="auto"/>
                <w:sz w:val="18"/>
              </w:rPr>
            </w:pPr>
            <w:r>
              <w:rPr>
                <w:color w:val="auto"/>
                <w:sz w:val="18"/>
              </w:rPr>
              <w:t>中统</w:t>
            </w:r>
          </w:p>
        </w:tc>
        <w:tc>
          <w:tcPr>
            <w:tcW w:w="1228" w:type="dxa"/>
            <w:gridSpan w:val="3"/>
            <w:vAlign w:val="center"/>
          </w:tcPr>
          <w:p>
            <w:pPr>
              <w:pStyle w:val="107"/>
              <w:jc w:val="center"/>
              <w:rPr>
                <w:color w:val="auto"/>
                <w:sz w:val="18"/>
              </w:rPr>
            </w:pPr>
            <w:r>
              <w:rPr>
                <w:color w:val="auto"/>
                <w:sz w:val="18"/>
              </w:rPr>
              <w:t>砚瓦山组</w:t>
            </w:r>
          </w:p>
        </w:tc>
        <w:tc>
          <w:tcPr>
            <w:tcW w:w="665" w:type="dxa"/>
            <w:vAlign w:val="center"/>
          </w:tcPr>
          <w:p>
            <w:pPr>
              <w:pStyle w:val="107"/>
              <w:jc w:val="center"/>
              <w:rPr>
                <w:color w:val="auto"/>
                <w:sz w:val="18"/>
              </w:rPr>
            </w:pPr>
            <w:r>
              <w:rPr>
                <w:color w:val="auto"/>
                <w:sz w:val="18"/>
              </w:rPr>
              <w:t>O</w:t>
            </w:r>
            <w:r>
              <w:rPr>
                <w:color w:val="auto"/>
                <w:sz w:val="18"/>
                <w:vertAlign w:val="subscript"/>
              </w:rPr>
              <w:t>2</w:t>
            </w:r>
            <w:r>
              <w:rPr>
                <w:color w:val="auto"/>
                <w:sz w:val="18"/>
              </w:rPr>
              <w:t>y</w:t>
            </w:r>
          </w:p>
        </w:tc>
        <w:tc>
          <w:tcPr>
            <w:tcW w:w="679" w:type="dxa"/>
            <w:vAlign w:val="center"/>
          </w:tcPr>
          <w:p>
            <w:pPr>
              <w:pStyle w:val="107"/>
              <w:jc w:val="center"/>
              <w:rPr>
                <w:color w:val="auto"/>
                <w:sz w:val="18"/>
              </w:rPr>
            </w:pPr>
            <w:r>
              <w:rPr>
                <w:color w:val="auto"/>
                <w:sz w:val="18"/>
              </w:rPr>
              <w:t>10</w:t>
            </w:r>
          </w:p>
        </w:tc>
        <w:tc>
          <w:tcPr>
            <w:tcW w:w="3959" w:type="dxa"/>
            <w:vAlign w:val="center"/>
          </w:tcPr>
          <w:p>
            <w:pPr>
              <w:pStyle w:val="107"/>
              <w:jc w:val="center"/>
              <w:rPr>
                <w:color w:val="auto"/>
                <w:sz w:val="18"/>
              </w:rPr>
            </w:pPr>
            <w:r>
              <w:rPr>
                <w:color w:val="auto"/>
                <w:sz w:val="18"/>
              </w:rPr>
              <w:t>灰色薄至中层瘤状泥质灰岩。</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34" w:type="dxa"/>
            <w:vMerge w:val="continue"/>
            <w:tcBorders>
              <w:top w:val="nil"/>
            </w:tcBorders>
            <w:vAlign w:val="center"/>
          </w:tcPr>
          <w:p>
            <w:pPr>
              <w:jc w:val="center"/>
              <w:rPr>
                <w:color w:val="auto"/>
                <w:sz w:val="2"/>
                <w:szCs w:val="2"/>
              </w:rPr>
            </w:pPr>
          </w:p>
        </w:tc>
        <w:tc>
          <w:tcPr>
            <w:tcW w:w="806" w:type="dxa"/>
            <w:vMerge w:val="continue"/>
            <w:tcBorders>
              <w:top w:val="nil"/>
            </w:tcBorders>
            <w:vAlign w:val="center"/>
          </w:tcPr>
          <w:p>
            <w:pPr>
              <w:jc w:val="center"/>
              <w:rPr>
                <w:color w:val="auto"/>
                <w:sz w:val="2"/>
                <w:szCs w:val="2"/>
              </w:rPr>
            </w:pPr>
          </w:p>
        </w:tc>
        <w:tc>
          <w:tcPr>
            <w:tcW w:w="580" w:type="dxa"/>
            <w:vMerge w:val="continue"/>
            <w:tcBorders>
              <w:top w:val="nil"/>
            </w:tcBorders>
            <w:vAlign w:val="center"/>
          </w:tcPr>
          <w:p>
            <w:pPr>
              <w:jc w:val="center"/>
              <w:rPr>
                <w:color w:val="auto"/>
                <w:sz w:val="2"/>
                <w:szCs w:val="2"/>
              </w:rPr>
            </w:pPr>
          </w:p>
        </w:tc>
        <w:tc>
          <w:tcPr>
            <w:tcW w:w="1228" w:type="dxa"/>
            <w:gridSpan w:val="3"/>
            <w:vAlign w:val="center"/>
          </w:tcPr>
          <w:p>
            <w:pPr>
              <w:pStyle w:val="107"/>
              <w:jc w:val="center"/>
              <w:rPr>
                <w:color w:val="auto"/>
                <w:sz w:val="18"/>
              </w:rPr>
            </w:pPr>
            <w:r>
              <w:rPr>
                <w:color w:val="auto"/>
                <w:sz w:val="18"/>
              </w:rPr>
              <w:t>胡乐组</w:t>
            </w:r>
          </w:p>
        </w:tc>
        <w:tc>
          <w:tcPr>
            <w:tcW w:w="665" w:type="dxa"/>
            <w:vAlign w:val="center"/>
          </w:tcPr>
          <w:p>
            <w:pPr>
              <w:pStyle w:val="107"/>
              <w:jc w:val="center"/>
              <w:rPr>
                <w:color w:val="auto"/>
                <w:sz w:val="18"/>
              </w:rPr>
            </w:pPr>
            <w:r>
              <w:rPr>
                <w:color w:val="auto"/>
                <w:sz w:val="18"/>
              </w:rPr>
              <w:t>O</w:t>
            </w:r>
            <w:r>
              <w:rPr>
                <w:color w:val="auto"/>
                <w:sz w:val="18"/>
                <w:vertAlign w:val="subscript"/>
              </w:rPr>
              <w:t>2</w:t>
            </w:r>
            <w:r>
              <w:rPr>
                <w:color w:val="auto"/>
                <w:sz w:val="18"/>
              </w:rPr>
              <w:t>h</w:t>
            </w:r>
          </w:p>
        </w:tc>
        <w:tc>
          <w:tcPr>
            <w:tcW w:w="679" w:type="dxa"/>
            <w:vAlign w:val="center"/>
          </w:tcPr>
          <w:p>
            <w:pPr>
              <w:pStyle w:val="107"/>
              <w:jc w:val="center"/>
              <w:rPr>
                <w:color w:val="auto"/>
                <w:sz w:val="18"/>
              </w:rPr>
            </w:pPr>
            <w:r>
              <w:rPr>
                <w:color w:val="auto"/>
                <w:sz w:val="18"/>
              </w:rPr>
              <w:t>44-45</w:t>
            </w:r>
          </w:p>
        </w:tc>
        <w:tc>
          <w:tcPr>
            <w:tcW w:w="3959" w:type="dxa"/>
            <w:vAlign w:val="center"/>
          </w:tcPr>
          <w:p>
            <w:pPr>
              <w:pStyle w:val="107"/>
              <w:jc w:val="center"/>
              <w:rPr>
                <w:color w:val="auto"/>
                <w:sz w:val="18"/>
              </w:rPr>
            </w:pPr>
            <w:r>
              <w:rPr>
                <w:color w:val="auto"/>
                <w:sz w:val="18"/>
              </w:rPr>
              <w:t>灰黑色硅质页岩、含硅质页岩。</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34" w:type="dxa"/>
            <w:vMerge w:val="continue"/>
            <w:tcBorders>
              <w:top w:val="nil"/>
            </w:tcBorders>
            <w:vAlign w:val="center"/>
          </w:tcPr>
          <w:p>
            <w:pPr>
              <w:jc w:val="center"/>
              <w:rPr>
                <w:color w:val="auto"/>
                <w:sz w:val="2"/>
                <w:szCs w:val="2"/>
              </w:rPr>
            </w:pPr>
          </w:p>
        </w:tc>
        <w:tc>
          <w:tcPr>
            <w:tcW w:w="806" w:type="dxa"/>
            <w:vMerge w:val="continue"/>
            <w:tcBorders>
              <w:top w:val="nil"/>
            </w:tcBorders>
            <w:vAlign w:val="center"/>
          </w:tcPr>
          <w:p>
            <w:pPr>
              <w:jc w:val="center"/>
              <w:rPr>
                <w:color w:val="auto"/>
                <w:sz w:val="2"/>
                <w:szCs w:val="2"/>
              </w:rPr>
            </w:pPr>
          </w:p>
        </w:tc>
        <w:tc>
          <w:tcPr>
            <w:tcW w:w="580" w:type="dxa"/>
            <w:vAlign w:val="center"/>
          </w:tcPr>
          <w:p>
            <w:pPr>
              <w:pStyle w:val="107"/>
              <w:jc w:val="center"/>
              <w:rPr>
                <w:color w:val="auto"/>
                <w:sz w:val="18"/>
              </w:rPr>
            </w:pPr>
            <w:r>
              <w:rPr>
                <w:color w:val="auto"/>
                <w:sz w:val="18"/>
              </w:rPr>
              <w:t>下统</w:t>
            </w:r>
          </w:p>
        </w:tc>
        <w:tc>
          <w:tcPr>
            <w:tcW w:w="862" w:type="dxa"/>
            <w:gridSpan w:val="2"/>
            <w:vAlign w:val="center"/>
          </w:tcPr>
          <w:p>
            <w:pPr>
              <w:pStyle w:val="107"/>
              <w:jc w:val="center"/>
              <w:rPr>
                <w:color w:val="auto"/>
                <w:sz w:val="18"/>
              </w:rPr>
            </w:pPr>
            <w:r>
              <w:rPr>
                <w:color w:val="auto"/>
                <w:sz w:val="18"/>
              </w:rPr>
              <w:t>宁国组</w:t>
            </w:r>
          </w:p>
        </w:tc>
        <w:tc>
          <w:tcPr>
            <w:tcW w:w="366" w:type="dxa"/>
            <w:vAlign w:val="center"/>
          </w:tcPr>
          <w:p>
            <w:pPr>
              <w:pStyle w:val="107"/>
              <w:jc w:val="center"/>
              <w:rPr>
                <w:color w:val="auto"/>
                <w:sz w:val="18"/>
              </w:rPr>
            </w:pPr>
            <w:r>
              <w:rPr>
                <w:color w:val="auto"/>
                <w:sz w:val="18"/>
              </w:rPr>
              <w:t>上段</w:t>
            </w:r>
          </w:p>
        </w:tc>
        <w:tc>
          <w:tcPr>
            <w:tcW w:w="665" w:type="dxa"/>
            <w:vAlign w:val="center"/>
          </w:tcPr>
          <w:p>
            <w:pPr>
              <w:pStyle w:val="107"/>
              <w:jc w:val="center"/>
              <w:rPr>
                <w:color w:val="auto"/>
                <w:sz w:val="18"/>
              </w:rPr>
            </w:pPr>
            <w:r>
              <w:rPr>
                <w:color w:val="auto"/>
                <w:sz w:val="18"/>
              </w:rPr>
              <w:t>O</w:t>
            </w:r>
            <w:r>
              <w:rPr>
                <w:color w:val="auto"/>
                <w:sz w:val="18"/>
                <w:vertAlign w:val="subscript"/>
              </w:rPr>
              <w:t>1</w:t>
            </w:r>
            <w:r>
              <w:rPr>
                <w:color w:val="auto"/>
                <w:sz w:val="18"/>
              </w:rPr>
              <w:t>n</w:t>
            </w:r>
            <w:r>
              <w:rPr>
                <w:color w:val="auto"/>
                <w:sz w:val="18"/>
                <w:vertAlign w:val="superscript"/>
              </w:rPr>
              <w:t>2</w:t>
            </w:r>
          </w:p>
        </w:tc>
        <w:tc>
          <w:tcPr>
            <w:tcW w:w="679" w:type="dxa"/>
            <w:vAlign w:val="center"/>
          </w:tcPr>
          <w:p>
            <w:pPr>
              <w:pStyle w:val="107"/>
              <w:jc w:val="center"/>
              <w:rPr>
                <w:color w:val="auto"/>
                <w:sz w:val="18"/>
              </w:rPr>
            </w:pPr>
            <w:r>
              <w:rPr>
                <w:color w:val="auto"/>
                <w:sz w:val="18"/>
              </w:rPr>
              <w:t>132-136</w:t>
            </w:r>
          </w:p>
        </w:tc>
        <w:tc>
          <w:tcPr>
            <w:tcW w:w="3959" w:type="dxa"/>
            <w:vAlign w:val="center"/>
          </w:tcPr>
          <w:p>
            <w:pPr>
              <w:pStyle w:val="107"/>
              <w:jc w:val="center"/>
              <w:rPr>
                <w:color w:val="auto"/>
                <w:sz w:val="18"/>
              </w:rPr>
            </w:pPr>
            <w:r>
              <w:rPr>
                <w:color w:val="auto"/>
                <w:sz w:val="18"/>
              </w:rPr>
              <w:t>灰绿色页岩灰黑色含炭质页岩与深灰、灰黑色硅质页岩互层。</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34" w:type="dxa"/>
            <w:vMerge w:val="restart"/>
            <w:vAlign w:val="center"/>
          </w:tcPr>
          <w:p>
            <w:pPr>
              <w:pStyle w:val="107"/>
              <w:jc w:val="center"/>
              <w:rPr>
                <w:color w:val="auto"/>
                <w:sz w:val="22"/>
              </w:rPr>
            </w:pPr>
          </w:p>
        </w:tc>
        <w:tc>
          <w:tcPr>
            <w:tcW w:w="806" w:type="dxa"/>
            <w:vMerge w:val="restart"/>
            <w:vAlign w:val="center"/>
          </w:tcPr>
          <w:p>
            <w:pPr>
              <w:pStyle w:val="107"/>
              <w:jc w:val="center"/>
              <w:rPr>
                <w:color w:val="auto"/>
                <w:sz w:val="22"/>
              </w:rPr>
            </w:pPr>
          </w:p>
        </w:tc>
        <w:tc>
          <w:tcPr>
            <w:tcW w:w="580" w:type="dxa"/>
            <w:vMerge w:val="restart"/>
            <w:vAlign w:val="center"/>
          </w:tcPr>
          <w:p>
            <w:pPr>
              <w:pStyle w:val="107"/>
              <w:jc w:val="center"/>
              <w:rPr>
                <w:color w:val="auto"/>
                <w:sz w:val="22"/>
              </w:rPr>
            </w:pPr>
          </w:p>
        </w:tc>
        <w:tc>
          <w:tcPr>
            <w:tcW w:w="862" w:type="dxa"/>
            <w:gridSpan w:val="2"/>
            <w:vAlign w:val="center"/>
          </w:tcPr>
          <w:p>
            <w:pPr>
              <w:pStyle w:val="107"/>
              <w:jc w:val="center"/>
              <w:rPr>
                <w:color w:val="auto"/>
                <w:sz w:val="22"/>
              </w:rPr>
            </w:pPr>
          </w:p>
        </w:tc>
        <w:tc>
          <w:tcPr>
            <w:tcW w:w="366" w:type="dxa"/>
            <w:vAlign w:val="center"/>
          </w:tcPr>
          <w:p>
            <w:pPr>
              <w:pStyle w:val="107"/>
              <w:jc w:val="center"/>
              <w:rPr>
                <w:color w:val="auto"/>
                <w:sz w:val="18"/>
              </w:rPr>
            </w:pPr>
            <w:r>
              <w:rPr>
                <w:color w:val="auto"/>
                <w:sz w:val="18"/>
              </w:rPr>
              <w:t>下段</w:t>
            </w:r>
          </w:p>
        </w:tc>
        <w:tc>
          <w:tcPr>
            <w:tcW w:w="665" w:type="dxa"/>
            <w:vAlign w:val="center"/>
          </w:tcPr>
          <w:p>
            <w:pPr>
              <w:pStyle w:val="107"/>
              <w:jc w:val="center"/>
              <w:rPr>
                <w:color w:val="auto"/>
                <w:sz w:val="18"/>
              </w:rPr>
            </w:pPr>
            <w:r>
              <w:rPr>
                <w:color w:val="auto"/>
                <w:sz w:val="18"/>
              </w:rPr>
              <w:t>O</w:t>
            </w:r>
            <w:r>
              <w:rPr>
                <w:color w:val="auto"/>
                <w:sz w:val="18"/>
                <w:vertAlign w:val="subscript"/>
              </w:rPr>
              <w:t>1</w:t>
            </w:r>
            <w:r>
              <w:rPr>
                <w:color w:val="auto"/>
                <w:sz w:val="18"/>
              </w:rPr>
              <w:t>n</w:t>
            </w:r>
            <w:r>
              <w:rPr>
                <w:color w:val="auto"/>
                <w:sz w:val="18"/>
                <w:vertAlign w:val="superscript"/>
              </w:rPr>
              <w:t>1</w:t>
            </w:r>
          </w:p>
        </w:tc>
        <w:tc>
          <w:tcPr>
            <w:tcW w:w="679" w:type="dxa"/>
            <w:vAlign w:val="center"/>
          </w:tcPr>
          <w:p>
            <w:pPr>
              <w:pStyle w:val="107"/>
              <w:jc w:val="center"/>
              <w:rPr>
                <w:color w:val="auto"/>
                <w:sz w:val="18"/>
              </w:rPr>
            </w:pPr>
            <w:r>
              <w:rPr>
                <w:color w:val="auto"/>
                <w:sz w:val="18"/>
              </w:rPr>
              <w:t>140</w:t>
            </w:r>
          </w:p>
        </w:tc>
        <w:tc>
          <w:tcPr>
            <w:tcW w:w="3959" w:type="dxa"/>
            <w:vAlign w:val="center"/>
          </w:tcPr>
          <w:p>
            <w:pPr>
              <w:pStyle w:val="107"/>
              <w:jc w:val="center"/>
              <w:rPr>
                <w:color w:val="auto"/>
                <w:sz w:val="26"/>
              </w:rPr>
            </w:pPr>
          </w:p>
          <w:p>
            <w:pPr>
              <w:pStyle w:val="107"/>
              <w:jc w:val="center"/>
              <w:rPr>
                <w:color w:val="auto"/>
                <w:sz w:val="18"/>
              </w:rPr>
            </w:pPr>
            <w:r>
              <w:rPr>
                <w:color w:val="auto"/>
                <w:sz w:val="18"/>
              </w:rPr>
              <w:t>绿色泥岩、页岩。</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34" w:type="dxa"/>
            <w:vMerge w:val="continue"/>
            <w:tcBorders>
              <w:top w:val="nil"/>
            </w:tcBorders>
            <w:vAlign w:val="center"/>
          </w:tcPr>
          <w:p>
            <w:pPr>
              <w:jc w:val="center"/>
              <w:rPr>
                <w:color w:val="auto"/>
                <w:sz w:val="2"/>
                <w:szCs w:val="2"/>
              </w:rPr>
            </w:pPr>
          </w:p>
        </w:tc>
        <w:tc>
          <w:tcPr>
            <w:tcW w:w="806" w:type="dxa"/>
            <w:vMerge w:val="continue"/>
            <w:tcBorders>
              <w:top w:val="nil"/>
            </w:tcBorders>
            <w:vAlign w:val="center"/>
          </w:tcPr>
          <w:p>
            <w:pPr>
              <w:jc w:val="center"/>
              <w:rPr>
                <w:color w:val="auto"/>
                <w:sz w:val="2"/>
                <w:szCs w:val="2"/>
              </w:rPr>
            </w:pPr>
          </w:p>
        </w:tc>
        <w:tc>
          <w:tcPr>
            <w:tcW w:w="580" w:type="dxa"/>
            <w:vMerge w:val="continue"/>
            <w:tcBorders>
              <w:top w:val="nil"/>
            </w:tcBorders>
            <w:vAlign w:val="center"/>
          </w:tcPr>
          <w:p>
            <w:pPr>
              <w:jc w:val="center"/>
              <w:rPr>
                <w:color w:val="auto"/>
                <w:sz w:val="2"/>
                <w:szCs w:val="2"/>
              </w:rPr>
            </w:pPr>
          </w:p>
        </w:tc>
        <w:tc>
          <w:tcPr>
            <w:tcW w:w="1228" w:type="dxa"/>
            <w:gridSpan w:val="3"/>
            <w:vAlign w:val="center"/>
          </w:tcPr>
          <w:p>
            <w:pPr>
              <w:pStyle w:val="107"/>
              <w:jc w:val="center"/>
              <w:rPr>
                <w:color w:val="auto"/>
                <w:sz w:val="18"/>
              </w:rPr>
            </w:pPr>
            <w:r>
              <w:rPr>
                <w:color w:val="auto"/>
                <w:sz w:val="18"/>
              </w:rPr>
              <w:t>潭家桥组</w:t>
            </w:r>
          </w:p>
        </w:tc>
        <w:tc>
          <w:tcPr>
            <w:tcW w:w="665" w:type="dxa"/>
            <w:vAlign w:val="center"/>
          </w:tcPr>
          <w:p>
            <w:pPr>
              <w:pStyle w:val="107"/>
              <w:jc w:val="center"/>
              <w:rPr>
                <w:color w:val="auto"/>
                <w:sz w:val="18"/>
              </w:rPr>
            </w:pPr>
            <w:r>
              <w:rPr>
                <w:color w:val="auto"/>
                <w:sz w:val="18"/>
              </w:rPr>
              <w:t>O</w:t>
            </w:r>
            <w:r>
              <w:rPr>
                <w:color w:val="auto"/>
                <w:sz w:val="18"/>
                <w:vertAlign w:val="subscript"/>
              </w:rPr>
              <w:t>1</w:t>
            </w:r>
            <w:r>
              <w:rPr>
                <w:color w:val="auto"/>
                <w:sz w:val="18"/>
              </w:rPr>
              <w:t>t</w:t>
            </w:r>
          </w:p>
        </w:tc>
        <w:tc>
          <w:tcPr>
            <w:tcW w:w="679" w:type="dxa"/>
            <w:vAlign w:val="center"/>
          </w:tcPr>
          <w:p>
            <w:pPr>
              <w:pStyle w:val="107"/>
              <w:jc w:val="center"/>
              <w:rPr>
                <w:color w:val="auto"/>
                <w:sz w:val="18"/>
              </w:rPr>
            </w:pPr>
            <w:r>
              <w:rPr>
                <w:color w:val="auto"/>
                <w:sz w:val="18"/>
              </w:rPr>
              <w:t>292</w:t>
            </w:r>
          </w:p>
        </w:tc>
        <w:tc>
          <w:tcPr>
            <w:tcW w:w="3959" w:type="dxa"/>
            <w:vAlign w:val="center"/>
          </w:tcPr>
          <w:p>
            <w:pPr>
              <w:pStyle w:val="107"/>
              <w:jc w:val="center"/>
              <w:rPr>
                <w:color w:val="auto"/>
                <w:sz w:val="18"/>
              </w:rPr>
            </w:pPr>
            <w:r>
              <w:rPr>
                <w:color w:val="auto"/>
                <w:sz w:val="18"/>
              </w:rPr>
              <w:t>灰绿、黄绿色页岩、粉砂质页岩、泥岩、钙质泥岩夹钙质</w:t>
            </w:r>
          </w:p>
          <w:p>
            <w:pPr>
              <w:pStyle w:val="107"/>
              <w:jc w:val="center"/>
              <w:rPr>
                <w:color w:val="auto"/>
                <w:sz w:val="18"/>
              </w:rPr>
            </w:pPr>
            <w:r>
              <w:rPr>
                <w:color w:val="auto"/>
                <w:sz w:val="18"/>
              </w:rPr>
              <w:t>结核层。</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34" w:type="dxa"/>
            <w:vMerge w:val="continue"/>
            <w:tcBorders>
              <w:top w:val="nil"/>
            </w:tcBorders>
            <w:vAlign w:val="center"/>
          </w:tcPr>
          <w:p>
            <w:pPr>
              <w:jc w:val="center"/>
              <w:rPr>
                <w:color w:val="auto"/>
                <w:sz w:val="2"/>
                <w:szCs w:val="2"/>
              </w:rPr>
            </w:pPr>
          </w:p>
        </w:tc>
        <w:tc>
          <w:tcPr>
            <w:tcW w:w="806" w:type="dxa"/>
            <w:vAlign w:val="center"/>
          </w:tcPr>
          <w:p>
            <w:pPr>
              <w:pStyle w:val="107"/>
              <w:jc w:val="center"/>
              <w:rPr>
                <w:color w:val="auto"/>
                <w:sz w:val="18"/>
              </w:rPr>
            </w:pPr>
            <w:r>
              <w:rPr>
                <w:color w:val="auto"/>
                <w:sz w:val="18"/>
              </w:rPr>
              <w:t>寒武系</w:t>
            </w:r>
          </w:p>
        </w:tc>
        <w:tc>
          <w:tcPr>
            <w:tcW w:w="580" w:type="dxa"/>
            <w:vAlign w:val="center"/>
          </w:tcPr>
          <w:p>
            <w:pPr>
              <w:pStyle w:val="107"/>
              <w:jc w:val="center"/>
              <w:rPr>
                <w:color w:val="auto"/>
                <w:sz w:val="18"/>
              </w:rPr>
            </w:pPr>
            <w:r>
              <w:rPr>
                <w:color w:val="auto"/>
                <w:sz w:val="18"/>
              </w:rPr>
              <w:t>上统</w:t>
            </w:r>
          </w:p>
        </w:tc>
        <w:tc>
          <w:tcPr>
            <w:tcW w:w="1228" w:type="dxa"/>
            <w:gridSpan w:val="3"/>
            <w:vAlign w:val="center"/>
          </w:tcPr>
          <w:p>
            <w:pPr>
              <w:pStyle w:val="107"/>
              <w:jc w:val="center"/>
              <w:rPr>
                <w:color w:val="auto"/>
                <w:sz w:val="18"/>
              </w:rPr>
            </w:pPr>
            <w:r>
              <w:rPr>
                <w:color w:val="auto"/>
                <w:sz w:val="18"/>
              </w:rPr>
              <w:t>西阳山组</w:t>
            </w:r>
          </w:p>
        </w:tc>
        <w:tc>
          <w:tcPr>
            <w:tcW w:w="665" w:type="dxa"/>
            <w:vAlign w:val="center"/>
          </w:tcPr>
          <w:p>
            <w:pPr>
              <w:pStyle w:val="107"/>
              <w:jc w:val="center"/>
              <w:rPr>
                <w:color w:val="auto"/>
                <w:sz w:val="18"/>
              </w:rPr>
            </w:pPr>
            <w:r>
              <w:rPr>
                <w:color w:val="auto"/>
                <w:sz w:val="18"/>
              </w:rPr>
              <w:t>∈</w:t>
            </w:r>
            <w:r>
              <w:rPr>
                <w:color w:val="auto"/>
                <w:sz w:val="18"/>
                <w:vertAlign w:val="subscript"/>
              </w:rPr>
              <w:t>3</w:t>
            </w:r>
            <w:r>
              <w:rPr>
                <w:color w:val="auto"/>
                <w:sz w:val="18"/>
              </w:rPr>
              <w:t>x</w:t>
            </w:r>
          </w:p>
        </w:tc>
        <w:tc>
          <w:tcPr>
            <w:tcW w:w="679" w:type="dxa"/>
            <w:vAlign w:val="center"/>
          </w:tcPr>
          <w:p>
            <w:pPr>
              <w:pStyle w:val="107"/>
              <w:jc w:val="center"/>
              <w:rPr>
                <w:color w:val="auto"/>
                <w:sz w:val="18"/>
              </w:rPr>
            </w:pPr>
            <w:r>
              <w:rPr>
                <w:color w:val="auto"/>
                <w:sz w:val="18"/>
              </w:rPr>
              <w:t>340</w:t>
            </w:r>
          </w:p>
        </w:tc>
        <w:tc>
          <w:tcPr>
            <w:tcW w:w="3959" w:type="dxa"/>
            <w:vAlign w:val="center"/>
          </w:tcPr>
          <w:p>
            <w:pPr>
              <w:pStyle w:val="107"/>
              <w:jc w:val="center"/>
              <w:rPr>
                <w:color w:val="auto"/>
                <w:sz w:val="18"/>
              </w:rPr>
            </w:pPr>
            <w:r>
              <w:rPr>
                <w:color w:val="auto"/>
                <w:sz w:val="18"/>
              </w:rPr>
              <w:t>上部深灰色中厚层泥质灰岩与钙质泥岩互层，下部深灰色厚层条带状灰岩，泥质灰岩夹钙质泥岩。</w:t>
            </w:r>
          </w:p>
        </w:tc>
      </w:tr>
    </w:tbl>
    <w:p>
      <w:pPr>
        <w:spacing w:line="520" w:lineRule="exact"/>
        <w:ind w:firstLine="480" w:firstLineChars="200"/>
        <w:rPr>
          <w:color w:val="auto"/>
          <w:sz w:val="24"/>
        </w:rPr>
      </w:pPr>
      <w:r>
        <w:rPr>
          <w:color w:val="auto"/>
          <w:sz w:val="24"/>
        </w:rPr>
        <w:t>区域构造主要为北东向构造体系，岩浆岩不发育。</w:t>
      </w:r>
    </w:p>
    <w:p>
      <w:pPr>
        <w:spacing w:line="520" w:lineRule="exact"/>
        <w:ind w:firstLine="480" w:firstLineChars="200"/>
        <w:rPr>
          <w:color w:val="auto"/>
          <w:sz w:val="24"/>
        </w:rPr>
      </w:pPr>
      <w:r>
        <w:rPr>
          <w:color w:val="auto"/>
          <w:sz w:val="24"/>
        </w:rPr>
        <w:t>主干断裂主要为庙西—九宫庙断裂，北起溧阳东亭，经庙西，至九宫庙，全长 80 多公里，是由数条断裂组成的断裂带，总体走向 30°，断面多向北西倾斜，倾角 30-45°，割切了侏罗系上统广德组，沿断裂岩面挤压破碎，蚀变著。平行此断裂的次级断裂自东向西主要有大范村断裂、山北断裂、老村断裂、平塘村断裂， 唐家村断裂。</w:t>
      </w:r>
    </w:p>
    <w:p>
      <w:pPr>
        <w:spacing w:line="520" w:lineRule="exact"/>
        <w:ind w:firstLine="480" w:firstLineChars="200"/>
        <w:rPr>
          <w:color w:val="auto"/>
          <w:sz w:val="24"/>
        </w:rPr>
      </w:pPr>
      <w:r>
        <w:rPr>
          <w:color w:val="auto"/>
          <w:sz w:val="24"/>
        </w:rPr>
        <w:t>伴生北西向断裂主要属张性或张扭性断裂，自北向南有江排头断裂，云风寺断裂，五龙山—障吴村断裂，柏垫断裂，洪村断裂等，大都超级大切割北东向断裂，作左行平移，有时又受北东向断裂限制，总体走向 295~320°，与主干断裂近于直交。</w:t>
      </w:r>
    </w:p>
    <w:p>
      <w:pPr>
        <w:spacing w:line="540" w:lineRule="exact"/>
        <w:rPr>
          <w:b/>
          <w:color w:val="auto"/>
          <w:sz w:val="24"/>
        </w:rPr>
      </w:pPr>
      <w:r>
        <w:rPr>
          <w:b/>
          <w:color w:val="auto"/>
          <w:sz w:val="24"/>
        </w:rPr>
        <w:t>（2）区域地下水类型及含水岩组</w:t>
      </w:r>
    </w:p>
    <w:p>
      <w:pPr>
        <w:spacing w:line="520" w:lineRule="exact"/>
        <w:ind w:firstLine="480" w:firstLineChars="200"/>
        <w:rPr>
          <w:color w:val="auto"/>
          <w:sz w:val="24"/>
        </w:rPr>
      </w:pPr>
      <w:r>
        <w:rPr>
          <w:color w:val="auto"/>
          <w:sz w:val="24"/>
        </w:rPr>
        <w:t>①地下水赋存条件及分布规律</w:t>
      </w:r>
    </w:p>
    <w:p>
      <w:pPr>
        <w:spacing w:line="520" w:lineRule="exact"/>
        <w:ind w:firstLine="480" w:firstLineChars="200"/>
        <w:rPr>
          <w:color w:val="auto"/>
          <w:sz w:val="24"/>
        </w:rPr>
      </w:pPr>
      <w:r>
        <w:rPr>
          <w:color w:val="auto"/>
          <w:sz w:val="24"/>
        </w:rPr>
        <w:t>宣城市区域地表水分水岭也是地下水分水岭。由于构造、地层岩性、地貌的综合作用， 形成了东部和西部基岩裸露和中部松散堆积的岩性结构，造就了东部低山丘陵及垄岗、西部丘陵和中部平原的地貌背景。其地下水主要分布于全新统较薄的砂砾层中。</w:t>
      </w:r>
    </w:p>
    <w:p>
      <w:pPr>
        <w:spacing w:line="520" w:lineRule="exact"/>
        <w:ind w:firstLine="480" w:firstLineChars="200"/>
        <w:rPr>
          <w:color w:val="auto"/>
          <w:sz w:val="24"/>
        </w:rPr>
      </w:pPr>
      <w:r>
        <w:rPr>
          <w:color w:val="auto"/>
          <w:sz w:val="24"/>
        </w:rPr>
        <w:t>地下水在接受大气降水的渗入补给后，沿基岩裂隙向分水岭两侧径流，成为河谷中松散堆积层孔隙水的主要补给源。其在水平方向上的分布具有很强的规律性：东部和西部基岩山区分布着构造裂隙水和风化裂隙水，主要见之于泥盆系五通组，唐家坞群石英砂岩中，分布极不均匀，在构造裂隙发育与微地貌控制有利部位有泉水出露。东北部山区及其山前地带碳酸盐岩区，地表岩溶景观发育，在石碳系中统至二叠系下统和二叠系上统至三叠系中统灰岩， 白云质灰岩中分布着岩溶水，在构造有利部位常出现较大泉水。分布不均匀，分布面积小，动态变化大。中部河谷地区，分布着松散岩类孔隙水，孔隙潜水主要分布于全新统冲积砂、砾层中，孔隙承压水多见于上更新统砾石层中，且分布广泛。从总体上看，其分布位置都相对较低，一般在海拔 10~15m 以下。</w:t>
      </w:r>
    </w:p>
    <w:p>
      <w:pPr>
        <w:spacing w:line="520" w:lineRule="exact"/>
        <w:ind w:firstLine="480" w:firstLineChars="200"/>
        <w:rPr>
          <w:color w:val="auto"/>
          <w:sz w:val="24"/>
        </w:rPr>
      </w:pPr>
      <w:r>
        <w:rPr>
          <w:color w:val="auto"/>
          <w:sz w:val="24"/>
        </w:rPr>
        <w:t>本区广大地区主要是浅部循环水，区内无温泉和典型上升泉出露，基本上多为下降泉， 其水量、水质、水温等动态变化，受气候、水文因素影响显著，证明地下水除局部覆盖型岩溶区及深大断裂带有深循环水外，多呈浅部循环水。</w:t>
      </w:r>
    </w:p>
    <w:p>
      <w:pPr>
        <w:spacing w:line="520" w:lineRule="exact"/>
        <w:ind w:firstLine="480" w:firstLineChars="200"/>
        <w:rPr>
          <w:color w:val="auto"/>
          <w:sz w:val="24"/>
        </w:rPr>
      </w:pPr>
      <w:r>
        <w:rPr>
          <w:color w:val="auto"/>
          <w:sz w:val="24"/>
        </w:rPr>
        <w:t>②地下水类型与含水岩组划分</w:t>
      </w:r>
    </w:p>
    <w:p>
      <w:pPr>
        <w:spacing w:line="520" w:lineRule="exact"/>
        <w:ind w:firstLine="480" w:firstLineChars="200"/>
        <w:rPr>
          <w:color w:val="auto"/>
          <w:sz w:val="24"/>
        </w:rPr>
      </w:pPr>
      <w:r>
        <w:rPr>
          <w:color w:val="auto"/>
          <w:sz w:val="24"/>
        </w:rPr>
        <w:t>区域内地下水的赋存与分布，受岩性、构造及地貌条件所控制，根据含水介质特征，区域地下水可分为松散岩类孔隙水、碳酸盐岩类裂隙溶洞水、基岩裂隙水。</w:t>
      </w:r>
    </w:p>
    <w:p>
      <w:pPr>
        <w:spacing w:line="520" w:lineRule="exact"/>
        <w:ind w:firstLine="480" w:firstLineChars="200"/>
        <w:rPr>
          <w:color w:val="auto"/>
          <w:sz w:val="24"/>
        </w:rPr>
      </w:pPr>
      <w:r>
        <w:rPr>
          <w:color w:val="auto"/>
          <w:sz w:val="24"/>
        </w:rPr>
        <w:t>③松散岩类孔隙潜水</w:t>
      </w:r>
    </w:p>
    <w:p>
      <w:pPr>
        <w:spacing w:line="520" w:lineRule="exact"/>
        <w:ind w:firstLine="480" w:firstLineChars="200"/>
        <w:rPr>
          <w:color w:val="auto"/>
          <w:sz w:val="24"/>
        </w:rPr>
      </w:pPr>
      <w:r>
        <w:rPr>
          <w:color w:val="auto"/>
          <w:sz w:val="24"/>
        </w:rPr>
        <w:t>A、水量中等的</w:t>
      </w:r>
    </w:p>
    <w:p>
      <w:pPr>
        <w:spacing w:line="520" w:lineRule="exact"/>
        <w:ind w:firstLine="480" w:firstLineChars="200"/>
        <w:rPr>
          <w:color w:val="auto"/>
          <w:sz w:val="24"/>
        </w:rPr>
      </w:pPr>
      <w:r>
        <w:rPr>
          <w:color w:val="auto"/>
          <w:sz w:val="24"/>
        </w:rPr>
        <w:t>主要分布于水阳江中河谷平原区，全新统冲积物厚度 10-20m。底板由红层组成。堆积物下部砂砾石层厚 5~10m。砾石成份以石英砂岩为主，含少量燧石。砾径 2~5cm，大者 13cm， 磨圆度及分选性良好。充填物为粗中砂。砂砾层上覆亚粘土或淤泥质亚粘土层，厚 5~15m。沿河两侧出露有狭窄的滨河床砂滩，由灰黄和灰白色粉细砂组成。冲积物总体上二元结构清楚，粗细两层堆积物分布稳定，在河谷横向及纵向上的厚度变化均较小。地下水主要赋存在下部粗粒相的砂砾石层中，内有微承压的性质。水位埋藏深度较浅，一般 2~5m，水位标高8~10m。年变幅 2m 左右。砂砾石含水层埋藏深度 5~15m，厚度 7m 左右，单井涌水量一般在 300~800m</w:t>
      </w:r>
      <w:r>
        <w:rPr>
          <w:color w:val="auto"/>
          <w:sz w:val="24"/>
          <w:vertAlign w:val="superscript"/>
        </w:rPr>
        <w:t>3</w:t>
      </w:r>
      <w:r>
        <w:rPr>
          <w:color w:val="auto"/>
          <w:sz w:val="24"/>
        </w:rPr>
        <w:t>/d，平均渗透系数 19.75m/d，属中等富水的孔隙潜水。</w:t>
      </w:r>
    </w:p>
    <w:p>
      <w:pPr>
        <w:spacing w:line="520" w:lineRule="exact"/>
        <w:ind w:firstLine="480" w:firstLineChars="200"/>
        <w:rPr>
          <w:color w:val="auto"/>
          <w:sz w:val="24"/>
        </w:rPr>
      </w:pPr>
      <w:r>
        <w:rPr>
          <w:color w:val="auto"/>
          <w:sz w:val="24"/>
        </w:rPr>
        <w:t>B、水量贫乏的</w:t>
      </w:r>
    </w:p>
    <w:p>
      <w:pPr>
        <w:spacing w:line="520" w:lineRule="exact"/>
        <w:ind w:firstLine="480" w:firstLineChars="200"/>
        <w:rPr>
          <w:color w:val="auto"/>
          <w:sz w:val="24"/>
        </w:rPr>
      </w:pPr>
      <w:r>
        <w:rPr>
          <w:color w:val="auto"/>
          <w:sz w:val="24"/>
        </w:rPr>
        <w:t>分布于水阳江的支流。含水层主要由全新世的冲积物组成，常见厚度为 5~10m，一般也具有二元结构：下部为 1-5m 的粘土砾石、碎石层，上覆 3-10m 灰黄色亚粘土层。但由于下部的粗粒相堆积物厚度小，分布不稳定，砾石磨圆度差且含泥量明显增高，因而水量贫乏。单井涌水量一般 10~30m3/d，水位埋深 0~3m。水位年变幅大，地下水的水质类型多为 HCO</w:t>
      </w:r>
      <w:r>
        <w:rPr>
          <w:color w:val="auto"/>
          <w:sz w:val="24"/>
          <w:vertAlign w:val="subscript"/>
        </w:rPr>
        <w:t>3</w:t>
      </w:r>
      <w:r>
        <w:rPr>
          <w:color w:val="auto"/>
          <w:sz w:val="24"/>
        </w:rPr>
        <w:t>-Ca型、HCO</w:t>
      </w:r>
      <w:r>
        <w:rPr>
          <w:color w:val="auto"/>
          <w:sz w:val="24"/>
          <w:vertAlign w:val="subscript"/>
        </w:rPr>
        <w:t>3</w:t>
      </w:r>
      <w:r>
        <w:rPr>
          <w:color w:val="auto"/>
          <w:sz w:val="24"/>
        </w:rPr>
        <w:t>-Ca·Na 型，矿化度 0.2~1g/L，pH 值 6~7，硬度 5~15 德度。</w:t>
      </w:r>
    </w:p>
    <w:p>
      <w:pPr>
        <w:spacing w:line="520" w:lineRule="exact"/>
        <w:ind w:firstLine="480" w:firstLineChars="200"/>
        <w:rPr>
          <w:color w:val="auto"/>
          <w:sz w:val="24"/>
        </w:rPr>
      </w:pPr>
      <w:r>
        <w:rPr>
          <w:color w:val="auto"/>
          <w:sz w:val="24"/>
        </w:rPr>
        <w:t>C、水量极贫乏的</w:t>
      </w:r>
    </w:p>
    <w:p>
      <w:pPr>
        <w:spacing w:line="520" w:lineRule="exact"/>
        <w:ind w:firstLine="480" w:firstLineChars="200"/>
        <w:rPr>
          <w:color w:val="auto"/>
          <w:sz w:val="24"/>
        </w:rPr>
      </w:pPr>
      <w:r>
        <w:rPr>
          <w:color w:val="auto"/>
          <w:sz w:val="24"/>
        </w:rPr>
        <w:t>在垄岗或低丘陵地形上广泛发育着小型的冲沟、坳沟，这些沟谷切割浅，松散堆积物厚度薄，二元结构不明显，或不具备二元结构，潜水主要赋存于全新世暂时性流水或小溪流堆积的亚粘土孔隙中，潜水位埋深常为 2~3m，最大埋深 6m，含水层厚 5~10m，单井涌水量一般小于 10 m</w:t>
      </w:r>
      <w:r>
        <w:rPr>
          <w:color w:val="auto"/>
          <w:sz w:val="24"/>
          <w:vertAlign w:val="superscript"/>
        </w:rPr>
        <w:t>3</w:t>
      </w:r>
      <w:r>
        <w:rPr>
          <w:color w:val="auto"/>
          <w:sz w:val="24"/>
        </w:rPr>
        <w:t>/d，属水量极贫乏的孔隙潜水含水岩组。地下水的水质类型为 HCO</w:t>
      </w:r>
      <w:r>
        <w:rPr>
          <w:color w:val="auto"/>
          <w:sz w:val="24"/>
          <w:vertAlign w:val="subscript"/>
        </w:rPr>
        <w:t>3</w:t>
      </w:r>
      <w:r>
        <w:rPr>
          <w:color w:val="auto"/>
          <w:sz w:val="24"/>
        </w:rPr>
        <w:t>·Cl -Ca·Na 型，矿化度 0.5g/l，pH 值 7~7.5。</w:t>
      </w:r>
    </w:p>
    <w:p>
      <w:pPr>
        <w:spacing w:line="520" w:lineRule="exact"/>
        <w:ind w:firstLine="480" w:firstLineChars="200"/>
        <w:rPr>
          <w:color w:val="auto"/>
          <w:sz w:val="24"/>
        </w:rPr>
      </w:pPr>
      <w:r>
        <w:rPr>
          <w:color w:val="auto"/>
          <w:sz w:val="24"/>
        </w:rPr>
        <w:t>④碳酸盐岩裂隙溶洞水</w:t>
      </w:r>
    </w:p>
    <w:p>
      <w:pPr>
        <w:spacing w:line="520" w:lineRule="exact"/>
        <w:ind w:firstLine="480" w:firstLineChars="200"/>
        <w:rPr>
          <w:color w:val="auto"/>
          <w:sz w:val="24"/>
        </w:rPr>
      </w:pPr>
      <w:r>
        <w:rPr>
          <w:color w:val="auto"/>
          <w:sz w:val="24"/>
        </w:rPr>
        <w:t>主要为裸露型。由石炭系中统黄龙组—二叠系下统栖霞组和上统长兴组—三叠系中统扁担山组及寒武系上统西阳山组，中统砚瓦山组等组成。</w:t>
      </w:r>
    </w:p>
    <w:p>
      <w:pPr>
        <w:spacing w:line="520" w:lineRule="exact"/>
        <w:ind w:firstLine="480" w:firstLineChars="200"/>
        <w:rPr>
          <w:color w:val="auto"/>
          <w:sz w:val="24"/>
        </w:rPr>
      </w:pPr>
      <w:r>
        <w:rPr>
          <w:color w:val="auto"/>
          <w:sz w:val="24"/>
        </w:rPr>
        <w:t>主要分布在张渚向斜、煤山向斜、牛头山向斜，水东向斜，由石炭系中统黄龙组—二叠系下统栖霞组，三叠系下统殷坑组、中统扁担山组中厚层灰岩，白云质灰岩、泥质灰岩等组成。岩溶主要发育于厚层、中厚层灰岩之中。地下水的赋存仍受构造裂隙，岩溶发育程度的控制，因而富水性极不均一，水量相差悬殊，地表岩溶形态常见石芽、溶沟、溶槽、溶斗、落水洞、竖井等，其中溶洞尤为发育。因本区地形形态较多，并有碳酸盐岩夹层，不利于地下水的汇集和赋存，因而富水程度相对次之，仅在构造有利部位和岩溶发育较好的地方，有较丰富的岩溶地下水。</w:t>
      </w:r>
    </w:p>
    <w:p>
      <w:pPr>
        <w:spacing w:line="520" w:lineRule="exact"/>
        <w:ind w:firstLine="480" w:firstLineChars="200"/>
        <w:rPr>
          <w:color w:val="auto"/>
          <w:sz w:val="24"/>
        </w:rPr>
      </w:pPr>
      <w:r>
        <w:rPr>
          <w:color w:val="auto"/>
          <w:sz w:val="24"/>
        </w:rPr>
        <w:t>泉和暗河受季节性影响，具有动态变化大，集中排泄的特点，泉流量一般在 1~2L/s，最大达 4~6L/s，暗河最大枯季流量为 120.46L/s，矿化度 0.2~0.6g/L，水质类型为HCO</w:t>
      </w:r>
      <w:r>
        <w:rPr>
          <w:color w:val="auto"/>
          <w:sz w:val="24"/>
          <w:vertAlign w:val="subscript"/>
        </w:rPr>
        <w:t>3</w:t>
      </w:r>
      <w:r>
        <w:rPr>
          <w:color w:val="auto"/>
          <w:sz w:val="24"/>
        </w:rPr>
        <w:t>-Ca 和HCO3-Ca·Mg 型水。</w:t>
      </w:r>
    </w:p>
    <w:p>
      <w:pPr>
        <w:spacing w:line="520" w:lineRule="exact"/>
        <w:ind w:firstLine="480" w:firstLineChars="200"/>
        <w:rPr>
          <w:color w:val="auto"/>
          <w:sz w:val="24"/>
        </w:rPr>
      </w:pPr>
      <w:r>
        <w:rPr>
          <w:color w:val="auto"/>
          <w:sz w:val="24"/>
        </w:rPr>
        <w:t>⑤基岩裂隙水</w:t>
      </w:r>
    </w:p>
    <w:p>
      <w:pPr>
        <w:spacing w:line="520" w:lineRule="exact"/>
        <w:ind w:firstLine="480" w:firstLineChars="200"/>
        <w:rPr>
          <w:color w:val="auto"/>
          <w:sz w:val="24"/>
        </w:rPr>
      </w:pPr>
      <w:r>
        <w:rPr>
          <w:color w:val="auto"/>
          <w:sz w:val="24"/>
        </w:rPr>
        <w:t>根据地层岩性和地下水赋存特征，将本区前白垩系碎屑岩类地下水划分为层状岩类裂隙水。由泥盆系五通组、志留系唐家坞群中厚—厚层状石英砂岩、石英岩屑砂岩组成。广泛分布于南、北山区。岩石硬脆，成层性好。因受印支期、燕山期多次构造运动影响，构造裂隙发育，裂面张开度好，充填物少，地表植被发育，有利于大气降水入渗补给和地下水运移富集，因而泉水出露较多。泉流量一般在0.1~3.0l/s，季节性变化较大。在断裂构造和地貌配置有利部位，常形成地下水富集地段，并以北西西向张性或张扭性断裂控水为主，泉水大部分出露在断裂的交汇部位。</w:t>
      </w:r>
    </w:p>
    <w:p>
      <w:pPr>
        <w:spacing w:line="520" w:lineRule="exact"/>
        <w:ind w:firstLine="480" w:firstLineChars="200"/>
        <w:rPr>
          <w:color w:val="auto"/>
          <w:sz w:val="24"/>
        </w:rPr>
      </w:pPr>
      <w:r>
        <w:rPr>
          <w:color w:val="auto"/>
          <w:sz w:val="24"/>
        </w:rPr>
        <w:t>频繁的断裂活动，在岩性硬脆地段也能形成岩洞。钻孔涌水量为 100~600 m</w:t>
      </w:r>
      <w:r>
        <w:rPr>
          <w:color w:val="auto"/>
          <w:sz w:val="24"/>
          <w:vertAlign w:val="superscript"/>
        </w:rPr>
        <w:t>3</w:t>
      </w:r>
      <w:r>
        <w:rPr>
          <w:color w:val="auto"/>
          <w:sz w:val="24"/>
        </w:rPr>
        <w:t>/d。静止水位埋深一般在 2~3m，部分地段具承压性。水质类型为 HCO</w:t>
      </w:r>
      <w:r>
        <w:rPr>
          <w:color w:val="auto"/>
          <w:sz w:val="24"/>
          <w:vertAlign w:val="subscript"/>
        </w:rPr>
        <w:t>3</w:t>
      </w:r>
      <w:r>
        <w:rPr>
          <w:color w:val="auto"/>
          <w:sz w:val="24"/>
        </w:rPr>
        <w:t>-Ca 型和HCO</w:t>
      </w:r>
      <w:r>
        <w:rPr>
          <w:color w:val="auto"/>
          <w:sz w:val="24"/>
          <w:vertAlign w:val="subscript"/>
        </w:rPr>
        <w:t>3</w:t>
      </w:r>
      <w:r>
        <w:rPr>
          <w:color w:val="auto"/>
          <w:sz w:val="24"/>
        </w:rPr>
        <w:t>-Ca·Mg 型水为主，矿化度 0.19~0.34g/L，总硬度 3.4-8.9 德度。</w:t>
      </w:r>
    </w:p>
    <w:p>
      <w:pPr>
        <w:spacing w:line="540" w:lineRule="exact"/>
        <w:rPr>
          <w:b/>
          <w:color w:val="auto"/>
          <w:sz w:val="24"/>
        </w:rPr>
      </w:pPr>
      <w:r>
        <w:rPr>
          <w:b/>
          <w:color w:val="auto"/>
          <w:sz w:val="24"/>
        </w:rPr>
        <w:t>（3）</w:t>
      </w:r>
      <w:r>
        <w:rPr>
          <w:b/>
          <w:bCs/>
          <w:color w:val="auto"/>
          <w:sz w:val="24"/>
        </w:rPr>
        <w:t>环境影响分析</w:t>
      </w:r>
    </w:p>
    <w:p>
      <w:pPr>
        <w:spacing w:line="520" w:lineRule="exact"/>
        <w:ind w:firstLine="480" w:firstLineChars="200"/>
        <w:rPr>
          <w:color w:val="auto"/>
          <w:sz w:val="24"/>
        </w:rPr>
      </w:pPr>
      <w:r>
        <w:rPr>
          <w:color w:val="auto"/>
          <w:sz w:val="24"/>
        </w:rPr>
        <w:t>厂内将按照“分区防渗”的要求，规范落实不同区域的地面防渗要求，采取相应的防泄漏、防溢流、防腐蚀等措施。</w:t>
      </w:r>
    </w:p>
    <w:p>
      <w:pPr>
        <w:spacing w:line="520" w:lineRule="exact"/>
        <w:ind w:firstLine="480" w:firstLineChars="200"/>
        <w:rPr>
          <w:color w:val="auto"/>
          <w:sz w:val="24"/>
        </w:rPr>
      </w:pPr>
      <w:r>
        <w:rPr>
          <w:color w:val="auto"/>
          <w:sz w:val="24"/>
        </w:rPr>
        <w:t>本项目厂区内地下水污染防治措施坚持“、源头控制、末端防治、污染监控、应急响应相结合度措施。为防止废水对地下水造成污染，厂区采取防火、防扬散、防流失、防渗漏、防雨淋或者其它防止污染环境的措施，危废暂存间等做好防渗漏措施；厂区内的生活用水、消防用水及生产用水均来源于开发区自来水管网，由市政给水管网直接供给，不取用地下水。项目产生的污水经预处理后排入开发区污水管网，均按照要求处理达标后外排。根据以上分析可知，本建设项目对地下水的环境影响是可以接受的。</w:t>
      </w:r>
    </w:p>
    <w:bookmarkEnd w:id="271"/>
    <w:bookmarkEnd w:id="272"/>
    <w:p>
      <w:pPr>
        <w:pStyle w:val="5"/>
        <w:spacing w:before="0" w:after="0" w:line="520" w:lineRule="exact"/>
        <w:rPr>
          <w:color w:val="auto"/>
          <w:sz w:val="24"/>
          <w:szCs w:val="24"/>
        </w:rPr>
      </w:pPr>
      <w:bookmarkStart w:id="275" w:name="_Toc367091881"/>
      <w:bookmarkStart w:id="276" w:name="_Toc366874122"/>
      <w:r>
        <w:rPr>
          <w:rFonts w:hint="eastAsia"/>
          <w:color w:val="auto"/>
          <w:sz w:val="24"/>
          <w:szCs w:val="24"/>
        </w:rPr>
        <w:t>6.2</w:t>
      </w:r>
      <w:r>
        <w:rPr>
          <w:color w:val="auto"/>
          <w:sz w:val="24"/>
          <w:szCs w:val="24"/>
        </w:rPr>
        <w:t>.4声环境影响分析</w:t>
      </w:r>
      <w:bookmarkEnd w:id="275"/>
      <w:bookmarkEnd w:id="276"/>
    </w:p>
    <w:p>
      <w:pPr>
        <w:pStyle w:val="5"/>
        <w:spacing w:before="0" w:after="0" w:line="520" w:lineRule="exact"/>
        <w:rPr>
          <w:color w:val="auto"/>
          <w:sz w:val="24"/>
          <w:szCs w:val="24"/>
        </w:rPr>
      </w:pPr>
      <w:r>
        <w:rPr>
          <w:color w:val="auto"/>
          <w:sz w:val="24"/>
          <w:szCs w:val="24"/>
        </w:rPr>
        <w:t>（1）噪声源强及治理措施</w:t>
      </w:r>
    </w:p>
    <w:p>
      <w:pPr>
        <w:spacing w:line="520" w:lineRule="exact"/>
        <w:ind w:firstLine="480" w:firstLineChars="200"/>
        <w:rPr>
          <w:b/>
          <w:bCs/>
          <w:color w:val="auto"/>
          <w:sz w:val="24"/>
        </w:rPr>
      </w:pPr>
      <w:r>
        <w:rPr>
          <w:color w:val="auto"/>
          <w:sz w:val="24"/>
        </w:rPr>
        <w:t>本项目噪声主要来源于生产过程设备等运转过程中产生的噪声等，噪声控制的途径有降低声源噪声、控制传播途径、保护接受者。建设单位拟采取以下噪声防治措施：</w:t>
      </w:r>
    </w:p>
    <w:p>
      <w:pPr>
        <w:pStyle w:val="134"/>
        <w:snapToGrid w:val="0"/>
        <w:spacing w:line="520" w:lineRule="exact"/>
        <w:ind w:firstLine="0"/>
        <w:jc w:val="center"/>
        <w:rPr>
          <w:rFonts w:ascii="Times New Roman"/>
          <w:b/>
          <w:bCs/>
          <w:color w:val="auto"/>
          <w:kern w:val="2"/>
          <w:sz w:val="24"/>
          <w:szCs w:val="24"/>
        </w:rPr>
      </w:pPr>
      <w:r>
        <w:rPr>
          <w:rFonts w:hint="eastAsia" w:ascii="Times New Roman"/>
          <w:b/>
          <w:bCs/>
          <w:color w:val="auto"/>
          <w:kern w:val="2"/>
          <w:sz w:val="24"/>
          <w:szCs w:val="24"/>
        </w:rPr>
        <w:t>表6</w:t>
      </w:r>
      <w:r>
        <w:rPr>
          <w:rFonts w:ascii="Times New Roman"/>
          <w:b/>
          <w:bCs/>
          <w:color w:val="auto"/>
          <w:kern w:val="2"/>
          <w:sz w:val="24"/>
          <w:szCs w:val="24"/>
        </w:rPr>
        <w:t>-</w:t>
      </w:r>
      <w:r>
        <w:rPr>
          <w:rFonts w:hint="eastAsia" w:ascii="Times New Roman"/>
          <w:b/>
          <w:bCs/>
          <w:color w:val="auto"/>
          <w:kern w:val="2"/>
          <w:sz w:val="24"/>
          <w:szCs w:val="24"/>
        </w:rPr>
        <w:t>1</w:t>
      </w:r>
      <w:r>
        <w:rPr>
          <w:rFonts w:hint="eastAsia" w:ascii="Times New Roman"/>
          <w:b/>
          <w:bCs/>
          <w:color w:val="auto"/>
          <w:kern w:val="2"/>
          <w:sz w:val="24"/>
          <w:szCs w:val="24"/>
          <w:lang w:val="en-US" w:eastAsia="zh-CN"/>
        </w:rPr>
        <w:t>7</w:t>
      </w:r>
      <w:r>
        <w:rPr>
          <w:rFonts w:ascii="Times New Roman"/>
          <w:b/>
          <w:bCs/>
          <w:color w:val="auto"/>
          <w:kern w:val="2"/>
          <w:sz w:val="24"/>
          <w:szCs w:val="24"/>
        </w:rPr>
        <w:t xml:space="preserve">   噪声源强防治措施</w:t>
      </w:r>
    </w:p>
    <w:tbl>
      <w:tblPr>
        <w:tblStyle w:val="53"/>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37"/>
        <w:gridCol w:w="1200"/>
        <w:gridCol w:w="975"/>
        <w:gridCol w:w="810"/>
        <w:gridCol w:w="630"/>
        <w:gridCol w:w="1380"/>
        <w:gridCol w:w="2230"/>
        <w:gridCol w:w="118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 w:hRule="atLeast"/>
          <w:jc w:val="center"/>
        </w:trPr>
        <w:tc>
          <w:tcPr>
            <w:tcW w:w="300" w:type="pct"/>
            <w:vAlign w:val="center"/>
          </w:tcPr>
          <w:p>
            <w:pPr>
              <w:spacing w:line="320" w:lineRule="exact"/>
              <w:jc w:val="center"/>
              <w:rPr>
                <w:rFonts w:ascii="Times New Roman" w:hAnsi="Times New Roman" w:eastAsia="宋体" w:cs="Times New Roman"/>
                <w:b/>
                <w:bCs/>
                <w:color w:val="auto"/>
                <w:kern w:val="2"/>
                <w:sz w:val="21"/>
                <w:szCs w:val="21"/>
                <w:lang w:val="en-US" w:eastAsia="zh-CN" w:bidi="ar-SA"/>
              </w:rPr>
            </w:pPr>
            <w:r>
              <w:rPr>
                <w:rFonts w:ascii="Times New Roman" w:hAnsi="Times New Roman" w:eastAsia="宋体" w:cs="Times New Roman"/>
                <w:b/>
                <w:bCs/>
                <w:color w:val="auto"/>
                <w:kern w:val="2"/>
                <w:sz w:val="21"/>
                <w:szCs w:val="21"/>
                <w:lang w:val="en-US" w:eastAsia="zh-CN" w:bidi="ar-SA"/>
              </w:rPr>
              <w:t>序号</w:t>
            </w:r>
          </w:p>
        </w:tc>
        <w:tc>
          <w:tcPr>
            <w:tcW w:w="670" w:type="pct"/>
            <w:vAlign w:val="center"/>
          </w:tcPr>
          <w:p>
            <w:pPr>
              <w:spacing w:line="320" w:lineRule="exact"/>
              <w:jc w:val="center"/>
              <w:rPr>
                <w:rFonts w:ascii="Times New Roman" w:hAnsi="Times New Roman" w:eastAsia="宋体" w:cs="Times New Roman"/>
                <w:b/>
                <w:bCs/>
                <w:color w:val="auto"/>
                <w:kern w:val="2"/>
                <w:sz w:val="21"/>
                <w:szCs w:val="21"/>
                <w:lang w:val="en-US" w:eastAsia="zh-CN" w:bidi="ar-SA"/>
              </w:rPr>
            </w:pPr>
            <w:r>
              <w:rPr>
                <w:rFonts w:ascii="Times New Roman" w:hAnsi="Times New Roman" w:eastAsia="宋体" w:cs="Times New Roman"/>
                <w:b/>
                <w:bCs/>
                <w:color w:val="auto"/>
                <w:kern w:val="2"/>
                <w:sz w:val="21"/>
                <w:szCs w:val="21"/>
                <w:lang w:val="en-US" w:eastAsia="zh-CN" w:bidi="ar-SA"/>
              </w:rPr>
              <w:t>设  备 名 称</w:t>
            </w:r>
          </w:p>
        </w:tc>
        <w:tc>
          <w:tcPr>
            <w:tcW w:w="544" w:type="pct"/>
            <w:vAlign w:val="center"/>
          </w:tcPr>
          <w:p>
            <w:pPr>
              <w:spacing w:line="320" w:lineRule="exact"/>
              <w:jc w:val="center"/>
              <w:rPr>
                <w:rFonts w:ascii="Times New Roman" w:hAnsi="Times New Roman" w:eastAsia="宋体" w:cs="Times New Roman"/>
                <w:b/>
                <w:bCs/>
                <w:color w:val="auto"/>
                <w:kern w:val="2"/>
                <w:sz w:val="21"/>
                <w:szCs w:val="21"/>
                <w:lang w:val="en-US" w:eastAsia="zh-CN" w:bidi="ar-SA"/>
              </w:rPr>
            </w:pPr>
            <w:r>
              <w:rPr>
                <w:rFonts w:ascii="Times New Roman" w:hAnsi="Times New Roman" w:eastAsia="宋体" w:cs="Times New Roman"/>
                <w:b/>
                <w:bCs/>
                <w:color w:val="auto"/>
                <w:kern w:val="2"/>
                <w:sz w:val="21"/>
                <w:szCs w:val="21"/>
                <w:lang w:val="en-US" w:eastAsia="zh-CN" w:bidi="ar-SA"/>
              </w:rPr>
              <w:t>规 格/型 号</w:t>
            </w:r>
          </w:p>
        </w:tc>
        <w:tc>
          <w:tcPr>
            <w:tcW w:w="452" w:type="pct"/>
            <w:vAlign w:val="center"/>
          </w:tcPr>
          <w:p>
            <w:pPr>
              <w:spacing w:line="320" w:lineRule="exact"/>
              <w:jc w:val="center"/>
              <w:rPr>
                <w:rFonts w:ascii="Times New Roman" w:hAnsi="Times New Roman" w:eastAsia="宋体" w:cs="Times New Roman"/>
                <w:b/>
                <w:bCs/>
                <w:color w:val="auto"/>
                <w:kern w:val="2"/>
                <w:sz w:val="21"/>
                <w:szCs w:val="21"/>
                <w:lang w:val="en-US" w:eastAsia="zh-CN" w:bidi="ar-SA"/>
              </w:rPr>
            </w:pPr>
            <w:r>
              <w:rPr>
                <w:rFonts w:ascii="Times New Roman" w:hAnsi="Times New Roman" w:eastAsia="宋体" w:cs="Times New Roman"/>
                <w:b/>
                <w:bCs/>
                <w:color w:val="auto"/>
                <w:kern w:val="2"/>
                <w:sz w:val="21"/>
                <w:szCs w:val="21"/>
                <w:lang w:val="en-US" w:eastAsia="zh-CN" w:bidi="ar-SA"/>
              </w:rPr>
              <w:t>数量</w:t>
            </w:r>
          </w:p>
        </w:tc>
        <w:tc>
          <w:tcPr>
            <w:tcW w:w="352" w:type="pct"/>
            <w:vAlign w:val="center"/>
          </w:tcPr>
          <w:p>
            <w:pPr>
              <w:spacing w:line="320" w:lineRule="exact"/>
              <w:jc w:val="center"/>
              <w:rPr>
                <w:rFonts w:ascii="Times New Roman" w:hAnsi="Times New Roman" w:eastAsia="宋体" w:cs="Times New Roman"/>
                <w:b/>
                <w:bCs/>
                <w:color w:val="auto"/>
                <w:kern w:val="2"/>
                <w:sz w:val="21"/>
                <w:szCs w:val="21"/>
                <w:lang w:val="en-US" w:eastAsia="zh-CN" w:bidi="ar-SA"/>
              </w:rPr>
            </w:pPr>
            <w:r>
              <w:rPr>
                <w:rFonts w:ascii="Times New Roman" w:hAnsi="Times New Roman" w:eastAsia="宋体" w:cs="Times New Roman"/>
                <w:b/>
                <w:bCs/>
                <w:color w:val="auto"/>
                <w:kern w:val="2"/>
                <w:sz w:val="21"/>
                <w:szCs w:val="21"/>
                <w:lang w:val="en-US" w:eastAsia="zh-CN" w:bidi="ar-SA"/>
              </w:rPr>
              <w:t>单位</w:t>
            </w:r>
          </w:p>
        </w:tc>
        <w:tc>
          <w:tcPr>
            <w:tcW w:w="771" w:type="pct"/>
            <w:vAlign w:val="center"/>
          </w:tcPr>
          <w:p>
            <w:pPr>
              <w:spacing w:line="320" w:lineRule="exact"/>
              <w:jc w:val="center"/>
              <w:rPr>
                <w:rFonts w:ascii="Times New Roman" w:hAnsi="Times New Roman" w:eastAsia="宋体" w:cs="Times New Roman"/>
                <w:b/>
                <w:bCs/>
                <w:color w:val="auto"/>
                <w:kern w:val="2"/>
                <w:sz w:val="21"/>
                <w:szCs w:val="21"/>
                <w:lang w:val="en-US" w:eastAsia="zh-CN" w:bidi="ar-SA"/>
              </w:rPr>
            </w:pPr>
            <w:r>
              <w:rPr>
                <w:rFonts w:ascii="Times New Roman" w:hAnsi="Times New Roman" w:eastAsia="宋体" w:cs="Times New Roman"/>
                <w:b/>
                <w:bCs/>
                <w:color w:val="auto"/>
                <w:kern w:val="2"/>
                <w:sz w:val="21"/>
                <w:szCs w:val="21"/>
                <w:lang w:val="en-US" w:eastAsia="zh-CN" w:bidi="ar-SA"/>
              </w:rPr>
              <w:t>噪声声压级（dB(A)）</w:t>
            </w:r>
          </w:p>
        </w:tc>
        <w:tc>
          <w:tcPr>
            <w:tcW w:w="1246" w:type="pct"/>
            <w:vAlign w:val="center"/>
          </w:tcPr>
          <w:p>
            <w:pPr>
              <w:spacing w:line="320" w:lineRule="exact"/>
              <w:jc w:val="center"/>
              <w:rPr>
                <w:rFonts w:ascii="Times New Roman" w:hAnsi="Times New Roman" w:eastAsia="宋体" w:cs="Times New Roman"/>
                <w:b/>
                <w:bCs/>
                <w:color w:val="auto"/>
                <w:kern w:val="2"/>
                <w:sz w:val="21"/>
                <w:szCs w:val="21"/>
                <w:lang w:val="en-US" w:eastAsia="zh-CN" w:bidi="ar-SA"/>
              </w:rPr>
            </w:pPr>
            <w:r>
              <w:rPr>
                <w:rFonts w:ascii="Times New Roman" w:hAnsi="Times New Roman" w:eastAsia="宋体" w:cs="Times New Roman"/>
                <w:b/>
                <w:bCs/>
                <w:color w:val="auto"/>
                <w:kern w:val="2"/>
                <w:sz w:val="21"/>
                <w:szCs w:val="21"/>
                <w:lang w:val="en-US" w:eastAsia="zh-CN" w:bidi="ar-SA"/>
              </w:rPr>
              <w:t>噪声防治措施</w:t>
            </w:r>
          </w:p>
        </w:tc>
        <w:tc>
          <w:tcPr>
            <w:tcW w:w="662" w:type="pct"/>
            <w:vAlign w:val="center"/>
          </w:tcPr>
          <w:p>
            <w:pPr>
              <w:spacing w:line="320" w:lineRule="exact"/>
              <w:jc w:val="center"/>
              <w:rPr>
                <w:rFonts w:ascii="Times New Roman" w:hAnsi="Times New Roman" w:eastAsia="宋体" w:cs="Times New Roman"/>
                <w:b/>
                <w:bCs/>
                <w:color w:val="auto"/>
                <w:kern w:val="2"/>
                <w:sz w:val="21"/>
                <w:szCs w:val="21"/>
                <w:lang w:val="en-US" w:eastAsia="zh-CN" w:bidi="ar-SA"/>
              </w:rPr>
            </w:pPr>
            <w:r>
              <w:rPr>
                <w:rFonts w:ascii="Times New Roman" w:hAnsi="Times New Roman" w:eastAsia="宋体" w:cs="Times New Roman"/>
                <w:b/>
                <w:bCs/>
                <w:color w:val="auto"/>
                <w:kern w:val="2"/>
                <w:sz w:val="21"/>
                <w:szCs w:val="21"/>
                <w:lang w:val="en-US" w:eastAsia="zh-CN" w:bidi="ar-SA"/>
              </w:rPr>
              <w:t>降噪效果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 w:hRule="atLeast"/>
          <w:jc w:val="center"/>
        </w:trPr>
        <w:tc>
          <w:tcPr>
            <w:tcW w:w="300" w:type="pct"/>
            <w:vAlign w:val="center"/>
          </w:tcPr>
          <w:p>
            <w:pPr>
              <w:spacing w:line="320" w:lineRule="exact"/>
              <w:jc w:val="center"/>
              <w:rPr>
                <w:rFonts w:ascii="Times New Roman" w:hAnsi="Times New Roman" w:eastAsia="宋体" w:cs="Times New Roman"/>
                <w:color w:val="auto"/>
                <w:kern w:val="2"/>
                <w:sz w:val="21"/>
                <w:szCs w:val="21"/>
                <w:lang w:val="en-US" w:eastAsia="zh-CN" w:bidi="ar-SA"/>
              </w:rPr>
            </w:pPr>
            <w:r>
              <w:rPr>
                <w:rFonts w:ascii="Times New Roman" w:hAnsi="Times New Roman" w:eastAsia="宋体" w:cs="Times New Roman"/>
                <w:color w:val="auto"/>
                <w:kern w:val="2"/>
                <w:sz w:val="21"/>
                <w:szCs w:val="21"/>
                <w:lang w:val="en-US" w:eastAsia="zh-CN" w:bidi="ar-SA"/>
              </w:rPr>
              <w:t>1</w:t>
            </w:r>
          </w:p>
        </w:tc>
        <w:tc>
          <w:tcPr>
            <w:tcW w:w="670" w:type="pct"/>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自动脱脂机</w:t>
            </w:r>
          </w:p>
        </w:tc>
        <w:tc>
          <w:tcPr>
            <w:tcW w:w="544" w:type="pct"/>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65#</w:t>
            </w:r>
          </w:p>
        </w:tc>
        <w:tc>
          <w:tcPr>
            <w:tcW w:w="452" w:type="pct"/>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w:t>
            </w:r>
          </w:p>
        </w:tc>
        <w:tc>
          <w:tcPr>
            <w:tcW w:w="352" w:type="pct"/>
            <w:vAlign w:val="center"/>
          </w:tcPr>
          <w:p>
            <w:pPr>
              <w:spacing w:line="320" w:lineRule="exact"/>
              <w:jc w:val="center"/>
              <w:rPr>
                <w:rFonts w:ascii="Times New Roman" w:hAnsi="Times New Roman" w:eastAsia="宋体" w:cs="Times New Roman"/>
                <w:color w:val="auto"/>
                <w:kern w:val="2"/>
                <w:sz w:val="21"/>
                <w:szCs w:val="21"/>
                <w:lang w:val="en-US" w:eastAsia="zh-CN" w:bidi="ar-SA"/>
              </w:rPr>
            </w:pPr>
            <w:r>
              <w:rPr>
                <w:rFonts w:ascii="Times New Roman" w:hAnsi="Times New Roman" w:eastAsia="宋体" w:cs="Times New Roman"/>
                <w:color w:val="auto"/>
                <w:kern w:val="2"/>
                <w:sz w:val="21"/>
                <w:szCs w:val="21"/>
                <w:lang w:val="en-US" w:eastAsia="zh-CN" w:bidi="ar-SA"/>
              </w:rPr>
              <w:t>台</w:t>
            </w:r>
          </w:p>
        </w:tc>
        <w:tc>
          <w:tcPr>
            <w:tcW w:w="771" w:type="pct"/>
            <w:vAlign w:val="center"/>
          </w:tcPr>
          <w:p>
            <w:pPr>
              <w:spacing w:line="320" w:lineRule="exact"/>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65</w:t>
            </w:r>
          </w:p>
        </w:tc>
        <w:tc>
          <w:tcPr>
            <w:tcW w:w="1246" w:type="pct"/>
            <w:vAlign w:val="center"/>
          </w:tcPr>
          <w:p>
            <w:pPr>
              <w:jc w:val="center"/>
              <w:rPr>
                <w:rFonts w:hint="eastAsia" w:ascii="Times New Roman" w:hAnsi="Times New Roman" w:eastAsia="宋体" w:cs="Times New Roman"/>
                <w:color w:val="auto"/>
                <w:kern w:val="2"/>
                <w:sz w:val="21"/>
                <w:szCs w:val="21"/>
                <w:lang w:val="en-US" w:eastAsia="zh-CN" w:bidi="ar-SA"/>
              </w:rPr>
            </w:pPr>
            <w:r>
              <w:rPr>
                <w:color w:val="auto"/>
                <w:szCs w:val="21"/>
              </w:rPr>
              <w:t>选用低噪声设备、合理布局、墙体隔声、设置减震垫</w:t>
            </w:r>
          </w:p>
        </w:tc>
        <w:tc>
          <w:tcPr>
            <w:tcW w:w="662" w:type="pct"/>
            <w:vAlign w:val="center"/>
          </w:tcPr>
          <w:p>
            <w:pPr>
              <w:jc w:val="center"/>
              <w:rPr>
                <w:rFonts w:hint="default" w:ascii="Times New Roman" w:hAnsi="Times New Roman" w:eastAsia="宋体" w:cs="Times New Roman"/>
                <w:color w:val="auto"/>
                <w:kern w:val="2"/>
                <w:sz w:val="21"/>
                <w:szCs w:val="21"/>
                <w:lang w:val="en-US" w:eastAsia="zh-CN" w:bidi="ar-SA"/>
              </w:rPr>
            </w:pPr>
            <w:r>
              <w:rPr>
                <w:rFonts w:hint="eastAsia"/>
                <w:color w:val="auto"/>
                <w:szCs w:val="21"/>
                <w:lang w:val="en-US" w:eastAsia="zh-CN"/>
              </w:rPr>
              <w:t>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 w:hRule="atLeast"/>
          <w:jc w:val="center"/>
        </w:trPr>
        <w:tc>
          <w:tcPr>
            <w:tcW w:w="300" w:type="pct"/>
            <w:vAlign w:val="center"/>
          </w:tcPr>
          <w:p>
            <w:pPr>
              <w:spacing w:line="320" w:lineRule="exact"/>
              <w:jc w:val="center"/>
              <w:rPr>
                <w:rFonts w:ascii="Times New Roman" w:hAnsi="Times New Roman" w:eastAsia="宋体" w:cs="Times New Roman"/>
                <w:color w:val="auto"/>
                <w:kern w:val="2"/>
                <w:sz w:val="21"/>
                <w:szCs w:val="21"/>
                <w:lang w:val="en-US" w:eastAsia="zh-CN" w:bidi="ar-SA"/>
              </w:rPr>
            </w:pPr>
            <w:r>
              <w:rPr>
                <w:rFonts w:ascii="Times New Roman" w:hAnsi="Times New Roman" w:eastAsia="宋体" w:cs="Times New Roman"/>
                <w:color w:val="auto"/>
                <w:kern w:val="2"/>
                <w:sz w:val="21"/>
                <w:szCs w:val="21"/>
                <w:lang w:val="en-US" w:eastAsia="zh-CN" w:bidi="ar-SA"/>
              </w:rPr>
              <w:t>2</w:t>
            </w:r>
          </w:p>
        </w:tc>
        <w:tc>
          <w:tcPr>
            <w:tcW w:w="670" w:type="pct"/>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搅拌机</w:t>
            </w:r>
          </w:p>
        </w:tc>
        <w:tc>
          <w:tcPr>
            <w:tcW w:w="544" w:type="pct"/>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100L</w:t>
            </w:r>
          </w:p>
        </w:tc>
        <w:tc>
          <w:tcPr>
            <w:tcW w:w="452" w:type="pct"/>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20</w:t>
            </w:r>
          </w:p>
        </w:tc>
        <w:tc>
          <w:tcPr>
            <w:tcW w:w="352" w:type="pct"/>
            <w:vAlign w:val="center"/>
          </w:tcPr>
          <w:p>
            <w:pPr>
              <w:spacing w:line="320" w:lineRule="exact"/>
              <w:jc w:val="center"/>
              <w:rPr>
                <w:rFonts w:ascii="Times New Roman" w:hAnsi="Times New Roman" w:eastAsia="宋体" w:cs="Times New Roman"/>
                <w:color w:val="auto"/>
                <w:kern w:val="2"/>
                <w:sz w:val="21"/>
                <w:szCs w:val="21"/>
                <w:lang w:val="en-US" w:eastAsia="zh-CN" w:bidi="ar-SA"/>
              </w:rPr>
            </w:pPr>
            <w:r>
              <w:rPr>
                <w:rFonts w:ascii="Times New Roman" w:hAnsi="Times New Roman" w:eastAsia="宋体" w:cs="Times New Roman"/>
                <w:color w:val="auto"/>
                <w:kern w:val="2"/>
                <w:sz w:val="21"/>
                <w:szCs w:val="21"/>
                <w:lang w:val="en-US" w:eastAsia="zh-CN" w:bidi="ar-SA"/>
              </w:rPr>
              <w:t>台</w:t>
            </w:r>
          </w:p>
        </w:tc>
        <w:tc>
          <w:tcPr>
            <w:tcW w:w="771" w:type="pct"/>
            <w:vAlign w:val="center"/>
          </w:tcPr>
          <w:p>
            <w:pPr>
              <w:spacing w:line="320" w:lineRule="exact"/>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70</w:t>
            </w:r>
          </w:p>
        </w:tc>
        <w:tc>
          <w:tcPr>
            <w:tcW w:w="1246" w:type="pct"/>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color w:val="auto"/>
                <w:szCs w:val="21"/>
              </w:rPr>
              <w:t>选用低噪声设备、合理布局、墙体隔声、设置减震垫</w:t>
            </w:r>
          </w:p>
        </w:tc>
        <w:tc>
          <w:tcPr>
            <w:tcW w:w="662" w:type="pct"/>
            <w:vAlign w:val="center"/>
          </w:tcPr>
          <w:p>
            <w:pPr>
              <w:spacing w:line="320" w:lineRule="exact"/>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 w:hRule="atLeast"/>
          <w:jc w:val="center"/>
        </w:trPr>
        <w:tc>
          <w:tcPr>
            <w:tcW w:w="300" w:type="pct"/>
            <w:vAlign w:val="center"/>
          </w:tcPr>
          <w:p>
            <w:pPr>
              <w:spacing w:line="320" w:lineRule="exact"/>
              <w:jc w:val="center"/>
              <w:rPr>
                <w:rFonts w:ascii="Times New Roman" w:hAnsi="Times New Roman" w:eastAsia="宋体" w:cs="Times New Roman"/>
                <w:color w:val="auto"/>
                <w:kern w:val="2"/>
                <w:sz w:val="21"/>
                <w:szCs w:val="21"/>
                <w:lang w:val="en-US" w:eastAsia="zh-CN" w:bidi="ar-SA"/>
              </w:rPr>
            </w:pPr>
            <w:r>
              <w:rPr>
                <w:rFonts w:ascii="Times New Roman" w:hAnsi="Times New Roman" w:eastAsia="宋体" w:cs="Times New Roman"/>
                <w:color w:val="auto"/>
                <w:kern w:val="2"/>
                <w:sz w:val="21"/>
                <w:szCs w:val="21"/>
                <w:lang w:val="en-US" w:eastAsia="zh-CN" w:bidi="ar-SA"/>
              </w:rPr>
              <w:t>3</w:t>
            </w:r>
          </w:p>
        </w:tc>
        <w:tc>
          <w:tcPr>
            <w:tcW w:w="670" w:type="pct"/>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开炼机</w:t>
            </w:r>
          </w:p>
        </w:tc>
        <w:tc>
          <w:tcPr>
            <w:tcW w:w="544" w:type="pct"/>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12#</w:t>
            </w:r>
          </w:p>
        </w:tc>
        <w:tc>
          <w:tcPr>
            <w:tcW w:w="452" w:type="pct"/>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w:t>
            </w:r>
          </w:p>
        </w:tc>
        <w:tc>
          <w:tcPr>
            <w:tcW w:w="352" w:type="pct"/>
            <w:vAlign w:val="center"/>
          </w:tcPr>
          <w:p>
            <w:pPr>
              <w:spacing w:line="320" w:lineRule="exact"/>
              <w:jc w:val="center"/>
              <w:rPr>
                <w:rFonts w:ascii="Times New Roman" w:hAnsi="Times New Roman" w:eastAsia="宋体" w:cs="Times New Roman"/>
                <w:color w:val="auto"/>
                <w:kern w:val="2"/>
                <w:sz w:val="21"/>
                <w:szCs w:val="21"/>
                <w:lang w:val="en-US" w:eastAsia="zh-CN" w:bidi="ar-SA"/>
              </w:rPr>
            </w:pPr>
            <w:r>
              <w:rPr>
                <w:rFonts w:ascii="Times New Roman" w:hAnsi="Times New Roman" w:eastAsia="宋体" w:cs="Times New Roman"/>
                <w:color w:val="auto"/>
                <w:kern w:val="2"/>
                <w:sz w:val="21"/>
                <w:szCs w:val="21"/>
                <w:lang w:val="en-US" w:eastAsia="zh-CN" w:bidi="ar-SA"/>
              </w:rPr>
              <w:t>台</w:t>
            </w:r>
          </w:p>
        </w:tc>
        <w:tc>
          <w:tcPr>
            <w:tcW w:w="771" w:type="pct"/>
            <w:vAlign w:val="center"/>
          </w:tcPr>
          <w:p>
            <w:pPr>
              <w:spacing w:line="320" w:lineRule="exact"/>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75</w:t>
            </w:r>
          </w:p>
        </w:tc>
        <w:tc>
          <w:tcPr>
            <w:tcW w:w="1246" w:type="pct"/>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color w:val="auto"/>
                <w:szCs w:val="21"/>
              </w:rPr>
              <w:t>选用低噪声设备、合理布局、墙体隔声、设置减震垫</w:t>
            </w:r>
          </w:p>
        </w:tc>
        <w:tc>
          <w:tcPr>
            <w:tcW w:w="662" w:type="pct"/>
            <w:vAlign w:val="center"/>
          </w:tcPr>
          <w:p>
            <w:pPr>
              <w:spacing w:line="320" w:lineRule="exact"/>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 w:hRule="atLeast"/>
          <w:jc w:val="center"/>
        </w:trPr>
        <w:tc>
          <w:tcPr>
            <w:tcW w:w="300" w:type="pct"/>
            <w:vAlign w:val="center"/>
          </w:tcPr>
          <w:p>
            <w:pPr>
              <w:spacing w:line="320" w:lineRule="exact"/>
              <w:jc w:val="center"/>
              <w:rPr>
                <w:rFonts w:ascii="Times New Roman" w:hAnsi="Times New Roman" w:eastAsia="宋体" w:cs="Times New Roman"/>
                <w:color w:val="auto"/>
                <w:kern w:val="2"/>
                <w:sz w:val="21"/>
                <w:szCs w:val="21"/>
                <w:lang w:val="en-US" w:eastAsia="zh-CN" w:bidi="ar-SA"/>
              </w:rPr>
            </w:pPr>
            <w:r>
              <w:rPr>
                <w:rFonts w:ascii="Times New Roman" w:hAnsi="Times New Roman" w:eastAsia="宋体" w:cs="Times New Roman"/>
                <w:color w:val="auto"/>
                <w:kern w:val="2"/>
                <w:sz w:val="21"/>
                <w:szCs w:val="21"/>
                <w:lang w:val="en-US" w:eastAsia="zh-CN" w:bidi="ar-SA"/>
              </w:rPr>
              <w:t>4</w:t>
            </w:r>
          </w:p>
        </w:tc>
        <w:tc>
          <w:tcPr>
            <w:tcW w:w="670" w:type="pct"/>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辊涂机</w:t>
            </w:r>
          </w:p>
        </w:tc>
        <w:tc>
          <w:tcPr>
            <w:tcW w:w="544" w:type="pct"/>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600#</w:t>
            </w:r>
          </w:p>
        </w:tc>
        <w:tc>
          <w:tcPr>
            <w:tcW w:w="452" w:type="pct"/>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5</w:t>
            </w:r>
          </w:p>
        </w:tc>
        <w:tc>
          <w:tcPr>
            <w:tcW w:w="352" w:type="pct"/>
            <w:vAlign w:val="center"/>
          </w:tcPr>
          <w:p>
            <w:pPr>
              <w:spacing w:line="320" w:lineRule="exact"/>
              <w:jc w:val="center"/>
              <w:rPr>
                <w:rFonts w:ascii="Times New Roman" w:hAnsi="Times New Roman" w:eastAsia="宋体" w:cs="Times New Roman"/>
                <w:color w:val="auto"/>
                <w:kern w:val="2"/>
                <w:sz w:val="21"/>
                <w:szCs w:val="21"/>
                <w:lang w:val="en-US" w:eastAsia="zh-CN" w:bidi="ar-SA"/>
              </w:rPr>
            </w:pPr>
            <w:r>
              <w:rPr>
                <w:rFonts w:ascii="Times New Roman" w:hAnsi="Times New Roman" w:eastAsia="宋体" w:cs="Times New Roman"/>
                <w:color w:val="auto"/>
                <w:kern w:val="2"/>
                <w:sz w:val="21"/>
                <w:szCs w:val="21"/>
                <w:lang w:val="en-US" w:eastAsia="zh-CN" w:bidi="ar-SA"/>
              </w:rPr>
              <w:t>台</w:t>
            </w:r>
          </w:p>
        </w:tc>
        <w:tc>
          <w:tcPr>
            <w:tcW w:w="771" w:type="pct"/>
            <w:vAlign w:val="center"/>
          </w:tcPr>
          <w:p>
            <w:pPr>
              <w:spacing w:line="320" w:lineRule="exact"/>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75</w:t>
            </w:r>
          </w:p>
        </w:tc>
        <w:tc>
          <w:tcPr>
            <w:tcW w:w="1246" w:type="pct"/>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color w:val="auto"/>
                <w:szCs w:val="21"/>
              </w:rPr>
              <w:t>选用低噪声设备、合理布局、墙体隔声、设置减震垫</w:t>
            </w:r>
          </w:p>
        </w:tc>
        <w:tc>
          <w:tcPr>
            <w:tcW w:w="662" w:type="pct"/>
            <w:vAlign w:val="center"/>
          </w:tcPr>
          <w:p>
            <w:pPr>
              <w:spacing w:line="320" w:lineRule="exact"/>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 w:hRule="atLeast"/>
          <w:jc w:val="center"/>
        </w:trPr>
        <w:tc>
          <w:tcPr>
            <w:tcW w:w="300" w:type="pct"/>
            <w:vAlign w:val="center"/>
          </w:tcPr>
          <w:p>
            <w:pPr>
              <w:spacing w:line="320" w:lineRule="exact"/>
              <w:jc w:val="center"/>
              <w:rPr>
                <w:rFonts w:ascii="Times New Roman" w:hAnsi="Times New Roman" w:eastAsia="宋体" w:cs="Times New Roman"/>
                <w:color w:val="auto"/>
                <w:kern w:val="2"/>
                <w:sz w:val="21"/>
                <w:szCs w:val="21"/>
                <w:lang w:val="en-US" w:eastAsia="zh-CN" w:bidi="ar-SA"/>
              </w:rPr>
            </w:pPr>
            <w:r>
              <w:rPr>
                <w:rFonts w:ascii="Times New Roman" w:hAnsi="Times New Roman" w:eastAsia="宋体" w:cs="Times New Roman"/>
                <w:color w:val="auto"/>
                <w:kern w:val="2"/>
                <w:sz w:val="21"/>
                <w:szCs w:val="21"/>
                <w:lang w:val="en-US" w:eastAsia="zh-CN" w:bidi="ar-SA"/>
              </w:rPr>
              <w:t>5</w:t>
            </w:r>
          </w:p>
        </w:tc>
        <w:tc>
          <w:tcPr>
            <w:tcW w:w="670" w:type="pct"/>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辊涂机</w:t>
            </w:r>
          </w:p>
        </w:tc>
        <w:tc>
          <w:tcPr>
            <w:tcW w:w="544" w:type="pct"/>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700#</w:t>
            </w:r>
          </w:p>
        </w:tc>
        <w:tc>
          <w:tcPr>
            <w:tcW w:w="452" w:type="pct"/>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3</w:t>
            </w:r>
          </w:p>
        </w:tc>
        <w:tc>
          <w:tcPr>
            <w:tcW w:w="352" w:type="pct"/>
            <w:vAlign w:val="center"/>
          </w:tcPr>
          <w:p>
            <w:pPr>
              <w:spacing w:line="320" w:lineRule="exact"/>
              <w:jc w:val="center"/>
              <w:rPr>
                <w:rFonts w:ascii="Times New Roman" w:hAnsi="Times New Roman" w:eastAsia="宋体" w:cs="Times New Roman"/>
                <w:color w:val="auto"/>
                <w:kern w:val="2"/>
                <w:sz w:val="21"/>
                <w:szCs w:val="21"/>
                <w:lang w:val="en-US" w:eastAsia="zh-CN" w:bidi="ar-SA"/>
              </w:rPr>
            </w:pPr>
            <w:r>
              <w:rPr>
                <w:rFonts w:ascii="Times New Roman" w:hAnsi="Times New Roman" w:eastAsia="宋体" w:cs="Times New Roman"/>
                <w:color w:val="auto"/>
                <w:kern w:val="2"/>
                <w:sz w:val="21"/>
                <w:szCs w:val="21"/>
                <w:lang w:val="en-US" w:eastAsia="zh-CN" w:bidi="ar-SA"/>
              </w:rPr>
              <w:t>台</w:t>
            </w:r>
          </w:p>
        </w:tc>
        <w:tc>
          <w:tcPr>
            <w:tcW w:w="771" w:type="pct"/>
            <w:vAlign w:val="center"/>
          </w:tcPr>
          <w:p>
            <w:pPr>
              <w:spacing w:line="320" w:lineRule="exact"/>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75</w:t>
            </w:r>
          </w:p>
        </w:tc>
        <w:tc>
          <w:tcPr>
            <w:tcW w:w="1246" w:type="pct"/>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color w:val="auto"/>
                <w:szCs w:val="21"/>
              </w:rPr>
              <w:t>选用低噪声设备、合理布局、墙体隔声、设置减震垫</w:t>
            </w:r>
          </w:p>
        </w:tc>
        <w:tc>
          <w:tcPr>
            <w:tcW w:w="662" w:type="pct"/>
            <w:vAlign w:val="center"/>
          </w:tcPr>
          <w:p>
            <w:pPr>
              <w:spacing w:line="320" w:lineRule="exact"/>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 w:hRule="atLeast"/>
          <w:jc w:val="center"/>
        </w:trPr>
        <w:tc>
          <w:tcPr>
            <w:tcW w:w="300" w:type="pct"/>
            <w:vAlign w:val="center"/>
          </w:tcPr>
          <w:p>
            <w:pPr>
              <w:spacing w:line="320" w:lineRule="exact"/>
              <w:jc w:val="center"/>
              <w:rPr>
                <w:rFonts w:ascii="Times New Roman" w:hAnsi="Times New Roman" w:eastAsia="宋体" w:cs="Times New Roman"/>
                <w:color w:val="auto"/>
                <w:kern w:val="2"/>
                <w:sz w:val="21"/>
                <w:szCs w:val="21"/>
                <w:lang w:val="en-US" w:eastAsia="zh-CN" w:bidi="ar-SA"/>
              </w:rPr>
            </w:pPr>
            <w:r>
              <w:rPr>
                <w:rFonts w:ascii="Times New Roman" w:hAnsi="Times New Roman" w:eastAsia="宋体" w:cs="Times New Roman"/>
                <w:color w:val="auto"/>
                <w:kern w:val="2"/>
                <w:sz w:val="21"/>
                <w:szCs w:val="21"/>
                <w:lang w:val="en-US" w:eastAsia="zh-CN" w:bidi="ar-SA"/>
              </w:rPr>
              <w:t>6</w:t>
            </w:r>
          </w:p>
        </w:tc>
        <w:tc>
          <w:tcPr>
            <w:tcW w:w="670" w:type="pct"/>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切条机</w:t>
            </w:r>
          </w:p>
        </w:tc>
        <w:tc>
          <w:tcPr>
            <w:tcW w:w="544" w:type="pct"/>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550/350</w:t>
            </w:r>
          </w:p>
        </w:tc>
        <w:tc>
          <w:tcPr>
            <w:tcW w:w="452" w:type="pct"/>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2</w:t>
            </w:r>
          </w:p>
        </w:tc>
        <w:tc>
          <w:tcPr>
            <w:tcW w:w="352" w:type="pct"/>
            <w:vAlign w:val="center"/>
          </w:tcPr>
          <w:p>
            <w:pPr>
              <w:spacing w:line="320" w:lineRule="exact"/>
              <w:jc w:val="center"/>
              <w:rPr>
                <w:rFonts w:ascii="Times New Roman" w:hAnsi="Times New Roman" w:eastAsia="宋体" w:cs="Times New Roman"/>
                <w:color w:val="auto"/>
                <w:kern w:val="2"/>
                <w:sz w:val="21"/>
                <w:szCs w:val="21"/>
                <w:lang w:val="en-US" w:eastAsia="zh-CN" w:bidi="ar-SA"/>
              </w:rPr>
            </w:pPr>
            <w:r>
              <w:rPr>
                <w:rFonts w:ascii="Times New Roman" w:hAnsi="Times New Roman" w:eastAsia="宋体" w:cs="Times New Roman"/>
                <w:color w:val="auto"/>
                <w:kern w:val="2"/>
                <w:sz w:val="21"/>
                <w:szCs w:val="21"/>
                <w:lang w:val="en-US" w:eastAsia="zh-CN" w:bidi="ar-SA"/>
              </w:rPr>
              <w:t>台</w:t>
            </w:r>
          </w:p>
        </w:tc>
        <w:tc>
          <w:tcPr>
            <w:tcW w:w="771" w:type="pct"/>
            <w:vAlign w:val="center"/>
          </w:tcPr>
          <w:p>
            <w:pPr>
              <w:spacing w:line="320" w:lineRule="exact"/>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75</w:t>
            </w:r>
          </w:p>
        </w:tc>
        <w:tc>
          <w:tcPr>
            <w:tcW w:w="1246" w:type="pct"/>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color w:val="auto"/>
                <w:szCs w:val="21"/>
              </w:rPr>
              <w:t>选用低噪声设备、合理布局、墙体隔声、设置减震垫</w:t>
            </w:r>
          </w:p>
        </w:tc>
        <w:tc>
          <w:tcPr>
            <w:tcW w:w="662" w:type="pct"/>
            <w:vAlign w:val="center"/>
          </w:tcPr>
          <w:p>
            <w:pPr>
              <w:spacing w:line="320" w:lineRule="exact"/>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 w:hRule="atLeast"/>
          <w:jc w:val="center"/>
        </w:trPr>
        <w:tc>
          <w:tcPr>
            <w:tcW w:w="300" w:type="pct"/>
            <w:vAlign w:val="center"/>
          </w:tcPr>
          <w:p>
            <w:pPr>
              <w:spacing w:line="320" w:lineRule="exact"/>
              <w:jc w:val="center"/>
              <w:rPr>
                <w:rFonts w:ascii="Times New Roman" w:hAnsi="Times New Roman" w:eastAsia="宋体" w:cs="Times New Roman"/>
                <w:color w:val="auto"/>
                <w:kern w:val="2"/>
                <w:sz w:val="21"/>
                <w:szCs w:val="21"/>
                <w:lang w:val="en-US" w:eastAsia="zh-CN" w:bidi="ar-SA"/>
              </w:rPr>
            </w:pPr>
            <w:r>
              <w:rPr>
                <w:rFonts w:ascii="Times New Roman" w:hAnsi="Times New Roman" w:eastAsia="宋体" w:cs="Times New Roman"/>
                <w:color w:val="auto"/>
                <w:kern w:val="2"/>
                <w:sz w:val="21"/>
                <w:szCs w:val="21"/>
                <w:lang w:val="en-US" w:eastAsia="zh-CN" w:bidi="ar-SA"/>
              </w:rPr>
              <w:t>7</w:t>
            </w:r>
          </w:p>
        </w:tc>
        <w:tc>
          <w:tcPr>
            <w:tcW w:w="670" w:type="pct"/>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叉车</w:t>
            </w:r>
          </w:p>
        </w:tc>
        <w:tc>
          <w:tcPr>
            <w:tcW w:w="544" w:type="pct"/>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TCM3T</w:t>
            </w:r>
          </w:p>
        </w:tc>
        <w:tc>
          <w:tcPr>
            <w:tcW w:w="452" w:type="pct"/>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w:t>
            </w:r>
          </w:p>
        </w:tc>
        <w:tc>
          <w:tcPr>
            <w:tcW w:w="352" w:type="pct"/>
            <w:vAlign w:val="center"/>
          </w:tcPr>
          <w:p>
            <w:pPr>
              <w:spacing w:line="320" w:lineRule="exact"/>
              <w:jc w:val="center"/>
              <w:rPr>
                <w:rFonts w:ascii="Times New Roman" w:hAnsi="Times New Roman" w:eastAsia="宋体" w:cs="Times New Roman"/>
                <w:color w:val="auto"/>
                <w:kern w:val="2"/>
                <w:sz w:val="21"/>
                <w:szCs w:val="21"/>
                <w:lang w:val="en-US" w:eastAsia="zh-CN" w:bidi="ar-SA"/>
              </w:rPr>
            </w:pPr>
            <w:r>
              <w:rPr>
                <w:rFonts w:ascii="Times New Roman" w:hAnsi="Times New Roman" w:eastAsia="宋体" w:cs="Times New Roman"/>
                <w:color w:val="auto"/>
                <w:kern w:val="2"/>
                <w:sz w:val="21"/>
                <w:szCs w:val="21"/>
                <w:lang w:val="en-US" w:eastAsia="zh-CN" w:bidi="ar-SA"/>
              </w:rPr>
              <w:t>台</w:t>
            </w:r>
          </w:p>
        </w:tc>
        <w:tc>
          <w:tcPr>
            <w:tcW w:w="771" w:type="pct"/>
            <w:vAlign w:val="center"/>
          </w:tcPr>
          <w:p>
            <w:pPr>
              <w:spacing w:line="320" w:lineRule="exact"/>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75</w:t>
            </w:r>
          </w:p>
        </w:tc>
        <w:tc>
          <w:tcPr>
            <w:tcW w:w="1246" w:type="pct"/>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color w:val="auto"/>
                <w:szCs w:val="21"/>
              </w:rPr>
              <w:t>选用低噪声设备、</w:t>
            </w:r>
            <w:r>
              <w:rPr>
                <w:rFonts w:hint="eastAsia"/>
                <w:color w:val="auto"/>
                <w:szCs w:val="21"/>
                <w:lang w:eastAsia="zh-CN"/>
              </w:rPr>
              <w:t>加强车辆操作管理</w:t>
            </w:r>
          </w:p>
        </w:tc>
        <w:tc>
          <w:tcPr>
            <w:tcW w:w="662" w:type="pct"/>
            <w:vAlign w:val="center"/>
          </w:tcPr>
          <w:p>
            <w:pPr>
              <w:spacing w:line="320" w:lineRule="exact"/>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 w:hRule="atLeast"/>
          <w:jc w:val="center"/>
        </w:trPr>
        <w:tc>
          <w:tcPr>
            <w:tcW w:w="300" w:type="pct"/>
            <w:vAlign w:val="center"/>
          </w:tcPr>
          <w:p>
            <w:pPr>
              <w:spacing w:line="320" w:lineRule="exact"/>
              <w:jc w:val="center"/>
              <w:rPr>
                <w:rFonts w:ascii="Times New Roman" w:hAnsi="Times New Roman" w:eastAsia="宋体" w:cs="Times New Roman"/>
                <w:color w:val="auto"/>
                <w:kern w:val="2"/>
                <w:sz w:val="21"/>
                <w:szCs w:val="21"/>
                <w:lang w:val="en-US" w:eastAsia="zh-CN" w:bidi="ar-SA"/>
              </w:rPr>
            </w:pPr>
            <w:r>
              <w:rPr>
                <w:rFonts w:ascii="Times New Roman" w:hAnsi="Times New Roman" w:eastAsia="宋体" w:cs="Times New Roman"/>
                <w:color w:val="auto"/>
                <w:kern w:val="2"/>
                <w:sz w:val="21"/>
                <w:szCs w:val="21"/>
                <w:lang w:val="en-US" w:eastAsia="zh-CN" w:bidi="ar-SA"/>
              </w:rPr>
              <w:t>8</w:t>
            </w:r>
          </w:p>
        </w:tc>
        <w:tc>
          <w:tcPr>
            <w:tcW w:w="670" w:type="pct"/>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电动剪板机</w:t>
            </w:r>
          </w:p>
        </w:tc>
        <w:tc>
          <w:tcPr>
            <w:tcW w:w="544" w:type="pct"/>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1200</w:t>
            </w:r>
          </w:p>
        </w:tc>
        <w:tc>
          <w:tcPr>
            <w:tcW w:w="452" w:type="pct"/>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w:t>
            </w:r>
          </w:p>
        </w:tc>
        <w:tc>
          <w:tcPr>
            <w:tcW w:w="352" w:type="pct"/>
            <w:vAlign w:val="center"/>
          </w:tcPr>
          <w:p>
            <w:pPr>
              <w:spacing w:line="320" w:lineRule="exact"/>
              <w:jc w:val="center"/>
              <w:rPr>
                <w:rFonts w:ascii="Times New Roman" w:hAnsi="Times New Roman" w:eastAsia="宋体" w:cs="Times New Roman"/>
                <w:color w:val="auto"/>
                <w:kern w:val="2"/>
                <w:sz w:val="21"/>
                <w:szCs w:val="21"/>
                <w:lang w:val="en-US" w:eastAsia="zh-CN" w:bidi="ar-SA"/>
              </w:rPr>
            </w:pPr>
            <w:r>
              <w:rPr>
                <w:rFonts w:ascii="Times New Roman" w:hAnsi="Times New Roman" w:eastAsia="宋体" w:cs="Times New Roman"/>
                <w:color w:val="auto"/>
                <w:kern w:val="2"/>
                <w:sz w:val="21"/>
                <w:szCs w:val="21"/>
                <w:lang w:val="en-US" w:eastAsia="zh-CN" w:bidi="ar-SA"/>
              </w:rPr>
              <w:t>台</w:t>
            </w:r>
          </w:p>
        </w:tc>
        <w:tc>
          <w:tcPr>
            <w:tcW w:w="771" w:type="pct"/>
            <w:vAlign w:val="center"/>
          </w:tcPr>
          <w:p>
            <w:pPr>
              <w:spacing w:line="320" w:lineRule="exact"/>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75</w:t>
            </w:r>
          </w:p>
        </w:tc>
        <w:tc>
          <w:tcPr>
            <w:tcW w:w="1246" w:type="pct"/>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color w:val="auto"/>
                <w:szCs w:val="21"/>
              </w:rPr>
              <w:t>选用低噪声设备、合理布局、墙体隔声、设置减震垫</w:t>
            </w:r>
          </w:p>
        </w:tc>
        <w:tc>
          <w:tcPr>
            <w:tcW w:w="662" w:type="pct"/>
            <w:vAlign w:val="center"/>
          </w:tcPr>
          <w:p>
            <w:pPr>
              <w:spacing w:line="320" w:lineRule="exact"/>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 w:hRule="atLeast"/>
          <w:jc w:val="center"/>
        </w:trPr>
        <w:tc>
          <w:tcPr>
            <w:tcW w:w="300" w:type="pct"/>
            <w:vAlign w:val="center"/>
          </w:tcPr>
          <w:p>
            <w:pPr>
              <w:spacing w:line="320" w:lineRule="exact"/>
              <w:jc w:val="center"/>
              <w:rPr>
                <w:rFonts w:ascii="Times New Roman" w:hAnsi="Times New Roman" w:eastAsia="宋体" w:cs="Times New Roman"/>
                <w:color w:val="auto"/>
                <w:kern w:val="2"/>
                <w:sz w:val="21"/>
                <w:szCs w:val="21"/>
                <w:lang w:val="en-US" w:eastAsia="zh-CN" w:bidi="ar-SA"/>
              </w:rPr>
            </w:pPr>
            <w:r>
              <w:rPr>
                <w:rFonts w:ascii="Times New Roman" w:hAnsi="Times New Roman" w:eastAsia="宋体" w:cs="Times New Roman"/>
                <w:color w:val="auto"/>
                <w:kern w:val="2"/>
                <w:sz w:val="21"/>
                <w:szCs w:val="21"/>
                <w:lang w:val="en-US" w:eastAsia="zh-CN" w:bidi="ar-SA"/>
              </w:rPr>
              <w:t>9</w:t>
            </w:r>
          </w:p>
        </w:tc>
        <w:tc>
          <w:tcPr>
            <w:tcW w:w="670" w:type="pct"/>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发泡自动涂覆线</w:t>
            </w:r>
          </w:p>
        </w:tc>
        <w:tc>
          <w:tcPr>
            <w:tcW w:w="544" w:type="pct"/>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800#</w:t>
            </w:r>
          </w:p>
        </w:tc>
        <w:tc>
          <w:tcPr>
            <w:tcW w:w="452" w:type="pct"/>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w:t>
            </w:r>
          </w:p>
        </w:tc>
        <w:tc>
          <w:tcPr>
            <w:tcW w:w="352" w:type="pct"/>
            <w:vAlign w:val="top"/>
          </w:tcPr>
          <w:p>
            <w:pPr>
              <w:spacing w:line="320" w:lineRule="exact"/>
              <w:jc w:val="center"/>
              <w:rPr>
                <w:rFonts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组</w:t>
            </w:r>
          </w:p>
        </w:tc>
        <w:tc>
          <w:tcPr>
            <w:tcW w:w="771" w:type="pct"/>
            <w:vAlign w:val="top"/>
          </w:tcPr>
          <w:p>
            <w:pPr>
              <w:spacing w:line="320" w:lineRule="exact"/>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70</w:t>
            </w:r>
          </w:p>
        </w:tc>
        <w:tc>
          <w:tcPr>
            <w:tcW w:w="1246" w:type="pct"/>
            <w:vAlign w:val="top"/>
          </w:tcPr>
          <w:p>
            <w:pPr>
              <w:spacing w:line="320" w:lineRule="exact"/>
              <w:jc w:val="center"/>
              <w:rPr>
                <w:rFonts w:hint="eastAsia" w:ascii="Times New Roman" w:hAnsi="Times New Roman" w:eastAsia="宋体" w:cs="Times New Roman"/>
                <w:color w:val="auto"/>
                <w:kern w:val="2"/>
                <w:sz w:val="21"/>
                <w:szCs w:val="21"/>
                <w:lang w:val="en-US" w:eastAsia="zh-CN" w:bidi="ar-SA"/>
              </w:rPr>
            </w:pPr>
            <w:r>
              <w:rPr>
                <w:color w:val="auto"/>
                <w:szCs w:val="21"/>
              </w:rPr>
              <w:t>选用低噪声设备、合理布局、墙体隔声、设置减震垫</w:t>
            </w:r>
          </w:p>
        </w:tc>
        <w:tc>
          <w:tcPr>
            <w:tcW w:w="662" w:type="pct"/>
            <w:vAlign w:val="top"/>
          </w:tcPr>
          <w:p>
            <w:pPr>
              <w:spacing w:line="320" w:lineRule="exact"/>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 w:hRule="atLeast"/>
          <w:jc w:val="center"/>
        </w:trPr>
        <w:tc>
          <w:tcPr>
            <w:tcW w:w="300" w:type="pct"/>
            <w:vAlign w:val="center"/>
          </w:tcPr>
          <w:p>
            <w:pPr>
              <w:spacing w:line="320" w:lineRule="exact"/>
              <w:jc w:val="center"/>
              <w:rPr>
                <w:rFonts w:ascii="Times New Roman" w:hAnsi="Times New Roman" w:eastAsia="宋体" w:cs="Times New Roman"/>
                <w:color w:val="auto"/>
                <w:kern w:val="2"/>
                <w:sz w:val="21"/>
                <w:szCs w:val="21"/>
                <w:lang w:val="en-US" w:eastAsia="zh-CN" w:bidi="ar-SA"/>
              </w:rPr>
            </w:pPr>
            <w:r>
              <w:rPr>
                <w:rFonts w:ascii="Times New Roman" w:hAnsi="Times New Roman" w:eastAsia="宋体" w:cs="Times New Roman"/>
                <w:color w:val="auto"/>
                <w:kern w:val="2"/>
                <w:sz w:val="21"/>
                <w:szCs w:val="21"/>
                <w:lang w:val="en-US" w:eastAsia="zh-CN" w:bidi="ar-SA"/>
              </w:rPr>
              <w:t>10</w:t>
            </w:r>
          </w:p>
        </w:tc>
        <w:tc>
          <w:tcPr>
            <w:tcW w:w="670" w:type="pct"/>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涂层自动涂覆线</w:t>
            </w:r>
          </w:p>
        </w:tc>
        <w:tc>
          <w:tcPr>
            <w:tcW w:w="544" w:type="pct"/>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600#</w:t>
            </w:r>
          </w:p>
        </w:tc>
        <w:tc>
          <w:tcPr>
            <w:tcW w:w="452" w:type="pct"/>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2</w:t>
            </w:r>
          </w:p>
        </w:tc>
        <w:tc>
          <w:tcPr>
            <w:tcW w:w="352" w:type="pct"/>
            <w:vAlign w:val="top"/>
          </w:tcPr>
          <w:p>
            <w:pPr>
              <w:spacing w:line="320" w:lineRule="exact"/>
              <w:jc w:val="center"/>
              <w:rPr>
                <w:rFonts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组</w:t>
            </w:r>
          </w:p>
        </w:tc>
        <w:tc>
          <w:tcPr>
            <w:tcW w:w="771" w:type="pct"/>
            <w:vAlign w:val="top"/>
          </w:tcPr>
          <w:p>
            <w:pPr>
              <w:spacing w:line="320" w:lineRule="exact"/>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70</w:t>
            </w:r>
          </w:p>
        </w:tc>
        <w:tc>
          <w:tcPr>
            <w:tcW w:w="1246" w:type="pct"/>
            <w:vAlign w:val="top"/>
          </w:tcPr>
          <w:p>
            <w:pPr>
              <w:spacing w:line="320" w:lineRule="exact"/>
              <w:jc w:val="center"/>
              <w:rPr>
                <w:rFonts w:hint="eastAsia" w:ascii="Times New Roman" w:hAnsi="Times New Roman" w:eastAsia="宋体" w:cs="Times New Roman"/>
                <w:color w:val="auto"/>
                <w:kern w:val="2"/>
                <w:sz w:val="21"/>
                <w:szCs w:val="21"/>
                <w:lang w:val="en-US" w:eastAsia="zh-CN" w:bidi="ar-SA"/>
              </w:rPr>
            </w:pPr>
            <w:r>
              <w:rPr>
                <w:color w:val="auto"/>
                <w:szCs w:val="21"/>
              </w:rPr>
              <w:t>选用低噪声设备、合理布局、墙体隔声、设置减震垫</w:t>
            </w:r>
          </w:p>
        </w:tc>
        <w:tc>
          <w:tcPr>
            <w:tcW w:w="662" w:type="pct"/>
            <w:vAlign w:val="top"/>
          </w:tcPr>
          <w:p>
            <w:pPr>
              <w:spacing w:line="320" w:lineRule="exact"/>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 w:hRule="atLeast"/>
          <w:jc w:val="center"/>
        </w:trPr>
        <w:tc>
          <w:tcPr>
            <w:tcW w:w="300" w:type="pct"/>
          </w:tcPr>
          <w:p>
            <w:pPr>
              <w:spacing w:line="320" w:lineRule="exact"/>
              <w:jc w:val="center"/>
              <w:rPr>
                <w:rFonts w:ascii="Times New Roman" w:hAnsi="Times New Roman" w:eastAsia="宋体" w:cs="Times New Roman"/>
                <w:color w:val="auto"/>
                <w:kern w:val="2"/>
                <w:sz w:val="21"/>
                <w:szCs w:val="21"/>
                <w:lang w:val="en-US" w:eastAsia="zh-CN" w:bidi="ar-SA"/>
              </w:rPr>
            </w:pPr>
            <w:r>
              <w:rPr>
                <w:rFonts w:ascii="Times New Roman" w:hAnsi="Times New Roman" w:eastAsia="宋体" w:cs="Times New Roman"/>
                <w:color w:val="auto"/>
                <w:kern w:val="2"/>
                <w:sz w:val="21"/>
                <w:szCs w:val="21"/>
                <w:lang w:val="en-US" w:eastAsia="zh-CN" w:bidi="ar-SA"/>
              </w:rPr>
              <w:t>11</w:t>
            </w:r>
          </w:p>
        </w:tc>
        <w:tc>
          <w:tcPr>
            <w:tcW w:w="670" w:type="pct"/>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橡胶密炼机</w:t>
            </w:r>
          </w:p>
        </w:tc>
        <w:tc>
          <w:tcPr>
            <w:tcW w:w="544" w:type="pct"/>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55#</w:t>
            </w:r>
          </w:p>
        </w:tc>
        <w:tc>
          <w:tcPr>
            <w:tcW w:w="452" w:type="pct"/>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2</w:t>
            </w:r>
          </w:p>
        </w:tc>
        <w:tc>
          <w:tcPr>
            <w:tcW w:w="352" w:type="pct"/>
            <w:vAlign w:val="top"/>
          </w:tcPr>
          <w:p>
            <w:pPr>
              <w:spacing w:line="320" w:lineRule="exact"/>
              <w:jc w:val="center"/>
              <w:rPr>
                <w:rFonts w:ascii="Times New Roman" w:hAnsi="Times New Roman" w:eastAsia="宋体" w:cs="Times New Roman"/>
                <w:color w:val="auto"/>
                <w:kern w:val="2"/>
                <w:sz w:val="21"/>
                <w:szCs w:val="21"/>
                <w:lang w:val="en-US" w:eastAsia="zh-CN" w:bidi="ar-SA"/>
              </w:rPr>
            </w:pPr>
            <w:r>
              <w:rPr>
                <w:rFonts w:ascii="Times New Roman" w:hAnsi="Times New Roman" w:eastAsia="宋体" w:cs="Times New Roman"/>
                <w:color w:val="auto"/>
                <w:kern w:val="2"/>
                <w:sz w:val="21"/>
                <w:szCs w:val="21"/>
                <w:lang w:val="en-US" w:eastAsia="zh-CN" w:bidi="ar-SA"/>
              </w:rPr>
              <w:t>台</w:t>
            </w:r>
          </w:p>
        </w:tc>
        <w:tc>
          <w:tcPr>
            <w:tcW w:w="771" w:type="pct"/>
            <w:vAlign w:val="top"/>
          </w:tcPr>
          <w:p>
            <w:pPr>
              <w:spacing w:line="320" w:lineRule="exact"/>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75</w:t>
            </w:r>
          </w:p>
        </w:tc>
        <w:tc>
          <w:tcPr>
            <w:tcW w:w="1246" w:type="pct"/>
            <w:vAlign w:val="top"/>
          </w:tcPr>
          <w:p>
            <w:pPr>
              <w:spacing w:line="320" w:lineRule="exact"/>
              <w:jc w:val="center"/>
              <w:rPr>
                <w:rFonts w:hint="eastAsia" w:ascii="Times New Roman" w:hAnsi="Times New Roman" w:eastAsia="宋体" w:cs="Times New Roman"/>
                <w:color w:val="auto"/>
                <w:kern w:val="2"/>
                <w:sz w:val="21"/>
                <w:szCs w:val="21"/>
                <w:lang w:val="en-US" w:eastAsia="zh-CN" w:bidi="ar-SA"/>
              </w:rPr>
            </w:pPr>
            <w:r>
              <w:rPr>
                <w:color w:val="auto"/>
                <w:szCs w:val="21"/>
              </w:rPr>
              <w:t>选用低噪声设备、合理布局、墙体隔声、设置减震垫</w:t>
            </w:r>
          </w:p>
        </w:tc>
        <w:tc>
          <w:tcPr>
            <w:tcW w:w="662" w:type="pct"/>
            <w:vAlign w:val="top"/>
          </w:tcPr>
          <w:p>
            <w:pPr>
              <w:spacing w:line="320" w:lineRule="exact"/>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 w:hRule="atLeast"/>
          <w:jc w:val="center"/>
        </w:trPr>
        <w:tc>
          <w:tcPr>
            <w:tcW w:w="300" w:type="pct"/>
          </w:tcPr>
          <w:p>
            <w:pPr>
              <w:spacing w:line="320" w:lineRule="exact"/>
              <w:jc w:val="center"/>
              <w:rPr>
                <w:rFonts w:ascii="Times New Roman" w:hAnsi="Times New Roman" w:eastAsia="宋体" w:cs="Times New Roman"/>
                <w:color w:val="auto"/>
                <w:kern w:val="2"/>
                <w:sz w:val="21"/>
                <w:szCs w:val="21"/>
                <w:lang w:val="en-US" w:eastAsia="zh-CN" w:bidi="ar-SA"/>
              </w:rPr>
            </w:pPr>
            <w:r>
              <w:rPr>
                <w:rFonts w:ascii="Times New Roman" w:hAnsi="Times New Roman" w:eastAsia="宋体" w:cs="Times New Roman"/>
                <w:color w:val="auto"/>
                <w:kern w:val="2"/>
                <w:sz w:val="21"/>
                <w:szCs w:val="21"/>
                <w:lang w:val="en-US" w:eastAsia="zh-CN" w:bidi="ar-SA"/>
              </w:rPr>
              <w:t>12</w:t>
            </w:r>
          </w:p>
        </w:tc>
        <w:tc>
          <w:tcPr>
            <w:tcW w:w="670" w:type="pct"/>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风机</w:t>
            </w:r>
          </w:p>
        </w:tc>
        <w:tc>
          <w:tcPr>
            <w:tcW w:w="544" w:type="pct"/>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w:t>
            </w:r>
          </w:p>
        </w:tc>
        <w:tc>
          <w:tcPr>
            <w:tcW w:w="452" w:type="pct"/>
            <w:vAlign w:val="top"/>
          </w:tcPr>
          <w:p>
            <w:pPr>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3</w:t>
            </w:r>
          </w:p>
        </w:tc>
        <w:tc>
          <w:tcPr>
            <w:tcW w:w="352" w:type="pct"/>
            <w:vAlign w:val="top"/>
          </w:tcPr>
          <w:p>
            <w:pPr>
              <w:spacing w:line="320" w:lineRule="exact"/>
              <w:jc w:val="center"/>
              <w:rPr>
                <w:rFonts w:ascii="Times New Roman" w:hAnsi="Times New Roman" w:eastAsia="宋体" w:cs="Times New Roman"/>
                <w:color w:val="auto"/>
                <w:kern w:val="2"/>
                <w:sz w:val="21"/>
                <w:szCs w:val="21"/>
                <w:lang w:val="en-US" w:eastAsia="zh-CN" w:bidi="ar-SA"/>
              </w:rPr>
            </w:pPr>
            <w:r>
              <w:rPr>
                <w:rFonts w:ascii="Times New Roman" w:hAnsi="Times New Roman" w:eastAsia="宋体" w:cs="Times New Roman"/>
                <w:color w:val="auto"/>
                <w:kern w:val="2"/>
                <w:sz w:val="21"/>
                <w:szCs w:val="21"/>
                <w:lang w:val="en-US" w:eastAsia="zh-CN" w:bidi="ar-SA"/>
              </w:rPr>
              <w:t>台</w:t>
            </w:r>
          </w:p>
        </w:tc>
        <w:tc>
          <w:tcPr>
            <w:tcW w:w="771" w:type="pct"/>
            <w:vAlign w:val="top"/>
          </w:tcPr>
          <w:p>
            <w:pPr>
              <w:spacing w:line="320" w:lineRule="exact"/>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85</w:t>
            </w:r>
          </w:p>
        </w:tc>
        <w:tc>
          <w:tcPr>
            <w:tcW w:w="1246" w:type="pct"/>
            <w:vAlign w:val="top"/>
          </w:tcPr>
          <w:p>
            <w:pPr>
              <w:spacing w:line="320" w:lineRule="exact"/>
              <w:jc w:val="center"/>
              <w:rPr>
                <w:rFonts w:hint="eastAsia" w:ascii="Times New Roman" w:hAnsi="Times New Roman" w:eastAsia="宋体" w:cs="Times New Roman"/>
                <w:color w:val="auto"/>
                <w:kern w:val="2"/>
                <w:sz w:val="21"/>
                <w:szCs w:val="21"/>
                <w:lang w:val="en-US" w:eastAsia="zh-CN" w:bidi="ar-SA"/>
              </w:rPr>
            </w:pPr>
            <w:r>
              <w:rPr>
                <w:color w:val="auto"/>
                <w:szCs w:val="21"/>
              </w:rPr>
              <w:t>选用低噪声设备、合理布局、设置减震垫</w:t>
            </w:r>
          </w:p>
        </w:tc>
        <w:tc>
          <w:tcPr>
            <w:tcW w:w="662" w:type="pct"/>
            <w:vAlign w:val="top"/>
          </w:tcPr>
          <w:p>
            <w:pPr>
              <w:spacing w:line="320" w:lineRule="exact"/>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65</w:t>
            </w:r>
          </w:p>
        </w:tc>
      </w:tr>
    </w:tbl>
    <w:p>
      <w:pPr>
        <w:pStyle w:val="134"/>
        <w:snapToGrid w:val="0"/>
        <w:spacing w:line="520" w:lineRule="exact"/>
        <w:ind w:firstLine="0"/>
        <w:jc w:val="center"/>
        <w:rPr>
          <w:rFonts w:ascii="Times New Roman"/>
          <w:b/>
          <w:bCs/>
          <w:color w:val="auto"/>
          <w:kern w:val="2"/>
          <w:sz w:val="24"/>
          <w:szCs w:val="24"/>
        </w:rPr>
      </w:pPr>
    </w:p>
    <w:p>
      <w:pPr>
        <w:pStyle w:val="5"/>
        <w:spacing w:before="0" w:after="0" w:line="520" w:lineRule="exact"/>
        <w:rPr>
          <w:color w:val="auto"/>
          <w:sz w:val="24"/>
          <w:szCs w:val="24"/>
        </w:rPr>
      </w:pPr>
      <w:r>
        <w:rPr>
          <w:color w:val="auto"/>
          <w:sz w:val="24"/>
          <w:szCs w:val="24"/>
        </w:rPr>
        <w:t>（2）预测模式</w:t>
      </w:r>
    </w:p>
    <w:p>
      <w:pPr>
        <w:tabs>
          <w:tab w:val="left" w:pos="1700"/>
        </w:tabs>
        <w:spacing w:line="360" w:lineRule="auto"/>
        <w:ind w:firstLine="480" w:firstLineChars="200"/>
        <w:rPr>
          <w:color w:val="auto"/>
          <w:kern w:val="24"/>
          <w:sz w:val="24"/>
        </w:rPr>
      </w:pPr>
      <w:r>
        <w:rPr>
          <w:color w:val="auto"/>
          <w:kern w:val="24"/>
          <w:sz w:val="24"/>
        </w:rPr>
        <w:t>工业噪声预测模式采用《环境影响评价技术导则·声环境》（HJ2.4—2009）中对工业企业噪声预测模式进行预测，考虑遮挡物、空气吸收衰减、地面附加衰减，对某些难以定量的参数，查相关资料进行估算。</w:t>
      </w:r>
    </w:p>
    <w:p>
      <w:pPr>
        <w:adjustRightInd w:val="0"/>
        <w:spacing w:line="360" w:lineRule="auto"/>
        <w:ind w:firstLine="480" w:firstLineChars="200"/>
        <w:rPr>
          <w:color w:val="auto"/>
          <w:sz w:val="24"/>
        </w:rPr>
      </w:pPr>
      <w:r>
        <w:rPr>
          <w:color w:val="auto"/>
          <w:sz w:val="24"/>
        </w:rPr>
        <w:t>根据按声能量在空气传播中衰减模式计算出某声源在环境中任意一点的声压级。由于本项目声源均设置于室内，预测步骤如下：</w:t>
      </w:r>
    </w:p>
    <w:p>
      <w:pPr>
        <w:adjustRightInd w:val="0"/>
        <w:spacing w:line="360" w:lineRule="auto"/>
        <w:ind w:firstLine="480" w:firstLineChars="200"/>
        <w:rPr>
          <w:color w:val="auto"/>
          <w:sz w:val="24"/>
        </w:rPr>
      </w:pPr>
      <w:r>
        <w:rPr>
          <w:rFonts w:hint="eastAsia" w:ascii="宋体" w:hAnsi="宋体" w:cs="宋体"/>
          <w:color w:val="auto"/>
          <w:sz w:val="24"/>
        </w:rPr>
        <w:t>①</w:t>
      </w:r>
      <w:r>
        <w:rPr>
          <w:color w:val="auto"/>
          <w:sz w:val="24"/>
        </w:rPr>
        <w:t>首先计算出某个室内靠近围护结构处的声压级：</w:t>
      </w:r>
    </w:p>
    <w:p>
      <w:pPr>
        <w:adjustRightInd w:val="0"/>
        <w:spacing w:line="360" w:lineRule="auto"/>
        <w:ind w:firstLine="480" w:firstLineChars="200"/>
        <w:rPr>
          <w:color w:val="auto"/>
          <w:kern w:val="24"/>
          <w:sz w:val="24"/>
        </w:rPr>
      </w:pPr>
      <w:r>
        <w:rPr>
          <w:color w:val="auto"/>
          <w:kern w:val="24"/>
          <w:sz w:val="24"/>
        </w:rPr>
        <w:drawing>
          <wp:inline distT="0" distB="0" distL="114300" distR="114300">
            <wp:extent cx="1591310" cy="391795"/>
            <wp:effectExtent l="0" t="0" r="8890" b="4445"/>
            <wp:docPr id="19" name="图片 92" descr="../../柳州/DOCUME~1/ADMINI~1/LOCALS~1/Temp/ksohtml/wps_clip_image-284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92" descr="../../柳州/DOCUME~1/ADMINI~1/LOCALS~1/Temp/ksohtml/wps_clip_image-28401.png"/>
                    <pic:cNvPicPr>
                      <a:picLocks noChangeAspect="1"/>
                    </pic:cNvPicPr>
                  </pic:nvPicPr>
                  <pic:blipFill>
                    <a:blip r:embed="rId48"/>
                    <a:stretch>
                      <a:fillRect/>
                    </a:stretch>
                  </pic:blipFill>
                  <pic:spPr>
                    <a:xfrm>
                      <a:off x="0" y="0"/>
                      <a:ext cx="1591310" cy="391795"/>
                    </a:xfrm>
                    <a:prstGeom prst="rect">
                      <a:avLst/>
                    </a:prstGeom>
                    <a:noFill/>
                    <a:ln>
                      <a:noFill/>
                    </a:ln>
                  </pic:spPr>
                </pic:pic>
              </a:graphicData>
            </a:graphic>
          </wp:inline>
        </w:drawing>
      </w:r>
    </w:p>
    <w:p>
      <w:pPr>
        <w:adjustRightInd w:val="0"/>
        <w:spacing w:line="360" w:lineRule="auto"/>
        <w:ind w:firstLine="480" w:firstLineChars="200"/>
        <w:rPr>
          <w:color w:val="auto"/>
          <w:sz w:val="24"/>
        </w:rPr>
      </w:pPr>
      <w:r>
        <w:rPr>
          <w:color w:val="auto"/>
          <w:sz w:val="24"/>
        </w:rPr>
        <w:t>式中：L1</w:t>
      </w:r>
      <w:r>
        <w:rPr>
          <w:color w:val="auto"/>
          <w:sz w:val="24"/>
        </w:rPr>
        <w:softHyphen/>
      </w:r>
      <w:r>
        <w:rPr>
          <w:color w:val="auto"/>
          <w:sz w:val="24"/>
        </w:rPr>
        <w:t>——某个室内声源在靠近围护结构处产生的声压级；</w:t>
      </w:r>
    </w:p>
    <w:p>
      <w:pPr>
        <w:adjustRightInd w:val="0"/>
        <w:spacing w:line="360" w:lineRule="auto"/>
        <w:ind w:firstLine="480" w:firstLineChars="200"/>
        <w:rPr>
          <w:color w:val="auto"/>
          <w:sz w:val="24"/>
        </w:rPr>
      </w:pPr>
      <w:r>
        <w:rPr>
          <w:color w:val="auto"/>
          <w:sz w:val="24"/>
        </w:rPr>
        <w:t>Lw</w:t>
      </w:r>
      <w:r>
        <w:rPr>
          <w:color w:val="auto"/>
          <w:sz w:val="24"/>
        </w:rPr>
        <w:softHyphen/>
      </w:r>
      <w:r>
        <w:rPr>
          <w:color w:val="auto"/>
          <w:sz w:val="24"/>
        </w:rPr>
        <w:t>——某个声源的声功率级；</w:t>
      </w:r>
    </w:p>
    <w:p>
      <w:pPr>
        <w:adjustRightInd w:val="0"/>
        <w:spacing w:line="360" w:lineRule="auto"/>
        <w:ind w:firstLine="480" w:firstLineChars="200"/>
        <w:rPr>
          <w:color w:val="auto"/>
          <w:sz w:val="24"/>
        </w:rPr>
      </w:pPr>
      <w:r>
        <w:rPr>
          <w:color w:val="auto"/>
          <w:sz w:val="24"/>
        </w:rPr>
        <w:t>r1——室内某个声源与靠近围护结构处的距离；</w:t>
      </w:r>
    </w:p>
    <w:p>
      <w:pPr>
        <w:adjustRightInd w:val="0"/>
        <w:spacing w:line="360" w:lineRule="auto"/>
        <w:ind w:firstLine="480" w:firstLineChars="200"/>
        <w:rPr>
          <w:color w:val="auto"/>
          <w:sz w:val="24"/>
        </w:rPr>
      </w:pPr>
      <w:r>
        <w:rPr>
          <w:color w:val="auto"/>
          <w:sz w:val="24"/>
        </w:rPr>
        <w:t>R——房间常数，根据房间内壁内壁的平均吸声系数与内壁总面积计算；</w:t>
      </w:r>
    </w:p>
    <w:p>
      <w:pPr>
        <w:adjustRightInd w:val="0"/>
        <w:spacing w:line="360" w:lineRule="auto"/>
        <w:ind w:firstLine="480" w:firstLineChars="200"/>
        <w:rPr>
          <w:color w:val="auto"/>
          <w:sz w:val="24"/>
        </w:rPr>
      </w:pPr>
      <w:r>
        <w:rPr>
          <w:color w:val="auto"/>
          <w:sz w:val="24"/>
        </w:rPr>
        <w:t>Q——方向因子，半自由状态点声源Q＝2；</w:t>
      </w:r>
    </w:p>
    <w:p>
      <w:pPr>
        <w:adjustRightInd w:val="0"/>
        <w:spacing w:line="360" w:lineRule="auto"/>
        <w:ind w:firstLine="480" w:firstLineChars="200"/>
        <w:rPr>
          <w:color w:val="auto"/>
          <w:sz w:val="24"/>
        </w:rPr>
      </w:pPr>
      <w:r>
        <w:rPr>
          <w:rFonts w:hint="eastAsia" w:ascii="宋体" w:hAnsi="宋体" w:cs="宋体"/>
          <w:color w:val="auto"/>
          <w:sz w:val="24"/>
        </w:rPr>
        <w:t>②</w:t>
      </w:r>
      <w:r>
        <w:rPr>
          <w:color w:val="auto"/>
          <w:sz w:val="24"/>
        </w:rPr>
        <w:t>计算出所有室内声源在靠近围护结构处产生的声压级：</w:t>
      </w:r>
    </w:p>
    <w:p>
      <w:pPr>
        <w:jc w:val="center"/>
        <w:rPr>
          <w:color w:val="auto"/>
          <w:sz w:val="24"/>
        </w:rPr>
      </w:pPr>
      <w:r>
        <w:rPr>
          <w:color w:val="auto"/>
          <w:sz w:val="24"/>
        </w:rPr>
        <w:drawing>
          <wp:inline distT="0" distB="0" distL="114300" distR="114300">
            <wp:extent cx="1935480" cy="1116330"/>
            <wp:effectExtent l="0" t="0" r="0" b="11430"/>
            <wp:docPr id="20"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93"/>
                    <pic:cNvPicPr>
                      <a:picLocks noChangeAspect="1"/>
                    </pic:cNvPicPr>
                  </pic:nvPicPr>
                  <pic:blipFill>
                    <a:blip r:embed="rId49"/>
                    <a:stretch>
                      <a:fillRect/>
                    </a:stretch>
                  </pic:blipFill>
                  <pic:spPr>
                    <a:xfrm>
                      <a:off x="0" y="0"/>
                      <a:ext cx="1935480" cy="1116330"/>
                    </a:xfrm>
                    <a:prstGeom prst="rect">
                      <a:avLst/>
                    </a:prstGeom>
                    <a:noFill/>
                    <a:ln>
                      <a:noFill/>
                    </a:ln>
                  </pic:spPr>
                </pic:pic>
              </a:graphicData>
            </a:graphic>
          </wp:inline>
        </w:drawing>
      </w:r>
    </w:p>
    <w:p>
      <w:pPr>
        <w:adjustRightInd w:val="0"/>
        <w:spacing w:line="360" w:lineRule="auto"/>
        <w:ind w:firstLine="480" w:firstLineChars="200"/>
        <w:rPr>
          <w:color w:val="auto"/>
          <w:sz w:val="24"/>
        </w:rPr>
      </w:pPr>
      <w:r>
        <w:rPr>
          <w:rFonts w:hint="eastAsia" w:ascii="宋体" w:hAnsi="宋体" w:cs="宋体"/>
          <w:color w:val="auto"/>
          <w:sz w:val="24"/>
        </w:rPr>
        <w:t>③</w:t>
      </w:r>
      <w:r>
        <w:rPr>
          <w:color w:val="auto"/>
          <w:sz w:val="24"/>
        </w:rPr>
        <w:t>计算出室外靠近围护结构处的声压级：</w:t>
      </w:r>
    </w:p>
    <w:p>
      <w:pPr>
        <w:adjustRightInd w:val="0"/>
        <w:spacing w:line="360" w:lineRule="auto"/>
        <w:ind w:firstLine="480" w:firstLineChars="200"/>
        <w:rPr>
          <w:color w:val="auto"/>
          <w:sz w:val="24"/>
        </w:rPr>
      </w:pPr>
      <w:r>
        <w:rPr>
          <w:color w:val="auto"/>
          <w:sz w:val="24"/>
        </w:rPr>
        <w:drawing>
          <wp:inline distT="0" distB="0" distL="114300" distR="114300">
            <wp:extent cx="1543685" cy="213995"/>
            <wp:effectExtent l="0" t="0" r="10795" b="14605"/>
            <wp:docPr id="21" name="图片 94" descr="../../柳州/DOCUME~1/ADMINI~1/LOCALS~1/Temp/ksohtml/wps_clip_image-43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94" descr="../../柳州/DOCUME~1/ADMINI~1/LOCALS~1/Temp/ksohtml/wps_clip_image-4341.png"/>
                    <pic:cNvPicPr>
                      <a:picLocks noChangeAspect="1"/>
                    </pic:cNvPicPr>
                  </pic:nvPicPr>
                  <pic:blipFill>
                    <a:blip r:embed="rId50"/>
                    <a:stretch>
                      <a:fillRect/>
                    </a:stretch>
                  </pic:blipFill>
                  <pic:spPr>
                    <a:xfrm>
                      <a:off x="0" y="0"/>
                      <a:ext cx="1543685" cy="213995"/>
                    </a:xfrm>
                    <a:prstGeom prst="rect">
                      <a:avLst/>
                    </a:prstGeom>
                    <a:noFill/>
                    <a:ln>
                      <a:noFill/>
                    </a:ln>
                  </pic:spPr>
                </pic:pic>
              </a:graphicData>
            </a:graphic>
          </wp:inline>
        </w:drawing>
      </w:r>
    </w:p>
    <w:p>
      <w:pPr>
        <w:adjustRightInd w:val="0"/>
        <w:spacing w:line="360" w:lineRule="auto"/>
        <w:ind w:firstLine="480" w:firstLineChars="200"/>
        <w:rPr>
          <w:color w:val="auto"/>
          <w:sz w:val="24"/>
        </w:rPr>
      </w:pPr>
      <w:r>
        <w:rPr>
          <w:color w:val="auto"/>
          <w:sz w:val="24"/>
        </w:rPr>
        <w:t>式中：TL——构件隔声损失，双面粉刷砖墙。</w:t>
      </w:r>
    </w:p>
    <w:p>
      <w:pPr>
        <w:adjustRightInd w:val="0"/>
        <w:spacing w:line="360" w:lineRule="auto"/>
        <w:ind w:firstLine="480" w:firstLineChars="200"/>
        <w:rPr>
          <w:color w:val="auto"/>
          <w:sz w:val="24"/>
        </w:rPr>
      </w:pPr>
      <w:r>
        <w:rPr>
          <w:rFonts w:hint="eastAsia" w:ascii="宋体" w:hAnsi="宋体" w:cs="宋体"/>
          <w:color w:val="auto"/>
          <w:sz w:val="24"/>
        </w:rPr>
        <w:t>④</w:t>
      </w:r>
      <w:r>
        <w:rPr>
          <w:color w:val="auto"/>
          <w:sz w:val="24"/>
        </w:rPr>
        <w:t>将室外声级L2(T)和透声面积换算成等效的室外声源，计算出等效声源的声功率级Lw：</w:t>
      </w:r>
    </w:p>
    <w:p>
      <w:pPr>
        <w:adjustRightInd w:val="0"/>
        <w:spacing w:line="360" w:lineRule="auto"/>
        <w:ind w:firstLine="480" w:firstLineChars="200"/>
        <w:rPr>
          <w:color w:val="auto"/>
          <w:sz w:val="24"/>
        </w:rPr>
      </w:pPr>
      <w:r>
        <w:rPr>
          <w:color w:val="auto"/>
          <w:sz w:val="24"/>
        </w:rPr>
        <w:drawing>
          <wp:inline distT="0" distB="0" distL="114300" distR="114300">
            <wp:extent cx="1401445" cy="249555"/>
            <wp:effectExtent l="0" t="0" r="635" b="0"/>
            <wp:docPr id="22" name="图片 95" descr="../../柳州/DOCUME~1/ADMINI~1/LOCALS~1/Temp/ksohtml/wps_clip_image-119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95" descr="../../柳州/DOCUME~1/ADMINI~1/LOCALS~1/Temp/ksohtml/wps_clip_image-11919.png"/>
                    <pic:cNvPicPr>
                      <a:picLocks noChangeAspect="1"/>
                    </pic:cNvPicPr>
                  </pic:nvPicPr>
                  <pic:blipFill>
                    <a:blip r:embed="rId51"/>
                    <a:stretch>
                      <a:fillRect/>
                    </a:stretch>
                  </pic:blipFill>
                  <pic:spPr>
                    <a:xfrm>
                      <a:off x="0" y="0"/>
                      <a:ext cx="1401445" cy="249555"/>
                    </a:xfrm>
                    <a:prstGeom prst="rect">
                      <a:avLst/>
                    </a:prstGeom>
                    <a:noFill/>
                    <a:ln>
                      <a:noFill/>
                    </a:ln>
                  </pic:spPr>
                </pic:pic>
              </a:graphicData>
            </a:graphic>
          </wp:inline>
        </w:drawing>
      </w:r>
    </w:p>
    <w:p>
      <w:pPr>
        <w:adjustRightInd w:val="0"/>
        <w:spacing w:line="360" w:lineRule="auto"/>
        <w:ind w:firstLine="480" w:firstLineChars="200"/>
        <w:rPr>
          <w:color w:val="auto"/>
          <w:sz w:val="24"/>
        </w:rPr>
      </w:pPr>
      <w:r>
        <w:rPr>
          <w:color w:val="auto"/>
          <w:sz w:val="24"/>
        </w:rPr>
        <w:t>式中：S为透声面积，m</w:t>
      </w:r>
      <w:r>
        <w:rPr>
          <w:color w:val="auto"/>
          <w:sz w:val="24"/>
          <w:vertAlign w:val="superscript"/>
        </w:rPr>
        <w:t>2</w:t>
      </w:r>
      <w:r>
        <w:rPr>
          <w:color w:val="auto"/>
          <w:sz w:val="24"/>
        </w:rPr>
        <w:t>。</w:t>
      </w:r>
    </w:p>
    <w:p>
      <w:pPr>
        <w:adjustRightInd w:val="0"/>
        <w:spacing w:line="360" w:lineRule="auto"/>
        <w:ind w:firstLine="480" w:firstLineChars="200"/>
        <w:rPr>
          <w:color w:val="auto"/>
          <w:sz w:val="24"/>
        </w:rPr>
      </w:pPr>
      <w:r>
        <w:rPr>
          <w:rFonts w:hint="eastAsia" w:ascii="宋体" w:hAnsi="宋体" w:cs="宋体"/>
          <w:color w:val="auto"/>
          <w:sz w:val="24"/>
        </w:rPr>
        <w:t>⑤</w:t>
      </w:r>
      <w:r>
        <w:rPr>
          <w:color w:val="auto"/>
          <w:sz w:val="24"/>
        </w:rPr>
        <w:t>采用户外声传播衰减公式预测各主要施工机械噪声对环境的影响。</w:t>
      </w:r>
    </w:p>
    <w:p>
      <w:pPr>
        <w:adjustRightInd w:val="0"/>
        <w:spacing w:line="360" w:lineRule="auto"/>
        <w:ind w:firstLine="480" w:firstLineChars="200"/>
        <w:rPr>
          <w:color w:val="auto"/>
          <w:sz w:val="24"/>
        </w:rPr>
      </w:pPr>
      <w:r>
        <w:rPr>
          <w:color w:val="auto"/>
          <w:sz w:val="24"/>
        </w:rPr>
        <w:drawing>
          <wp:inline distT="0" distB="0" distL="114300" distR="114300">
            <wp:extent cx="3823970" cy="308610"/>
            <wp:effectExtent l="0" t="0" r="1270" b="11430"/>
            <wp:docPr id="23"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96"/>
                    <pic:cNvPicPr>
                      <a:picLocks noChangeAspect="1"/>
                    </pic:cNvPicPr>
                  </pic:nvPicPr>
                  <pic:blipFill>
                    <a:blip r:embed="rId52"/>
                    <a:stretch>
                      <a:fillRect/>
                    </a:stretch>
                  </pic:blipFill>
                  <pic:spPr>
                    <a:xfrm>
                      <a:off x="0" y="0"/>
                      <a:ext cx="3823970" cy="308610"/>
                    </a:xfrm>
                    <a:prstGeom prst="rect">
                      <a:avLst/>
                    </a:prstGeom>
                    <a:noFill/>
                    <a:ln>
                      <a:noFill/>
                    </a:ln>
                  </pic:spPr>
                </pic:pic>
              </a:graphicData>
            </a:graphic>
          </wp:inline>
        </w:drawing>
      </w:r>
    </w:p>
    <w:p>
      <w:pPr>
        <w:adjustRightInd w:val="0"/>
        <w:spacing w:line="360" w:lineRule="auto"/>
        <w:ind w:firstLine="480" w:firstLineChars="200"/>
        <w:rPr>
          <w:color w:val="auto"/>
          <w:sz w:val="24"/>
        </w:rPr>
      </w:pPr>
      <w:r>
        <w:rPr>
          <w:color w:val="auto"/>
          <w:sz w:val="24"/>
        </w:rPr>
        <w:t>式中：Lp(r)—距声源r处预测点噪声值，dB（A）；</w:t>
      </w:r>
    </w:p>
    <w:p>
      <w:pPr>
        <w:adjustRightInd w:val="0"/>
        <w:spacing w:line="360" w:lineRule="auto"/>
        <w:ind w:firstLine="480" w:firstLineChars="200"/>
        <w:rPr>
          <w:color w:val="auto"/>
          <w:sz w:val="24"/>
        </w:rPr>
      </w:pPr>
      <w:r>
        <w:rPr>
          <w:color w:val="auto"/>
          <w:sz w:val="24"/>
        </w:rPr>
        <w:t xml:space="preserve">      Lp(r0)—参考点r0处噪声值，dB（A）；</w:t>
      </w:r>
    </w:p>
    <w:p>
      <w:pPr>
        <w:adjustRightInd w:val="0"/>
        <w:spacing w:line="360" w:lineRule="auto"/>
        <w:ind w:firstLine="480" w:firstLineChars="200"/>
        <w:rPr>
          <w:color w:val="auto"/>
          <w:sz w:val="24"/>
        </w:rPr>
      </w:pPr>
      <w:r>
        <w:rPr>
          <w:color w:val="auto"/>
          <w:sz w:val="24"/>
        </w:rPr>
        <w:t xml:space="preserve">      Adiv—几何发散衰减，dB（A）；</w:t>
      </w:r>
    </w:p>
    <w:p>
      <w:pPr>
        <w:adjustRightInd w:val="0"/>
        <w:spacing w:line="360" w:lineRule="auto"/>
        <w:ind w:firstLine="480" w:firstLineChars="200"/>
        <w:rPr>
          <w:color w:val="auto"/>
          <w:sz w:val="24"/>
        </w:rPr>
      </w:pPr>
      <w:r>
        <w:rPr>
          <w:color w:val="auto"/>
          <w:sz w:val="24"/>
        </w:rPr>
        <w:t>Aatm—大气吸收衰减，dB（A）；</w:t>
      </w:r>
    </w:p>
    <w:p>
      <w:pPr>
        <w:adjustRightInd w:val="0"/>
        <w:spacing w:line="360" w:lineRule="auto"/>
        <w:ind w:firstLine="480" w:firstLineChars="200"/>
        <w:rPr>
          <w:color w:val="auto"/>
          <w:sz w:val="24"/>
        </w:rPr>
      </w:pPr>
      <w:r>
        <w:rPr>
          <w:color w:val="auto"/>
          <w:sz w:val="24"/>
        </w:rPr>
        <w:t>Abar—屏障衰减，dB（A）；</w:t>
      </w:r>
    </w:p>
    <w:p>
      <w:pPr>
        <w:adjustRightInd w:val="0"/>
        <w:spacing w:line="360" w:lineRule="auto"/>
        <w:ind w:firstLine="480" w:firstLineChars="200"/>
        <w:rPr>
          <w:color w:val="auto"/>
          <w:sz w:val="24"/>
        </w:rPr>
      </w:pPr>
      <w:r>
        <w:rPr>
          <w:color w:val="auto"/>
          <w:sz w:val="24"/>
        </w:rPr>
        <w:t>Agr—地面效应，dB（A）；</w:t>
      </w:r>
    </w:p>
    <w:p>
      <w:pPr>
        <w:adjustRightInd w:val="0"/>
        <w:spacing w:line="360" w:lineRule="auto"/>
        <w:ind w:firstLine="480" w:firstLineChars="200"/>
        <w:rPr>
          <w:color w:val="auto"/>
          <w:sz w:val="24"/>
        </w:rPr>
      </w:pPr>
      <w:r>
        <w:rPr>
          <w:color w:val="auto"/>
          <w:sz w:val="24"/>
        </w:rPr>
        <w:t>Amisc—其他多方面效应衰减，dB（A）；</w:t>
      </w:r>
    </w:p>
    <w:p>
      <w:pPr>
        <w:adjustRightInd w:val="0"/>
        <w:spacing w:line="360" w:lineRule="auto"/>
        <w:ind w:firstLine="480" w:firstLineChars="200"/>
        <w:rPr>
          <w:color w:val="auto"/>
          <w:sz w:val="24"/>
        </w:rPr>
      </w:pPr>
      <w:r>
        <w:rPr>
          <w:color w:val="auto"/>
          <w:sz w:val="24"/>
        </w:rPr>
        <w:t>r—预测点距噪声源距离，m；</w:t>
      </w:r>
    </w:p>
    <w:p>
      <w:pPr>
        <w:adjustRightInd w:val="0"/>
        <w:spacing w:line="360" w:lineRule="auto"/>
        <w:ind w:firstLine="480" w:firstLineChars="200"/>
        <w:rPr>
          <w:color w:val="auto"/>
          <w:sz w:val="24"/>
        </w:rPr>
      </w:pPr>
      <w:r>
        <w:rPr>
          <w:color w:val="auto"/>
          <w:sz w:val="24"/>
        </w:rPr>
        <w:t>r0—参考位置距噪声源距离，m。</w:t>
      </w:r>
    </w:p>
    <w:p>
      <w:pPr>
        <w:adjustRightInd w:val="0"/>
        <w:spacing w:line="360" w:lineRule="auto"/>
        <w:ind w:firstLine="480" w:firstLineChars="200"/>
        <w:rPr>
          <w:color w:val="auto"/>
          <w:sz w:val="24"/>
        </w:rPr>
      </w:pPr>
      <w:r>
        <w:rPr>
          <w:rFonts w:hint="eastAsia" w:ascii="宋体" w:hAnsi="宋体" w:cs="宋体"/>
          <w:color w:val="auto"/>
          <w:sz w:val="24"/>
        </w:rPr>
        <w:t>⑥</w:t>
      </w:r>
      <w:r>
        <w:rPr>
          <w:color w:val="auto"/>
          <w:sz w:val="24"/>
        </w:rPr>
        <w:t>噪声贡献值计算：</w:t>
      </w:r>
    </w:p>
    <w:p>
      <w:pPr>
        <w:adjustRightInd w:val="0"/>
        <w:spacing w:line="360" w:lineRule="auto"/>
        <w:ind w:firstLine="480" w:firstLineChars="200"/>
        <w:rPr>
          <w:color w:val="auto"/>
          <w:sz w:val="24"/>
        </w:rPr>
      </w:pPr>
      <w:r>
        <w:rPr>
          <w:color w:val="auto"/>
          <w:sz w:val="24"/>
        </w:rPr>
        <w:t>设第i个室外声源在预测点产生的A声级为LAi，在T时间内该声源工作时间为ti;第j个等效室外声源在预测点产生的A声级为LAj,在T时间内该声源工作时间为tj,则拟建工程声源对预测点产生的贡献值（Leqg）为：</w:t>
      </w:r>
    </w:p>
    <w:p>
      <w:pPr>
        <w:adjustRightInd w:val="0"/>
        <w:spacing w:line="360" w:lineRule="auto"/>
        <w:ind w:firstLine="480" w:firstLineChars="200"/>
        <w:rPr>
          <w:color w:val="auto"/>
          <w:sz w:val="24"/>
        </w:rPr>
      </w:pPr>
      <w:r>
        <w:rPr>
          <w:color w:val="auto"/>
          <w:sz w:val="24"/>
        </w:rPr>
        <w:drawing>
          <wp:inline distT="0" distB="0" distL="114300" distR="114300">
            <wp:extent cx="2187575" cy="496570"/>
            <wp:effectExtent l="0" t="0" r="6985" b="6350"/>
            <wp:docPr id="24" name="图片 97" descr="QQ截图20140418145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97" descr="QQ截图20140418145329"/>
                    <pic:cNvPicPr>
                      <a:picLocks noChangeAspect="1"/>
                    </pic:cNvPicPr>
                  </pic:nvPicPr>
                  <pic:blipFill>
                    <a:blip r:embed="rId53"/>
                    <a:stretch>
                      <a:fillRect/>
                    </a:stretch>
                  </pic:blipFill>
                  <pic:spPr>
                    <a:xfrm>
                      <a:off x="0" y="0"/>
                      <a:ext cx="2187575" cy="496570"/>
                    </a:xfrm>
                    <a:prstGeom prst="rect">
                      <a:avLst/>
                    </a:prstGeom>
                    <a:noFill/>
                    <a:ln>
                      <a:noFill/>
                    </a:ln>
                  </pic:spPr>
                </pic:pic>
              </a:graphicData>
            </a:graphic>
          </wp:inline>
        </w:drawing>
      </w:r>
    </w:p>
    <w:p>
      <w:pPr>
        <w:adjustRightInd w:val="0"/>
        <w:spacing w:line="360" w:lineRule="auto"/>
        <w:ind w:firstLine="480" w:firstLineChars="200"/>
        <w:rPr>
          <w:color w:val="auto"/>
          <w:sz w:val="24"/>
        </w:rPr>
      </w:pPr>
      <w:r>
        <w:rPr>
          <w:color w:val="auto"/>
          <w:sz w:val="24"/>
        </w:rPr>
        <w:t>tj——在T时间内j声源工作时间，s；</w:t>
      </w:r>
    </w:p>
    <w:p>
      <w:pPr>
        <w:adjustRightInd w:val="0"/>
        <w:spacing w:line="360" w:lineRule="auto"/>
        <w:ind w:firstLine="480" w:firstLineChars="200"/>
        <w:rPr>
          <w:color w:val="auto"/>
          <w:sz w:val="24"/>
        </w:rPr>
      </w:pPr>
      <w:r>
        <w:rPr>
          <w:color w:val="auto"/>
          <w:sz w:val="24"/>
        </w:rPr>
        <w:t>ti——在T时间内i声源工作时间，s；</w:t>
      </w:r>
    </w:p>
    <w:p>
      <w:pPr>
        <w:adjustRightInd w:val="0"/>
        <w:spacing w:line="360" w:lineRule="auto"/>
        <w:ind w:firstLine="480" w:firstLineChars="200"/>
        <w:rPr>
          <w:color w:val="auto"/>
          <w:sz w:val="24"/>
        </w:rPr>
      </w:pPr>
      <w:r>
        <w:rPr>
          <w:color w:val="auto"/>
          <w:sz w:val="24"/>
        </w:rPr>
        <w:t>T——用于计算等效声级的时间，s；</w:t>
      </w:r>
    </w:p>
    <w:p>
      <w:pPr>
        <w:adjustRightInd w:val="0"/>
        <w:spacing w:line="360" w:lineRule="auto"/>
        <w:ind w:firstLine="480" w:firstLineChars="200"/>
        <w:rPr>
          <w:color w:val="auto"/>
          <w:sz w:val="24"/>
        </w:rPr>
      </w:pPr>
      <w:r>
        <w:rPr>
          <w:color w:val="auto"/>
          <w:sz w:val="24"/>
        </w:rPr>
        <w:t>N——室外声源个数；</w:t>
      </w:r>
    </w:p>
    <w:p>
      <w:pPr>
        <w:adjustRightInd w:val="0"/>
        <w:spacing w:line="360" w:lineRule="auto"/>
        <w:ind w:firstLine="480" w:firstLineChars="200"/>
        <w:rPr>
          <w:color w:val="auto"/>
          <w:sz w:val="24"/>
        </w:rPr>
      </w:pPr>
      <w:r>
        <w:rPr>
          <w:color w:val="auto"/>
          <w:sz w:val="24"/>
        </w:rPr>
        <w:t>M——等效室内外声源个数。</w:t>
      </w:r>
    </w:p>
    <w:p>
      <w:pPr>
        <w:spacing w:line="480" w:lineRule="atLeast"/>
        <w:ind w:firstLine="480" w:firstLineChars="200"/>
        <w:rPr>
          <w:color w:val="auto"/>
          <w:kern w:val="24"/>
          <w:sz w:val="24"/>
        </w:rPr>
      </w:pPr>
      <w:r>
        <w:rPr>
          <w:color w:val="auto"/>
          <w:kern w:val="24"/>
          <w:sz w:val="24"/>
        </w:rPr>
        <w:t>利用上述模式可以预测分析该项目主要声源同时排放噪声的最为严重影响状况下，这些声源对边界声环境质量叠加影响。</w:t>
      </w:r>
    </w:p>
    <w:p>
      <w:pPr>
        <w:pStyle w:val="5"/>
        <w:spacing w:before="0" w:after="0" w:line="520" w:lineRule="exact"/>
        <w:rPr>
          <w:color w:val="auto"/>
          <w:sz w:val="24"/>
          <w:szCs w:val="24"/>
        </w:rPr>
      </w:pPr>
      <w:r>
        <w:rPr>
          <w:color w:val="auto"/>
          <w:sz w:val="24"/>
          <w:szCs w:val="24"/>
        </w:rPr>
        <w:t>（3）预测结果</w:t>
      </w:r>
    </w:p>
    <w:p>
      <w:pPr>
        <w:snapToGrid w:val="0"/>
        <w:spacing w:line="520" w:lineRule="exact"/>
        <w:ind w:firstLine="480" w:firstLineChars="200"/>
        <w:rPr>
          <w:b/>
          <w:bCs/>
          <w:color w:val="auto"/>
          <w:szCs w:val="21"/>
        </w:rPr>
      </w:pPr>
      <w:r>
        <w:rPr>
          <w:color w:val="auto"/>
          <w:sz w:val="24"/>
        </w:rPr>
        <w:t>利用上述的预测数字模型，将有关参数代入公式计算，预测工程噪声源对各向厂界的影响。</w:t>
      </w:r>
    </w:p>
    <w:p>
      <w:pPr>
        <w:pStyle w:val="134"/>
        <w:snapToGrid w:val="0"/>
        <w:spacing w:line="500" w:lineRule="exact"/>
        <w:ind w:firstLine="0"/>
        <w:jc w:val="center"/>
        <w:rPr>
          <w:rFonts w:ascii="Times New Roman"/>
          <w:b/>
          <w:bCs/>
          <w:color w:val="auto"/>
          <w:kern w:val="2"/>
          <w:sz w:val="24"/>
          <w:szCs w:val="24"/>
        </w:rPr>
      </w:pPr>
      <w:r>
        <w:rPr>
          <w:rFonts w:hint="eastAsia" w:ascii="Times New Roman"/>
          <w:b/>
          <w:bCs/>
          <w:color w:val="auto"/>
          <w:kern w:val="2"/>
          <w:sz w:val="24"/>
          <w:szCs w:val="24"/>
        </w:rPr>
        <w:t>表6</w:t>
      </w:r>
      <w:r>
        <w:rPr>
          <w:rFonts w:ascii="Times New Roman"/>
          <w:b/>
          <w:bCs/>
          <w:color w:val="auto"/>
          <w:kern w:val="2"/>
          <w:sz w:val="24"/>
          <w:szCs w:val="24"/>
        </w:rPr>
        <w:t>-</w:t>
      </w:r>
      <w:r>
        <w:rPr>
          <w:rFonts w:hint="eastAsia" w:ascii="Times New Roman"/>
          <w:b/>
          <w:bCs/>
          <w:color w:val="auto"/>
          <w:kern w:val="2"/>
          <w:sz w:val="24"/>
          <w:szCs w:val="24"/>
          <w:lang w:val="en-US" w:eastAsia="zh-CN"/>
        </w:rPr>
        <w:t>18</w:t>
      </w:r>
      <w:r>
        <w:rPr>
          <w:rFonts w:ascii="Times New Roman"/>
          <w:b/>
          <w:bCs/>
          <w:color w:val="auto"/>
          <w:kern w:val="2"/>
          <w:sz w:val="24"/>
          <w:szCs w:val="24"/>
        </w:rPr>
        <w:t xml:space="preserve">   噪声影响预测结果     单位：dB(A)</w:t>
      </w:r>
    </w:p>
    <w:tbl>
      <w:tblPr>
        <w:tblStyle w:val="53"/>
        <w:tblW w:w="4998"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1935"/>
        <w:gridCol w:w="3040"/>
        <w:gridCol w:w="3974"/>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12" w:hRule="atLeast"/>
          <w:jc w:val="center"/>
        </w:trPr>
        <w:tc>
          <w:tcPr>
            <w:tcW w:w="1081" w:type="pct"/>
            <w:vMerge w:val="restart"/>
            <w:vAlign w:val="center"/>
          </w:tcPr>
          <w:p>
            <w:pPr>
              <w:jc w:val="center"/>
              <w:rPr>
                <w:bCs/>
                <w:color w:val="auto"/>
                <w:szCs w:val="21"/>
              </w:rPr>
            </w:pPr>
            <w:r>
              <w:rPr>
                <w:bCs/>
                <w:color w:val="auto"/>
                <w:szCs w:val="21"/>
              </w:rPr>
              <w:t>序号</w:t>
            </w:r>
          </w:p>
        </w:tc>
        <w:tc>
          <w:tcPr>
            <w:tcW w:w="1698" w:type="pct"/>
            <w:vMerge w:val="restart"/>
            <w:vAlign w:val="center"/>
          </w:tcPr>
          <w:p>
            <w:pPr>
              <w:jc w:val="center"/>
              <w:rPr>
                <w:bCs/>
                <w:color w:val="auto"/>
                <w:szCs w:val="21"/>
              </w:rPr>
            </w:pPr>
            <w:r>
              <w:rPr>
                <w:bCs/>
                <w:color w:val="auto"/>
                <w:szCs w:val="21"/>
              </w:rPr>
              <w:t>预测点</w:t>
            </w:r>
          </w:p>
        </w:tc>
        <w:tc>
          <w:tcPr>
            <w:tcW w:w="2220" w:type="pct"/>
            <w:vMerge w:val="restart"/>
            <w:vAlign w:val="center"/>
          </w:tcPr>
          <w:p>
            <w:pPr>
              <w:jc w:val="center"/>
              <w:rPr>
                <w:bCs/>
                <w:color w:val="auto"/>
                <w:szCs w:val="21"/>
              </w:rPr>
            </w:pPr>
            <w:r>
              <w:rPr>
                <w:bCs/>
                <w:color w:val="auto"/>
                <w:szCs w:val="21"/>
              </w:rPr>
              <w:t>贡献值</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12" w:hRule="atLeast"/>
          <w:jc w:val="center"/>
        </w:trPr>
        <w:tc>
          <w:tcPr>
            <w:tcW w:w="1081" w:type="pct"/>
            <w:vMerge w:val="continue"/>
            <w:vAlign w:val="center"/>
          </w:tcPr>
          <w:p>
            <w:pPr>
              <w:jc w:val="center"/>
              <w:rPr>
                <w:bCs/>
                <w:color w:val="auto"/>
                <w:szCs w:val="21"/>
              </w:rPr>
            </w:pPr>
          </w:p>
        </w:tc>
        <w:tc>
          <w:tcPr>
            <w:tcW w:w="1698" w:type="pct"/>
            <w:vMerge w:val="continue"/>
            <w:vAlign w:val="center"/>
          </w:tcPr>
          <w:p>
            <w:pPr>
              <w:jc w:val="center"/>
              <w:rPr>
                <w:bCs/>
                <w:color w:val="auto"/>
                <w:szCs w:val="21"/>
              </w:rPr>
            </w:pPr>
          </w:p>
        </w:tc>
        <w:tc>
          <w:tcPr>
            <w:tcW w:w="2220" w:type="pct"/>
            <w:vMerge w:val="continue"/>
            <w:vAlign w:val="center"/>
          </w:tcPr>
          <w:p>
            <w:pPr>
              <w:jc w:val="center"/>
              <w:rPr>
                <w:bCs/>
                <w:color w:val="auto"/>
                <w:szCs w:val="21"/>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 w:hRule="atLeast"/>
          <w:jc w:val="center"/>
        </w:trPr>
        <w:tc>
          <w:tcPr>
            <w:tcW w:w="1081" w:type="pct"/>
            <w:vAlign w:val="center"/>
          </w:tcPr>
          <w:p>
            <w:pPr>
              <w:jc w:val="center"/>
              <w:rPr>
                <w:bCs/>
                <w:color w:val="auto"/>
                <w:szCs w:val="21"/>
              </w:rPr>
            </w:pPr>
            <w:r>
              <w:rPr>
                <w:bCs/>
                <w:color w:val="auto"/>
                <w:szCs w:val="21"/>
              </w:rPr>
              <w:t>1</w:t>
            </w:r>
          </w:p>
        </w:tc>
        <w:tc>
          <w:tcPr>
            <w:tcW w:w="1698" w:type="pct"/>
            <w:vAlign w:val="center"/>
          </w:tcPr>
          <w:p>
            <w:pPr>
              <w:jc w:val="center"/>
              <w:rPr>
                <w:bCs/>
                <w:color w:val="auto"/>
                <w:szCs w:val="21"/>
              </w:rPr>
            </w:pPr>
            <w:r>
              <w:rPr>
                <w:bCs/>
                <w:color w:val="auto"/>
                <w:szCs w:val="21"/>
              </w:rPr>
              <w:t>东厂界</w:t>
            </w:r>
          </w:p>
        </w:tc>
        <w:tc>
          <w:tcPr>
            <w:tcW w:w="2220" w:type="pct"/>
            <w:vAlign w:val="center"/>
          </w:tcPr>
          <w:p>
            <w:pPr>
              <w:jc w:val="center"/>
              <w:rPr>
                <w:bCs/>
                <w:color w:val="auto"/>
                <w:szCs w:val="21"/>
              </w:rPr>
            </w:pPr>
            <w:r>
              <w:rPr>
                <w:bCs/>
                <w:color w:val="auto"/>
                <w:szCs w:val="21"/>
              </w:rPr>
              <w:t>51.</w:t>
            </w:r>
            <w:r>
              <w:rPr>
                <w:rFonts w:hint="eastAsia"/>
                <w:bCs/>
                <w:color w:val="auto"/>
                <w:szCs w:val="21"/>
              </w:rPr>
              <w:t>9</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 w:hRule="atLeast"/>
          <w:jc w:val="center"/>
        </w:trPr>
        <w:tc>
          <w:tcPr>
            <w:tcW w:w="1081" w:type="pct"/>
            <w:vAlign w:val="center"/>
          </w:tcPr>
          <w:p>
            <w:pPr>
              <w:jc w:val="center"/>
              <w:rPr>
                <w:bCs/>
                <w:color w:val="auto"/>
                <w:szCs w:val="21"/>
              </w:rPr>
            </w:pPr>
            <w:r>
              <w:rPr>
                <w:bCs/>
                <w:color w:val="auto"/>
                <w:szCs w:val="21"/>
              </w:rPr>
              <w:t>2</w:t>
            </w:r>
          </w:p>
        </w:tc>
        <w:tc>
          <w:tcPr>
            <w:tcW w:w="1698" w:type="pct"/>
            <w:vAlign w:val="center"/>
          </w:tcPr>
          <w:p>
            <w:pPr>
              <w:jc w:val="center"/>
              <w:rPr>
                <w:bCs/>
                <w:color w:val="auto"/>
                <w:szCs w:val="21"/>
              </w:rPr>
            </w:pPr>
            <w:r>
              <w:rPr>
                <w:bCs/>
                <w:color w:val="auto"/>
                <w:szCs w:val="21"/>
              </w:rPr>
              <w:t>南厂界</w:t>
            </w:r>
          </w:p>
        </w:tc>
        <w:tc>
          <w:tcPr>
            <w:tcW w:w="2220" w:type="pct"/>
            <w:vAlign w:val="center"/>
          </w:tcPr>
          <w:p>
            <w:pPr>
              <w:jc w:val="center"/>
              <w:rPr>
                <w:bCs/>
                <w:color w:val="auto"/>
                <w:szCs w:val="21"/>
              </w:rPr>
            </w:pPr>
            <w:r>
              <w:rPr>
                <w:bCs/>
                <w:color w:val="auto"/>
                <w:szCs w:val="21"/>
              </w:rPr>
              <w:t>5</w:t>
            </w:r>
            <w:r>
              <w:rPr>
                <w:rFonts w:hint="eastAsia"/>
                <w:bCs/>
                <w:color w:val="auto"/>
                <w:szCs w:val="21"/>
              </w:rPr>
              <w:t>1</w:t>
            </w:r>
            <w:r>
              <w:rPr>
                <w:bCs/>
                <w:color w:val="auto"/>
                <w:szCs w:val="21"/>
              </w:rPr>
              <w:t>.</w:t>
            </w:r>
            <w:r>
              <w:rPr>
                <w:rFonts w:hint="eastAsia"/>
                <w:bCs/>
                <w:color w:val="auto"/>
                <w:szCs w:val="21"/>
              </w:rPr>
              <w:t>5</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 w:hRule="atLeast"/>
          <w:jc w:val="center"/>
        </w:trPr>
        <w:tc>
          <w:tcPr>
            <w:tcW w:w="1081" w:type="pct"/>
            <w:vAlign w:val="center"/>
          </w:tcPr>
          <w:p>
            <w:pPr>
              <w:jc w:val="center"/>
              <w:rPr>
                <w:bCs/>
                <w:color w:val="auto"/>
                <w:szCs w:val="21"/>
              </w:rPr>
            </w:pPr>
            <w:r>
              <w:rPr>
                <w:bCs/>
                <w:color w:val="auto"/>
                <w:szCs w:val="21"/>
              </w:rPr>
              <w:t>3</w:t>
            </w:r>
          </w:p>
        </w:tc>
        <w:tc>
          <w:tcPr>
            <w:tcW w:w="1698" w:type="pct"/>
            <w:vAlign w:val="center"/>
          </w:tcPr>
          <w:p>
            <w:pPr>
              <w:jc w:val="center"/>
              <w:rPr>
                <w:bCs/>
                <w:color w:val="auto"/>
                <w:szCs w:val="21"/>
              </w:rPr>
            </w:pPr>
            <w:r>
              <w:rPr>
                <w:bCs/>
                <w:color w:val="auto"/>
                <w:szCs w:val="21"/>
              </w:rPr>
              <w:t>西厂界</w:t>
            </w:r>
          </w:p>
        </w:tc>
        <w:tc>
          <w:tcPr>
            <w:tcW w:w="2220" w:type="pct"/>
            <w:vAlign w:val="center"/>
          </w:tcPr>
          <w:p>
            <w:pPr>
              <w:jc w:val="center"/>
              <w:rPr>
                <w:bCs/>
                <w:color w:val="auto"/>
                <w:szCs w:val="21"/>
              </w:rPr>
            </w:pPr>
            <w:r>
              <w:rPr>
                <w:bCs/>
                <w:color w:val="auto"/>
                <w:szCs w:val="21"/>
              </w:rPr>
              <w:t>5</w:t>
            </w:r>
            <w:r>
              <w:rPr>
                <w:rFonts w:hint="eastAsia"/>
                <w:bCs/>
                <w:color w:val="auto"/>
                <w:szCs w:val="21"/>
                <w:lang w:val="en-US" w:eastAsia="zh-CN"/>
              </w:rPr>
              <w:t>2</w:t>
            </w:r>
            <w:r>
              <w:rPr>
                <w:bCs/>
                <w:color w:val="auto"/>
                <w:szCs w:val="21"/>
              </w:rPr>
              <w:t>.</w:t>
            </w:r>
            <w:r>
              <w:rPr>
                <w:rFonts w:hint="eastAsia"/>
                <w:bCs/>
                <w:color w:val="auto"/>
                <w:szCs w:val="21"/>
              </w:rPr>
              <w:t>6</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 w:hRule="atLeast"/>
          <w:jc w:val="center"/>
        </w:trPr>
        <w:tc>
          <w:tcPr>
            <w:tcW w:w="1081" w:type="pct"/>
            <w:vAlign w:val="center"/>
          </w:tcPr>
          <w:p>
            <w:pPr>
              <w:jc w:val="center"/>
              <w:rPr>
                <w:bCs/>
                <w:color w:val="auto"/>
                <w:szCs w:val="21"/>
              </w:rPr>
            </w:pPr>
            <w:r>
              <w:rPr>
                <w:bCs/>
                <w:color w:val="auto"/>
                <w:szCs w:val="21"/>
              </w:rPr>
              <w:t>4</w:t>
            </w:r>
          </w:p>
        </w:tc>
        <w:tc>
          <w:tcPr>
            <w:tcW w:w="1698" w:type="pct"/>
            <w:vAlign w:val="center"/>
          </w:tcPr>
          <w:p>
            <w:pPr>
              <w:jc w:val="center"/>
              <w:rPr>
                <w:bCs/>
                <w:color w:val="auto"/>
                <w:szCs w:val="21"/>
              </w:rPr>
            </w:pPr>
            <w:r>
              <w:rPr>
                <w:bCs/>
                <w:color w:val="auto"/>
                <w:szCs w:val="21"/>
              </w:rPr>
              <w:t>北厂界</w:t>
            </w:r>
          </w:p>
        </w:tc>
        <w:tc>
          <w:tcPr>
            <w:tcW w:w="2220" w:type="pct"/>
            <w:vAlign w:val="center"/>
          </w:tcPr>
          <w:p>
            <w:pPr>
              <w:jc w:val="center"/>
              <w:rPr>
                <w:bCs/>
                <w:color w:val="auto"/>
                <w:szCs w:val="21"/>
              </w:rPr>
            </w:pPr>
            <w:r>
              <w:rPr>
                <w:rFonts w:hint="eastAsia"/>
                <w:bCs/>
                <w:color w:val="auto"/>
                <w:szCs w:val="21"/>
              </w:rPr>
              <w:t>5</w:t>
            </w:r>
            <w:r>
              <w:rPr>
                <w:rFonts w:hint="eastAsia"/>
                <w:bCs/>
                <w:color w:val="auto"/>
                <w:szCs w:val="21"/>
                <w:lang w:val="en-US" w:eastAsia="zh-CN"/>
              </w:rPr>
              <w:t>3</w:t>
            </w:r>
            <w:r>
              <w:rPr>
                <w:rFonts w:hint="eastAsia"/>
                <w:bCs/>
                <w:color w:val="auto"/>
                <w:szCs w:val="21"/>
              </w:rPr>
              <w:t>.8</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 w:hRule="atLeast"/>
          <w:jc w:val="center"/>
        </w:trPr>
        <w:tc>
          <w:tcPr>
            <w:tcW w:w="2779" w:type="pct"/>
            <w:gridSpan w:val="2"/>
            <w:vAlign w:val="center"/>
          </w:tcPr>
          <w:p>
            <w:pPr>
              <w:jc w:val="center"/>
              <w:rPr>
                <w:bCs/>
                <w:color w:val="auto"/>
                <w:szCs w:val="21"/>
              </w:rPr>
            </w:pPr>
            <w:r>
              <w:rPr>
                <w:rFonts w:hint="eastAsia"/>
                <w:bCs/>
                <w:color w:val="auto"/>
                <w:szCs w:val="21"/>
              </w:rPr>
              <w:t>标准值</w:t>
            </w:r>
          </w:p>
        </w:tc>
        <w:tc>
          <w:tcPr>
            <w:tcW w:w="2220" w:type="pct"/>
            <w:vAlign w:val="center"/>
          </w:tcPr>
          <w:p>
            <w:pPr>
              <w:jc w:val="center"/>
              <w:rPr>
                <w:rFonts w:hint="default" w:eastAsia="宋体"/>
                <w:bCs/>
                <w:color w:val="auto"/>
                <w:szCs w:val="21"/>
                <w:lang w:val="en-US" w:eastAsia="zh-CN"/>
              </w:rPr>
            </w:pPr>
            <w:r>
              <w:rPr>
                <w:rFonts w:hint="eastAsia"/>
                <w:bCs/>
                <w:color w:val="auto"/>
                <w:szCs w:val="21"/>
                <w:lang w:val="en-US" w:eastAsia="zh-CN"/>
              </w:rPr>
              <w:t>65</w:t>
            </w:r>
          </w:p>
        </w:tc>
      </w:tr>
    </w:tbl>
    <w:p>
      <w:pPr>
        <w:pStyle w:val="134"/>
        <w:snapToGrid w:val="0"/>
        <w:spacing w:line="500" w:lineRule="exact"/>
        <w:ind w:firstLine="0"/>
        <w:jc w:val="center"/>
        <w:rPr>
          <w:rFonts w:ascii="Times New Roman"/>
          <w:b/>
          <w:bCs/>
          <w:color w:val="auto"/>
          <w:kern w:val="2"/>
          <w:sz w:val="24"/>
          <w:szCs w:val="24"/>
        </w:rPr>
      </w:pPr>
    </w:p>
    <w:p>
      <w:pPr>
        <w:tabs>
          <w:tab w:val="left" w:pos="7125"/>
        </w:tabs>
        <w:spacing w:line="520" w:lineRule="exact"/>
        <w:ind w:firstLine="480" w:firstLineChars="200"/>
        <w:rPr>
          <w:color w:val="auto"/>
          <w:sz w:val="24"/>
        </w:rPr>
      </w:pPr>
      <w:r>
        <w:rPr>
          <w:color w:val="auto"/>
          <w:sz w:val="24"/>
        </w:rPr>
        <w:t>由上表预测结果表明，项目运营后经采取本评价提出的噪声防治措施并经厂房隔声、距离衰减后厂界噪声均</w:t>
      </w:r>
      <w:r>
        <w:rPr>
          <w:bCs/>
          <w:color w:val="auto"/>
          <w:sz w:val="24"/>
        </w:rPr>
        <w:t>能满足</w:t>
      </w:r>
      <w:r>
        <w:rPr>
          <w:color w:val="auto"/>
          <w:sz w:val="24"/>
        </w:rPr>
        <w:t>《工业企业厂界环境噪声排放标准》（GB12348-2008）中3类标准。</w:t>
      </w:r>
    </w:p>
    <w:p>
      <w:pPr>
        <w:pStyle w:val="5"/>
        <w:spacing w:before="0" w:after="0" w:line="520" w:lineRule="exact"/>
        <w:rPr>
          <w:color w:val="auto"/>
          <w:sz w:val="24"/>
          <w:szCs w:val="24"/>
        </w:rPr>
      </w:pPr>
      <w:bookmarkStart w:id="277" w:name="_Toc366874123"/>
      <w:bookmarkStart w:id="278" w:name="_Toc367091882"/>
      <w:r>
        <w:rPr>
          <w:rFonts w:hint="eastAsia"/>
          <w:color w:val="auto"/>
          <w:sz w:val="24"/>
          <w:szCs w:val="24"/>
        </w:rPr>
        <w:t>6.2</w:t>
      </w:r>
      <w:r>
        <w:rPr>
          <w:color w:val="auto"/>
          <w:sz w:val="24"/>
          <w:szCs w:val="24"/>
        </w:rPr>
        <w:t>.5固体废弃物环境影响分析</w:t>
      </w:r>
      <w:bookmarkEnd w:id="277"/>
      <w:bookmarkEnd w:id="278"/>
    </w:p>
    <w:p>
      <w:pPr>
        <w:pStyle w:val="15"/>
        <w:spacing w:line="520" w:lineRule="exact"/>
        <w:ind w:firstLine="480"/>
        <w:rPr>
          <w:color w:val="auto"/>
        </w:rPr>
      </w:pPr>
      <w:r>
        <w:rPr>
          <w:color w:val="auto"/>
        </w:rPr>
        <w:t>随着工业化进程的加快，固体废物无论产生量或类别都不断增多，在无控制的情况下，固体废物对环境的影响危害程度也益加显示，事实上，环境要素中，河流、空气、地下水、土壤的污染相当一部分是由于固体废物而造成的，特别是一些危险性废物，其潜在威胁更大。</w:t>
      </w:r>
    </w:p>
    <w:p>
      <w:pPr>
        <w:pStyle w:val="15"/>
        <w:spacing w:line="520" w:lineRule="exact"/>
        <w:ind w:firstLine="480"/>
        <w:rPr>
          <w:color w:val="auto"/>
          <w:kern w:val="0"/>
        </w:rPr>
      </w:pPr>
      <w:r>
        <w:rPr>
          <w:color w:val="auto"/>
          <w:kern w:val="0"/>
        </w:rPr>
        <w:t>因此必须从各个环节进行全方位管理，采取有效措施防止固废在产生、收集、贮存、运输过程中的散失，并采用有效处置的方案和技术，首先从有用物料回收再利用着眼，“化废为宝”，既回收一部分资源，又减轻处置负荷，对目前还不能回收利用的，应遵循“无害化”处置原则进行有效处置。</w:t>
      </w:r>
    </w:p>
    <w:p>
      <w:pPr>
        <w:pStyle w:val="15"/>
        <w:spacing w:line="520" w:lineRule="exact"/>
        <w:ind w:firstLine="482"/>
        <w:rPr>
          <w:b/>
          <w:bCs/>
          <w:color w:val="auto"/>
        </w:rPr>
      </w:pPr>
      <w:r>
        <w:rPr>
          <w:rFonts w:hint="eastAsia"/>
          <w:b/>
          <w:bCs/>
          <w:color w:val="auto"/>
          <w:kern w:val="0"/>
        </w:rPr>
        <w:t>1、</w:t>
      </w:r>
      <w:r>
        <w:rPr>
          <w:b/>
          <w:bCs/>
          <w:color w:val="auto"/>
          <w:kern w:val="0"/>
        </w:rPr>
        <w:t>项目固废处置方案：</w:t>
      </w:r>
    </w:p>
    <w:p>
      <w:pPr>
        <w:spacing w:line="360" w:lineRule="auto"/>
        <w:ind w:firstLine="480" w:firstLineChars="200"/>
        <w:rPr>
          <w:bCs/>
          <w:color w:val="auto"/>
          <w:sz w:val="24"/>
        </w:rPr>
      </w:pPr>
      <w:r>
        <w:rPr>
          <w:rFonts w:hint="eastAsia"/>
          <w:bCs/>
          <w:color w:val="auto"/>
          <w:sz w:val="24"/>
          <w:lang w:eastAsia="zh-CN"/>
        </w:rPr>
        <w:t>收集的粉尘</w:t>
      </w:r>
      <w:r>
        <w:rPr>
          <w:bCs/>
          <w:color w:val="auto"/>
          <w:sz w:val="24"/>
        </w:rPr>
        <w:t>：集中收集后</w:t>
      </w:r>
      <w:r>
        <w:rPr>
          <w:rFonts w:hint="eastAsia"/>
          <w:bCs/>
          <w:color w:val="auto"/>
          <w:sz w:val="24"/>
          <w:lang w:eastAsia="zh-CN"/>
        </w:rPr>
        <w:t>回用于生产</w:t>
      </w:r>
      <w:r>
        <w:rPr>
          <w:bCs/>
          <w:color w:val="auto"/>
          <w:sz w:val="24"/>
        </w:rPr>
        <w:t>。</w:t>
      </w:r>
    </w:p>
    <w:p>
      <w:pPr>
        <w:spacing w:line="360" w:lineRule="auto"/>
        <w:ind w:firstLine="480" w:firstLineChars="200"/>
        <w:rPr>
          <w:color w:val="auto"/>
          <w:sz w:val="24"/>
        </w:rPr>
      </w:pPr>
      <w:r>
        <w:rPr>
          <w:bCs/>
          <w:color w:val="auto"/>
          <w:sz w:val="24"/>
        </w:rPr>
        <w:t>废包</w:t>
      </w:r>
      <w:r>
        <w:rPr>
          <w:rFonts w:hint="eastAsia"/>
          <w:bCs/>
          <w:color w:val="auto"/>
          <w:sz w:val="24"/>
        </w:rPr>
        <w:t>装材料（一般固体废物）：集中收</w:t>
      </w:r>
      <w:r>
        <w:rPr>
          <w:bCs/>
          <w:color w:val="auto"/>
          <w:sz w:val="24"/>
        </w:rPr>
        <w:t>集后外售物资回收公司</w:t>
      </w:r>
      <w:r>
        <w:rPr>
          <w:color w:val="auto"/>
          <w:sz w:val="24"/>
        </w:rPr>
        <w:t>。</w:t>
      </w:r>
    </w:p>
    <w:p>
      <w:pPr>
        <w:spacing w:line="360" w:lineRule="auto"/>
        <w:ind w:firstLine="480" w:firstLineChars="200"/>
        <w:rPr>
          <w:color w:val="auto"/>
          <w:sz w:val="24"/>
        </w:rPr>
      </w:pPr>
      <w:r>
        <w:rPr>
          <w:rFonts w:hint="eastAsia"/>
          <w:color w:val="auto"/>
          <w:sz w:val="24"/>
        </w:rPr>
        <w:t>生活垃圾：交由环卫</w:t>
      </w:r>
      <w:r>
        <w:rPr>
          <w:color w:val="auto"/>
          <w:sz w:val="24"/>
        </w:rPr>
        <w:t>处理。</w:t>
      </w:r>
    </w:p>
    <w:p>
      <w:pPr>
        <w:spacing w:line="360" w:lineRule="auto"/>
        <w:ind w:firstLine="480" w:firstLineChars="200"/>
        <w:rPr>
          <w:color w:val="auto"/>
          <w:kern w:val="0"/>
        </w:rPr>
      </w:pPr>
      <w:r>
        <w:rPr>
          <w:rFonts w:hint="eastAsia"/>
          <w:color w:val="auto"/>
          <w:sz w:val="24"/>
          <w:lang w:eastAsia="zh-CN"/>
        </w:rPr>
        <w:t>废活性炭、废硫化剂</w:t>
      </w:r>
      <w:r>
        <w:rPr>
          <w:rFonts w:hint="default"/>
          <w:bCs/>
          <w:color w:val="auto"/>
          <w:sz w:val="24"/>
          <w:lang w:val="en-US" w:eastAsia="zh-CN"/>
        </w:rPr>
        <w:t>及废氧化锌等包装材料</w:t>
      </w:r>
      <w:r>
        <w:rPr>
          <w:rFonts w:hint="eastAsia"/>
          <w:bCs/>
          <w:color w:val="auto"/>
          <w:sz w:val="24"/>
          <w:lang w:val="en-US" w:eastAsia="zh-CN"/>
        </w:rPr>
        <w:t>、废脱脂槽液</w:t>
      </w:r>
      <w:r>
        <w:rPr>
          <w:rFonts w:hint="eastAsia"/>
          <w:bCs/>
          <w:color w:val="auto"/>
          <w:sz w:val="24"/>
        </w:rPr>
        <w:t>：</w:t>
      </w:r>
      <w:r>
        <w:rPr>
          <w:bCs/>
          <w:color w:val="auto"/>
          <w:sz w:val="24"/>
        </w:rPr>
        <w:t>位于厂区危废临时暂存场所暂存，定期送有危险废物处置资质的单位集中处置。</w:t>
      </w:r>
    </w:p>
    <w:p>
      <w:pPr>
        <w:spacing w:line="360" w:lineRule="auto"/>
        <w:ind w:firstLine="482" w:firstLineChars="200"/>
        <w:rPr>
          <w:b/>
          <w:color w:val="auto"/>
          <w:sz w:val="24"/>
        </w:rPr>
      </w:pPr>
      <w:r>
        <w:rPr>
          <w:rFonts w:hint="eastAsia"/>
          <w:b/>
          <w:color w:val="auto"/>
          <w:sz w:val="24"/>
        </w:rPr>
        <w:t>2、</w:t>
      </w:r>
      <w:r>
        <w:rPr>
          <w:b/>
          <w:color w:val="auto"/>
          <w:sz w:val="24"/>
        </w:rPr>
        <w:t>危险废物处置</w:t>
      </w:r>
    </w:p>
    <w:p>
      <w:pPr>
        <w:spacing w:line="460" w:lineRule="exact"/>
        <w:ind w:firstLine="480" w:firstLineChars="200"/>
        <w:rPr>
          <w:color w:val="auto"/>
          <w:sz w:val="24"/>
        </w:rPr>
      </w:pPr>
      <w:r>
        <w:rPr>
          <w:rFonts w:hint="eastAsia"/>
          <w:color w:val="auto"/>
          <w:sz w:val="24"/>
        </w:rPr>
        <w:t>项目产生的危险废物为</w:t>
      </w:r>
      <w:r>
        <w:rPr>
          <w:rFonts w:hint="eastAsia"/>
          <w:color w:val="auto"/>
          <w:sz w:val="24"/>
          <w:lang w:eastAsia="zh-CN"/>
        </w:rPr>
        <w:t>废活性炭、废硫化剂</w:t>
      </w:r>
      <w:r>
        <w:rPr>
          <w:rFonts w:hint="default"/>
          <w:bCs/>
          <w:color w:val="auto"/>
          <w:sz w:val="24"/>
          <w:lang w:val="en-US" w:eastAsia="zh-CN"/>
        </w:rPr>
        <w:t>及废氧化锌等包装材料</w:t>
      </w:r>
      <w:r>
        <w:rPr>
          <w:rFonts w:hint="eastAsia"/>
          <w:color w:val="auto"/>
          <w:sz w:val="24"/>
        </w:rPr>
        <w:t>，</w:t>
      </w:r>
      <w:r>
        <w:rPr>
          <w:rFonts w:hint="eastAsia" w:hAnsi="宋体"/>
          <w:color w:val="auto"/>
          <w:kern w:val="0"/>
          <w:sz w:val="24"/>
        </w:rPr>
        <w:t>本项目</w:t>
      </w:r>
      <w:r>
        <w:rPr>
          <w:rFonts w:hint="eastAsia" w:hAnsi="宋体"/>
          <w:color w:val="auto"/>
          <w:kern w:val="0"/>
          <w:sz w:val="24"/>
          <w:lang w:eastAsia="zh-CN"/>
        </w:rPr>
        <w:t>新建</w:t>
      </w:r>
      <w:r>
        <w:rPr>
          <w:rFonts w:hint="eastAsia" w:hAnsi="宋体"/>
          <w:color w:val="auto"/>
          <w:kern w:val="0"/>
          <w:sz w:val="24"/>
        </w:rPr>
        <w:t>一个危废暂存间，危险废物拟半年委托处置一次。项目危废于暂存间密封暂存后，定期送具有危险废物处置资质单位进行处理，危废库</w:t>
      </w:r>
      <w:r>
        <w:rPr>
          <w:rFonts w:hint="eastAsia"/>
          <w:color w:val="auto"/>
          <w:sz w:val="24"/>
        </w:rPr>
        <w:t>设有防腐、防渗、防雨等措施。</w:t>
      </w:r>
    </w:p>
    <w:p>
      <w:pPr>
        <w:spacing w:line="460" w:lineRule="exact"/>
        <w:ind w:firstLine="480" w:firstLineChars="200"/>
        <w:rPr>
          <w:color w:val="auto"/>
          <w:sz w:val="24"/>
        </w:rPr>
      </w:pPr>
      <w:r>
        <w:rPr>
          <w:rFonts w:hint="eastAsia"/>
          <w:color w:val="auto"/>
          <w:sz w:val="24"/>
        </w:rPr>
        <w:t>项目危险废物贮存场所基本情况详见下表：</w:t>
      </w:r>
    </w:p>
    <w:p>
      <w:pPr>
        <w:spacing w:line="460" w:lineRule="exact"/>
        <w:jc w:val="center"/>
        <w:rPr>
          <w:rFonts w:ascii="宋体" w:hAnsi="宋体"/>
          <w:b/>
          <w:color w:val="auto"/>
          <w:sz w:val="24"/>
        </w:rPr>
      </w:pPr>
      <w:r>
        <w:rPr>
          <w:rFonts w:hint="eastAsia"/>
          <w:b/>
          <w:color w:val="auto"/>
          <w:sz w:val="24"/>
        </w:rPr>
        <w:t>表6-</w:t>
      </w:r>
      <w:r>
        <w:rPr>
          <w:rFonts w:hint="eastAsia"/>
          <w:b/>
          <w:color w:val="auto"/>
          <w:sz w:val="24"/>
          <w:lang w:val="en-US" w:eastAsia="zh-CN"/>
        </w:rPr>
        <w:t>19</w:t>
      </w:r>
      <w:r>
        <w:rPr>
          <w:rFonts w:hint="eastAsia"/>
          <w:b/>
          <w:color w:val="auto"/>
          <w:sz w:val="24"/>
        </w:rPr>
        <w:t xml:space="preserve">  </w:t>
      </w:r>
      <w:r>
        <w:rPr>
          <w:rFonts w:hint="eastAsia" w:ascii="宋体" w:hAnsi="宋体" w:cs="宋体"/>
          <w:b/>
          <w:bCs/>
          <w:color w:val="auto"/>
          <w:kern w:val="0"/>
          <w:sz w:val="24"/>
        </w:rPr>
        <w:t xml:space="preserve">建设项目危险废物贮存场所基本情况表 </w:t>
      </w:r>
    </w:p>
    <w:tbl>
      <w:tblPr>
        <w:tblStyle w:val="53"/>
        <w:tblW w:w="5113" w:type="pct"/>
        <w:jc w:val="center"/>
        <w:tblBorders>
          <w:top w:val="outset" w:color="auto" w:sz="6" w:space="0"/>
          <w:left w:val="outset" w:color="auto" w:sz="6" w:space="0"/>
          <w:bottom w:val="outset" w:color="auto" w:sz="6" w:space="0"/>
          <w:right w:val="outset" w:color="auto" w:sz="6" w:space="0"/>
          <w:insideH w:val="none" w:color="auto" w:sz="0" w:space="0"/>
          <w:insideV w:val="none" w:color="auto" w:sz="0" w:space="0"/>
        </w:tblBorders>
        <w:tblLayout w:type="autofit"/>
        <w:tblCellMar>
          <w:top w:w="0" w:type="dxa"/>
          <w:left w:w="0" w:type="dxa"/>
          <w:bottom w:w="0" w:type="dxa"/>
          <w:right w:w="0" w:type="dxa"/>
        </w:tblCellMar>
      </w:tblPr>
      <w:tblGrid>
        <w:gridCol w:w="634"/>
        <w:gridCol w:w="876"/>
        <w:gridCol w:w="1431"/>
        <w:gridCol w:w="828"/>
        <w:gridCol w:w="1190"/>
        <w:gridCol w:w="815"/>
        <w:gridCol w:w="704"/>
        <w:gridCol w:w="1200"/>
        <w:gridCol w:w="598"/>
        <w:gridCol w:w="675"/>
      </w:tblGrid>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rHeight w:val="601" w:hRule="atLeast"/>
          <w:jc w:val="center"/>
        </w:trPr>
        <w:tc>
          <w:tcPr>
            <w:tcW w:w="354" w:type="pct"/>
            <w:tcBorders>
              <w:top w:val="outset" w:color="auto" w:sz="6" w:space="0"/>
              <w:left w:val="outset" w:color="auto" w:sz="6" w:space="0"/>
              <w:bottom w:val="outset" w:color="auto" w:sz="6" w:space="0"/>
              <w:right w:val="outset" w:color="auto" w:sz="6" w:space="0"/>
            </w:tcBorders>
            <w:vAlign w:val="center"/>
          </w:tcPr>
          <w:p>
            <w:pPr>
              <w:widowControl/>
              <w:spacing w:line="320" w:lineRule="exact"/>
              <w:jc w:val="center"/>
              <w:rPr>
                <w:rFonts w:ascii="宋体" w:hAnsi="宋体" w:cs="宋体"/>
                <w:b/>
                <w:color w:val="auto"/>
                <w:kern w:val="0"/>
                <w:szCs w:val="21"/>
              </w:rPr>
            </w:pPr>
            <w:r>
              <w:rPr>
                <w:rFonts w:hint="eastAsia" w:ascii="宋体" w:hAnsi="宋体" w:cs="宋体"/>
                <w:b/>
                <w:color w:val="auto"/>
                <w:kern w:val="0"/>
                <w:szCs w:val="21"/>
              </w:rPr>
              <w:t>序号</w:t>
            </w:r>
          </w:p>
        </w:tc>
        <w:tc>
          <w:tcPr>
            <w:tcW w:w="489" w:type="pct"/>
            <w:tcBorders>
              <w:top w:val="outset" w:color="auto" w:sz="6" w:space="0"/>
              <w:left w:val="outset" w:color="auto" w:sz="6" w:space="0"/>
              <w:bottom w:val="outset" w:color="auto" w:sz="6" w:space="0"/>
              <w:right w:val="outset" w:color="auto" w:sz="6" w:space="0"/>
            </w:tcBorders>
            <w:vAlign w:val="center"/>
          </w:tcPr>
          <w:p>
            <w:pPr>
              <w:widowControl/>
              <w:spacing w:line="320" w:lineRule="exact"/>
              <w:jc w:val="center"/>
              <w:rPr>
                <w:rFonts w:ascii="宋体" w:hAnsi="宋体" w:cs="宋体"/>
                <w:b/>
                <w:color w:val="auto"/>
                <w:kern w:val="0"/>
                <w:szCs w:val="21"/>
              </w:rPr>
            </w:pPr>
            <w:r>
              <w:rPr>
                <w:rFonts w:hint="eastAsia" w:ascii="宋体" w:hAnsi="宋体" w:cs="宋体"/>
                <w:b/>
                <w:color w:val="auto"/>
                <w:kern w:val="0"/>
                <w:szCs w:val="21"/>
              </w:rPr>
              <w:t>贮存场所名称</w:t>
            </w:r>
          </w:p>
        </w:tc>
        <w:tc>
          <w:tcPr>
            <w:tcW w:w="799" w:type="pct"/>
            <w:tcBorders>
              <w:top w:val="outset" w:color="auto" w:sz="6" w:space="0"/>
              <w:left w:val="outset" w:color="auto" w:sz="6" w:space="0"/>
              <w:bottom w:val="outset" w:color="auto" w:sz="6" w:space="0"/>
              <w:right w:val="outset" w:color="auto" w:sz="6" w:space="0"/>
            </w:tcBorders>
            <w:vAlign w:val="center"/>
          </w:tcPr>
          <w:p>
            <w:pPr>
              <w:widowControl/>
              <w:spacing w:line="320" w:lineRule="exact"/>
              <w:jc w:val="center"/>
              <w:rPr>
                <w:rFonts w:ascii="宋体" w:hAnsi="宋体" w:cs="宋体"/>
                <w:b/>
                <w:color w:val="auto"/>
                <w:kern w:val="0"/>
                <w:szCs w:val="21"/>
              </w:rPr>
            </w:pPr>
            <w:r>
              <w:rPr>
                <w:rFonts w:hint="eastAsia" w:ascii="宋体" w:hAnsi="宋体" w:cs="宋体"/>
                <w:b/>
                <w:color w:val="auto"/>
                <w:kern w:val="0"/>
                <w:szCs w:val="21"/>
              </w:rPr>
              <w:t>危险废物</w:t>
            </w:r>
          </w:p>
          <w:p>
            <w:pPr>
              <w:widowControl/>
              <w:spacing w:line="320" w:lineRule="exact"/>
              <w:jc w:val="center"/>
              <w:rPr>
                <w:rFonts w:ascii="宋体" w:hAnsi="宋体" w:cs="宋体"/>
                <w:b/>
                <w:color w:val="auto"/>
                <w:kern w:val="0"/>
                <w:szCs w:val="21"/>
              </w:rPr>
            </w:pPr>
            <w:r>
              <w:rPr>
                <w:rFonts w:hint="eastAsia" w:ascii="宋体" w:hAnsi="宋体" w:cs="宋体"/>
                <w:b/>
                <w:color w:val="auto"/>
                <w:kern w:val="0"/>
                <w:szCs w:val="21"/>
              </w:rPr>
              <w:t>名称</w:t>
            </w:r>
          </w:p>
        </w:tc>
        <w:tc>
          <w:tcPr>
            <w:tcW w:w="462" w:type="pct"/>
            <w:tcBorders>
              <w:top w:val="outset" w:color="auto" w:sz="6" w:space="0"/>
              <w:left w:val="outset" w:color="auto" w:sz="6" w:space="0"/>
              <w:bottom w:val="outset" w:color="auto" w:sz="6" w:space="0"/>
              <w:right w:val="outset" w:color="auto" w:sz="6" w:space="0"/>
            </w:tcBorders>
            <w:vAlign w:val="center"/>
          </w:tcPr>
          <w:p>
            <w:pPr>
              <w:spacing w:line="320" w:lineRule="exact"/>
              <w:ind w:left="-63" w:leftChars="-30" w:right="-63" w:rightChars="-30"/>
              <w:jc w:val="center"/>
              <w:rPr>
                <w:rFonts w:ascii="宋体" w:hAnsi="宋体"/>
                <w:b/>
                <w:bCs/>
                <w:color w:val="auto"/>
                <w:szCs w:val="21"/>
              </w:rPr>
            </w:pPr>
            <w:r>
              <w:rPr>
                <w:rFonts w:hint="eastAsia" w:ascii="宋体" w:hAnsi="宋体"/>
                <w:b/>
                <w:bCs/>
                <w:color w:val="auto"/>
                <w:szCs w:val="21"/>
              </w:rPr>
              <w:t>危险废</w:t>
            </w:r>
          </w:p>
          <w:p>
            <w:pPr>
              <w:spacing w:line="320" w:lineRule="exact"/>
              <w:ind w:left="-63" w:leftChars="-30" w:right="-63" w:rightChars="-30"/>
              <w:jc w:val="center"/>
              <w:rPr>
                <w:rFonts w:ascii="宋体" w:hAnsi="宋体"/>
                <w:b/>
                <w:bCs/>
                <w:color w:val="auto"/>
                <w:szCs w:val="21"/>
              </w:rPr>
            </w:pPr>
            <w:r>
              <w:rPr>
                <w:rFonts w:hint="eastAsia" w:ascii="宋体" w:hAnsi="宋体"/>
                <w:b/>
                <w:bCs/>
                <w:color w:val="auto"/>
                <w:szCs w:val="21"/>
              </w:rPr>
              <w:t>物类别</w:t>
            </w:r>
          </w:p>
        </w:tc>
        <w:tc>
          <w:tcPr>
            <w:tcW w:w="664" w:type="pct"/>
            <w:tcBorders>
              <w:top w:val="outset" w:color="auto" w:sz="6" w:space="0"/>
              <w:left w:val="outset" w:color="auto" w:sz="6" w:space="0"/>
              <w:bottom w:val="outset" w:color="auto" w:sz="6" w:space="0"/>
              <w:right w:val="outset" w:color="auto" w:sz="6" w:space="0"/>
            </w:tcBorders>
            <w:vAlign w:val="center"/>
          </w:tcPr>
          <w:p>
            <w:pPr>
              <w:spacing w:line="320" w:lineRule="exact"/>
              <w:ind w:left="-63" w:leftChars="-30" w:right="-63" w:rightChars="-30"/>
              <w:jc w:val="center"/>
              <w:rPr>
                <w:rFonts w:ascii="宋体" w:hAnsi="宋体"/>
                <w:b/>
                <w:bCs/>
                <w:color w:val="auto"/>
                <w:szCs w:val="21"/>
              </w:rPr>
            </w:pPr>
            <w:r>
              <w:rPr>
                <w:rFonts w:hint="eastAsia" w:ascii="宋体" w:hAnsi="宋体"/>
                <w:b/>
                <w:bCs/>
                <w:color w:val="auto"/>
                <w:szCs w:val="21"/>
              </w:rPr>
              <w:t>危险废物</w:t>
            </w:r>
          </w:p>
          <w:p>
            <w:pPr>
              <w:spacing w:line="320" w:lineRule="exact"/>
              <w:ind w:left="-63" w:leftChars="-30" w:right="-63" w:rightChars="-30"/>
              <w:jc w:val="center"/>
              <w:rPr>
                <w:rFonts w:ascii="宋体" w:hAnsi="宋体"/>
                <w:b/>
                <w:bCs/>
                <w:color w:val="auto"/>
                <w:szCs w:val="21"/>
              </w:rPr>
            </w:pPr>
            <w:r>
              <w:rPr>
                <w:rFonts w:hint="eastAsia" w:ascii="宋体" w:hAnsi="宋体"/>
                <w:b/>
                <w:bCs/>
                <w:color w:val="auto"/>
                <w:szCs w:val="21"/>
              </w:rPr>
              <w:t>代码</w:t>
            </w:r>
          </w:p>
        </w:tc>
        <w:tc>
          <w:tcPr>
            <w:tcW w:w="455" w:type="pct"/>
            <w:tcBorders>
              <w:top w:val="outset" w:color="auto" w:sz="6" w:space="0"/>
              <w:left w:val="outset" w:color="auto" w:sz="6" w:space="0"/>
              <w:bottom w:val="outset" w:color="auto" w:sz="6" w:space="0"/>
              <w:right w:val="outset" w:color="auto" w:sz="6" w:space="0"/>
            </w:tcBorders>
            <w:vAlign w:val="center"/>
          </w:tcPr>
          <w:p>
            <w:pPr>
              <w:widowControl/>
              <w:spacing w:line="320" w:lineRule="exact"/>
              <w:jc w:val="center"/>
              <w:rPr>
                <w:rFonts w:ascii="宋体" w:hAnsi="宋体" w:cs="宋体"/>
                <w:b/>
                <w:color w:val="auto"/>
                <w:kern w:val="0"/>
                <w:szCs w:val="21"/>
              </w:rPr>
            </w:pPr>
            <w:r>
              <w:rPr>
                <w:rFonts w:hint="eastAsia" w:ascii="宋体" w:hAnsi="宋体" w:cs="宋体"/>
                <w:b/>
                <w:color w:val="auto"/>
                <w:kern w:val="0"/>
                <w:szCs w:val="21"/>
              </w:rPr>
              <w:t>位置</w:t>
            </w:r>
          </w:p>
        </w:tc>
        <w:tc>
          <w:tcPr>
            <w:tcW w:w="393" w:type="pct"/>
            <w:tcBorders>
              <w:top w:val="outset" w:color="auto" w:sz="6" w:space="0"/>
              <w:left w:val="outset" w:color="auto" w:sz="6" w:space="0"/>
              <w:bottom w:val="outset" w:color="auto" w:sz="6" w:space="0"/>
              <w:right w:val="outset" w:color="auto" w:sz="6" w:space="0"/>
            </w:tcBorders>
            <w:vAlign w:val="center"/>
          </w:tcPr>
          <w:p>
            <w:pPr>
              <w:widowControl/>
              <w:spacing w:line="320" w:lineRule="exact"/>
              <w:jc w:val="center"/>
              <w:rPr>
                <w:rFonts w:ascii="宋体" w:hAnsi="宋体" w:cs="宋体"/>
                <w:b/>
                <w:color w:val="auto"/>
                <w:kern w:val="0"/>
                <w:szCs w:val="21"/>
              </w:rPr>
            </w:pPr>
            <w:r>
              <w:rPr>
                <w:rFonts w:hint="eastAsia" w:ascii="宋体" w:hAnsi="宋体" w:cs="宋体"/>
                <w:b/>
                <w:color w:val="auto"/>
                <w:kern w:val="0"/>
                <w:szCs w:val="21"/>
              </w:rPr>
              <w:t>占地</w:t>
            </w:r>
          </w:p>
          <w:p>
            <w:pPr>
              <w:widowControl/>
              <w:spacing w:line="320" w:lineRule="exact"/>
              <w:jc w:val="center"/>
              <w:rPr>
                <w:rFonts w:ascii="宋体" w:hAnsi="宋体" w:cs="宋体"/>
                <w:b/>
                <w:color w:val="auto"/>
                <w:kern w:val="0"/>
                <w:szCs w:val="21"/>
              </w:rPr>
            </w:pPr>
            <w:r>
              <w:rPr>
                <w:rFonts w:hint="eastAsia" w:ascii="宋体" w:hAnsi="宋体" w:cs="宋体"/>
                <w:b/>
                <w:color w:val="auto"/>
                <w:kern w:val="0"/>
                <w:szCs w:val="21"/>
              </w:rPr>
              <w:t>面积</w:t>
            </w:r>
          </w:p>
        </w:tc>
        <w:tc>
          <w:tcPr>
            <w:tcW w:w="670" w:type="pct"/>
            <w:tcBorders>
              <w:top w:val="outset" w:color="auto" w:sz="6" w:space="0"/>
              <w:left w:val="outset" w:color="auto" w:sz="6" w:space="0"/>
              <w:bottom w:val="outset" w:color="auto" w:sz="6" w:space="0"/>
              <w:right w:val="outset" w:color="auto" w:sz="6" w:space="0"/>
            </w:tcBorders>
            <w:vAlign w:val="center"/>
          </w:tcPr>
          <w:p>
            <w:pPr>
              <w:widowControl/>
              <w:spacing w:line="320" w:lineRule="exact"/>
              <w:jc w:val="center"/>
              <w:rPr>
                <w:rFonts w:ascii="宋体" w:hAnsi="宋体" w:cs="宋体"/>
                <w:b/>
                <w:color w:val="auto"/>
                <w:kern w:val="0"/>
                <w:szCs w:val="21"/>
              </w:rPr>
            </w:pPr>
            <w:r>
              <w:rPr>
                <w:rFonts w:hint="eastAsia" w:ascii="宋体" w:hAnsi="宋体" w:cs="宋体"/>
                <w:b/>
                <w:color w:val="auto"/>
                <w:kern w:val="0"/>
                <w:szCs w:val="21"/>
              </w:rPr>
              <w:t>贮存</w:t>
            </w:r>
          </w:p>
          <w:p>
            <w:pPr>
              <w:widowControl/>
              <w:spacing w:line="320" w:lineRule="exact"/>
              <w:jc w:val="center"/>
              <w:rPr>
                <w:rFonts w:ascii="宋体" w:hAnsi="宋体" w:cs="宋体"/>
                <w:b/>
                <w:color w:val="auto"/>
                <w:kern w:val="0"/>
                <w:szCs w:val="21"/>
              </w:rPr>
            </w:pPr>
            <w:r>
              <w:rPr>
                <w:rFonts w:hint="eastAsia" w:ascii="宋体" w:hAnsi="宋体" w:cs="宋体"/>
                <w:b/>
                <w:color w:val="auto"/>
                <w:kern w:val="0"/>
                <w:szCs w:val="21"/>
              </w:rPr>
              <w:t>方式</w:t>
            </w:r>
          </w:p>
        </w:tc>
        <w:tc>
          <w:tcPr>
            <w:tcW w:w="334" w:type="pct"/>
            <w:tcBorders>
              <w:top w:val="outset" w:color="auto" w:sz="6" w:space="0"/>
              <w:left w:val="outset" w:color="auto" w:sz="6" w:space="0"/>
              <w:bottom w:val="outset" w:color="auto" w:sz="6" w:space="0"/>
              <w:right w:val="outset" w:color="auto" w:sz="6" w:space="0"/>
            </w:tcBorders>
            <w:vAlign w:val="center"/>
          </w:tcPr>
          <w:p>
            <w:pPr>
              <w:widowControl/>
              <w:spacing w:line="320" w:lineRule="exact"/>
              <w:jc w:val="center"/>
              <w:rPr>
                <w:rFonts w:ascii="宋体" w:hAnsi="宋体" w:cs="宋体"/>
                <w:b/>
                <w:color w:val="auto"/>
                <w:kern w:val="0"/>
                <w:szCs w:val="21"/>
              </w:rPr>
            </w:pPr>
            <w:r>
              <w:rPr>
                <w:rFonts w:hint="eastAsia" w:ascii="宋体" w:hAnsi="宋体" w:cs="宋体"/>
                <w:b/>
                <w:color w:val="auto"/>
                <w:kern w:val="0"/>
                <w:szCs w:val="21"/>
              </w:rPr>
              <w:t>贮存</w:t>
            </w:r>
          </w:p>
          <w:p>
            <w:pPr>
              <w:widowControl/>
              <w:spacing w:line="320" w:lineRule="exact"/>
              <w:jc w:val="center"/>
              <w:rPr>
                <w:rFonts w:ascii="宋体" w:hAnsi="宋体" w:cs="宋体"/>
                <w:b/>
                <w:color w:val="auto"/>
                <w:kern w:val="0"/>
                <w:szCs w:val="21"/>
              </w:rPr>
            </w:pPr>
            <w:r>
              <w:rPr>
                <w:rFonts w:hint="eastAsia" w:ascii="宋体" w:hAnsi="宋体" w:cs="宋体"/>
                <w:b/>
                <w:color w:val="auto"/>
                <w:kern w:val="0"/>
                <w:szCs w:val="21"/>
              </w:rPr>
              <w:t>能力</w:t>
            </w:r>
          </w:p>
        </w:tc>
        <w:tc>
          <w:tcPr>
            <w:tcW w:w="376" w:type="pct"/>
            <w:tcBorders>
              <w:top w:val="outset" w:color="auto" w:sz="6" w:space="0"/>
              <w:left w:val="outset" w:color="auto" w:sz="6" w:space="0"/>
              <w:bottom w:val="outset" w:color="auto" w:sz="6" w:space="0"/>
              <w:right w:val="outset" w:color="auto" w:sz="6" w:space="0"/>
            </w:tcBorders>
            <w:vAlign w:val="center"/>
          </w:tcPr>
          <w:p>
            <w:pPr>
              <w:widowControl/>
              <w:spacing w:line="320" w:lineRule="exact"/>
              <w:jc w:val="center"/>
              <w:rPr>
                <w:rFonts w:ascii="宋体" w:hAnsi="宋体" w:cs="宋体"/>
                <w:b/>
                <w:color w:val="auto"/>
                <w:kern w:val="0"/>
                <w:szCs w:val="21"/>
              </w:rPr>
            </w:pPr>
            <w:r>
              <w:rPr>
                <w:rFonts w:hint="eastAsia" w:ascii="宋体" w:hAnsi="宋体" w:cs="宋体"/>
                <w:b/>
                <w:color w:val="auto"/>
                <w:kern w:val="0"/>
                <w:szCs w:val="21"/>
              </w:rPr>
              <w:t>贮存</w:t>
            </w:r>
          </w:p>
          <w:p>
            <w:pPr>
              <w:widowControl/>
              <w:spacing w:line="320" w:lineRule="exact"/>
              <w:jc w:val="center"/>
              <w:rPr>
                <w:rFonts w:ascii="宋体" w:hAnsi="宋体" w:cs="宋体"/>
                <w:b/>
                <w:color w:val="auto"/>
                <w:kern w:val="0"/>
                <w:szCs w:val="21"/>
              </w:rPr>
            </w:pPr>
            <w:r>
              <w:rPr>
                <w:rFonts w:hint="eastAsia" w:ascii="宋体" w:hAnsi="宋体" w:cs="宋体"/>
                <w:b/>
                <w:color w:val="auto"/>
                <w:kern w:val="0"/>
                <w:szCs w:val="21"/>
              </w:rPr>
              <w:t>周期</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rHeight w:val="601" w:hRule="atLeast"/>
          <w:jc w:val="center"/>
        </w:trPr>
        <w:tc>
          <w:tcPr>
            <w:tcW w:w="354" w:type="pct"/>
            <w:tcBorders>
              <w:top w:val="outset" w:color="auto" w:sz="6" w:space="0"/>
              <w:left w:val="outset" w:color="auto" w:sz="6" w:space="0"/>
              <w:bottom w:val="outset" w:color="auto" w:sz="6" w:space="0"/>
              <w:right w:val="outset" w:color="auto" w:sz="6" w:space="0"/>
            </w:tcBorders>
            <w:vAlign w:val="center"/>
          </w:tcPr>
          <w:p>
            <w:pPr>
              <w:widowControl/>
              <w:spacing w:line="320" w:lineRule="exact"/>
              <w:jc w:val="center"/>
              <w:rPr>
                <w:rFonts w:ascii="宋体" w:hAnsi="宋体" w:cs="宋体"/>
                <w:color w:val="auto"/>
                <w:kern w:val="0"/>
                <w:szCs w:val="21"/>
              </w:rPr>
            </w:pPr>
            <w:r>
              <w:rPr>
                <w:rFonts w:hint="eastAsia" w:ascii="宋体" w:hAnsi="宋体" w:cs="宋体"/>
                <w:color w:val="auto"/>
                <w:kern w:val="0"/>
                <w:szCs w:val="21"/>
              </w:rPr>
              <w:t>1</w:t>
            </w:r>
          </w:p>
        </w:tc>
        <w:tc>
          <w:tcPr>
            <w:tcW w:w="489" w:type="pct"/>
            <w:vMerge w:val="restart"/>
            <w:tcBorders>
              <w:top w:val="outset" w:color="auto" w:sz="6" w:space="0"/>
              <w:left w:val="outset" w:color="auto" w:sz="6" w:space="0"/>
              <w:right w:val="outset" w:color="auto" w:sz="6" w:space="0"/>
            </w:tcBorders>
            <w:vAlign w:val="center"/>
          </w:tcPr>
          <w:p>
            <w:pPr>
              <w:widowControl/>
              <w:spacing w:line="320" w:lineRule="exact"/>
              <w:jc w:val="center"/>
              <w:rPr>
                <w:rFonts w:ascii="宋体" w:hAnsi="宋体" w:cs="宋体"/>
                <w:color w:val="auto"/>
                <w:kern w:val="0"/>
                <w:szCs w:val="21"/>
              </w:rPr>
            </w:pPr>
            <w:r>
              <w:rPr>
                <w:rFonts w:ascii="宋体" w:hAnsi="宋体" w:cs="宋体"/>
                <w:color w:val="auto"/>
                <w:kern w:val="0"/>
                <w:szCs w:val="21"/>
              </w:rPr>
              <w:t>危废暂存库</w:t>
            </w:r>
          </w:p>
        </w:tc>
        <w:tc>
          <w:tcPr>
            <w:tcW w:w="799" w:type="pct"/>
            <w:tcBorders>
              <w:top w:val="outset" w:color="auto" w:sz="6" w:space="0"/>
              <w:left w:val="outset" w:color="auto" w:sz="6" w:space="0"/>
              <w:bottom w:val="outset" w:color="auto" w:sz="6" w:space="0"/>
              <w:right w:val="outset" w:color="auto" w:sz="6" w:space="0"/>
            </w:tcBorders>
            <w:vAlign w:val="center"/>
          </w:tcPr>
          <w:p>
            <w:pPr>
              <w:pStyle w:val="166"/>
              <w:snapToGrid w:val="0"/>
              <w:rPr>
                <w:rFonts w:ascii="Times New Roman" w:hAnsi="Times New Roman" w:eastAsia="宋体" w:cs="Times New Roman"/>
                <w:color w:val="auto"/>
                <w:kern w:val="24"/>
                <w:sz w:val="21"/>
                <w:szCs w:val="21"/>
                <w:lang w:val="en-US" w:eastAsia="zh-CN" w:bidi="ar-SA"/>
              </w:rPr>
            </w:pPr>
            <w:r>
              <w:rPr>
                <w:rFonts w:ascii="Times New Roman" w:hAnsi="Times New Roman"/>
                <w:color w:val="auto"/>
                <w:sz w:val="21"/>
                <w:szCs w:val="21"/>
              </w:rPr>
              <w:t>废活性炭</w:t>
            </w:r>
          </w:p>
        </w:tc>
        <w:tc>
          <w:tcPr>
            <w:tcW w:w="462" w:type="pct"/>
            <w:tcBorders>
              <w:top w:val="outset" w:color="auto" w:sz="6" w:space="0"/>
              <w:left w:val="outset" w:color="auto" w:sz="6" w:space="0"/>
              <w:bottom w:val="outset" w:color="auto" w:sz="6" w:space="0"/>
              <w:right w:val="outset" w:color="auto" w:sz="6" w:space="0"/>
            </w:tcBorders>
            <w:vAlign w:val="center"/>
          </w:tcPr>
          <w:p>
            <w:pPr>
              <w:pStyle w:val="166"/>
              <w:snapToGrid w:val="0"/>
              <w:rPr>
                <w:rFonts w:ascii="Times New Roman" w:hAnsi="Times New Roman" w:eastAsia="宋体" w:cs="Times New Roman"/>
                <w:color w:val="auto"/>
                <w:kern w:val="24"/>
                <w:sz w:val="21"/>
                <w:szCs w:val="21"/>
                <w:lang w:val="en-US" w:eastAsia="zh-CN" w:bidi="ar-SA"/>
              </w:rPr>
            </w:pPr>
            <w:r>
              <w:rPr>
                <w:rFonts w:ascii="Times New Roman" w:hAnsi="Times New Roman"/>
                <w:color w:val="auto"/>
                <w:sz w:val="21"/>
                <w:szCs w:val="21"/>
              </w:rPr>
              <w:t>HW49</w:t>
            </w:r>
          </w:p>
        </w:tc>
        <w:tc>
          <w:tcPr>
            <w:tcW w:w="664" w:type="pct"/>
            <w:tcBorders>
              <w:top w:val="outset" w:color="auto" w:sz="6" w:space="0"/>
              <w:left w:val="outset" w:color="auto" w:sz="6" w:space="0"/>
              <w:bottom w:val="outset" w:color="auto" w:sz="6" w:space="0"/>
              <w:right w:val="outset" w:color="auto" w:sz="6" w:space="0"/>
            </w:tcBorders>
            <w:vAlign w:val="center"/>
          </w:tcPr>
          <w:p>
            <w:pPr>
              <w:pStyle w:val="166"/>
              <w:snapToGrid w:val="0"/>
              <w:rPr>
                <w:rFonts w:ascii="Times New Roman" w:hAnsi="Times New Roman" w:eastAsia="宋体" w:cs="Times New Roman"/>
                <w:color w:val="auto"/>
                <w:kern w:val="24"/>
                <w:sz w:val="21"/>
                <w:szCs w:val="21"/>
                <w:lang w:val="en-US" w:eastAsia="zh-CN" w:bidi="ar-SA"/>
              </w:rPr>
            </w:pPr>
            <w:r>
              <w:rPr>
                <w:rFonts w:ascii="Times New Roman" w:hAnsi="Times New Roman"/>
                <w:color w:val="auto"/>
                <w:sz w:val="21"/>
                <w:szCs w:val="21"/>
              </w:rPr>
              <w:t>900-041-49</w:t>
            </w:r>
          </w:p>
        </w:tc>
        <w:tc>
          <w:tcPr>
            <w:tcW w:w="455" w:type="pct"/>
            <w:vMerge w:val="restart"/>
            <w:tcBorders>
              <w:top w:val="outset" w:color="auto" w:sz="6" w:space="0"/>
              <w:left w:val="outset" w:color="auto" w:sz="6" w:space="0"/>
              <w:right w:val="outset" w:color="auto" w:sz="6" w:space="0"/>
            </w:tcBorders>
            <w:vAlign w:val="center"/>
          </w:tcPr>
          <w:p>
            <w:pPr>
              <w:widowControl/>
              <w:spacing w:line="320" w:lineRule="exact"/>
              <w:jc w:val="center"/>
              <w:rPr>
                <w:rFonts w:hint="eastAsia" w:ascii="宋体" w:hAnsi="宋体" w:eastAsia="宋体" w:cs="宋体"/>
                <w:color w:val="auto"/>
                <w:kern w:val="0"/>
                <w:szCs w:val="21"/>
                <w:lang w:eastAsia="zh-CN"/>
              </w:rPr>
            </w:pPr>
            <w:r>
              <w:rPr>
                <w:rFonts w:hint="eastAsia"/>
                <w:color w:val="auto"/>
              </w:rPr>
              <w:t>厂区</w:t>
            </w:r>
            <w:r>
              <w:rPr>
                <w:rFonts w:hint="eastAsia"/>
                <w:color w:val="auto"/>
                <w:lang w:eastAsia="zh-CN"/>
              </w:rPr>
              <w:t>西侧</w:t>
            </w:r>
          </w:p>
        </w:tc>
        <w:tc>
          <w:tcPr>
            <w:tcW w:w="393" w:type="pct"/>
            <w:vMerge w:val="restart"/>
            <w:tcBorders>
              <w:top w:val="outset" w:color="auto" w:sz="6" w:space="0"/>
              <w:left w:val="outset" w:color="auto" w:sz="6" w:space="0"/>
              <w:right w:val="outset" w:color="auto" w:sz="6" w:space="0"/>
            </w:tcBorders>
            <w:vAlign w:val="center"/>
          </w:tcPr>
          <w:p>
            <w:pPr>
              <w:widowControl/>
              <w:spacing w:line="320" w:lineRule="exact"/>
              <w:jc w:val="center"/>
              <w:rPr>
                <w:rFonts w:ascii="宋体" w:hAnsi="宋体" w:cs="宋体"/>
                <w:color w:val="auto"/>
                <w:kern w:val="0"/>
                <w:szCs w:val="21"/>
              </w:rPr>
            </w:pPr>
            <w:r>
              <w:rPr>
                <w:rFonts w:hint="eastAsia" w:ascii="宋体" w:hAnsi="宋体" w:cs="宋体"/>
                <w:color w:val="auto"/>
                <w:kern w:val="0"/>
                <w:szCs w:val="21"/>
                <w:lang w:val="en-US" w:eastAsia="zh-CN"/>
              </w:rPr>
              <w:t>15</w:t>
            </w:r>
            <w:r>
              <w:rPr>
                <w:rFonts w:hint="eastAsia" w:ascii="宋体" w:hAnsi="宋体" w:cs="宋体"/>
                <w:color w:val="auto"/>
                <w:kern w:val="0"/>
                <w:szCs w:val="21"/>
              </w:rPr>
              <w:t>㎡</w:t>
            </w:r>
          </w:p>
        </w:tc>
        <w:tc>
          <w:tcPr>
            <w:tcW w:w="670" w:type="pct"/>
            <w:tcBorders>
              <w:top w:val="outset" w:color="auto" w:sz="6" w:space="0"/>
              <w:left w:val="outset" w:color="auto" w:sz="6" w:space="0"/>
              <w:bottom w:val="outset" w:color="auto" w:sz="6" w:space="0"/>
              <w:right w:val="outset" w:color="auto" w:sz="6" w:space="0"/>
            </w:tcBorders>
            <w:vAlign w:val="center"/>
          </w:tcPr>
          <w:p>
            <w:pPr>
              <w:widowControl/>
              <w:spacing w:line="320" w:lineRule="exact"/>
              <w:jc w:val="center"/>
              <w:rPr>
                <w:rFonts w:ascii="宋体" w:hAnsi="宋体" w:cs="宋体"/>
                <w:color w:val="auto"/>
                <w:kern w:val="0"/>
                <w:szCs w:val="21"/>
              </w:rPr>
            </w:pPr>
            <w:r>
              <w:rPr>
                <w:rFonts w:hint="eastAsia" w:ascii="宋体" w:hAnsi="宋体" w:cs="宋体"/>
                <w:color w:val="auto"/>
                <w:kern w:val="0"/>
                <w:szCs w:val="21"/>
              </w:rPr>
              <w:t>桶装</w:t>
            </w:r>
          </w:p>
        </w:tc>
        <w:tc>
          <w:tcPr>
            <w:tcW w:w="334" w:type="pct"/>
            <w:vMerge w:val="restart"/>
            <w:tcBorders>
              <w:top w:val="outset" w:color="auto" w:sz="6" w:space="0"/>
              <w:left w:val="outset" w:color="auto" w:sz="6" w:space="0"/>
              <w:right w:val="outset" w:color="auto" w:sz="6" w:space="0"/>
            </w:tcBorders>
            <w:vAlign w:val="center"/>
          </w:tcPr>
          <w:p>
            <w:pPr>
              <w:widowControl/>
              <w:spacing w:line="320" w:lineRule="exact"/>
              <w:jc w:val="center"/>
              <w:rPr>
                <w:rFonts w:ascii="宋体" w:hAnsi="宋体" w:cs="宋体"/>
                <w:color w:val="auto"/>
                <w:kern w:val="0"/>
                <w:szCs w:val="21"/>
              </w:rPr>
            </w:pPr>
            <w:r>
              <w:rPr>
                <w:rFonts w:hint="eastAsia" w:ascii="宋体" w:hAnsi="宋体" w:cs="宋体"/>
                <w:color w:val="auto"/>
                <w:kern w:val="0"/>
                <w:szCs w:val="21"/>
                <w:lang w:val="en-US" w:eastAsia="zh-CN"/>
              </w:rPr>
              <w:t>5</w:t>
            </w:r>
            <w:r>
              <w:rPr>
                <w:rFonts w:hint="eastAsia" w:ascii="宋体" w:hAnsi="宋体" w:cs="宋体"/>
                <w:color w:val="auto"/>
                <w:kern w:val="0"/>
                <w:szCs w:val="21"/>
              </w:rPr>
              <w:t>t</w:t>
            </w:r>
          </w:p>
        </w:tc>
        <w:tc>
          <w:tcPr>
            <w:tcW w:w="376" w:type="pct"/>
            <w:vMerge w:val="restart"/>
            <w:tcBorders>
              <w:top w:val="outset" w:color="auto" w:sz="6" w:space="0"/>
              <w:left w:val="outset" w:color="auto" w:sz="6" w:space="0"/>
              <w:right w:val="outset" w:color="auto" w:sz="6" w:space="0"/>
            </w:tcBorders>
            <w:vAlign w:val="center"/>
          </w:tcPr>
          <w:p>
            <w:pPr>
              <w:widowControl/>
              <w:spacing w:line="320" w:lineRule="exact"/>
              <w:jc w:val="center"/>
              <w:rPr>
                <w:rFonts w:ascii="宋体" w:hAnsi="宋体" w:cs="宋体"/>
                <w:color w:val="auto"/>
                <w:kern w:val="0"/>
                <w:szCs w:val="21"/>
              </w:rPr>
            </w:pPr>
            <w:r>
              <w:rPr>
                <w:rFonts w:hint="eastAsia" w:ascii="宋体" w:hAnsi="宋体"/>
                <w:color w:val="auto"/>
                <w:szCs w:val="21"/>
              </w:rPr>
              <w:t>半年</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rHeight w:val="601" w:hRule="atLeast"/>
          <w:jc w:val="center"/>
        </w:trPr>
        <w:tc>
          <w:tcPr>
            <w:tcW w:w="354" w:type="pct"/>
            <w:tcBorders>
              <w:top w:val="outset" w:color="auto" w:sz="6" w:space="0"/>
              <w:left w:val="outset" w:color="auto" w:sz="6" w:space="0"/>
              <w:bottom w:val="outset" w:color="auto" w:sz="6" w:space="0"/>
              <w:right w:val="outset" w:color="auto" w:sz="6" w:space="0"/>
            </w:tcBorders>
            <w:vAlign w:val="center"/>
          </w:tcPr>
          <w:p>
            <w:pPr>
              <w:widowControl/>
              <w:spacing w:line="320" w:lineRule="exact"/>
              <w:jc w:val="center"/>
              <w:rPr>
                <w:rFonts w:hint="eastAsia" w:ascii="宋体" w:hAnsi="宋体" w:eastAsia="宋体" w:cs="宋体"/>
                <w:color w:val="auto"/>
                <w:kern w:val="0"/>
                <w:szCs w:val="21"/>
                <w:lang w:val="en-US" w:eastAsia="zh-CN"/>
              </w:rPr>
            </w:pPr>
            <w:r>
              <w:rPr>
                <w:rFonts w:hint="eastAsia" w:ascii="宋体" w:hAnsi="宋体" w:cs="宋体"/>
                <w:color w:val="auto"/>
                <w:kern w:val="0"/>
                <w:szCs w:val="21"/>
                <w:lang w:val="en-US" w:eastAsia="zh-CN"/>
              </w:rPr>
              <w:t>2</w:t>
            </w:r>
          </w:p>
        </w:tc>
        <w:tc>
          <w:tcPr>
            <w:tcW w:w="489" w:type="pct"/>
            <w:vMerge w:val="continue"/>
            <w:tcBorders>
              <w:left w:val="outset" w:color="auto" w:sz="6" w:space="0"/>
              <w:right w:val="outset" w:color="auto" w:sz="6" w:space="0"/>
            </w:tcBorders>
            <w:vAlign w:val="center"/>
          </w:tcPr>
          <w:p>
            <w:pPr>
              <w:widowControl/>
              <w:spacing w:line="320" w:lineRule="exact"/>
              <w:jc w:val="center"/>
              <w:rPr>
                <w:rFonts w:ascii="宋体" w:hAnsi="宋体" w:cs="宋体"/>
                <w:color w:val="auto"/>
                <w:kern w:val="0"/>
                <w:szCs w:val="21"/>
              </w:rPr>
            </w:pPr>
          </w:p>
        </w:tc>
        <w:tc>
          <w:tcPr>
            <w:tcW w:w="799" w:type="pct"/>
            <w:tcBorders>
              <w:top w:val="outset" w:color="auto" w:sz="6" w:space="0"/>
              <w:left w:val="outset" w:color="auto" w:sz="6" w:space="0"/>
              <w:bottom w:val="outset" w:color="auto" w:sz="6" w:space="0"/>
              <w:right w:val="outset" w:color="auto" w:sz="6" w:space="0"/>
            </w:tcBorders>
            <w:vAlign w:val="center"/>
          </w:tcPr>
          <w:p>
            <w:pPr>
              <w:pStyle w:val="166"/>
              <w:snapToGrid w:val="0"/>
              <w:rPr>
                <w:rFonts w:ascii="Times New Roman" w:hAnsi="Times New Roman"/>
                <w:color w:val="auto"/>
                <w:sz w:val="21"/>
                <w:szCs w:val="21"/>
              </w:rPr>
            </w:pPr>
            <w:r>
              <w:rPr>
                <w:rFonts w:hint="default" w:ascii="Times New Roman" w:hAnsi="Times New Roman"/>
                <w:color w:val="auto"/>
                <w:sz w:val="21"/>
                <w:szCs w:val="21"/>
                <w:lang w:val="en-US" w:eastAsia="zh-CN"/>
              </w:rPr>
              <w:t>废硫化剂及废氧化锌等包装材料</w:t>
            </w:r>
          </w:p>
        </w:tc>
        <w:tc>
          <w:tcPr>
            <w:tcW w:w="462" w:type="pct"/>
            <w:tcBorders>
              <w:top w:val="outset" w:color="auto" w:sz="6" w:space="0"/>
              <w:left w:val="outset" w:color="auto" w:sz="6" w:space="0"/>
              <w:bottom w:val="outset" w:color="auto" w:sz="6" w:space="0"/>
              <w:right w:val="outset" w:color="auto" w:sz="6" w:space="0"/>
            </w:tcBorders>
            <w:vAlign w:val="center"/>
          </w:tcPr>
          <w:p>
            <w:pPr>
              <w:pStyle w:val="166"/>
              <w:snapToGrid w:val="0"/>
              <w:rPr>
                <w:rFonts w:hint="default" w:ascii="Times New Roman" w:hAnsi="Times New Roman"/>
                <w:color w:val="auto"/>
                <w:sz w:val="21"/>
                <w:szCs w:val="21"/>
                <w:lang w:val="en-US" w:eastAsia="zh-CN"/>
              </w:rPr>
            </w:pPr>
            <w:r>
              <w:rPr>
                <w:rFonts w:hint="default" w:ascii="Times New Roman" w:hAnsi="Times New Roman"/>
                <w:color w:val="auto"/>
                <w:sz w:val="21"/>
                <w:szCs w:val="21"/>
                <w:lang w:val="en-US" w:eastAsia="zh-CN"/>
              </w:rPr>
              <w:t>HW49</w:t>
            </w:r>
          </w:p>
        </w:tc>
        <w:tc>
          <w:tcPr>
            <w:tcW w:w="664" w:type="pct"/>
            <w:tcBorders>
              <w:top w:val="outset" w:color="auto" w:sz="6" w:space="0"/>
              <w:left w:val="outset" w:color="auto" w:sz="6" w:space="0"/>
              <w:bottom w:val="outset" w:color="auto" w:sz="6" w:space="0"/>
              <w:right w:val="outset" w:color="auto" w:sz="6" w:space="0"/>
            </w:tcBorders>
            <w:vAlign w:val="center"/>
          </w:tcPr>
          <w:p>
            <w:pPr>
              <w:pStyle w:val="166"/>
              <w:snapToGrid w:val="0"/>
              <w:rPr>
                <w:rFonts w:hint="default" w:ascii="Times New Roman" w:hAnsi="Times New Roman"/>
                <w:color w:val="auto"/>
                <w:sz w:val="21"/>
                <w:szCs w:val="21"/>
                <w:lang w:val="en-US" w:eastAsia="zh-CN"/>
              </w:rPr>
            </w:pPr>
            <w:r>
              <w:rPr>
                <w:rFonts w:hint="default" w:ascii="Times New Roman" w:hAnsi="Times New Roman"/>
                <w:color w:val="auto"/>
                <w:sz w:val="21"/>
                <w:szCs w:val="21"/>
                <w:lang w:val="en-US" w:eastAsia="zh-CN"/>
              </w:rPr>
              <w:t>900-041-49</w:t>
            </w:r>
          </w:p>
        </w:tc>
        <w:tc>
          <w:tcPr>
            <w:tcW w:w="455" w:type="pct"/>
            <w:vMerge w:val="continue"/>
            <w:tcBorders>
              <w:left w:val="outset" w:color="auto" w:sz="6" w:space="0"/>
              <w:right w:val="outset" w:color="auto" w:sz="6" w:space="0"/>
            </w:tcBorders>
            <w:vAlign w:val="center"/>
          </w:tcPr>
          <w:p>
            <w:pPr>
              <w:widowControl/>
              <w:spacing w:line="320" w:lineRule="exact"/>
              <w:jc w:val="center"/>
              <w:rPr>
                <w:rFonts w:ascii="宋体" w:hAnsi="宋体" w:cs="宋体"/>
                <w:color w:val="auto"/>
                <w:kern w:val="0"/>
                <w:szCs w:val="21"/>
              </w:rPr>
            </w:pPr>
          </w:p>
        </w:tc>
        <w:tc>
          <w:tcPr>
            <w:tcW w:w="393" w:type="pct"/>
            <w:vMerge w:val="continue"/>
            <w:tcBorders>
              <w:left w:val="outset" w:color="auto" w:sz="6" w:space="0"/>
              <w:right w:val="outset" w:color="auto" w:sz="6" w:space="0"/>
            </w:tcBorders>
            <w:vAlign w:val="center"/>
          </w:tcPr>
          <w:p>
            <w:pPr>
              <w:widowControl/>
              <w:spacing w:line="320" w:lineRule="exact"/>
              <w:jc w:val="center"/>
              <w:rPr>
                <w:rFonts w:ascii="宋体" w:hAnsi="宋体" w:cs="宋体"/>
                <w:color w:val="auto"/>
                <w:kern w:val="0"/>
                <w:szCs w:val="21"/>
              </w:rPr>
            </w:pPr>
          </w:p>
        </w:tc>
        <w:tc>
          <w:tcPr>
            <w:tcW w:w="670" w:type="pct"/>
            <w:tcBorders>
              <w:top w:val="outset" w:color="auto" w:sz="6" w:space="0"/>
              <w:left w:val="outset" w:color="auto" w:sz="6" w:space="0"/>
              <w:bottom w:val="outset" w:color="auto" w:sz="6" w:space="0"/>
              <w:right w:val="outset" w:color="auto" w:sz="6" w:space="0"/>
            </w:tcBorders>
            <w:vAlign w:val="center"/>
          </w:tcPr>
          <w:p>
            <w:pPr>
              <w:widowControl/>
              <w:spacing w:line="320" w:lineRule="exact"/>
              <w:jc w:val="center"/>
              <w:rPr>
                <w:rFonts w:hint="eastAsia" w:ascii="宋体" w:hAnsi="宋体" w:cs="宋体"/>
                <w:color w:val="auto"/>
                <w:kern w:val="0"/>
                <w:szCs w:val="21"/>
              </w:rPr>
            </w:pPr>
            <w:r>
              <w:rPr>
                <w:rFonts w:hint="eastAsia" w:ascii="宋体" w:hAnsi="宋体" w:cs="宋体"/>
                <w:color w:val="auto"/>
                <w:kern w:val="0"/>
                <w:szCs w:val="21"/>
              </w:rPr>
              <w:t>桶装</w:t>
            </w:r>
          </w:p>
        </w:tc>
        <w:tc>
          <w:tcPr>
            <w:tcW w:w="334" w:type="pct"/>
            <w:vMerge w:val="continue"/>
            <w:tcBorders>
              <w:left w:val="outset" w:color="auto" w:sz="6" w:space="0"/>
              <w:right w:val="outset" w:color="auto" w:sz="6" w:space="0"/>
            </w:tcBorders>
            <w:vAlign w:val="center"/>
          </w:tcPr>
          <w:p>
            <w:pPr>
              <w:widowControl/>
              <w:spacing w:line="320" w:lineRule="exact"/>
              <w:jc w:val="center"/>
              <w:rPr>
                <w:rFonts w:ascii="宋体" w:hAnsi="宋体" w:cs="宋体"/>
                <w:color w:val="auto"/>
                <w:kern w:val="0"/>
                <w:szCs w:val="21"/>
              </w:rPr>
            </w:pPr>
          </w:p>
        </w:tc>
        <w:tc>
          <w:tcPr>
            <w:tcW w:w="376" w:type="pct"/>
            <w:vMerge w:val="continue"/>
            <w:tcBorders>
              <w:left w:val="outset" w:color="auto" w:sz="6" w:space="0"/>
              <w:right w:val="outset" w:color="auto" w:sz="6" w:space="0"/>
            </w:tcBorders>
            <w:vAlign w:val="center"/>
          </w:tcPr>
          <w:p>
            <w:pPr>
              <w:widowControl/>
              <w:spacing w:line="320" w:lineRule="exact"/>
              <w:jc w:val="center"/>
              <w:rPr>
                <w:rFonts w:ascii="宋体" w:hAnsi="宋体"/>
                <w:color w:val="auto"/>
                <w:szCs w:val="21"/>
              </w:rPr>
            </w:pP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rHeight w:val="601" w:hRule="atLeast"/>
          <w:jc w:val="center"/>
        </w:trPr>
        <w:tc>
          <w:tcPr>
            <w:tcW w:w="354" w:type="pct"/>
            <w:tcBorders>
              <w:top w:val="outset" w:color="auto" w:sz="6" w:space="0"/>
              <w:left w:val="outset" w:color="auto" w:sz="6" w:space="0"/>
              <w:bottom w:val="outset" w:color="auto" w:sz="6" w:space="0"/>
              <w:right w:val="outset" w:color="auto" w:sz="6" w:space="0"/>
            </w:tcBorders>
            <w:vAlign w:val="center"/>
          </w:tcPr>
          <w:p>
            <w:pPr>
              <w:widowControl/>
              <w:spacing w:line="320" w:lineRule="exact"/>
              <w:jc w:val="center"/>
              <w:rPr>
                <w:rFonts w:hint="default" w:ascii="宋体" w:hAnsi="宋体" w:cs="宋体"/>
                <w:color w:val="auto"/>
                <w:kern w:val="0"/>
                <w:szCs w:val="21"/>
                <w:lang w:val="en-US" w:eastAsia="zh-CN"/>
              </w:rPr>
            </w:pPr>
            <w:r>
              <w:rPr>
                <w:rFonts w:hint="eastAsia" w:ascii="宋体" w:hAnsi="宋体" w:cs="宋体"/>
                <w:color w:val="auto"/>
                <w:kern w:val="0"/>
                <w:szCs w:val="21"/>
                <w:lang w:val="en-US" w:eastAsia="zh-CN"/>
              </w:rPr>
              <w:t>3</w:t>
            </w:r>
          </w:p>
        </w:tc>
        <w:tc>
          <w:tcPr>
            <w:tcW w:w="489" w:type="pct"/>
            <w:vMerge w:val="continue"/>
            <w:tcBorders>
              <w:left w:val="outset" w:color="auto" w:sz="6" w:space="0"/>
              <w:right w:val="outset" w:color="auto" w:sz="6" w:space="0"/>
            </w:tcBorders>
            <w:vAlign w:val="center"/>
          </w:tcPr>
          <w:p>
            <w:pPr>
              <w:widowControl/>
              <w:spacing w:line="320" w:lineRule="exact"/>
              <w:jc w:val="center"/>
              <w:rPr>
                <w:rFonts w:ascii="宋体" w:hAnsi="宋体" w:cs="宋体"/>
                <w:color w:val="auto"/>
                <w:kern w:val="0"/>
                <w:szCs w:val="21"/>
              </w:rPr>
            </w:pPr>
          </w:p>
        </w:tc>
        <w:tc>
          <w:tcPr>
            <w:tcW w:w="799" w:type="pct"/>
            <w:tcBorders>
              <w:top w:val="outset" w:color="auto" w:sz="6" w:space="0"/>
              <w:left w:val="outset" w:color="auto" w:sz="6" w:space="0"/>
              <w:bottom w:val="outset" w:color="auto" w:sz="6" w:space="0"/>
              <w:right w:val="outset" w:color="auto" w:sz="6" w:space="0"/>
            </w:tcBorders>
            <w:vAlign w:val="center"/>
          </w:tcPr>
          <w:p>
            <w:pPr>
              <w:pStyle w:val="166"/>
              <w:snapToGrid w:val="0"/>
              <w:rPr>
                <w:rFonts w:hint="default" w:ascii="Times New Roman" w:hAnsi="Times New Roman"/>
                <w:color w:val="auto"/>
                <w:sz w:val="21"/>
                <w:szCs w:val="21"/>
                <w:lang w:val="en-US" w:eastAsia="zh-CN"/>
              </w:rPr>
            </w:pPr>
            <w:r>
              <w:rPr>
                <w:rFonts w:hint="eastAsia" w:ascii="Times New Roman" w:hAnsi="Times New Roman"/>
                <w:color w:val="auto"/>
                <w:sz w:val="21"/>
                <w:szCs w:val="21"/>
                <w:lang w:val="en-US" w:eastAsia="zh-CN"/>
              </w:rPr>
              <w:t>废脱脂槽液</w:t>
            </w:r>
          </w:p>
        </w:tc>
        <w:tc>
          <w:tcPr>
            <w:tcW w:w="462" w:type="pct"/>
            <w:tcBorders>
              <w:top w:val="outset" w:color="auto" w:sz="6" w:space="0"/>
              <w:left w:val="outset" w:color="auto" w:sz="6" w:space="0"/>
              <w:bottom w:val="outset" w:color="auto" w:sz="6" w:space="0"/>
              <w:right w:val="outset" w:color="auto" w:sz="6" w:space="0"/>
            </w:tcBorders>
            <w:vAlign w:val="center"/>
          </w:tcPr>
          <w:p>
            <w:pPr>
              <w:pStyle w:val="166"/>
              <w:snapToGrid w:val="0"/>
              <w:rPr>
                <w:rFonts w:hint="default" w:ascii="Times New Roman" w:hAnsi="Times New Roman"/>
                <w:color w:val="auto"/>
                <w:sz w:val="21"/>
                <w:szCs w:val="21"/>
                <w:lang w:val="en-US" w:eastAsia="zh-CN"/>
              </w:rPr>
            </w:pPr>
            <w:r>
              <w:rPr>
                <w:rFonts w:hint="eastAsia" w:ascii="Times New Roman" w:hAnsi="Times New Roman"/>
                <w:color w:val="auto"/>
                <w:sz w:val="21"/>
                <w:szCs w:val="21"/>
                <w:lang w:val="en-US" w:eastAsia="zh-CN"/>
              </w:rPr>
              <w:t>HW17</w:t>
            </w:r>
          </w:p>
        </w:tc>
        <w:tc>
          <w:tcPr>
            <w:tcW w:w="664" w:type="pct"/>
            <w:tcBorders>
              <w:top w:val="outset" w:color="auto" w:sz="6" w:space="0"/>
              <w:left w:val="outset" w:color="auto" w:sz="6" w:space="0"/>
              <w:bottom w:val="outset" w:color="auto" w:sz="6" w:space="0"/>
              <w:right w:val="outset" w:color="auto" w:sz="6" w:space="0"/>
            </w:tcBorders>
            <w:vAlign w:val="center"/>
          </w:tcPr>
          <w:p>
            <w:pPr>
              <w:pStyle w:val="166"/>
              <w:snapToGrid w:val="0"/>
              <w:rPr>
                <w:rFonts w:hint="default" w:ascii="Times New Roman" w:hAnsi="Times New Roman"/>
                <w:color w:val="auto"/>
                <w:sz w:val="21"/>
                <w:szCs w:val="21"/>
                <w:lang w:val="en-US" w:eastAsia="zh-CN"/>
              </w:rPr>
            </w:pPr>
            <w:r>
              <w:rPr>
                <w:rFonts w:hint="default" w:ascii="Times New Roman" w:hAnsi="Times New Roman"/>
                <w:color w:val="auto"/>
                <w:sz w:val="21"/>
                <w:szCs w:val="21"/>
                <w:lang w:val="en-US" w:eastAsia="zh-CN"/>
              </w:rPr>
              <w:t xml:space="preserve">336-064-17 </w:t>
            </w:r>
          </w:p>
        </w:tc>
        <w:tc>
          <w:tcPr>
            <w:tcW w:w="455" w:type="pct"/>
            <w:vMerge w:val="continue"/>
            <w:tcBorders>
              <w:left w:val="outset" w:color="auto" w:sz="6" w:space="0"/>
              <w:right w:val="outset" w:color="auto" w:sz="6" w:space="0"/>
            </w:tcBorders>
            <w:vAlign w:val="center"/>
          </w:tcPr>
          <w:p>
            <w:pPr>
              <w:widowControl/>
              <w:spacing w:line="320" w:lineRule="exact"/>
              <w:jc w:val="center"/>
              <w:rPr>
                <w:rFonts w:ascii="宋体" w:hAnsi="宋体" w:cs="宋体"/>
                <w:color w:val="auto"/>
                <w:kern w:val="0"/>
                <w:szCs w:val="21"/>
              </w:rPr>
            </w:pPr>
          </w:p>
        </w:tc>
        <w:tc>
          <w:tcPr>
            <w:tcW w:w="393" w:type="pct"/>
            <w:vMerge w:val="continue"/>
            <w:tcBorders>
              <w:left w:val="outset" w:color="auto" w:sz="6" w:space="0"/>
              <w:right w:val="outset" w:color="auto" w:sz="6" w:space="0"/>
            </w:tcBorders>
            <w:vAlign w:val="center"/>
          </w:tcPr>
          <w:p>
            <w:pPr>
              <w:widowControl/>
              <w:spacing w:line="320" w:lineRule="exact"/>
              <w:jc w:val="center"/>
              <w:rPr>
                <w:rFonts w:ascii="宋体" w:hAnsi="宋体" w:cs="宋体"/>
                <w:color w:val="auto"/>
                <w:kern w:val="0"/>
                <w:szCs w:val="21"/>
              </w:rPr>
            </w:pPr>
          </w:p>
        </w:tc>
        <w:tc>
          <w:tcPr>
            <w:tcW w:w="670" w:type="pct"/>
            <w:tcBorders>
              <w:top w:val="outset" w:color="auto" w:sz="6" w:space="0"/>
              <w:left w:val="outset" w:color="auto" w:sz="6" w:space="0"/>
              <w:bottom w:val="outset" w:color="auto" w:sz="6" w:space="0"/>
              <w:right w:val="outset" w:color="auto" w:sz="6" w:space="0"/>
            </w:tcBorders>
            <w:vAlign w:val="center"/>
          </w:tcPr>
          <w:p>
            <w:pPr>
              <w:widowControl/>
              <w:spacing w:line="320" w:lineRule="exact"/>
              <w:jc w:val="center"/>
              <w:rPr>
                <w:rFonts w:hint="eastAsia" w:ascii="宋体" w:hAnsi="宋体" w:cs="宋体"/>
                <w:color w:val="auto"/>
                <w:kern w:val="0"/>
                <w:szCs w:val="21"/>
              </w:rPr>
            </w:pPr>
            <w:r>
              <w:rPr>
                <w:rFonts w:hint="eastAsia" w:ascii="宋体" w:hAnsi="宋体" w:cs="宋体"/>
                <w:color w:val="auto"/>
                <w:kern w:val="0"/>
                <w:szCs w:val="21"/>
              </w:rPr>
              <w:t>桶装</w:t>
            </w:r>
          </w:p>
        </w:tc>
        <w:tc>
          <w:tcPr>
            <w:tcW w:w="334" w:type="pct"/>
            <w:vMerge w:val="continue"/>
            <w:tcBorders>
              <w:left w:val="outset" w:color="auto" w:sz="6" w:space="0"/>
              <w:right w:val="outset" w:color="auto" w:sz="6" w:space="0"/>
            </w:tcBorders>
            <w:vAlign w:val="center"/>
          </w:tcPr>
          <w:p>
            <w:pPr>
              <w:widowControl/>
              <w:spacing w:line="320" w:lineRule="exact"/>
              <w:jc w:val="center"/>
              <w:rPr>
                <w:rFonts w:ascii="宋体" w:hAnsi="宋体" w:cs="宋体"/>
                <w:color w:val="auto"/>
                <w:kern w:val="0"/>
                <w:szCs w:val="21"/>
              </w:rPr>
            </w:pPr>
          </w:p>
        </w:tc>
        <w:tc>
          <w:tcPr>
            <w:tcW w:w="376" w:type="pct"/>
            <w:vMerge w:val="continue"/>
            <w:tcBorders>
              <w:left w:val="outset" w:color="auto" w:sz="6" w:space="0"/>
              <w:right w:val="outset" w:color="auto" w:sz="6" w:space="0"/>
            </w:tcBorders>
            <w:vAlign w:val="center"/>
          </w:tcPr>
          <w:p>
            <w:pPr>
              <w:widowControl/>
              <w:spacing w:line="320" w:lineRule="exact"/>
              <w:jc w:val="center"/>
              <w:rPr>
                <w:rFonts w:ascii="宋体" w:hAnsi="宋体"/>
                <w:color w:val="auto"/>
                <w:szCs w:val="21"/>
              </w:rPr>
            </w:pPr>
          </w:p>
        </w:tc>
      </w:tr>
    </w:tbl>
    <w:p>
      <w:pPr>
        <w:adjustRightInd w:val="0"/>
        <w:spacing w:line="460" w:lineRule="exact"/>
        <w:ind w:firstLine="482"/>
        <w:jc w:val="left"/>
        <w:rPr>
          <w:color w:val="auto"/>
          <w:sz w:val="24"/>
        </w:rPr>
      </w:pPr>
      <w:r>
        <w:rPr>
          <w:rFonts w:hint="eastAsia"/>
          <w:color w:val="auto"/>
          <w:sz w:val="24"/>
        </w:rPr>
        <w:t>按照危险废物管理要求，厂内对危险废物进行临时贮存，转移和最终处置严格按照《危险废物收集、贮存、运输技术规范》（HJ2025-2012）中相关规定，危险废物临时贮存期间应满足</w:t>
      </w:r>
      <w:r>
        <w:rPr>
          <w:color w:val="auto"/>
          <w:sz w:val="24"/>
        </w:rPr>
        <w:t>《</w:t>
      </w:r>
      <w:r>
        <w:rPr>
          <w:rFonts w:hint="eastAsia"/>
          <w:color w:val="auto"/>
          <w:sz w:val="24"/>
        </w:rPr>
        <w:t>危险</w:t>
      </w:r>
      <w:r>
        <w:rPr>
          <w:color w:val="auto"/>
          <w:sz w:val="24"/>
        </w:rPr>
        <w:t>废物贮存污染控制标准》（GB1859</w:t>
      </w:r>
      <w:r>
        <w:rPr>
          <w:rFonts w:hint="eastAsia"/>
          <w:color w:val="auto"/>
          <w:sz w:val="24"/>
        </w:rPr>
        <w:t>7</w:t>
      </w:r>
      <w:r>
        <w:rPr>
          <w:color w:val="auto"/>
          <w:sz w:val="24"/>
        </w:rPr>
        <w:t>-2001）</w:t>
      </w:r>
      <w:r>
        <w:rPr>
          <w:rFonts w:hint="eastAsia"/>
          <w:color w:val="auto"/>
          <w:sz w:val="24"/>
        </w:rPr>
        <w:t>及修改单中对危险废物贮存设施的要求，严禁将危险废物混入非危险废物中。</w:t>
      </w:r>
    </w:p>
    <w:p>
      <w:pPr>
        <w:spacing w:line="460" w:lineRule="exact"/>
        <w:ind w:firstLine="482" w:firstLineChars="200"/>
        <w:rPr>
          <w:b/>
          <w:color w:val="auto"/>
          <w:sz w:val="24"/>
        </w:rPr>
      </w:pPr>
      <w:r>
        <w:rPr>
          <w:rFonts w:hint="eastAsia"/>
          <w:b/>
          <w:color w:val="auto"/>
          <w:sz w:val="24"/>
        </w:rPr>
        <w:t>3、</w:t>
      </w:r>
      <w:r>
        <w:rPr>
          <w:b/>
          <w:color w:val="auto"/>
          <w:sz w:val="24"/>
        </w:rPr>
        <w:t>危险废物暂存、处置要求</w:t>
      </w:r>
    </w:p>
    <w:p>
      <w:pPr>
        <w:spacing w:line="480" w:lineRule="exact"/>
        <w:ind w:firstLine="480" w:firstLineChars="200"/>
        <w:rPr>
          <w:color w:val="auto"/>
          <w:sz w:val="24"/>
        </w:rPr>
      </w:pPr>
      <w:r>
        <w:rPr>
          <w:color w:val="auto"/>
          <w:sz w:val="24"/>
        </w:rPr>
        <w:t>按照危险固废处置的有关规定，对属于国家规定危险废物之列的固体废物，必须委托有资质单位进行妥善处理。外运时需要严格按照国家环境保护总局令第5号文件《危险废物转移联单管理办法》的相关规定报批危险废物转移计划，应做到不沿途抛洒；因此，必须加强对固体废弃物的管理，确保各类固体废弃物的妥善处置，固体废弃物贮存场所所应有明显的标志，并有防风、防雨、防晒等设施。</w:t>
      </w:r>
    </w:p>
    <w:p>
      <w:pPr>
        <w:spacing w:line="480" w:lineRule="exact"/>
        <w:ind w:firstLine="480" w:firstLineChars="200"/>
        <w:rPr>
          <w:color w:val="auto"/>
          <w:sz w:val="24"/>
        </w:rPr>
      </w:pPr>
      <w:r>
        <w:rPr>
          <w:color w:val="auto"/>
          <w:sz w:val="24"/>
        </w:rPr>
        <w:t>厂内危险废物暂存场所应按照《危险废物贮存污染物控制标准》（GB18597-2001）</w:t>
      </w:r>
      <w:r>
        <w:rPr>
          <w:color w:val="auto"/>
          <w:kern w:val="0"/>
          <w:sz w:val="24"/>
        </w:rPr>
        <w:t>及修改单</w:t>
      </w:r>
      <w:r>
        <w:rPr>
          <w:color w:val="auto"/>
          <w:sz w:val="24"/>
        </w:rPr>
        <w:t>的规定设置，具体要求如下：</w:t>
      </w:r>
    </w:p>
    <w:p>
      <w:pPr>
        <w:spacing w:line="480" w:lineRule="exact"/>
        <w:ind w:firstLine="480" w:firstLineChars="200"/>
        <w:rPr>
          <w:color w:val="auto"/>
          <w:sz w:val="24"/>
        </w:rPr>
      </w:pPr>
      <w:r>
        <w:rPr>
          <w:color w:val="auto"/>
          <w:sz w:val="24"/>
        </w:rPr>
        <w:t>A、所有产生的危险废物均应使用符合标准要求的容器盛装，装载危险废物的容器及材质要满足相应的强度要求，且必须完好无损；</w:t>
      </w:r>
    </w:p>
    <w:p>
      <w:pPr>
        <w:spacing w:line="480" w:lineRule="exact"/>
        <w:ind w:firstLine="480" w:firstLineChars="200"/>
        <w:rPr>
          <w:color w:val="auto"/>
          <w:sz w:val="24"/>
        </w:rPr>
      </w:pPr>
      <w:r>
        <w:rPr>
          <w:color w:val="auto"/>
          <w:sz w:val="24"/>
        </w:rPr>
        <w:t>B、禁止将不相容（相互反应）的危险废物在同一容器内混装，装危险废物的容器上必须粘贴符合标准附录A 所示的标签；</w:t>
      </w:r>
    </w:p>
    <w:p>
      <w:pPr>
        <w:spacing w:line="480" w:lineRule="exact"/>
        <w:ind w:firstLine="480" w:firstLineChars="200"/>
        <w:rPr>
          <w:color w:val="auto"/>
          <w:sz w:val="24"/>
        </w:rPr>
      </w:pPr>
      <w:r>
        <w:rPr>
          <w:color w:val="auto"/>
          <w:sz w:val="24"/>
        </w:rPr>
        <w:t>C、危险废物贮存间的地面与裙脚要用坚固、防渗的材料建造，建筑材料必须与危险废物相容，应设计堵截泄露的裙脚，地面与裙脚所围建的溶剂不低于堵截最大容器的最大储量或总储量的五分之一，不相容的危险废物必须分开存放，并设有隔离间隔断；</w:t>
      </w:r>
    </w:p>
    <w:p>
      <w:pPr>
        <w:spacing w:line="480" w:lineRule="exact"/>
        <w:ind w:firstLine="480" w:firstLineChars="200"/>
        <w:rPr>
          <w:color w:val="auto"/>
          <w:sz w:val="24"/>
        </w:rPr>
      </w:pPr>
      <w:r>
        <w:rPr>
          <w:color w:val="auto"/>
          <w:sz w:val="24"/>
        </w:rPr>
        <w:t>D、厂内建立危险废物台账管理制度，作好危险废物情况的记录，记录上须注明危险废物的名称、来源、数量、特性和包装容器的类别、入库日期、存放库位、废物出库日期及接受单位名称，危险废物的记录和货单在危险废物回取后应继续保留三年；</w:t>
      </w:r>
    </w:p>
    <w:p>
      <w:pPr>
        <w:spacing w:line="480" w:lineRule="exact"/>
        <w:ind w:firstLine="480" w:firstLineChars="200"/>
        <w:rPr>
          <w:color w:val="auto"/>
          <w:sz w:val="24"/>
        </w:rPr>
      </w:pPr>
      <w:r>
        <w:rPr>
          <w:color w:val="auto"/>
          <w:sz w:val="24"/>
        </w:rPr>
        <w:t>E、必须定期对贮存的危险废物包装容器及贮存设施进行检查，发现破损，应及时采取措施清理更换；</w:t>
      </w:r>
    </w:p>
    <w:p>
      <w:pPr>
        <w:spacing w:line="480" w:lineRule="exact"/>
        <w:ind w:firstLine="480" w:firstLineChars="200"/>
        <w:rPr>
          <w:color w:val="auto"/>
          <w:sz w:val="24"/>
        </w:rPr>
      </w:pPr>
      <w:r>
        <w:rPr>
          <w:color w:val="auto"/>
          <w:sz w:val="24"/>
        </w:rPr>
        <w:t>F、危险废物贮存设施必须按照《环境保护图形标志 固体废物贮存（处置）场》（GB15562.2‐1995）的规定设置警示标志。</w:t>
      </w:r>
    </w:p>
    <w:p>
      <w:pPr>
        <w:pStyle w:val="5"/>
        <w:spacing w:before="0" w:after="0" w:line="460" w:lineRule="exact"/>
        <w:ind w:firstLine="482" w:firstLineChars="200"/>
        <w:rPr>
          <w:color w:val="auto"/>
          <w:sz w:val="24"/>
        </w:rPr>
      </w:pPr>
      <w:r>
        <w:rPr>
          <w:rFonts w:hint="eastAsia"/>
          <w:color w:val="auto"/>
          <w:sz w:val="24"/>
        </w:rPr>
        <w:t>4、</w:t>
      </w:r>
      <w:r>
        <w:rPr>
          <w:color w:val="auto"/>
          <w:sz w:val="24"/>
        </w:rPr>
        <w:t>危险废物</w:t>
      </w:r>
      <w:bookmarkStart w:id="279" w:name="_Toc499767944"/>
      <w:r>
        <w:rPr>
          <w:bCs w:val="0"/>
          <w:color w:val="auto"/>
          <w:sz w:val="24"/>
        </w:rPr>
        <w:t>包装、运输</w:t>
      </w:r>
      <w:bookmarkEnd w:id="279"/>
      <w:r>
        <w:rPr>
          <w:bCs w:val="0"/>
          <w:color w:val="auto"/>
          <w:sz w:val="24"/>
        </w:rPr>
        <w:t>要求</w:t>
      </w:r>
    </w:p>
    <w:p>
      <w:pPr>
        <w:adjustRightInd w:val="0"/>
        <w:spacing w:line="460" w:lineRule="exact"/>
        <w:ind w:firstLine="480" w:firstLineChars="200"/>
        <w:rPr>
          <w:color w:val="auto"/>
          <w:sz w:val="24"/>
        </w:rPr>
      </w:pPr>
      <w:r>
        <w:rPr>
          <w:color w:val="auto"/>
          <w:sz w:val="24"/>
        </w:rPr>
        <w:t>项目各固废均按照相应的包装要求进行包装，经本次固废论证后，企业将危废委托有资质单位进行处置。企业危废外运委托有资质的单位进行运输，严格执行《危险废物收集贮存运输技术规范》（HJ 2025-2012）和《危险废物转移联单管理办法》，并制定好危险废物转移运输途中的污染防范及事故应急措施，严格按照要求办理有关手续。</w:t>
      </w:r>
    </w:p>
    <w:p>
      <w:pPr>
        <w:adjustRightInd w:val="0"/>
        <w:spacing w:line="460" w:lineRule="exact"/>
        <w:ind w:firstLine="480" w:firstLineChars="200"/>
        <w:rPr>
          <w:color w:val="auto"/>
          <w:sz w:val="24"/>
        </w:rPr>
      </w:pPr>
      <w:r>
        <w:rPr>
          <w:color w:val="auto"/>
          <w:sz w:val="24"/>
        </w:rPr>
        <w:t>运输单位在运输本项目危险废物过程中应严格做好相应的防范措施，防止危险废物的泄露，或发生重大交通事故，具体措施如下：</w:t>
      </w:r>
    </w:p>
    <w:p>
      <w:pPr>
        <w:adjustRightInd w:val="0"/>
        <w:spacing w:line="460" w:lineRule="exact"/>
        <w:ind w:firstLine="480" w:firstLineChars="200"/>
        <w:rPr>
          <w:color w:val="auto"/>
          <w:sz w:val="24"/>
        </w:rPr>
      </w:pPr>
      <w:r>
        <w:rPr>
          <w:color w:val="auto"/>
          <w:sz w:val="24"/>
        </w:rPr>
        <w:t>A、采用专用车辆直接从企业将危险废物运送至处理处置单位厂内，运输过程严格遵守《中华人民共和国固体废物污染环境防治法》、《危险废物收集、贮存、运输技术规范》（HJ2025-2012）等相关规定。</w:t>
      </w:r>
    </w:p>
    <w:p>
      <w:pPr>
        <w:adjustRightInd w:val="0"/>
        <w:spacing w:line="460" w:lineRule="exact"/>
        <w:ind w:firstLine="480" w:firstLineChars="200"/>
        <w:rPr>
          <w:color w:val="auto"/>
          <w:sz w:val="24"/>
        </w:rPr>
      </w:pPr>
      <w:r>
        <w:rPr>
          <w:color w:val="auto"/>
          <w:sz w:val="24"/>
        </w:rPr>
        <w:t>B、运输途中不设中转站临时贮存，避免危险废物在中转站卸载和装载时发生二次污染的风险，及时由危险废物的产生地直接运送到处理处置单位厂内。</w:t>
      </w:r>
    </w:p>
    <w:p>
      <w:pPr>
        <w:adjustRightInd w:val="0"/>
        <w:spacing w:line="460" w:lineRule="exact"/>
        <w:ind w:firstLine="480" w:firstLineChars="200"/>
        <w:rPr>
          <w:color w:val="auto"/>
          <w:sz w:val="24"/>
        </w:rPr>
      </w:pPr>
      <w:r>
        <w:rPr>
          <w:color w:val="auto"/>
          <w:sz w:val="24"/>
        </w:rPr>
        <w:t>C、危险废物运输车辆必须在车辆前部和后部、车厢两侧设置专用警示标识。</w:t>
      </w:r>
    </w:p>
    <w:p>
      <w:pPr>
        <w:adjustRightInd w:val="0"/>
        <w:spacing w:line="460" w:lineRule="exact"/>
        <w:ind w:firstLine="480" w:firstLineChars="200"/>
        <w:rPr>
          <w:color w:val="auto"/>
          <w:sz w:val="24"/>
        </w:rPr>
      </w:pPr>
      <w:r>
        <w:rPr>
          <w:color w:val="auto"/>
          <w:sz w:val="24"/>
        </w:rPr>
        <w:t>D、应当根据危险废物总体处置方案，配备足够数量的运输车辆，合理地备用应急车辆。</w:t>
      </w:r>
    </w:p>
    <w:p>
      <w:pPr>
        <w:adjustRightInd w:val="0"/>
        <w:spacing w:line="460" w:lineRule="exact"/>
        <w:ind w:firstLine="480" w:firstLineChars="200"/>
        <w:rPr>
          <w:color w:val="auto"/>
          <w:sz w:val="24"/>
        </w:rPr>
      </w:pPr>
      <w:r>
        <w:rPr>
          <w:color w:val="auto"/>
          <w:sz w:val="24"/>
        </w:rPr>
        <w:t>E、每辆运输车应制定负责人，对危险废物运输过程负责，从事危险废物运输的司机等人员应经过合格的培训并通过考核。</w:t>
      </w:r>
    </w:p>
    <w:p>
      <w:pPr>
        <w:adjustRightInd w:val="0"/>
        <w:spacing w:line="460" w:lineRule="exact"/>
        <w:ind w:firstLine="480" w:firstLineChars="200"/>
        <w:rPr>
          <w:color w:val="auto"/>
          <w:sz w:val="24"/>
        </w:rPr>
      </w:pPr>
      <w:r>
        <w:rPr>
          <w:color w:val="auto"/>
          <w:sz w:val="24"/>
        </w:rPr>
        <w:t>F、在运输前应事先作出周密的运输计划，安排好运输车辆经过各路段的时间，尽量避免运输车辆在交通高峰期间通过市区。</w:t>
      </w:r>
    </w:p>
    <w:p>
      <w:pPr>
        <w:adjustRightInd w:val="0"/>
        <w:spacing w:line="460" w:lineRule="exact"/>
        <w:ind w:firstLine="480" w:firstLineChars="200"/>
        <w:rPr>
          <w:color w:val="auto"/>
          <w:sz w:val="24"/>
        </w:rPr>
      </w:pPr>
      <w:r>
        <w:rPr>
          <w:color w:val="auto"/>
          <w:sz w:val="24"/>
        </w:rPr>
        <w:t>G、危险废物运输者应制定事故应急和防止运输过程中发生泄漏、丢失、扬散的保障措施和配备必要的设备，在危险废物发生泄漏时可以及时将危险废物收集，减少散失。</w:t>
      </w:r>
    </w:p>
    <w:p>
      <w:pPr>
        <w:adjustRightInd w:val="0"/>
        <w:spacing w:line="460" w:lineRule="exact"/>
        <w:ind w:firstLine="480" w:firstLineChars="200"/>
        <w:rPr>
          <w:color w:val="auto"/>
          <w:sz w:val="24"/>
        </w:rPr>
      </w:pPr>
      <w:r>
        <w:rPr>
          <w:color w:val="auto"/>
          <w:sz w:val="24"/>
        </w:rPr>
        <w:t>H、运输车辆在每次运输前都必须对每辆运输车辆的车况进行检查，确保车况良好后方可出车，运输车辆负责人应对每辆运输车须配备的辅助物品进行检查，确保完备，定期对运输车辆进行全面检查，减少和防止危险废物发生泄漏和交通事故的发生。</w:t>
      </w:r>
    </w:p>
    <w:p>
      <w:pPr>
        <w:adjustRightInd w:val="0"/>
        <w:spacing w:line="460" w:lineRule="exact"/>
        <w:ind w:firstLine="480" w:firstLineChars="200"/>
        <w:rPr>
          <w:color w:val="auto"/>
          <w:sz w:val="24"/>
        </w:rPr>
      </w:pPr>
      <w:r>
        <w:rPr>
          <w:color w:val="auto"/>
          <w:sz w:val="24"/>
        </w:rPr>
        <w:t>I、禁止混合运输性质不相容而未经安全性处置的危险废物，运输车辆不得搭乘其他无关人员。</w:t>
      </w:r>
    </w:p>
    <w:p>
      <w:pPr>
        <w:adjustRightInd w:val="0"/>
        <w:spacing w:line="460" w:lineRule="exact"/>
        <w:ind w:firstLine="480" w:firstLineChars="200"/>
        <w:rPr>
          <w:color w:val="auto"/>
          <w:sz w:val="24"/>
        </w:rPr>
      </w:pPr>
      <w:r>
        <w:rPr>
          <w:color w:val="auto"/>
          <w:sz w:val="24"/>
        </w:rPr>
        <w:t>J、车辆行驶时应锁闭车厢门，确保安全，不得丢失、遗撒和打开包装取出危险废物。</w:t>
      </w:r>
    </w:p>
    <w:p>
      <w:pPr>
        <w:adjustRightInd w:val="0"/>
        <w:spacing w:line="460" w:lineRule="exact"/>
        <w:ind w:firstLine="480" w:firstLineChars="200"/>
        <w:rPr>
          <w:color w:val="auto"/>
          <w:sz w:val="24"/>
        </w:rPr>
      </w:pPr>
      <w:r>
        <w:rPr>
          <w:color w:val="auto"/>
          <w:sz w:val="24"/>
        </w:rPr>
        <w:t>K、合理安排运输频次，在气象条件不好的天气，不能运输危险废物，可先贮藏，等天气好转时再进行运输，小雨天可运输，但应小心驾驶并加强安全措施。</w:t>
      </w:r>
    </w:p>
    <w:p>
      <w:pPr>
        <w:adjustRightInd w:val="0"/>
        <w:spacing w:line="460" w:lineRule="exact"/>
        <w:ind w:firstLine="480" w:firstLineChars="200"/>
        <w:rPr>
          <w:color w:val="auto"/>
          <w:sz w:val="24"/>
        </w:rPr>
      </w:pPr>
      <w:r>
        <w:rPr>
          <w:color w:val="auto"/>
          <w:sz w:val="24"/>
        </w:rPr>
        <w:t>L、运输车辆应该限速行驶，避免交通事故的发生，在不好的路段及沿线有敏感水体的区域应小心驾驶，防止发生事故或泄露性事故而污染水体。</w:t>
      </w:r>
    </w:p>
    <w:p>
      <w:pPr>
        <w:adjustRightInd w:val="0"/>
        <w:spacing w:line="460" w:lineRule="exact"/>
        <w:ind w:firstLine="480" w:firstLineChars="200"/>
        <w:rPr>
          <w:color w:val="auto"/>
          <w:sz w:val="24"/>
        </w:rPr>
      </w:pPr>
      <w:r>
        <w:rPr>
          <w:color w:val="auto"/>
          <w:sz w:val="24"/>
        </w:rPr>
        <w:t>M、危险废物运输者在转移过程中发生意外事故，应立即向当地环境保护主管部门和交通管理部门报告，并采取相应措施，防止环境污染事故扩大。</w:t>
      </w:r>
    </w:p>
    <w:p>
      <w:pPr>
        <w:adjustRightInd w:val="0"/>
        <w:spacing w:line="460" w:lineRule="exact"/>
        <w:ind w:firstLine="480" w:firstLineChars="200"/>
        <w:rPr>
          <w:color w:val="auto"/>
          <w:sz w:val="24"/>
        </w:rPr>
      </w:pPr>
      <w:r>
        <w:rPr>
          <w:color w:val="auto"/>
          <w:sz w:val="24"/>
        </w:rPr>
        <w:t>N、应制定事故应急计划，在事故发生时及发生后做好相应的环境保护措施。</w:t>
      </w:r>
    </w:p>
    <w:p>
      <w:pPr>
        <w:adjustRightInd w:val="0"/>
        <w:spacing w:line="460" w:lineRule="exact"/>
        <w:ind w:firstLine="480" w:firstLineChars="200"/>
        <w:rPr>
          <w:color w:val="auto"/>
          <w:sz w:val="24"/>
        </w:rPr>
      </w:pPr>
      <w:r>
        <w:rPr>
          <w:color w:val="auto"/>
          <w:sz w:val="24"/>
        </w:rPr>
        <w:t>应急计划包括：应急组织及其职责，及市、县环境保护主管部门和交通管理部门，应按区设立区域应急中心，应急设施、设备与器材；应急通讯联络，运输路线经过区环境保护主管部门和交通管理部门的联络方式；应急措施，事故后果评价；应急监测；应急安全、保卫、应急救援等。</w:t>
      </w:r>
    </w:p>
    <w:p>
      <w:pPr>
        <w:adjustRightInd w:val="0"/>
        <w:spacing w:line="460" w:lineRule="exact"/>
        <w:ind w:firstLine="480" w:firstLineChars="200"/>
        <w:rPr>
          <w:color w:val="auto"/>
          <w:sz w:val="24"/>
        </w:rPr>
      </w:pPr>
      <w:r>
        <w:rPr>
          <w:color w:val="auto"/>
          <w:sz w:val="24"/>
        </w:rPr>
        <w:t>通过上述分析可知，项目危险废物运输过程中在严格做好相应的防范措施后，对环境的影响较小。</w:t>
      </w:r>
    </w:p>
    <w:p>
      <w:pPr>
        <w:pStyle w:val="5"/>
        <w:spacing w:before="0" w:after="0" w:line="460" w:lineRule="exact"/>
        <w:ind w:firstLine="472" w:firstLineChars="196"/>
        <w:rPr>
          <w:color w:val="auto"/>
          <w:sz w:val="24"/>
        </w:rPr>
      </w:pPr>
      <w:bookmarkStart w:id="280" w:name="_Toc499767945"/>
      <w:r>
        <w:rPr>
          <w:rFonts w:hint="eastAsia"/>
          <w:bCs w:val="0"/>
          <w:color w:val="auto"/>
          <w:sz w:val="24"/>
        </w:rPr>
        <w:t>5、</w:t>
      </w:r>
      <w:r>
        <w:rPr>
          <w:bCs w:val="0"/>
          <w:color w:val="auto"/>
          <w:sz w:val="24"/>
        </w:rPr>
        <w:t>项目固废处理处置的影响分析</w:t>
      </w:r>
      <w:bookmarkEnd w:id="280"/>
    </w:p>
    <w:p>
      <w:pPr>
        <w:adjustRightInd w:val="0"/>
        <w:spacing w:line="460" w:lineRule="exact"/>
        <w:ind w:firstLine="480" w:firstLineChars="200"/>
        <w:rPr>
          <w:color w:val="auto"/>
          <w:sz w:val="24"/>
        </w:rPr>
      </w:pPr>
      <w:r>
        <w:rPr>
          <w:color w:val="auto"/>
          <w:sz w:val="24"/>
        </w:rPr>
        <w:t>固体废物进行了分类收集、贮存，防止危险废物与生活垃圾混放后引发危险废物的二次污染，减轻了对环境的影响。</w:t>
      </w:r>
    </w:p>
    <w:p>
      <w:pPr>
        <w:adjustRightInd w:val="0"/>
        <w:spacing w:line="460" w:lineRule="exact"/>
        <w:ind w:firstLine="480" w:firstLineChars="200"/>
        <w:rPr>
          <w:color w:val="auto"/>
          <w:sz w:val="24"/>
        </w:rPr>
      </w:pPr>
      <w:r>
        <w:rPr>
          <w:color w:val="auto"/>
          <w:sz w:val="24"/>
        </w:rPr>
        <w:t>同时对固体废物在厂内的堆放区采取了相应的防护措施，所有危险废物能妥善在厂区内存放，不会对土壤、地下水等造成影响。</w:t>
      </w:r>
    </w:p>
    <w:p>
      <w:pPr>
        <w:adjustRightInd w:val="0"/>
        <w:spacing w:line="460" w:lineRule="exact"/>
        <w:ind w:firstLine="480" w:firstLineChars="200"/>
        <w:rPr>
          <w:color w:val="auto"/>
          <w:sz w:val="24"/>
        </w:rPr>
      </w:pPr>
      <w:r>
        <w:rPr>
          <w:color w:val="auto"/>
          <w:sz w:val="24"/>
        </w:rPr>
        <w:t>危废的转移和运输均交由具备有资质的危险固废运输单位和处置单位执行，运输单位对运输路线进行规划，尽量避开人口密集区域、水源保护以及交通拥堵道路等区域，不得超载，并配有押运员，以防止在运输过程中发生散落、泄露以及因交通事故造成的污染事件。接受处置单位对到厂的危废须按规定进行存放、处置，并做到达标排放。在做好安全运输、合法处置，达标排放的情况下，危废的运输和转移过程中不会对环境造成严重污染。</w:t>
      </w:r>
    </w:p>
    <w:p>
      <w:pPr>
        <w:pStyle w:val="216"/>
        <w:spacing w:line="520" w:lineRule="exact"/>
        <w:rPr>
          <w:rFonts w:ascii="Times New Roman" w:hAnsi="Times New Roman"/>
          <w:color w:val="auto"/>
        </w:rPr>
      </w:pPr>
      <w:r>
        <w:rPr>
          <w:rFonts w:ascii="Times New Roman" w:hAnsi="Times New Roman"/>
          <w:color w:val="auto"/>
        </w:rPr>
        <w:t>综上，建设单位应强化固废产生、收集、贮运各环节的管理，杜绝固废在厂区内的散失、渗漏。做好固废在厂区内的收集和储存相关防护工作，收集后进行有效处置。建立完善的规章制度，以降低危险固体废物散落对周围环境的影响。只要企业强化管理，做好危险废物、一般固废及生活垃圾的收集、贮存和清运工作，并采取安全处置方法，经处置后固体废弃物不会对周围环境产生明显的不利影响。</w:t>
      </w:r>
    </w:p>
    <w:p>
      <w:pPr>
        <w:pStyle w:val="4"/>
        <w:spacing w:line="520" w:lineRule="exact"/>
        <w:rPr>
          <w:rFonts w:ascii="Times New Roman" w:hAnsi="Times New Roman"/>
          <w:b/>
          <w:color w:val="auto"/>
        </w:rPr>
      </w:pPr>
      <w:bookmarkStart w:id="281" w:name="_Toc8963"/>
      <w:bookmarkStart w:id="282" w:name="_Toc32008"/>
      <w:r>
        <w:rPr>
          <w:rFonts w:hint="eastAsia" w:ascii="Times New Roman" w:hAnsi="Times New Roman"/>
          <w:b/>
          <w:color w:val="auto"/>
        </w:rPr>
        <w:t>6</w:t>
      </w:r>
      <w:r>
        <w:rPr>
          <w:rFonts w:ascii="Times New Roman" w:hAnsi="Times New Roman"/>
          <w:b/>
          <w:color w:val="auto"/>
        </w:rPr>
        <w:t>.3环境风险分析</w:t>
      </w:r>
      <w:bookmarkEnd w:id="281"/>
      <w:bookmarkEnd w:id="282"/>
    </w:p>
    <w:p>
      <w:pPr>
        <w:pStyle w:val="5"/>
        <w:spacing w:before="0" w:after="0" w:line="520" w:lineRule="exact"/>
        <w:rPr>
          <w:color w:val="auto"/>
          <w:sz w:val="24"/>
          <w:szCs w:val="24"/>
        </w:rPr>
      </w:pPr>
      <w:r>
        <w:rPr>
          <w:rFonts w:hint="eastAsia"/>
          <w:color w:val="auto"/>
          <w:sz w:val="24"/>
          <w:szCs w:val="24"/>
        </w:rPr>
        <w:t>6.3.</w:t>
      </w:r>
      <w:r>
        <w:rPr>
          <w:color w:val="auto"/>
          <w:sz w:val="24"/>
          <w:szCs w:val="24"/>
        </w:rPr>
        <w:t>1环境风险评价的目的</w:t>
      </w:r>
    </w:p>
    <w:p>
      <w:pPr>
        <w:topLinePunct/>
        <w:adjustRightInd w:val="0"/>
        <w:snapToGrid w:val="0"/>
        <w:spacing w:line="360" w:lineRule="auto"/>
        <w:ind w:firstLine="480" w:firstLineChars="200"/>
        <w:outlineLvl w:val="2"/>
        <w:rPr>
          <w:color w:val="auto"/>
          <w:sz w:val="24"/>
        </w:rPr>
      </w:pPr>
      <w:r>
        <w:rPr>
          <w:color w:val="auto"/>
          <w:sz w:val="24"/>
        </w:rPr>
        <w:t>环境风险评价是分析和预测建设项目存在的潜在危险、有害因素，项目建设和运行期间可能发生的突发性事件或事故(不包括人为破坏及自然灾害)，引起有毒有害和易燃易爆等物质泄漏，造成人身安全与环境影响和损害程度，提出防范、应急与减缓措施，使项目事故率、损失和环境影响达到可接受水平。</w:t>
      </w:r>
    </w:p>
    <w:p>
      <w:pPr>
        <w:topLinePunct/>
        <w:adjustRightInd w:val="0"/>
        <w:snapToGrid w:val="0"/>
        <w:spacing w:line="360" w:lineRule="auto"/>
        <w:ind w:firstLine="480" w:firstLineChars="200"/>
        <w:outlineLvl w:val="2"/>
        <w:rPr>
          <w:color w:val="auto"/>
          <w:sz w:val="24"/>
        </w:rPr>
      </w:pPr>
      <w:r>
        <w:rPr>
          <w:color w:val="auto"/>
          <w:sz w:val="24"/>
        </w:rPr>
        <w:t>本项目所用原辅材料部分为具有一定毒性或可燃性的物料，具有一定的潜在危害性。在突发性的事故状态下，如果不采取有效措施，一旦释放出来，将对环境造成不利影响。为全面落实《关于进一步加强环境影响评价管理防范环境风险的通知》(环发[2012]77号)的要求，查找建设项目存在的环境风险隐患，使得企业在生产正常运转的基础上，确保厂界外的环境质量，确保职工及周边影响区内人群生物的健康和生命安全。</w:t>
      </w:r>
    </w:p>
    <w:p>
      <w:pPr>
        <w:topLinePunct/>
        <w:adjustRightInd w:val="0"/>
        <w:snapToGrid w:val="0"/>
        <w:spacing w:line="360" w:lineRule="auto"/>
        <w:ind w:firstLine="480" w:firstLineChars="200"/>
        <w:outlineLvl w:val="2"/>
        <w:rPr>
          <w:color w:val="auto"/>
          <w:sz w:val="24"/>
        </w:rPr>
      </w:pPr>
      <w:r>
        <w:rPr>
          <w:color w:val="auto"/>
          <w:sz w:val="24"/>
        </w:rPr>
        <w:t>本次环境风险评价将把事故引起厂界外环境质量的恶化及对生态系统影响的预测和防护作为评价重点。通过分析本项目中主要物料的危险性和毒性，识别其潜在危险源并提出防治措施，达到降低风险性、危害程度，保护环境之目的。</w:t>
      </w:r>
    </w:p>
    <w:p>
      <w:pPr>
        <w:pStyle w:val="5"/>
        <w:spacing w:before="0" w:after="0" w:line="360" w:lineRule="auto"/>
        <w:rPr>
          <w:color w:val="auto"/>
          <w:sz w:val="24"/>
          <w:szCs w:val="24"/>
        </w:rPr>
      </w:pPr>
      <w:r>
        <w:rPr>
          <w:rFonts w:hint="eastAsia"/>
          <w:color w:val="auto"/>
          <w:sz w:val="24"/>
          <w:szCs w:val="24"/>
        </w:rPr>
        <w:t>6.3.</w:t>
      </w:r>
      <w:r>
        <w:rPr>
          <w:color w:val="auto"/>
          <w:sz w:val="24"/>
          <w:szCs w:val="24"/>
        </w:rPr>
        <w:t>2评价工作等级与范围</w:t>
      </w:r>
    </w:p>
    <w:p>
      <w:pPr>
        <w:topLinePunct/>
        <w:adjustRightInd w:val="0"/>
        <w:snapToGrid w:val="0"/>
        <w:spacing w:line="360" w:lineRule="auto"/>
        <w:ind w:firstLine="480" w:firstLineChars="200"/>
        <w:outlineLvl w:val="2"/>
        <w:rPr>
          <w:color w:val="auto"/>
          <w:sz w:val="24"/>
        </w:rPr>
      </w:pPr>
      <w:r>
        <w:rPr>
          <w:color w:val="auto"/>
          <w:sz w:val="24"/>
        </w:rPr>
        <w:t>（1）物质危险性辨识</w:t>
      </w:r>
    </w:p>
    <w:p>
      <w:pPr>
        <w:topLinePunct/>
        <w:adjustRightInd w:val="0"/>
        <w:snapToGrid w:val="0"/>
        <w:spacing w:line="360" w:lineRule="auto"/>
        <w:ind w:firstLine="480" w:firstLineChars="200"/>
        <w:outlineLvl w:val="2"/>
        <w:rPr>
          <w:color w:val="auto"/>
          <w:sz w:val="24"/>
        </w:rPr>
      </w:pPr>
      <w:r>
        <w:rPr>
          <w:color w:val="auto"/>
          <w:sz w:val="24"/>
        </w:rPr>
        <w:t>本项目在生产过程中使用的主要原材料为橡胶原料</w:t>
      </w:r>
      <w:r>
        <w:rPr>
          <w:rFonts w:hint="eastAsia"/>
          <w:color w:val="auto"/>
          <w:sz w:val="24"/>
        </w:rPr>
        <w:t>、硫磺</w:t>
      </w:r>
      <w:r>
        <w:rPr>
          <w:rFonts w:hint="eastAsia"/>
          <w:color w:val="auto"/>
          <w:sz w:val="24"/>
          <w:lang w:eastAsia="zh-CN"/>
        </w:rPr>
        <w:t>、氧化锌、氧化镁、底涂剂、乙酸丁酯等原料</w:t>
      </w:r>
      <w:r>
        <w:rPr>
          <w:color w:val="auto"/>
          <w:sz w:val="24"/>
        </w:rPr>
        <w:t>，原料</w:t>
      </w:r>
      <w:r>
        <w:rPr>
          <w:rFonts w:hint="eastAsia"/>
          <w:color w:val="auto"/>
          <w:sz w:val="24"/>
          <w:lang w:eastAsia="zh-CN"/>
        </w:rPr>
        <w:t>具有</w:t>
      </w:r>
      <w:r>
        <w:rPr>
          <w:color w:val="auto"/>
          <w:sz w:val="24"/>
        </w:rPr>
        <w:t>可燃</w:t>
      </w:r>
      <w:r>
        <w:rPr>
          <w:rFonts w:hint="eastAsia"/>
          <w:color w:val="auto"/>
          <w:sz w:val="24"/>
          <w:lang w:eastAsia="zh-CN"/>
        </w:rPr>
        <w:t>性、毒性</w:t>
      </w:r>
      <w:r>
        <w:rPr>
          <w:color w:val="auto"/>
          <w:sz w:val="24"/>
        </w:rPr>
        <w:t>。</w:t>
      </w:r>
    </w:p>
    <w:p>
      <w:pPr>
        <w:topLinePunct/>
        <w:adjustRightInd w:val="0"/>
        <w:snapToGrid w:val="0"/>
        <w:spacing w:line="360" w:lineRule="auto"/>
        <w:ind w:firstLine="480" w:firstLineChars="200"/>
        <w:outlineLvl w:val="2"/>
        <w:rPr>
          <w:color w:val="auto"/>
          <w:sz w:val="24"/>
        </w:rPr>
      </w:pPr>
      <w:r>
        <w:rPr>
          <w:color w:val="auto"/>
          <w:sz w:val="24"/>
        </w:rPr>
        <w:t>（2）环境风险潜势判别</w:t>
      </w:r>
    </w:p>
    <w:p>
      <w:pPr>
        <w:spacing w:line="360" w:lineRule="auto"/>
        <w:ind w:firstLine="482"/>
        <w:rPr>
          <w:color w:val="auto"/>
          <w:sz w:val="24"/>
        </w:rPr>
      </w:pPr>
      <w:r>
        <w:rPr>
          <w:color w:val="auto"/>
          <w:sz w:val="24"/>
        </w:rPr>
        <w:t>根据《建设项目环境风险评价技术导则》(HJ169-2018)附录C，对危险物质及工艺系统危险性（P）的分级：</w:t>
      </w:r>
    </w:p>
    <w:p>
      <w:pPr>
        <w:spacing w:line="360" w:lineRule="auto"/>
        <w:ind w:firstLine="482"/>
        <w:rPr>
          <w:color w:val="auto"/>
          <w:sz w:val="24"/>
        </w:rPr>
      </w:pPr>
      <w:r>
        <w:rPr>
          <w:color w:val="auto"/>
          <w:sz w:val="24"/>
        </w:rPr>
        <w:t>①危险物质数量与临界量比值（Q）。</w:t>
      </w:r>
    </w:p>
    <w:p>
      <w:pPr>
        <w:spacing w:line="360" w:lineRule="auto"/>
        <w:ind w:firstLine="482"/>
        <w:rPr>
          <w:color w:val="auto"/>
          <w:sz w:val="24"/>
        </w:rPr>
      </w:pPr>
      <w:r>
        <w:rPr>
          <w:color w:val="auto"/>
          <w:sz w:val="24"/>
        </w:rPr>
        <w:t>当 Q&lt;1 时，该项目环境风险潜势为 I；当 Q≧1 时，将 Q 划分为（1）1≦Q&lt;10；（2） 10≦Q&lt;100；（3）Q≧100</w:t>
      </w:r>
    </w:p>
    <w:p>
      <w:pPr>
        <w:spacing w:line="360" w:lineRule="auto"/>
        <w:ind w:firstLine="482"/>
        <w:rPr>
          <w:color w:val="auto"/>
          <w:sz w:val="24"/>
        </w:rPr>
      </w:pPr>
      <w:r>
        <w:rPr>
          <w:color w:val="auto"/>
          <w:sz w:val="24"/>
        </w:rPr>
        <w:t>当只涉及一种物质时，计算该物质的总量与其临界量比值，即为 Q；</w:t>
      </w:r>
    </w:p>
    <w:p>
      <w:pPr>
        <w:spacing w:line="360" w:lineRule="auto"/>
        <w:ind w:firstLine="482"/>
        <w:rPr>
          <w:color w:val="auto"/>
          <w:sz w:val="24"/>
        </w:rPr>
      </w:pPr>
      <w:r>
        <w:rPr>
          <w:color w:val="auto"/>
          <w:sz w:val="24"/>
        </w:rPr>
        <w:t>当存在多种危险物质时，则按下式计算物质总量与其临界量比值（Q）：</w:t>
      </w:r>
    </w:p>
    <w:p>
      <w:pPr>
        <w:spacing w:line="360" w:lineRule="auto"/>
        <w:ind w:firstLine="1200" w:firstLineChars="500"/>
        <w:rPr>
          <w:color w:val="auto"/>
          <w:sz w:val="24"/>
        </w:rPr>
      </w:pPr>
      <w:r>
        <w:rPr>
          <w:color w:val="auto"/>
          <w:sz w:val="24"/>
        </w:rPr>
        <w:t>Q=q1/Q1+q2/Q2+…..，+qn/Qn</w:t>
      </w:r>
    </w:p>
    <w:p>
      <w:pPr>
        <w:spacing w:line="360" w:lineRule="auto"/>
        <w:ind w:firstLine="482"/>
        <w:rPr>
          <w:color w:val="auto"/>
          <w:sz w:val="24"/>
        </w:rPr>
      </w:pPr>
      <w:r>
        <w:rPr>
          <w:color w:val="auto"/>
          <w:sz w:val="24"/>
        </w:rPr>
        <w:t>式中：q1、q2……qn ——每种危险物质最大存在量，t；</w:t>
      </w:r>
    </w:p>
    <w:p>
      <w:pPr>
        <w:spacing w:line="360" w:lineRule="auto"/>
        <w:ind w:firstLine="482"/>
        <w:rPr>
          <w:color w:val="auto"/>
          <w:sz w:val="24"/>
        </w:rPr>
      </w:pPr>
      <w:r>
        <w:rPr>
          <w:color w:val="auto"/>
          <w:sz w:val="24"/>
        </w:rPr>
        <w:t xml:space="preserve">      Q1、Q2……Qn ——每种危险物质的临界量，t。</w:t>
      </w:r>
    </w:p>
    <w:p>
      <w:pPr>
        <w:spacing w:line="360" w:lineRule="auto"/>
        <w:ind w:firstLine="1267" w:firstLineChars="528"/>
        <w:rPr>
          <w:b/>
          <w:color w:val="auto"/>
          <w:sz w:val="24"/>
        </w:rPr>
      </w:pPr>
      <w:r>
        <w:rPr>
          <w:color w:val="auto"/>
          <w:sz w:val="24"/>
        </w:rPr>
        <w:t>本项目主要危险物质 Q 值估算见下表。</w:t>
      </w:r>
    </w:p>
    <w:p>
      <w:pPr>
        <w:tabs>
          <w:tab w:val="left" w:pos="4026"/>
        </w:tabs>
        <w:spacing w:before="126" w:after="31"/>
        <w:jc w:val="center"/>
        <w:rPr>
          <w:b/>
          <w:color w:val="auto"/>
          <w:sz w:val="24"/>
        </w:rPr>
      </w:pPr>
      <w:r>
        <w:rPr>
          <w:rFonts w:hint="eastAsia"/>
          <w:b/>
          <w:color w:val="auto"/>
          <w:sz w:val="24"/>
        </w:rPr>
        <w:t>表6</w:t>
      </w:r>
      <w:r>
        <w:rPr>
          <w:b/>
          <w:color w:val="auto"/>
          <w:sz w:val="24"/>
        </w:rPr>
        <w:t>-2</w:t>
      </w:r>
      <w:r>
        <w:rPr>
          <w:rFonts w:hint="eastAsia"/>
          <w:b/>
          <w:color w:val="auto"/>
          <w:sz w:val="24"/>
          <w:lang w:val="en-US" w:eastAsia="zh-CN"/>
        </w:rPr>
        <w:t>0</w:t>
      </w:r>
      <w:r>
        <w:rPr>
          <w:b/>
          <w:color w:val="auto"/>
          <w:sz w:val="24"/>
        </w:rPr>
        <w:t xml:space="preserve">   本项目主要风险源统计表</w:t>
      </w:r>
    </w:p>
    <w:tbl>
      <w:tblPr>
        <w:tblStyle w:val="53"/>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317"/>
        <w:gridCol w:w="689"/>
        <w:gridCol w:w="1260"/>
        <w:gridCol w:w="1259"/>
        <w:gridCol w:w="1397"/>
        <w:gridCol w:w="168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17" w:type="dxa"/>
            <w:vMerge w:val="restart"/>
            <w:tcBorders>
              <w:top w:val="single" w:color="auto" w:sz="4" w:space="0"/>
              <w:left w:val="single" w:color="auto" w:sz="4" w:space="0"/>
              <w:bottom w:val="single" w:color="auto" w:sz="4" w:space="0"/>
            </w:tcBorders>
            <w:vAlign w:val="center"/>
          </w:tcPr>
          <w:p>
            <w:pPr>
              <w:widowControl/>
              <w:jc w:val="center"/>
              <w:rPr>
                <w:b/>
                <w:bCs/>
                <w:color w:val="auto"/>
                <w:kern w:val="0"/>
                <w:szCs w:val="21"/>
                <w:lang w:val="zh-CN" w:bidi="ar"/>
              </w:rPr>
            </w:pPr>
            <w:r>
              <w:rPr>
                <w:b/>
                <w:bCs/>
                <w:color w:val="auto"/>
                <w:kern w:val="0"/>
                <w:szCs w:val="21"/>
                <w:lang w:val="zh-CN" w:bidi="ar"/>
              </w:rPr>
              <w:t>名称</w:t>
            </w:r>
          </w:p>
        </w:tc>
        <w:tc>
          <w:tcPr>
            <w:tcW w:w="689" w:type="dxa"/>
            <w:vMerge w:val="restart"/>
            <w:tcBorders>
              <w:top w:val="single" w:color="auto" w:sz="4" w:space="0"/>
              <w:bottom w:val="single" w:color="auto" w:sz="4" w:space="0"/>
            </w:tcBorders>
            <w:vAlign w:val="center"/>
          </w:tcPr>
          <w:p>
            <w:pPr>
              <w:widowControl/>
              <w:jc w:val="center"/>
              <w:rPr>
                <w:b/>
                <w:bCs/>
                <w:color w:val="auto"/>
                <w:kern w:val="0"/>
                <w:szCs w:val="21"/>
                <w:lang w:val="zh-CN" w:bidi="ar"/>
              </w:rPr>
            </w:pPr>
            <w:r>
              <w:rPr>
                <w:b/>
                <w:bCs/>
                <w:color w:val="auto"/>
                <w:kern w:val="0"/>
                <w:szCs w:val="21"/>
                <w:lang w:val="zh-CN" w:bidi="ar"/>
              </w:rPr>
              <w:t>状态</w:t>
            </w:r>
          </w:p>
        </w:tc>
        <w:tc>
          <w:tcPr>
            <w:tcW w:w="1260" w:type="dxa"/>
            <w:vMerge w:val="restart"/>
            <w:tcBorders>
              <w:top w:val="single" w:color="auto" w:sz="4" w:space="0"/>
              <w:bottom w:val="single" w:color="auto" w:sz="4" w:space="0"/>
            </w:tcBorders>
            <w:vAlign w:val="center"/>
          </w:tcPr>
          <w:p>
            <w:pPr>
              <w:widowControl/>
              <w:jc w:val="center"/>
              <w:rPr>
                <w:b/>
                <w:bCs/>
                <w:color w:val="auto"/>
                <w:kern w:val="0"/>
                <w:szCs w:val="21"/>
                <w:lang w:val="zh-CN" w:bidi="ar"/>
              </w:rPr>
            </w:pPr>
            <w:r>
              <w:rPr>
                <w:b/>
                <w:bCs/>
                <w:color w:val="auto"/>
                <w:kern w:val="0"/>
                <w:szCs w:val="21"/>
                <w:lang w:val="zh-CN" w:bidi="ar"/>
              </w:rPr>
              <w:t>危险性</w:t>
            </w:r>
          </w:p>
          <w:p>
            <w:pPr>
              <w:widowControl/>
              <w:jc w:val="center"/>
              <w:rPr>
                <w:b/>
                <w:bCs/>
                <w:color w:val="auto"/>
                <w:kern w:val="0"/>
                <w:szCs w:val="21"/>
                <w:lang w:val="zh-CN" w:bidi="ar"/>
              </w:rPr>
            </w:pPr>
            <w:r>
              <w:rPr>
                <w:b/>
                <w:bCs/>
                <w:color w:val="auto"/>
                <w:kern w:val="0"/>
                <w:szCs w:val="21"/>
                <w:lang w:val="zh-CN" w:bidi="ar"/>
              </w:rPr>
              <w:t>类别</w:t>
            </w:r>
          </w:p>
        </w:tc>
        <w:tc>
          <w:tcPr>
            <w:tcW w:w="2656" w:type="dxa"/>
            <w:gridSpan w:val="2"/>
            <w:tcBorders>
              <w:top w:val="single" w:color="auto" w:sz="4" w:space="0"/>
              <w:bottom w:val="single" w:color="auto" w:sz="4" w:space="0"/>
            </w:tcBorders>
            <w:vAlign w:val="center"/>
          </w:tcPr>
          <w:p>
            <w:pPr>
              <w:widowControl/>
              <w:jc w:val="center"/>
              <w:rPr>
                <w:b/>
                <w:bCs/>
                <w:color w:val="auto"/>
                <w:kern w:val="0"/>
                <w:szCs w:val="21"/>
                <w:lang w:val="zh-CN" w:bidi="ar"/>
              </w:rPr>
            </w:pPr>
            <w:r>
              <w:rPr>
                <w:b/>
                <w:bCs/>
                <w:color w:val="auto"/>
                <w:kern w:val="0"/>
                <w:szCs w:val="21"/>
                <w:lang w:val="zh-CN" w:bidi="ar"/>
              </w:rPr>
              <w:t>贮存物质量（</w:t>
            </w:r>
            <w:r>
              <w:rPr>
                <w:b/>
                <w:bCs/>
                <w:color w:val="auto"/>
                <w:kern w:val="0"/>
                <w:szCs w:val="21"/>
                <w:lang w:bidi="ar"/>
              </w:rPr>
              <w:t>t</w:t>
            </w:r>
            <w:r>
              <w:rPr>
                <w:b/>
                <w:bCs/>
                <w:color w:val="auto"/>
                <w:kern w:val="0"/>
                <w:szCs w:val="21"/>
                <w:lang w:val="zh-CN" w:bidi="ar"/>
              </w:rPr>
              <w:t>）</w:t>
            </w:r>
          </w:p>
        </w:tc>
        <w:tc>
          <w:tcPr>
            <w:tcW w:w="1686" w:type="dxa"/>
            <w:vMerge w:val="restart"/>
            <w:tcBorders>
              <w:top w:val="single" w:color="auto" w:sz="4" w:space="0"/>
              <w:bottom w:val="single" w:color="auto" w:sz="4" w:space="0"/>
              <w:right w:val="single" w:color="auto" w:sz="4" w:space="0"/>
            </w:tcBorders>
            <w:vAlign w:val="center"/>
          </w:tcPr>
          <w:p>
            <w:pPr>
              <w:widowControl/>
              <w:jc w:val="center"/>
              <w:textAlignment w:val="center"/>
              <w:rPr>
                <w:rFonts w:hint="default" w:eastAsia="宋体"/>
                <w:b/>
                <w:bCs/>
                <w:color w:val="auto"/>
                <w:kern w:val="0"/>
                <w:szCs w:val="21"/>
                <w:lang w:val="zh-CN" w:eastAsia="zh-CN" w:bidi="ar"/>
              </w:rPr>
            </w:pPr>
            <w:r>
              <w:rPr>
                <w:rFonts w:hint="default" w:eastAsia="宋体"/>
                <w:b/>
                <w:bCs/>
                <w:color w:val="auto"/>
                <w:kern w:val="0"/>
                <w:szCs w:val="21"/>
                <w:lang w:val="zh-CN" w:eastAsia="zh-CN" w:bidi="ar"/>
              </w:rPr>
              <w:t>q/Q</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17" w:type="dxa"/>
            <w:vMerge w:val="continue"/>
            <w:tcBorders>
              <w:top w:val="single" w:color="auto" w:sz="4" w:space="0"/>
              <w:left w:val="single" w:color="auto" w:sz="4" w:space="0"/>
              <w:bottom w:val="single" w:color="auto" w:sz="4" w:space="0"/>
            </w:tcBorders>
            <w:vAlign w:val="center"/>
          </w:tcPr>
          <w:p>
            <w:pPr>
              <w:widowControl/>
              <w:jc w:val="center"/>
              <w:rPr>
                <w:b/>
                <w:bCs/>
                <w:color w:val="auto"/>
                <w:kern w:val="0"/>
                <w:szCs w:val="21"/>
                <w:lang w:val="zh-CN" w:bidi="ar"/>
              </w:rPr>
            </w:pPr>
          </w:p>
        </w:tc>
        <w:tc>
          <w:tcPr>
            <w:tcW w:w="689" w:type="dxa"/>
            <w:vMerge w:val="continue"/>
            <w:tcBorders>
              <w:top w:val="single" w:color="auto" w:sz="4" w:space="0"/>
              <w:bottom w:val="single" w:color="auto" w:sz="4" w:space="0"/>
            </w:tcBorders>
            <w:vAlign w:val="center"/>
          </w:tcPr>
          <w:p>
            <w:pPr>
              <w:widowControl/>
              <w:jc w:val="center"/>
              <w:rPr>
                <w:b/>
                <w:bCs/>
                <w:color w:val="auto"/>
                <w:kern w:val="0"/>
                <w:szCs w:val="21"/>
                <w:lang w:val="zh-CN" w:bidi="ar"/>
              </w:rPr>
            </w:pPr>
          </w:p>
        </w:tc>
        <w:tc>
          <w:tcPr>
            <w:tcW w:w="1260" w:type="dxa"/>
            <w:vMerge w:val="continue"/>
            <w:tcBorders>
              <w:top w:val="single" w:color="auto" w:sz="4" w:space="0"/>
              <w:bottom w:val="single" w:color="auto" w:sz="4" w:space="0"/>
            </w:tcBorders>
            <w:vAlign w:val="center"/>
          </w:tcPr>
          <w:p>
            <w:pPr>
              <w:widowControl/>
              <w:jc w:val="center"/>
              <w:rPr>
                <w:b/>
                <w:bCs/>
                <w:color w:val="auto"/>
                <w:kern w:val="0"/>
                <w:szCs w:val="21"/>
                <w:lang w:val="zh-CN" w:bidi="ar"/>
              </w:rPr>
            </w:pPr>
          </w:p>
        </w:tc>
        <w:tc>
          <w:tcPr>
            <w:tcW w:w="1259" w:type="dxa"/>
            <w:tcBorders>
              <w:top w:val="single" w:color="auto" w:sz="4" w:space="0"/>
              <w:bottom w:val="single" w:color="auto" w:sz="4" w:space="0"/>
            </w:tcBorders>
            <w:vAlign w:val="center"/>
          </w:tcPr>
          <w:p>
            <w:pPr>
              <w:widowControl/>
              <w:jc w:val="center"/>
              <w:rPr>
                <w:b/>
                <w:bCs/>
                <w:color w:val="auto"/>
                <w:kern w:val="0"/>
                <w:szCs w:val="21"/>
                <w:lang w:val="zh-CN" w:bidi="ar"/>
              </w:rPr>
            </w:pPr>
            <w:r>
              <w:rPr>
                <w:b/>
                <w:bCs/>
                <w:color w:val="auto"/>
                <w:kern w:val="0"/>
                <w:szCs w:val="21"/>
                <w:lang w:val="zh-CN" w:bidi="ar"/>
              </w:rPr>
              <w:t>实际量</w:t>
            </w:r>
          </w:p>
        </w:tc>
        <w:tc>
          <w:tcPr>
            <w:tcW w:w="1397" w:type="dxa"/>
            <w:tcBorders>
              <w:top w:val="single" w:color="auto" w:sz="4" w:space="0"/>
              <w:bottom w:val="single" w:color="auto" w:sz="4" w:space="0"/>
            </w:tcBorders>
            <w:vAlign w:val="center"/>
          </w:tcPr>
          <w:p>
            <w:pPr>
              <w:widowControl/>
              <w:jc w:val="center"/>
              <w:rPr>
                <w:b/>
                <w:bCs/>
                <w:color w:val="auto"/>
                <w:kern w:val="0"/>
                <w:szCs w:val="21"/>
                <w:lang w:val="zh-CN" w:bidi="ar"/>
              </w:rPr>
            </w:pPr>
            <w:r>
              <w:rPr>
                <w:b/>
                <w:bCs/>
                <w:color w:val="auto"/>
                <w:kern w:val="0"/>
                <w:szCs w:val="21"/>
                <w:lang w:val="zh-CN" w:bidi="ar"/>
              </w:rPr>
              <w:t>临界量</w:t>
            </w:r>
          </w:p>
        </w:tc>
        <w:tc>
          <w:tcPr>
            <w:tcW w:w="1686" w:type="dxa"/>
            <w:vMerge w:val="continue"/>
            <w:tcBorders>
              <w:top w:val="single" w:color="auto" w:sz="4" w:space="0"/>
              <w:bottom w:val="single" w:color="auto" w:sz="4" w:space="0"/>
              <w:right w:val="single" w:color="auto" w:sz="4" w:space="0"/>
            </w:tcBorders>
            <w:vAlign w:val="center"/>
          </w:tcPr>
          <w:p>
            <w:pPr>
              <w:widowControl/>
              <w:jc w:val="center"/>
              <w:textAlignment w:val="center"/>
              <w:rPr>
                <w:rFonts w:hint="default" w:eastAsia="宋体"/>
                <w:b/>
                <w:bCs/>
                <w:color w:val="auto"/>
                <w:kern w:val="0"/>
                <w:szCs w:val="21"/>
                <w:lang w:val="zh-CN" w:eastAsia="zh-CN" w:bidi="ar"/>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17" w:type="dxa"/>
            <w:tcBorders>
              <w:top w:val="single" w:color="auto" w:sz="4" w:space="0"/>
              <w:left w:val="single" w:color="auto" w:sz="4" w:space="0"/>
              <w:bottom w:val="single" w:color="auto" w:sz="4" w:space="0"/>
            </w:tcBorders>
            <w:vAlign w:val="center"/>
          </w:tcPr>
          <w:p>
            <w:pPr>
              <w:widowControl/>
              <w:jc w:val="center"/>
              <w:rPr>
                <w:color w:val="auto"/>
                <w:kern w:val="0"/>
                <w:szCs w:val="21"/>
                <w:lang w:val="zh-CN" w:bidi="ar"/>
              </w:rPr>
            </w:pPr>
            <w:r>
              <w:rPr>
                <w:rFonts w:hint="eastAsia"/>
                <w:color w:val="auto"/>
                <w:kern w:val="0"/>
                <w:szCs w:val="21"/>
                <w:lang w:val="zh-CN" w:eastAsia="zh-CN" w:bidi="ar"/>
              </w:rPr>
              <w:t>底涂剂</w:t>
            </w:r>
          </w:p>
        </w:tc>
        <w:tc>
          <w:tcPr>
            <w:tcW w:w="689" w:type="dxa"/>
            <w:tcBorders>
              <w:top w:val="single" w:color="auto" w:sz="4" w:space="0"/>
              <w:bottom w:val="single" w:color="auto" w:sz="4" w:space="0"/>
            </w:tcBorders>
            <w:vAlign w:val="center"/>
          </w:tcPr>
          <w:p>
            <w:pPr>
              <w:widowControl/>
              <w:jc w:val="center"/>
              <w:rPr>
                <w:rFonts w:hint="eastAsia"/>
                <w:color w:val="auto"/>
                <w:kern w:val="0"/>
                <w:szCs w:val="21"/>
                <w:lang w:val="zh-CN" w:eastAsia="zh-CN" w:bidi="ar"/>
              </w:rPr>
            </w:pPr>
            <w:r>
              <w:rPr>
                <w:rFonts w:hint="eastAsia"/>
                <w:color w:val="auto"/>
                <w:kern w:val="0"/>
                <w:szCs w:val="21"/>
                <w:lang w:val="zh-CN" w:eastAsia="zh-CN" w:bidi="ar"/>
              </w:rPr>
              <w:t>液体</w:t>
            </w:r>
          </w:p>
        </w:tc>
        <w:tc>
          <w:tcPr>
            <w:tcW w:w="1260" w:type="dxa"/>
            <w:tcBorders>
              <w:top w:val="single" w:color="auto" w:sz="4" w:space="0"/>
              <w:bottom w:val="single" w:color="auto" w:sz="4" w:space="0"/>
            </w:tcBorders>
            <w:vAlign w:val="center"/>
          </w:tcPr>
          <w:p>
            <w:pPr>
              <w:widowControl/>
              <w:jc w:val="center"/>
              <w:rPr>
                <w:color w:val="auto"/>
                <w:kern w:val="0"/>
                <w:szCs w:val="21"/>
                <w:lang w:val="zh-CN" w:bidi="ar"/>
              </w:rPr>
            </w:pPr>
            <w:r>
              <w:rPr>
                <w:color w:val="auto"/>
                <w:kern w:val="0"/>
                <w:szCs w:val="21"/>
                <w:lang w:val="zh-CN" w:bidi="ar"/>
              </w:rPr>
              <w:t>易燃</w:t>
            </w:r>
            <w:r>
              <w:rPr>
                <w:rFonts w:hint="eastAsia"/>
                <w:color w:val="auto"/>
                <w:kern w:val="0"/>
                <w:szCs w:val="21"/>
                <w:lang w:val="zh-CN" w:eastAsia="zh-CN" w:bidi="ar"/>
              </w:rPr>
              <w:t>、有毒</w:t>
            </w:r>
          </w:p>
        </w:tc>
        <w:tc>
          <w:tcPr>
            <w:tcW w:w="1259" w:type="dxa"/>
            <w:tcBorders>
              <w:top w:val="single" w:color="auto" w:sz="4" w:space="0"/>
              <w:bottom w:val="single" w:color="auto" w:sz="4" w:space="0"/>
            </w:tcBorders>
            <w:vAlign w:val="center"/>
          </w:tcPr>
          <w:p>
            <w:pPr>
              <w:spacing w:line="360" w:lineRule="exact"/>
              <w:jc w:val="center"/>
              <w:rPr>
                <w:rFonts w:hint="default" w:eastAsia="宋体"/>
                <w:color w:val="auto"/>
                <w:kern w:val="0"/>
                <w:szCs w:val="21"/>
                <w:lang w:val="en-US" w:eastAsia="zh-CN" w:bidi="ar"/>
              </w:rPr>
            </w:pPr>
            <w:r>
              <w:rPr>
                <w:rFonts w:hint="eastAsia"/>
                <w:color w:val="auto"/>
                <w:lang w:val="en-US" w:eastAsia="zh-CN"/>
              </w:rPr>
              <w:t>0.1</w:t>
            </w:r>
          </w:p>
        </w:tc>
        <w:tc>
          <w:tcPr>
            <w:tcW w:w="1397" w:type="dxa"/>
            <w:tcBorders>
              <w:top w:val="single" w:color="auto" w:sz="4" w:space="0"/>
              <w:bottom w:val="single" w:color="auto" w:sz="4" w:space="0"/>
            </w:tcBorders>
            <w:vAlign w:val="center"/>
          </w:tcPr>
          <w:p>
            <w:pPr>
              <w:widowControl/>
              <w:jc w:val="center"/>
              <w:textAlignment w:val="center"/>
              <w:rPr>
                <w:rFonts w:hint="default" w:eastAsia="宋体"/>
                <w:color w:val="auto"/>
                <w:kern w:val="0"/>
                <w:szCs w:val="21"/>
                <w:lang w:val="en-US" w:eastAsia="zh-CN" w:bidi="ar"/>
              </w:rPr>
            </w:pPr>
            <w:r>
              <w:rPr>
                <w:rFonts w:hint="eastAsia"/>
                <w:color w:val="auto"/>
                <w:kern w:val="0"/>
                <w:szCs w:val="21"/>
                <w:lang w:val="en-US" w:eastAsia="zh-CN" w:bidi="ar"/>
              </w:rPr>
              <w:t>10</w:t>
            </w:r>
          </w:p>
        </w:tc>
        <w:tc>
          <w:tcPr>
            <w:tcW w:w="1686" w:type="dxa"/>
            <w:tcBorders>
              <w:top w:val="single" w:color="auto" w:sz="4" w:space="0"/>
              <w:bottom w:val="single" w:color="auto" w:sz="4" w:space="0"/>
              <w:right w:val="single" w:color="auto" w:sz="4" w:space="0"/>
            </w:tcBorders>
            <w:vAlign w:val="center"/>
          </w:tcPr>
          <w:p>
            <w:pPr>
              <w:widowControl/>
              <w:jc w:val="center"/>
              <w:textAlignment w:val="center"/>
              <w:rPr>
                <w:rFonts w:hint="default" w:eastAsia="宋体"/>
                <w:color w:val="auto"/>
                <w:kern w:val="0"/>
                <w:szCs w:val="21"/>
                <w:lang w:val="zh-CN" w:eastAsia="zh-CN" w:bidi="ar"/>
              </w:rPr>
            </w:pPr>
            <w:r>
              <w:rPr>
                <w:rFonts w:hint="eastAsia" w:eastAsia="宋体"/>
                <w:color w:val="auto"/>
                <w:kern w:val="0"/>
                <w:szCs w:val="21"/>
                <w:lang w:val="en-US" w:eastAsia="zh-CN" w:bidi="ar"/>
              </w:rPr>
              <w:t>0.01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17" w:type="dxa"/>
            <w:tcBorders>
              <w:top w:val="single" w:color="auto" w:sz="4" w:space="0"/>
              <w:left w:val="single" w:color="auto" w:sz="4" w:space="0"/>
              <w:bottom w:val="single" w:color="auto" w:sz="4" w:space="0"/>
            </w:tcBorders>
            <w:vAlign w:val="center"/>
          </w:tcPr>
          <w:p>
            <w:pPr>
              <w:widowControl/>
              <w:jc w:val="center"/>
              <w:rPr>
                <w:rFonts w:hint="eastAsia"/>
                <w:color w:val="auto"/>
                <w:kern w:val="0"/>
                <w:szCs w:val="21"/>
                <w:lang w:val="zh-CN" w:eastAsia="zh-CN" w:bidi="ar"/>
              </w:rPr>
            </w:pPr>
            <w:r>
              <w:rPr>
                <w:rFonts w:hint="eastAsia"/>
                <w:color w:val="auto"/>
                <w:kern w:val="0"/>
                <w:szCs w:val="21"/>
                <w:lang w:val="zh-CN" w:bidi="ar"/>
              </w:rPr>
              <w:t>硫磺</w:t>
            </w:r>
          </w:p>
        </w:tc>
        <w:tc>
          <w:tcPr>
            <w:tcW w:w="689" w:type="dxa"/>
            <w:tcBorders>
              <w:top w:val="single" w:color="auto" w:sz="4" w:space="0"/>
              <w:bottom w:val="single" w:color="auto" w:sz="4" w:space="0"/>
            </w:tcBorders>
            <w:vAlign w:val="center"/>
          </w:tcPr>
          <w:p>
            <w:pPr>
              <w:widowControl/>
              <w:jc w:val="center"/>
              <w:rPr>
                <w:color w:val="auto"/>
                <w:kern w:val="0"/>
                <w:szCs w:val="21"/>
                <w:lang w:val="zh-CN" w:eastAsia="zh-CN" w:bidi="ar"/>
              </w:rPr>
            </w:pPr>
            <w:r>
              <w:rPr>
                <w:color w:val="auto"/>
                <w:kern w:val="0"/>
                <w:szCs w:val="21"/>
                <w:lang w:val="zh-CN" w:bidi="ar"/>
              </w:rPr>
              <w:t>固体</w:t>
            </w:r>
          </w:p>
        </w:tc>
        <w:tc>
          <w:tcPr>
            <w:tcW w:w="1260" w:type="dxa"/>
            <w:tcBorders>
              <w:top w:val="single" w:color="auto" w:sz="4" w:space="0"/>
              <w:bottom w:val="single" w:color="auto" w:sz="4" w:space="0"/>
            </w:tcBorders>
            <w:vAlign w:val="center"/>
          </w:tcPr>
          <w:p>
            <w:pPr>
              <w:widowControl/>
              <w:jc w:val="center"/>
              <w:rPr>
                <w:color w:val="auto"/>
                <w:kern w:val="0"/>
                <w:szCs w:val="21"/>
                <w:lang w:val="zh-CN" w:eastAsia="zh-CN" w:bidi="ar"/>
              </w:rPr>
            </w:pPr>
            <w:r>
              <w:rPr>
                <w:color w:val="auto"/>
                <w:kern w:val="0"/>
                <w:szCs w:val="21"/>
                <w:lang w:val="zh-CN" w:bidi="ar"/>
              </w:rPr>
              <w:t>易燃</w:t>
            </w:r>
            <w:r>
              <w:rPr>
                <w:rFonts w:hint="eastAsia"/>
                <w:color w:val="auto"/>
                <w:kern w:val="0"/>
                <w:szCs w:val="21"/>
                <w:lang w:val="zh-CN" w:eastAsia="zh-CN" w:bidi="ar"/>
              </w:rPr>
              <w:t>、有毒</w:t>
            </w:r>
          </w:p>
        </w:tc>
        <w:tc>
          <w:tcPr>
            <w:tcW w:w="1259" w:type="dxa"/>
            <w:tcBorders>
              <w:top w:val="single" w:color="auto" w:sz="4" w:space="0"/>
              <w:bottom w:val="single" w:color="auto" w:sz="4" w:space="0"/>
            </w:tcBorders>
            <w:vAlign w:val="center"/>
          </w:tcPr>
          <w:p>
            <w:pPr>
              <w:spacing w:line="360" w:lineRule="exact"/>
              <w:jc w:val="center"/>
              <w:rPr>
                <w:rFonts w:hint="eastAsia"/>
                <w:color w:val="auto"/>
              </w:rPr>
            </w:pPr>
            <w:r>
              <w:rPr>
                <w:rFonts w:hint="eastAsia"/>
                <w:color w:val="auto"/>
                <w:szCs w:val="21"/>
              </w:rPr>
              <w:t>0.03</w:t>
            </w:r>
          </w:p>
        </w:tc>
        <w:tc>
          <w:tcPr>
            <w:tcW w:w="1397" w:type="dxa"/>
            <w:tcBorders>
              <w:top w:val="single" w:color="auto" w:sz="4" w:space="0"/>
              <w:bottom w:val="single" w:color="auto" w:sz="4" w:space="0"/>
            </w:tcBorders>
            <w:vAlign w:val="center"/>
          </w:tcPr>
          <w:p>
            <w:pPr>
              <w:widowControl/>
              <w:jc w:val="center"/>
              <w:textAlignment w:val="center"/>
              <w:rPr>
                <w:rFonts w:hint="default" w:eastAsia="宋体"/>
                <w:color w:val="auto"/>
                <w:kern w:val="0"/>
                <w:szCs w:val="21"/>
                <w:lang w:val="en-US" w:eastAsia="zh-CN" w:bidi="ar"/>
              </w:rPr>
            </w:pPr>
            <w:r>
              <w:rPr>
                <w:rFonts w:hint="eastAsia" w:cs="Times New Roman"/>
                <w:bCs/>
                <w:szCs w:val="21"/>
                <w:lang w:val="en-US" w:eastAsia="zh-CN"/>
              </w:rPr>
              <w:t>10</w:t>
            </w:r>
          </w:p>
        </w:tc>
        <w:tc>
          <w:tcPr>
            <w:tcW w:w="1686" w:type="dxa"/>
            <w:tcBorders>
              <w:top w:val="single" w:color="auto" w:sz="4" w:space="0"/>
              <w:bottom w:val="single" w:color="auto" w:sz="4" w:space="0"/>
              <w:right w:val="single" w:color="auto" w:sz="4" w:space="0"/>
            </w:tcBorders>
            <w:vAlign w:val="center"/>
          </w:tcPr>
          <w:p>
            <w:pPr>
              <w:widowControl/>
              <w:jc w:val="center"/>
              <w:textAlignment w:val="center"/>
              <w:rPr>
                <w:rFonts w:hint="eastAsia" w:eastAsia="宋体"/>
                <w:color w:val="auto"/>
                <w:kern w:val="0"/>
                <w:szCs w:val="21"/>
                <w:lang w:val="zh-CN" w:eastAsia="zh-CN" w:bidi="ar"/>
              </w:rPr>
            </w:pPr>
            <w:r>
              <w:rPr>
                <w:rFonts w:hint="eastAsia" w:eastAsia="宋体"/>
                <w:color w:val="auto"/>
                <w:kern w:val="0"/>
                <w:szCs w:val="21"/>
                <w:lang w:val="en-US" w:eastAsia="zh-CN" w:bidi="ar"/>
              </w:rPr>
              <w:t>0.003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17" w:type="dxa"/>
            <w:tcBorders>
              <w:top w:val="single" w:color="auto" w:sz="4" w:space="0"/>
              <w:left w:val="single" w:color="auto" w:sz="4" w:space="0"/>
              <w:bottom w:val="single" w:color="auto" w:sz="4" w:space="0"/>
            </w:tcBorders>
            <w:vAlign w:val="center"/>
          </w:tcPr>
          <w:p>
            <w:pPr>
              <w:widowControl/>
              <w:jc w:val="center"/>
              <w:rPr>
                <w:rFonts w:hint="eastAsia"/>
                <w:color w:val="auto"/>
                <w:kern w:val="0"/>
                <w:szCs w:val="21"/>
                <w:lang w:val="zh-CN" w:eastAsia="zh-CN" w:bidi="ar"/>
              </w:rPr>
            </w:pPr>
            <w:r>
              <w:rPr>
                <w:rFonts w:hint="eastAsia"/>
                <w:color w:val="auto"/>
                <w:kern w:val="0"/>
                <w:szCs w:val="21"/>
                <w:lang w:val="zh-CN" w:eastAsia="zh-CN" w:bidi="ar"/>
              </w:rPr>
              <w:t>乙酸丁酯</w:t>
            </w:r>
          </w:p>
        </w:tc>
        <w:tc>
          <w:tcPr>
            <w:tcW w:w="689" w:type="dxa"/>
            <w:tcBorders>
              <w:top w:val="single" w:color="auto" w:sz="4" w:space="0"/>
              <w:bottom w:val="single" w:color="auto" w:sz="4" w:space="0"/>
            </w:tcBorders>
            <w:vAlign w:val="center"/>
          </w:tcPr>
          <w:p>
            <w:pPr>
              <w:widowControl/>
              <w:jc w:val="center"/>
              <w:rPr>
                <w:rFonts w:hint="eastAsia" w:ascii="Times New Roman" w:hAnsi="Times New Roman" w:eastAsia="宋体" w:cs="Times New Roman"/>
                <w:color w:val="auto"/>
                <w:kern w:val="0"/>
                <w:sz w:val="21"/>
                <w:szCs w:val="21"/>
                <w:lang w:val="zh-CN" w:eastAsia="zh-CN" w:bidi="ar"/>
              </w:rPr>
            </w:pPr>
            <w:r>
              <w:rPr>
                <w:rFonts w:hint="eastAsia"/>
                <w:color w:val="auto"/>
                <w:kern w:val="0"/>
                <w:szCs w:val="21"/>
                <w:lang w:val="zh-CN" w:eastAsia="zh-CN" w:bidi="ar"/>
              </w:rPr>
              <w:t>液体</w:t>
            </w:r>
          </w:p>
        </w:tc>
        <w:tc>
          <w:tcPr>
            <w:tcW w:w="1260" w:type="dxa"/>
            <w:tcBorders>
              <w:top w:val="single" w:color="auto" w:sz="4" w:space="0"/>
              <w:bottom w:val="single" w:color="auto" w:sz="4" w:space="0"/>
            </w:tcBorders>
            <w:vAlign w:val="center"/>
          </w:tcPr>
          <w:p>
            <w:pPr>
              <w:widowControl/>
              <w:jc w:val="center"/>
              <w:rPr>
                <w:rFonts w:hint="eastAsia"/>
                <w:color w:val="auto"/>
                <w:kern w:val="0"/>
                <w:szCs w:val="21"/>
                <w:lang w:val="zh-CN" w:eastAsia="zh-CN" w:bidi="ar"/>
              </w:rPr>
            </w:pPr>
            <w:r>
              <w:rPr>
                <w:color w:val="auto"/>
                <w:kern w:val="0"/>
                <w:szCs w:val="21"/>
                <w:lang w:val="zh-CN" w:bidi="ar"/>
              </w:rPr>
              <w:t>易燃</w:t>
            </w:r>
            <w:r>
              <w:rPr>
                <w:rFonts w:hint="eastAsia"/>
                <w:color w:val="auto"/>
                <w:kern w:val="0"/>
                <w:szCs w:val="21"/>
                <w:lang w:val="zh-CN" w:eastAsia="zh-CN" w:bidi="ar"/>
              </w:rPr>
              <w:t>、有毒</w:t>
            </w:r>
          </w:p>
        </w:tc>
        <w:tc>
          <w:tcPr>
            <w:tcW w:w="1259" w:type="dxa"/>
            <w:tcBorders>
              <w:top w:val="single" w:color="auto" w:sz="4" w:space="0"/>
              <w:bottom w:val="single" w:color="auto" w:sz="4" w:space="0"/>
            </w:tcBorders>
            <w:vAlign w:val="center"/>
          </w:tcPr>
          <w:p>
            <w:pPr>
              <w:spacing w:line="360" w:lineRule="exact"/>
              <w:jc w:val="center"/>
              <w:rPr>
                <w:rFonts w:hint="eastAsia" w:eastAsia="宋体"/>
                <w:color w:val="auto"/>
                <w:szCs w:val="21"/>
                <w:lang w:val="en-US" w:eastAsia="zh-CN"/>
              </w:rPr>
            </w:pPr>
            <w:r>
              <w:rPr>
                <w:rFonts w:hint="eastAsia"/>
                <w:color w:val="auto"/>
                <w:szCs w:val="21"/>
                <w:lang w:val="en-US" w:eastAsia="zh-CN"/>
              </w:rPr>
              <w:t>2</w:t>
            </w:r>
          </w:p>
        </w:tc>
        <w:tc>
          <w:tcPr>
            <w:tcW w:w="1397" w:type="dxa"/>
            <w:tcBorders>
              <w:top w:val="single" w:color="auto" w:sz="4" w:space="0"/>
              <w:bottom w:val="single" w:color="auto" w:sz="4" w:space="0"/>
            </w:tcBorders>
            <w:vAlign w:val="center"/>
          </w:tcPr>
          <w:p>
            <w:pPr>
              <w:widowControl/>
              <w:jc w:val="center"/>
              <w:textAlignment w:val="center"/>
              <w:rPr>
                <w:rFonts w:hint="default" w:eastAsia="宋体"/>
                <w:color w:val="auto"/>
                <w:kern w:val="0"/>
                <w:szCs w:val="21"/>
                <w:lang w:val="en-US" w:eastAsia="zh-CN" w:bidi="ar"/>
              </w:rPr>
            </w:pPr>
            <w:r>
              <w:rPr>
                <w:rFonts w:hint="eastAsia"/>
                <w:color w:val="auto"/>
                <w:kern w:val="0"/>
                <w:szCs w:val="21"/>
                <w:lang w:val="en-US" w:eastAsia="zh-CN" w:bidi="ar"/>
              </w:rPr>
              <w:t>50</w:t>
            </w:r>
          </w:p>
        </w:tc>
        <w:tc>
          <w:tcPr>
            <w:tcW w:w="1686" w:type="dxa"/>
            <w:tcBorders>
              <w:top w:val="single" w:color="auto" w:sz="4" w:space="0"/>
              <w:bottom w:val="single" w:color="auto" w:sz="4" w:space="0"/>
              <w:right w:val="single" w:color="auto" w:sz="4" w:space="0"/>
            </w:tcBorders>
            <w:vAlign w:val="center"/>
          </w:tcPr>
          <w:p>
            <w:pPr>
              <w:widowControl/>
              <w:jc w:val="center"/>
              <w:textAlignment w:val="center"/>
              <w:rPr>
                <w:rFonts w:hint="eastAsia" w:eastAsia="宋体"/>
                <w:color w:val="auto"/>
                <w:kern w:val="0"/>
                <w:szCs w:val="21"/>
                <w:lang w:val="en-US" w:eastAsia="zh-CN" w:bidi="ar"/>
              </w:rPr>
            </w:pPr>
            <w:r>
              <w:rPr>
                <w:rFonts w:hint="eastAsia" w:eastAsia="宋体"/>
                <w:color w:val="auto"/>
                <w:kern w:val="0"/>
                <w:szCs w:val="21"/>
                <w:lang w:val="en-US" w:eastAsia="zh-CN" w:bidi="ar"/>
              </w:rPr>
              <w:t>0.04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17" w:type="dxa"/>
            <w:tcBorders>
              <w:top w:val="single" w:color="auto" w:sz="4" w:space="0"/>
              <w:left w:val="single" w:color="auto" w:sz="4" w:space="0"/>
              <w:bottom w:val="single" w:color="auto" w:sz="4" w:space="0"/>
            </w:tcBorders>
            <w:vAlign w:val="center"/>
          </w:tcPr>
          <w:p>
            <w:pPr>
              <w:widowControl/>
              <w:jc w:val="center"/>
              <w:rPr>
                <w:rFonts w:hint="eastAsia"/>
                <w:color w:val="auto"/>
                <w:kern w:val="0"/>
                <w:szCs w:val="21"/>
                <w:lang w:val="zh-CN" w:eastAsia="zh-CN" w:bidi="ar"/>
              </w:rPr>
            </w:pPr>
            <w:r>
              <w:rPr>
                <w:rFonts w:hint="eastAsia"/>
                <w:color w:val="auto"/>
                <w:kern w:val="0"/>
                <w:szCs w:val="21"/>
                <w:lang w:val="zh-CN" w:eastAsia="zh-CN" w:bidi="ar"/>
              </w:rPr>
              <w:t>合计</w:t>
            </w:r>
          </w:p>
        </w:tc>
        <w:tc>
          <w:tcPr>
            <w:tcW w:w="689" w:type="dxa"/>
            <w:tcBorders>
              <w:top w:val="single" w:color="auto" w:sz="4" w:space="0"/>
              <w:bottom w:val="single" w:color="auto" w:sz="4" w:space="0"/>
            </w:tcBorders>
            <w:vAlign w:val="center"/>
          </w:tcPr>
          <w:p>
            <w:pPr>
              <w:widowControl/>
              <w:jc w:val="center"/>
              <w:rPr>
                <w:rFonts w:hint="eastAsia" w:eastAsia="宋体"/>
                <w:color w:val="auto"/>
                <w:kern w:val="0"/>
                <w:szCs w:val="21"/>
                <w:lang w:val="en-US" w:eastAsia="zh-CN" w:bidi="ar"/>
              </w:rPr>
            </w:pPr>
            <w:r>
              <w:rPr>
                <w:rFonts w:hint="eastAsia"/>
                <w:color w:val="auto"/>
                <w:kern w:val="0"/>
                <w:szCs w:val="21"/>
                <w:lang w:val="en-US" w:eastAsia="zh-CN" w:bidi="ar"/>
              </w:rPr>
              <w:t>/</w:t>
            </w:r>
          </w:p>
        </w:tc>
        <w:tc>
          <w:tcPr>
            <w:tcW w:w="1260" w:type="dxa"/>
            <w:tcBorders>
              <w:top w:val="single" w:color="auto" w:sz="4" w:space="0"/>
              <w:bottom w:val="single" w:color="auto" w:sz="4" w:space="0"/>
            </w:tcBorders>
            <w:vAlign w:val="center"/>
          </w:tcPr>
          <w:p>
            <w:pPr>
              <w:widowControl/>
              <w:jc w:val="center"/>
              <w:rPr>
                <w:color w:val="auto"/>
                <w:kern w:val="0"/>
                <w:szCs w:val="21"/>
                <w:lang w:val="zh-CN" w:bidi="ar"/>
              </w:rPr>
            </w:pPr>
            <w:r>
              <w:rPr>
                <w:rFonts w:hint="eastAsia"/>
                <w:color w:val="auto"/>
                <w:kern w:val="0"/>
                <w:szCs w:val="21"/>
                <w:lang w:val="en-US" w:eastAsia="zh-CN" w:bidi="ar"/>
              </w:rPr>
              <w:t>/</w:t>
            </w:r>
          </w:p>
        </w:tc>
        <w:tc>
          <w:tcPr>
            <w:tcW w:w="1259" w:type="dxa"/>
            <w:tcBorders>
              <w:top w:val="single" w:color="auto" w:sz="4" w:space="0"/>
              <w:bottom w:val="single" w:color="auto" w:sz="4" w:space="0"/>
            </w:tcBorders>
            <w:vAlign w:val="center"/>
          </w:tcPr>
          <w:p>
            <w:pPr>
              <w:spacing w:line="360" w:lineRule="exact"/>
              <w:jc w:val="center"/>
              <w:rPr>
                <w:rFonts w:hint="eastAsia"/>
                <w:color w:val="auto"/>
                <w:szCs w:val="21"/>
              </w:rPr>
            </w:pPr>
            <w:r>
              <w:rPr>
                <w:rFonts w:hint="eastAsia"/>
                <w:color w:val="auto"/>
                <w:kern w:val="0"/>
                <w:szCs w:val="21"/>
                <w:lang w:val="en-US" w:eastAsia="zh-CN" w:bidi="ar"/>
              </w:rPr>
              <w:t>/</w:t>
            </w:r>
          </w:p>
        </w:tc>
        <w:tc>
          <w:tcPr>
            <w:tcW w:w="1397" w:type="dxa"/>
            <w:tcBorders>
              <w:top w:val="single" w:color="auto" w:sz="4" w:space="0"/>
              <w:bottom w:val="single" w:color="auto" w:sz="4" w:space="0"/>
            </w:tcBorders>
            <w:vAlign w:val="center"/>
          </w:tcPr>
          <w:p>
            <w:pPr>
              <w:widowControl/>
              <w:jc w:val="center"/>
              <w:textAlignment w:val="center"/>
              <w:rPr>
                <w:color w:val="auto"/>
                <w:kern w:val="0"/>
                <w:szCs w:val="21"/>
                <w:lang w:bidi="ar"/>
              </w:rPr>
            </w:pPr>
            <w:r>
              <w:rPr>
                <w:rFonts w:hint="eastAsia"/>
                <w:color w:val="auto"/>
                <w:kern w:val="0"/>
                <w:szCs w:val="21"/>
                <w:lang w:val="en-US" w:eastAsia="zh-CN" w:bidi="ar"/>
              </w:rPr>
              <w:t>/</w:t>
            </w:r>
          </w:p>
        </w:tc>
        <w:tc>
          <w:tcPr>
            <w:tcW w:w="1686" w:type="dxa"/>
            <w:tcBorders>
              <w:top w:val="single" w:color="auto" w:sz="4" w:space="0"/>
              <w:bottom w:val="single" w:color="auto" w:sz="4" w:space="0"/>
              <w:right w:val="single" w:color="auto" w:sz="4" w:space="0"/>
            </w:tcBorders>
            <w:vAlign w:val="center"/>
          </w:tcPr>
          <w:p>
            <w:pPr>
              <w:widowControl/>
              <w:jc w:val="center"/>
              <w:textAlignment w:val="center"/>
              <w:rPr>
                <w:rFonts w:hint="eastAsia" w:eastAsia="宋体"/>
                <w:color w:val="auto"/>
                <w:kern w:val="0"/>
                <w:szCs w:val="21"/>
                <w:lang w:val="en-US" w:eastAsia="zh-CN" w:bidi="ar"/>
              </w:rPr>
            </w:pPr>
            <w:r>
              <w:rPr>
                <w:rFonts w:hint="eastAsia" w:eastAsia="宋体"/>
                <w:color w:val="auto"/>
                <w:kern w:val="0"/>
                <w:szCs w:val="21"/>
                <w:lang w:val="en-US" w:eastAsia="zh-CN" w:bidi="ar"/>
              </w:rPr>
              <w:t>0.053</w:t>
            </w:r>
          </w:p>
        </w:tc>
      </w:tr>
    </w:tbl>
    <w:p>
      <w:pPr>
        <w:spacing w:line="360" w:lineRule="auto"/>
        <w:ind w:firstLine="482"/>
        <w:rPr>
          <w:rFonts w:hint="default" w:ascii="Times New Roman" w:hAnsi="Times New Roman" w:cs="Times New Roman"/>
          <w:color w:val="auto"/>
          <w:spacing w:val="5"/>
          <w:sz w:val="21"/>
          <w:szCs w:val="21"/>
        </w:rPr>
      </w:pPr>
      <w:r>
        <w:rPr>
          <w:rFonts w:hint="eastAsia" w:ascii="Times New Roman" w:hAnsi="Times New Roman" w:cs="Times New Roman"/>
          <w:color w:val="auto"/>
          <w:spacing w:val="5"/>
          <w:sz w:val="21"/>
          <w:szCs w:val="21"/>
          <w:lang w:eastAsia="zh-CN"/>
        </w:rPr>
        <w:t>注</w:t>
      </w:r>
      <w:r>
        <w:rPr>
          <w:rFonts w:hint="eastAsia" w:ascii="Times New Roman" w:hAnsi="Times New Roman" w:cs="Times New Roman"/>
          <w:color w:val="auto"/>
          <w:spacing w:val="5"/>
          <w:sz w:val="21"/>
          <w:szCs w:val="21"/>
          <w:lang w:val="en-US" w:eastAsia="zh-CN"/>
        </w:rPr>
        <w:t>：</w:t>
      </w:r>
      <w:r>
        <w:rPr>
          <w:rFonts w:hint="default" w:ascii="Times New Roman" w:hAnsi="Times New Roman" w:cs="Times New Roman"/>
          <w:color w:val="auto"/>
          <w:spacing w:val="5"/>
          <w:sz w:val="21"/>
          <w:szCs w:val="21"/>
        </w:rPr>
        <w:t>硫化剂的主要成分为硫磺S，</w:t>
      </w:r>
      <w:r>
        <w:rPr>
          <w:rFonts w:hint="default" w:ascii="Times New Roman" w:hAnsi="Times New Roman" w:cs="Times New Roman"/>
          <w:color w:val="auto"/>
          <w:sz w:val="21"/>
          <w:szCs w:val="21"/>
          <w:shd w:val="clear" w:color="auto" w:fill="FFFFFF"/>
        </w:rPr>
        <w:t>参考《企业突发环境事件风险评估指南（试行）》</w:t>
      </w:r>
      <w:r>
        <w:rPr>
          <w:rFonts w:hint="default" w:ascii="Times New Roman" w:hAnsi="Times New Roman" w:cs="Times New Roman"/>
          <w:color w:val="auto"/>
          <w:spacing w:val="5"/>
          <w:sz w:val="21"/>
          <w:szCs w:val="21"/>
        </w:rPr>
        <w:t>附录B中</w:t>
      </w:r>
      <w:r>
        <w:rPr>
          <w:rFonts w:hint="eastAsia" w:ascii="Times New Roman" w:hAnsi="Times New Roman" w:cs="Times New Roman"/>
          <w:color w:val="auto"/>
          <w:spacing w:val="5"/>
          <w:sz w:val="21"/>
          <w:szCs w:val="21"/>
          <w:lang w:eastAsia="zh-CN"/>
        </w:rPr>
        <w:t>硫</w:t>
      </w:r>
      <w:r>
        <w:rPr>
          <w:rFonts w:hint="default" w:ascii="Times New Roman" w:hAnsi="Times New Roman" w:cs="Times New Roman"/>
          <w:color w:val="auto"/>
          <w:spacing w:val="5"/>
          <w:sz w:val="21"/>
          <w:szCs w:val="21"/>
        </w:rPr>
        <w:t>对应的临界量为10t；</w:t>
      </w:r>
    </w:p>
    <w:p>
      <w:pPr>
        <w:pStyle w:val="2"/>
        <w:spacing w:after="0" w:line="360" w:lineRule="auto"/>
        <w:ind w:firstLine="480"/>
        <w:rPr>
          <w:rFonts w:hint="default" w:ascii="Times New Roman" w:hAnsi="Times New Roman" w:cs="Times New Roman"/>
          <w:color w:val="auto"/>
          <w:spacing w:val="5"/>
          <w:sz w:val="21"/>
          <w:szCs w:val="21"/>
        </w:rPr>
      </w:pPr>
      <w:r>
        <w:rPr>
          <w:rFonts w:hint="eastAsia"/>
          <w:color w:val="auto"/>
          <w:sz w:val="21"/>
          <w:szCs w:val="21"/>
          <w:lang w:eastAsia="zh-CN"/>
        </w:rPr>
        <w:t>底涂剂中主要含量为甲醇，根据</w:t>
      </w:r>
      <w:r>
        <w:rPr>
          <w:color w:val="auto"/>
          <w:sz w:val="21"/>
          <w:szCs w:val="21"/>
        </w:rPr>
        <w:t>《建设项目环境风险评价技术导则》(HJ169-2018)附录</w:t>
      </w:r>
      <w:r>
        <w:rPr>
          <w:rFonts w:hint="eastAsia"/>
          <w:color w:val="auto"/>
          <w:sz w:val="21"/>
          <w:szCs w:val="21"/>
          <w:lang w:val="en-US" w:eastAsia="zh-CN"/>
        </w:rPr>
        <w:t>B</w:t>
      </w:r>
      <w:r>
        <w:rPr>
          <w:rFonts w:hint="default" w:ascii="Times New Roman" w:hAnsi="Times New Roman" w:cs="Times New Roman"/>
          <w:color w:val="auto"/>
          <w:spacing w:val="5"/>
          <w:sz w:val="21"/>
          <w:szCs w:val="21"/>
        </w:rPr>
        <w:t>中</w:t>
      </w:r>
      <w:r>
        <w:rPr>
          <w:rFonts w:hint="eastAsia" w:cs="Times New Roman"/>
          <w:color w:val="auto"/>
          <w:spacing w:val="5"/>
          <w:sz w:val="21"/>
          <w:szCs w:val="21"/>
          <w:lang w:eastAsia="zh-CN"/>
        </w:rPr>
        <w:t>甲醇</w:t>
      </w:r>
      <w:r>
        <w:rPr>
          <w:rFonts w:hint="default" w:ascii="Times New Roman" w:hAnsi="Times New Roman" w:cs="Times New Roman"/>
          <w:color w:val="auto"/>
          <w:spacing w:val="5"/>
          <w:sz w:val="21"/>
          <w:szCs w:val="21"/>
        </w:rPr>
        <w:t>对应的临界量为10t；</w:t>
      </w:r>
    </w:p>
    <w:p>
      <w:pPr>
        <w:pStyle w:val="2"/>
        <w:spacing w:after="0" w:line="360" w:lineRule="auto"/>
        <w:ind w:firstLine="480"/>
        <w:rPr>
          <w:rFonts w:hint="default" w:ascii="Times New Roman" w:hAnsi="Times New Roman" w:cs="Times New Roman"/>
          <w:color w:val="auto"/>
          <w:spacing w:val="5"/>
          <w:sz w:val="21"/>
          <w:szCs w:val="21"/>
        </w:rPr>
      </w:pPr>
      <w:r>
        <w:rPr>
          <w:rFonts w:hint="eastAsia"/>
          <w:color w:val="auto"/>
          <w:sz w:val="21"/>
          <w:szCs w:val="21"/>
          <w:lang w:eastAsia="zh-CN"/>
        </w:rPr>
        <w:t>乙酸丁酯根据</w:t>
      </w:r>
      <w:r>
        <w:rPr>
          <w:color w:val="auto"/>
          <w:sz w:val="21"/>
          <w:szCs w:val="21"/>
        </w:rPr>
        <w:t>《建设项目环境风险评价技术导则》(HJ169-2018)附录</w:t>
      </w:r>
      <w:r>
        <w:rPr>
          <w:rFonts w:hint="eastAsia"/>
          <w:color w:val="auto"/>
          <w:sz w:val="21"/>
          <w:szCs w:val="21"/>
          <w:lang w:val="en-US" w:eastAsia="zh-CN"/>
        </w:rPr>
        <w:t>B</w:t>
      </w:r>
      <w:r>
        <w:rPr>
          <w:rFonts w:hint="default" w:ascii="Times New Roman" w:hAnsi="Times New Roman" w:cs="Times New Roman"/>
          <w:color w:val="auto"/>
          <w:spacing w:val="5"/>
          <w:sz w:val="21"/>
          <w:szCs w:val="21"/>
        </w:rPr>
        <w:t>中</w:t>
      </w:r>
      <w:r>
        <w:rPr>
          <w:rFonts w:hint="eastAsia" w:cs="Times New Roman"/>
          <w:color w:val="auto"/>
          <w:spacing w:val="5"/>
          <w:sz w:val="21"/>
          <w:szCs w:val="21"/>
          <w:lang w:eastAsia="zh-CN"/>
        </w:rPr>
        <w:t>健康危险急性毒性物质，</w:t>
      </w:r>
      <w:r>
        <w:rPr>
          <w:rFonts w:hint="default" w:ascii="Times New Roman" w:hAnsi="Times New Roman" w:cs="Times New Roman"/>
          <w:color w:val="auto"/>
          <w:spacing w:val="5"/>
          <w:sz w:val="21"/>
          <w:szCs w:val="21"/>
        </w:rPr>
        <w:t>临界量为</w:t>
      </w:r>
      <w:r>
        <w:rPr>
          <w:rFonts w:hint="eastAsia" w:cs="Times New Roman"/>
          <w:color w:val="auto"/>
          <w:spacing w:val="5"/>
          <w:sz w:val="21"/>
          <w:szCs w:val="21"/>
          <w:lang w:val="en-US" w:eastAsia="zh-CN"/>
        </w:rPr>
        <w:t>5</w:t>
      </w:r>
      <w:r>
        <w:rPr>
          <w:rFonts w:hint="default" w:ascii="Times New Roman" w:hAnsi="Times New Roman" w:cs="Times New Roman"/>
          <w:color w:val="auto"/>
          <w:spacing w:val="5"/>
          <w:sz w:val="21"/>
          <w:szCs w:val="21"/>
        </w:rPr>
        <w:t>0t；</w:t>
      </w:r>
    </w:p>
    <w:p>
      <w:pPr>
        <w:pStyle w:val="2"/>
        <w:spacing w:after="0" w:line="360" w:lineRule="auto"/>
        <w:ind w:firstLine="480"/>
        <w:rPr>
          <w:rFonts w:hint="eastAsia" w:ascii="Times New Roman" w:hAnsi="Times New Roman" w:eastAsia="宋体" w:cs="Times New Roman"/>
          <w:color w:val="auto"/>
          <w:spacing w:val="5"/>
          <w:sz w:val="21"/>
          <w:szCs w:val="21"/>
          <w:lang w:eastAsia="zh-CN"/>
        </w:rPr>
      </w:pPr>
      <w:r>
        <w:rPr>
          <w:rFonts w:hint="eastAsia" w:cs="Times New Roman"/>
          <w:color w:val="auto"/>
          <w:spacing w:val="5"/>
          <w:sz w:val="21"/>
          <w:szCs w:val="21"/>
          <w:lang w:eastAsia="zh-CN"/>
        </w:rPr>
        <w:t>其他物质经查</w:t>
      </w:r>
      <w:r>
        <w:rPr>
          <w:color w:val="auto"/>
          <w:sz w:val="21"/>
          <w:szCs w:val="21"/>
        </w:rPr>
        <w:t>《建设项目环境风险评价技术导则》(HJ169-2018)</w:t>
      </w:r>
      <w:r>
        <w:rPr>
          <w:rFonts w:hint="eastAsia"/>
          <w:color w:val="auto"/>
          <w:sz w:val="21"/>
          <w:szCs w:val="21"/>
          <w:lang w:eastAsia="zh-CN"/>
        </w:rPr>
        <w:t>，不在</w:t>
      </w:r>
      <w:r>
        <w:rPr>
          <w:rFonts w:hint="eastAsia" w:cs="Times New Roman"/>
          <w:color w:val="auto"/>
          <w:spacing w:val="5"/>
          <w:sz w:val="21"/>
          <w:szCs w:val="21"/>
          <w:lang w:eastAsia="zh-CN"/>
        </w:rPr>
        <w:t>附录</w:t>
      </w:r>
      <w:r>
        <w:rPr>
          <w:rFonts w:hint="eastAsia" w:cs="Times New Roman"/>
          <w:color w:val="auto"/>
          <w:spacing w:val="5"/>
          <w:sz w:val="21"/>
          <w:szCs w:val="21"/>
          <w:lang w:val="en-US" w:eastAsia="zh-CN"/>
        </w:rPr>
        <w:t>B内</w:t>
      </w:r>
      <w:r>
        <w:rPr>
          <w:rFonts w:hint="eastAsia" w:cs="Times New Roman"/>
          <w:color w:val="auto"/>
          <w:spacing w:val="5"/>
          <w:sz w:val="21"/>
          <w:szCs w:val="21"/>
          <w:lang w:eastAsia="zh-CN"/>
        </w:rPr>
        <w:t>。</w:t>
      </w:r>
    </w:p>
    <w:p>
      <w:pPr>
        <w:spacing w:line="360" w:lineRule="auto"/>
        <w:ind w:firstLine="500" w:firstLineChars="200"/>
        <w:jc w:val="left"/>
        <w:rPr>
          <w:bCs/>
          <w:color w:val="auto"/>
          <w:sz w:val="24"/>
        </w:rPr>
      </w:pPr>
      <w:r>
        <w:rPr>
          <w:color w:val="auto"/>
          <w:spacing w:val="5"/>
          <w:sz w:val="24"/>
        </w:rPr>
        <w:t>根据上述计算</w:t>
      </w:r>
      <w:r>
        <w:rPr>
          <w:color w:val="auto"/>
          <w:sz w:val="24"/>
        </w:rPr>
        <w:t>，Q=</w:t>
      </w:r>
      <w:r>
        <w:rPr>
          <w:rFonts w:hint="eastAsia"/>
          <w:color w:val="auto"/>
          <w:sz w:val="24"/>
        </w:rPr>
        <w:t>0.0</w:t>
      </w:r>
      <w:r>
        <w:rPr>
          <w:rFonts w:hint="eastAsia"/>
          <w:color w:val="auto"/>
          <w:sz w:val="24"/>
          <w:lang w:val="en-US" w:eastAsia="zh-CN"/>
        </w:rPr>
        <w:t>53</w:t>
      </w:r>
      <w:r>
        <w:rPr>
          <w:color w:val="auto"/>
          <w:sz w:val="24"/>
        </w:rPr>
        <w:t>，根据环境风险评价工作等级划分表可知，当Q&lt;1时，该项目环境风险潜势为I，只进行简单分析a。</w:t>
      </w:r>
    </w:p>
    <w:p>
      <w:pPr>
        <w:spacing w:line="440" w:lineRule="exact"/>
        <w:jc w:val="center"/>
        <w:rPr>
          <w:b/>
          <w:color w:val="auto"/>
          <w:sz w:val="24"/>
        </w:rPr>
      </w:pPr>
      <w:r>
        <w:rPr>
          <w:rFonts w:hint="eastAsia"/>
          <w:b/>
          <w:color w:val="auto"/>
          <w:sz w:val="24"/>
        </w:rPr>
        <w:t>表6-2</w:t>
      </w:r>
      <w:r>
        <w:rPr>
          <w:rFonts w:hint="eastAsia"/>
          <w:b/>
          <w:color w:val="auto"/>
          <w:sz w:val="24"/>
          <w:lang w:val="en-US" w:eastAsia="zh-CN"/>
        </w:rPr>
        <w:t>1</w:t>
      </w:r>
      <w:r>
        <w:rPr>
          <w:b/>
          <w:color w:val="auto"/>
          <w:sz w:val="24"/>
        </w:rPr>
        <w:t xml:space="preserve">  </w:t>
      </w:r>
      <w:r>
        <w:rPr>
          <w:rFonts w:hint="eastAsia"/>
          <w:b/>
          <w:color w:val="auto"/>
          <w:sz w:val="24"/>
        </w:rPr>
        <w:t>建设项目环境风险简单分析内容表</w:t>
      </w:r>
    </w:p>
    <w:tbl>
      <w:tblPr>
        <w:tblStyle w:val="5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85"/>
        <w:gridCol w:w="1203"/>
        <w:gridCol w:w="1306"/>
        <w:gridCol w:w="1182"/>
        <w:gridCol w:w="1050"/>
        <w:gridCol w:w="19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5" w:hRule="atLeast"/>
        </w:trPr>
        <w:tc>
          <w:tcPr>
            <w:tcW w:w="2374" w:type="dxa"/>
            <w:vAlign w:val="center"/>
          </w:tcPr>
          <w:p>
            <w:pPr>
              <w:widowControl/>
              <w:jc w:val="center"/>
              <w:rPr>
                <w:color w:val="auto"/>
                <w:kern w:val="0"/>
                <w:szCs w:val="21"/>
                <w:lang w:bidi="ar"/>
              </w:rPr>
            </w:pPr>
            <w:r>
              <w:rPr>
                <w:rFonts w:hint="eastAsia"/>
                <w:color w:val="auto"/>
                <w:kern w:val="0"/>
                <w:szCs w:val="21"/>
                <w:lang w:bidi="ar"/>
              </w:rPr>
              <w:t>建设项目名称</w:t>
            </w:r>
          </w:p>
        </w:tc>
        <w:tc>
          <w:tcPr>
            <w:tcW w:w="6800" w:type="dxa"/>
            <w:gridSpan w:val="5"/>
            <w:vAlign w:val="center"/>
          </w:tcPr>
          <w:p>
            <w:pPr>
              <w:widowControl/>
              <w:jc w:val="center"/>
              <w:rPr>
                <w:rFonts w:hint="eastAsia" w:eastAsia="宋体"/>
                <w:color w:val="auto"/>
                <w:kern w:val="0"/>
                <w:szCs w:val="21"/>
                <w:lang w:eastAsia="zh-CN" w:bidi="ar"/>
              </w:rPr>
            </w:pPr>
            <w:r>
              <w:rPr>
                <w:rFonts w:hint="eastAsia"/>
                <w:color w:val="auto"/>
                <w:kern w:val="0"/>
                <w:szCs w:val="21"/>
                <w:lang w:eastAsia="zh-CN" w:bidi="ar"/>
              </w:rPr>
              <w:t>汽车平面密封材料和汽车橡胶密封件生产项目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74" w:type="dxa"/>
            <w:vAlign w:val="center"/>
          </w:tcPr>
          <w:p>
            <w:pPr>
              <w:widowControl/>
              <w:jc w:val="center"/>
              <w:rPr>
                <w:color w:val="auto"/>
                <w:kern w:val="0"/>
                <w:szCs w:val="21"/>
                <w:lang w:bidi="ar"/>
              </w:rPr>
            </w:pPr>
            <w:r>
              <w:rPr>
                <w:rFonts w:hint="eastAsia"/>
                <w:color w:val="auto"/>
                <w:kern w:val="0"/>
                <w:szCs w:val="21"/>
                <w:lang w:bidi="ar"/>
              </w:rPr>
              <w:t>建设地点</w:t>
            </w:r>
          </w:p>
        </w:tc>
        <w:tc>
          <w:tcPr>
            <w:tcW w:w="1234" w:type="dxa"/>
            <w:vAlign w:val="center"/>
          </w:tcPr>
          <w:p>
            <w:pPr>
              <w:widowControl/>
              <w:jc w:val="center"/>
              <w:rPr>
                <w:color w:val="auto"/>
                <w:kern w:val="0"/>
                <w:szCs w:val="21"/>
                <w:lang w:bidi="ar"/>
              </w:rPr>
            </w:pPr>
            <w:r>
              <w:rPr>
                <w:rFonts w:hint="eastAsia"/>
                <w:color w:val="auto"/>
                <w:kern w:val="0"/>
                <w:szCs w:val="21"/>
                <w:lang w:bidi="ar"/>
              </w:rPr>
              <w:t>（安徽）省</w:t>
            </w:r>
          </w:p>
        </w:tc>
        <w:tc>
          <w:tcPr>
            <w:tcW w:w="1311" w:type="dxa"/>
            <w:vAlign w:val="center"/>
          </w:tcPr>
          <w:p>
            <w:pPr>
              <w:widowControl/>
              <w:jc w:val="center"/>
              <w:rPr>
                <w:color w:val="auto"/>
                <w:kern w:val="0"/>
                <w:szCs w:val="21"/>
                <w:lang w:bidi="ar"/>
              </w:rPr>
            </w:pPr>
            <w:r>
              <w:rPr>
                <w:rFonts w:hint="eastAsia"/>
                <w:color w:val="auto"/>
                <w:kern w:val="0"/>
                <w:szCs w:val="21"/>
                <w:lang w:bidi="ar"/>
              </w:rPr>
              <w:t>（宁国）市</w:t>
            </w:r>
          </w:p>
        </w:tc>
        <w:tc>
          <w:tcPr>
            <w:tcW w:w="1212" w:type="dxa"/>
            <w:vAlign w:val="center"/>
          </w:tcPr>
          <w:p>
            <w:pPr>
              <w:widowControl/>
              <w:jc w:val="center"/>
              <w:rPr>
                <w:color w:val="auto"/>
                <w:kern w:val="0"/>
                <w:szCs w:val="21"/>
                <w:lang w:bidi="ar"/>
              </w:rPr>
            </w:pPr>
            <w:r>
              <w:rPr>
                <w:rFonts w:hint="eastAsia"/>
                <w:color w:val="auto"/>
                <w:kern w:val="0"/>
                <w:szCs w:val="21"/>
                <w:lang w:bidi="ar"/>
              </w:rPr>
              <w:t>（）区</w:t>
            </w:r>
          </w:p>
        </w:tc>
        <w:tc>
          <w:tcPr>
            <w:tcW w:w="1072" w:type="dxa"/>
            <w:vAlign w:val="center"/>
          </w:tcPr>
          <w:p>
            <w:pPr>
              <w:widowControl/>
              <w:jc w:val="center"/>
              <w:rPr>
                <w:rFonts w:hint="eastAsia"/>
                <w:color w:val="auto"/>
                <w:kern w:val="0"/>
                <w:szCs w:val="21"/>
                <w:lang w:bidi="ar"/>
              </w:rPr>
            </w:pPr>
            <w:r>
              <w:rPr>
                <w:rFonts w:hint="eastAsia"/>
                <w:color w:val="auto"/>
                <w:kern w:val="0"/>
                <w:szCs w:val="21"/>
                <w:lang w:bidi="ar"/>
              </w:rPr>
              <w:t>（）县</w:t>
            </w:r>
          </w:p>
        </w:tc>
        <w:tc>
          <w:tcPr>
            <w:tcW w:w="1971" w:type="dxa"/>
            <w:vAlign w:val="center"/>
          </w:tcPr>
          <w:p>
            <w:pPr>
              <w:widowControl/>
              <w:jc w:val="center"/>
              <w:rPr>
                <w:rFonts w:hint="eastAsia"/>
                <w:color w:val="auto"/>
                <w:kern w:val="0"/>
                <w:szCs w:val="21"/>
                <w:lang w:bidi="ar"/>
              </w:rPr>
            </w:pPr>
            <w:r>
              <w:rPr>
                <w:rFonts w:hint="eastAsia"/>
                <w:color w:val="auto"/>
                <w:kern w:val="0"/>
                <w:szCs w:val="21"/>
                <w:lang w:bidi="ar"/>
              </w:rPr>
              <w:t>（</w:t>
            </w:r>
            <w:r>
              <w:rPr>
                <w:rFonts w:hint="eastAsia"/>
                <w:color w:val="auto"/>
                <w:kern w:val="0"/>
                <w:szCs w:val="21"/>
                <w:lang w:eastAsia="zh-CN" w:bidi="ar"/>
              </w:rPr>
              <w:t>安徽省宁国经济技术开发区河沥</w:t>
            </w:r>
            <w:r>
              <w:rPr>
                <w:rFonts w:hint="eastAsia"/>
                <w:color w:val="auto"/>
                <w:kern w:val="0"/>
                <w:szCs w:val="21"/>
                <w:lang w:bidi="ar"/>
              </w:rPr>
              <w:t>）园区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74" w:type="dxa"/>
            <w:vAlign w:val="center"/>
          </w:tcPr>
          <w:p>
            <w:pPr>
              <w:widowControl/>
              <w:jc w:val="center"/>
              <w:rPr>
                <w:color w:val="auto"/>
                <w:kern w:val="0"/>
                <w:szCs w:val="21"/>
                <w:lang w:bidi="ar"/>
              </w:rPr>
            </w:pPr>
            <w:r>
              <w:rPr>
                <w:rFonts w:hint="eastAsia"/>
                <w:color w:val="auto"/>
                <w:kern w:val="0"/>
                <w:szCs w:val="21"/>
                <w:lang w:bidi="ar"/>
              </w:rPr>
              <w:t>地理坐标</w:t>
            </w:r>
          </w:p>
        </w:tc>
        <w:tc>
          <w:tcPr>
            <w:tcW w:w="1234" w:type="dxa"/>
            <w:vAlign w:val="center"/>
          </w:tcPr>
          <w:p>
            <w:pPr>
              <w:widowControl/>
              <w:jc w:val="center"/>
              <w:rPr>
                <w:color w:val="auto"/>
                <w:kern w:val="0"/>
                <w:szCs w:val="21"/>
                <w:lang w:bidi="ar"/>
              </w:rPr>
            </w:pPr>
            <w:r>
              <w:rPr>
                <w:rFonts w:hint="eastAsia"/>
                <w:color w:val="auto"/>
                <w:kern w:val="0"/>
                <w:szCs w:val="21"/>
                <w:lang w:bidi="ar"/>
              </w:rPr>
              <w:t>经度</w:t>
            </w:r>
          </w:p>
        </w:tc>
        <w:tc>
          <w:tcPr>
            <w:tcW w:w="1311" w:type="dxa"/>
            <w:vAlign w:val="center"/>
          </w:tcPr>
          <w:p>
            <w:pPr>
              <w:widowControl/>
              <w:jc w:val="center"/>
              <w:rPr>
                <w:color w:val="auto"/>
                <w:kern w:val="0"/>
                <w:szCs w:val="21"/>
                <w:lang w:bidi="ar"/>
              </w:rPr>
            </w:pPr>
            <w:r>
              <w:rPr>
                <w:rFonts w:hint="eastAsia"/>
                <w:color w:val="auto"/>
                <w:szCs w:val="21"/>
              </w:rPr>
              <w:t>119.015858</w:t>
            </w:r>
          </w:p>
        </w:tc>
        <w:tc>
          <w:tcPr>
            <w:tcW w:w="2284" w:type="dxa"/>
            <w:gridSpan w:val="2"/>
            <w:vAlign w:val="center"/>
          </w:tcPr>
          <w:p>
            <w:pPr>
              <w:widowControl/>
              <w:jc w:val="center"/>
              <w:rPr>
                <w:color w:val="auto"/>
                <w:kern w:val="0"/>
                <w:szCs w:val="21"/>
                <w:lang w:bidi="ar"/>
              </w:rPr>
            </w:pPr>
            <w:r>
              <w:rPr>
                <w:rFonts w:hint="eastAsia"/>
                <w:color w:val="auto"/>
                <w:kern w:val="0"/>
                <w:szCs w:val="21"/>
                <w:lang w:bidi="ar"/>
              </w:rPr>
              <w:t>纬度</w:t>
            </w:r>
          </w:p>
        </w:tc>
        <w:tc>
          <w:tcPr>
            <w:tcW w:w="1971" w:type="dxa"/>
            <w:vAlign w:val="center"/>
          </w:tcPr>
          <w:p>
            <w:pPr>
              <w:widowControl/>
              <w:jc w:val="center"/>
              <w:rPr>
                <w:color w:val="auto"/>
                <w:kern w:val="0"/>
                <w:szCs w:val="21"/>
                <w:lang w:bidi="ar"/>
              </w:rPr>
            </w:pPr>
            <w:r>
              <w:rPr>
                <w:rFonts w:hint="eastAsia"/>
              </w:rPr>
              <w:t>30.665442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74" w:type="dxa"/>
            <w:vAlign w:val="center"/>
          </w:tcPr>
          <w:p>
            <w:pPr>
              <w:widowControl/>
              <w:jc w:val="center"/>
              <w:rPr>
                <w:color w:val="auto"/>
                <w:kern w:val="0"/>
                <w:szCs w:val="21"/>
                <w:lang w:bidi="ar"/>
              </w:rPr>
            </w:pPr>
            <w:r>
              <w:rPr>
                <w:rFonts w:hint="eastAsia"/>
                <w:color w:val="auto"/>
                <w:kern w:val="0"/>
                <w:szCs w:val="21"/>
                <w:lang w:bidi="ar"/>
              </w:rPr>
              <w:t>主要危险物质及分布</w:t>
            </w:r>
          </w:p>
        </w:tc>
        <w:tc>
          <w:tcPr>
            <w:tcW w:w="6800" w:type="dxa"/>
            <w:gridSpan w:val="5"/>
            <w:vAlign w:val="center"/>
          </w:tcPr>
          <w:p>
            <w:pPr>
              <w:widowControl/>
              <w:jc w:val="center"/>
              <w:rPr>
                <w:rFonts w:hint="eastAsia"/>
                <w:color w:val="auto"/>
                <w:kern w:val="0"/>
                <w:szCs w:val="21"/>
                <w:lang w:bidi="ar"/>
              </w:rPr>
            </w:pPr>
            <w:r>
              <w:rPr>
                <w:rFonts w:hint="eastAsia"/>
                <w:color w:val="auto"/>
                <w:kern w:val="0"/>
                <w:szCs w:val="21"/>
                <w:lang w:bidi="ar"/>
              </w:rPr>
              <w:t>主要危险物质为橡胶原料、硫磺</w:t>
            </w:r>
            <w:r>
              <w:rPr>
                <w:rFonts w:hint="eastAsia"/>
                <w:color w:val="auto"/>
                <w:kern w:val="0"/>
                <w:szCs w:val="21"/>
                <w:lang w:eastAsia="zh-CN" w:bidi="ar"/>
              </w:rPr>
              <w:t>、氧化锌、氧化镁、底涂剂、乙酸丁酯等原料、危废</w:t>
            </w:r>
            <w:r>
              <w:rPr>
                <w:rFonts w:hint="eastAsia"/>
                <w:color w:val="auto"/>
                <w:kern w:val="0"/>
                <w:szCs w:val="21"/>
                <w:lang w:bidi="ar"/>
              </w:rPr>
              <w:t>，位于车间原料存储区</w:t>
            </w:r>
            <w:r>
              <w:rPr>
                <w:rFonts w:hint="eastAsia"/>
                <w:color w:val="auto"/>
                <w:kern w:val="0"/>
                <w:szCs w:val="21"/>
                <w:lang w:eastAsia="zh-CN" w:bidi="ar"/>
              </w:rPr>
              <w:t>，危废位于危废暂存间</w:t>
            </w:r>
            <w:r>
              <w:rPr>
                <w:rFonts w:hint="eastAsia"/>
                <w:color w:val="auto"/>
                <w:kern w:val="0"/>
                <w:szCs w:val="21"/>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374" w:type="dxa"/>
            <w:vAlign w:val="center"/>
          </w:tcPr>
          <w:p>
            <w:pPr>
              <w:widowControl/>
              <w:jc w:val="center"/>
              <w:rPr>
                <w:color w:val="auto"/>
                <w:kern w:val="0"/>
                <w:szCs w:val="21"/>
                <w:lang w:bidi="ar"/>
              </w:rPr>
            </w:pPr>
            <w:r>
              <w:rPr>
                <w:rFonts w:hint="eastAsia"/>
                <w:color w:val="auto"/>
                <w:kern w:val="0"/>
                <w:szCs w:val="21"/>
                <w:lang w:bidi="ar"/>
              </w:rPr>
              <w:t>环境影响途径及危害后果（大气、地表水、地下水）</w:t>
            </w:r>
          </w:p>
        </w:tc>
        <w:tc>
          <w:tcPr>
            <w:tcW w:w="6800" w:type="dxa"/>
            <w:gridSpan w:val="5"/>
            <w:vAlign w:val="center"/>
          </w:tcPr>
          <w:p>
            <w:pPr>
              <w:widowControl/>
              <w:jc w:val="center"/>
              <w:rPr>
                <w:rFonts w:hint="eastAsia"/>
                <w:color w:val="auto"/>
                <w:kern w:val="0"/>
                <w:szCs w:val="21"/>
                <w:lang w:bidi="ar"/>
              </w:rPr>
            </w:pPr>
            <w:r>
              <w:rPr>
                <w:rFonts w:hint="eastAsia"/>
                <w:color w:val="auto"/>
                <w:kern w:val="0"/>
                <w:szCs w:val="21"/>
                <w:lang w:bidi="ar"/>
              </w:rPr>
              <w:t>因发生火灾对车间及周围环境造成污染，主要污染地表水、地下水、大气、土壤。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7" w:hRule="atLeast"/>
        </w:trPr>
        <w:tc>
          <w:tcPr>
            <w:tcW w:w="2374" w:type="dxa"/>
            <w:vAlign w:val="center"/>
          </w:tcPr>
          <w:p>
            <w:pPr>
              <w:widowControl/>
              <w:jc w:val="center"/>
              <w:rPr>
                <w:rFonts w:hint="eastAsia"/>
                <w:color w:val="auto"/>
                <w:kern w:val="0"/>
                <w:szCs w:val="21"/>
                <w:lang w:bidi="ar"/>
              </w:rPr>
            </w:pPr>
            <w:r>
              <w:rPr>
                <w:rFonts w:hint="eastAsia"/>
                <w:color w:val="auto"/>
                <w:kern w:val="0"/>
                <w:szCs w:val="21"/>
                <w:lang w:bidi="ar"/>
              </w:rPr>
              <w:t>风险防范措施要求</w:t>
            </w:r>
          </w:p>
        </w:tc>
        <w:tc>
          <w:tcPr>
            <w:tcW w:w="6800" w:type="dxa"/>
            <w:gridSpan w:val="5"/>
            <w:vAlign w:val="center"/>
          </w:tcPr>
          <w:p>
            <w:pPr>
              <w:widowControl/>
              <w:jc w:val="center"/>
              <w:rPr>
                <w:rFonts w:hint="eastAsia"/>
                <w:color w:val="auto"/>
                <w:kern w:val="0"/>
                <w:szCs w:val="21"/>
                <w:lang w:bidi="ar"/>
              </w:rPr>
            </w:pPr>
            <w:r>
              <w:rPr>
                <w:rFonts w:hint="eastAsia"/>
                <w:color w:val="auto"/>
                <w:kern w:val="0"/>
                <w:szCs w:val="21"/>
                <w:lang w:val="en-US" w:eastAsia="zh-CN" w:bidi="ar"/>
              </w:rPr>
              <w:t>·</w:t>
            </w:r>
            <w:r>
              <w:rPr>
                <w:rFonts w:hint="eastAsia"/>
                <w:color w:val="auto"/>
                <w:kern w:val="0"/>
                <w:szCs w:val="21"/>
                <w:lang w:bidi="ar"/>
              </w:rPr>
              <w:t>橡胶原料、硫磺</w:t>
            </w:r>
            <w:r>
              <w:rPr>
                <w:rFonts w:hint="eastAsia"/>
                <w:color w:val="auto"/>
                <w:kern w:val="0"/>
                <w:szCs w:val="21"/>
                <w:lang w:eastAsia="zh-CN" w:bidi="ar"/>
              </w:rPr>
              <w:t>、氧化锌、氧化镁、底涂剂、乙酸丁酯等</w:t>
            </w:r>
            <w:r>
              <w:rPr>
                <w:rFonts w:hint="eastAsia"/>
                <w:color w:val="auto"/>
                <w:kern w:val="0"/>
                <w:szCs w:val="21"/>
                <w:lang w:bidi="ar"/>
              </w:rPr>
              <w:t>原料储存于阴凉、通风处，设置单独的原料存储区域，制定严格的运输、使用及采购记录。</w:t>
            </w:r>
          </w:p>
          <w:p>
            <w:pPr>
              <w:widowControl/>
              <w:jc w:val="center"/>
              <w:rPr>
                <w:rFonts w:hint="eastAsia"/>
                <w:color w:val="auto"/>
                <w:kern w:val="0"/>
                <w:szCs w:val="21"/>
                <w:lang w:bidi="ar"/>
              </w:rPr>
            </w:pPr>
            <w:r>
              <w:rPr>
                <w:rFonts w:hint="eastAsia"/>
                <w:color w:val="auto"/>
                <w:kern w:val="0"/>
                <w:szCs w:val="21"/>
                <w:lang w:val="en-US" w:eastAsia="zh-CN" w:bidi="ar"/>
              </w:rPr>
              <w:t>·</w:t>
            </w:r>
            <w:r>
              <w:rPr>
                <w:rFonts w:hint="eastAsia"/>
                <w:color w:val="auto"/>
                <w:kern w:val="0"/>
                <w:szCs w:val="21"/>
                <w:lang w:bidi="ar"/>
              </w:rPr>
              <w:t>危废暂存间防渗处理，定期检查设备使用情况，保证其正常运行，不外漏各种液体原料。</w:t>
            </w:r>
          </w:p>
          <w:p>
            <w:pPr>
              <w:widowControl/>
              <w:jc w:val="center"/>
              <w:rPr>
                <w:rFonts w:hint="eastAsia"/>
                <w:color w:val="auto"/>
                <w:kern w:val="0"/>
                <w:szCs w:val="21"/>
                <w:lang w:eastAsia="zh-CN" w:bidi="ar"/>
              </w:rPr>
            </w:pPr>
            <w:r>
              <w:rPr>
                <w:rFonts w:hint="eastAsia"/>
                <w:color w:val="auto"/>
                <w:kern w:val="0"/>
                <w:szCs w:val="21"/>
                <w:lang w:val="en-US" w:eastAsia="zh-CN" w:bidi="ar"/>
              </w:rPr>
              <w:t>·</w:t>
            </w:r>
            <w:r>
              <w:rPr>
                <w:rFonts w:hint="eastAsia"/>
                <w:color w:val="auto"/>
                <w:kern w:val="0"/>
                <w:szCs w:val="21"/>
                <w:lang w:bidi="ar"/>
              </w:rPr>
              <w:t>建立健全有毒气体中毒事故应急救援预案</w:t>
            </w:r>
            <w:r>
              <w:rPr>
                <w:rFonts w:hint="eastAsia"/>
                <w:color w:val="auto"/>
                <w:kern w:val="0"/>
                <w:szCs w:val="21"/>
                <w:lang w:eastAsia="zh-CN" w:bidi="ar"/>
              </w:rPr>
              <w:t>；</w:t>
            </w:r>
          </w:p>
          <w:p>
            <w:pPr>
              <w:widowControl/>
              <w:jc w:val="center"/>
              <w:rPr>
                <w:rFonts w:hint="eastAsia"/>
                <w:color w:val="auto"/>
                <w:kern w:val="0"/>
                <w:szCs w:val="21"/>
                <w:lang w:eastAsia="zh-CN" w:bidi="ar"/>
              </w:rPr>
            </w:pPr>
            <w:r>
              <w:rPr>
                <w:rFonts w:hint="eastAsia"/>
                <w:color w:val="auto"/>
                <w:kern w:val="0"/>
                <w:szCs w:val="21"/>
                <w:lang w:val="en-US" w:eastAsia="zh-CN" w:bidi="ar"/>
              </w:rPr>
              <w:t>·</w:t>
            </w:r>
            <w:r>
              <w:rPr>
                <w:rFonts w:hint="eastAsia"/>
                <w:color w:val="auto"/>
                <w:kern w:val="0"/>
                <w:szCs w:val="21"/>
                <w:lang w:bidi="ar"/>
              </w:rPr>
              <w:t>加强安全教育培训和宣传</w:t>
            </w:r>
            <w:r>
              <w:rPr>
                <w:rFonts w:hint="eastAsia"/>
                <w:color w:val="auto"/>
                <w:kern w:val="0"/>
                <w:szCs w:val="21"/>
                <w:lang w:eastAsia="zh-CN" w:bidi="ar"/>
              </w:rPr>
              <w:t>；</w:t>
            </w:r>
            <w:r>
              <w:rPr>
                <w:rFonts w:hint="eastAsia"/>
                <w:color w:val="auto"/>
                <w:kern w:val="0"/>
                <w:szCs w:val="21"/>
                <w:lang w:bidi="ar"/>
              </w:rPr>
              <w:t>配备完善的消防措施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74" w:type="dxa"/>
            <w:vAlign w:val="center"/>
          </w:tcPr>
          <w:p>
            <w:pPr>
              <w:widowControl/>
              <w:jc w:val="center"/>
              <w:rPr>
                <w:color w:val="auto"/>
                <w:kern w:val="0"/>
                <w:szCs w:val="21"/>
                <w:lang w:bidi="ar"/>
              </w:rPr>
            </w:pPr>
            <w:r>
              <w:rPr>
                <w:rFonts w:hint="eastAsia"/>
                <w:color w:val="auto"/>
                <w:kern w:val="0"/>
                <w:szCs w:val="21"/>
                <w:lang w:bidi="ar"/>
              </w:rPr>
              <w:t>填表说明（列出项目相关信息及评价说明）</w:t>
            </w:r>
          </w:p>
        </w:tc>
        <w:tc>
          <w:tcPr>
            <w:tcW w:w="6800" w:type="dxa"/>
            <w:gridSpan w:val="5"/>
            <w:vAlign w:val="center"/>
          </w:tcPr>
          <w:p>
            <w:pPr>
              <w:widowControl/>
              <w:jc w:val="center"/>
              <w:rPr>
                <w:color w:val="auto"/>
                <w:kern w:val="0"/>
                <w:szCs w:val="21"/>
                <w:lang w:bidi="ar"/>
              </w:rPr>
            </w:pPr>
            <w:r>
              <w:rPr>
                <w:rFonts w:hint="eastAsia"/>
                <w:color w:val="auto"/>
                <w:kern w:val="0"/>
                <w:szCs w:val="21"/>
                <w:lang w:bidi="ar"/>
              </w:rPr>
              <w:t>/</w:t>
            </w:r>
          </w:p>
        </w:tc>
      </w:tr>
    </w:tbl>
    <w:p>
      <w:pPr>
        <w:pStyle w:val="5"/>
        <w:spacing w:before="0" w:after="0" w:line="520" w:lineRule="exact"/>
        <w:rPr>
          <w:color w:val="auto"/>
          <w:sz w:val="24"/>
          <w:szCs w:val="24"/>
        </w:rPr>
      </w:pPr>
      <w:r>
        <w:rPr>
          <w:rFonts w:hint="eastAsia"/>
          <w:color w:val="auto"/>
          <w:sz w:val="24"/>
          <w:szCs w:val="24"/>
        </w:rPr>
        <w:t>6.3.</w:t>
      </w:r>
      <w:r>
        <w:rPr>
          <w:color w:val="auto"/>
          <w:sz w:val="24"/>
          <w:szCs w:val="24"/>
        </w:rPr>
        <w:t>3 环境敏感目标调查</w:t>
      </w:r>
    </w:p>
    <w:p>
      <w:pPr>
        <w:topLinePunct/>
        <w:adjustRightInd w:val="0"/>
        <w:snapToGrid w:val="0"/>
        <w:spacing w:line="360" w:lineRule="auto"/>
        <w:ind w:firstLine="480" w:firstLineChars="200"/>
        <w:outlineLvl w:val="2"/>
        <w:rPr>
          <w:color w:val="FF0000"/>
          <w:sz w:val="24"/>
        </w:rPr>
      </w:pPr>
      <w:r>
        <w:rPr>
          <w:color w:val="auto"/>
          <w:sz w:val="24"/>
        </w:rPr>
        <w:t>本项目主要环境敏感目标分布情况见表2-1</w:t>
      </w:r>
      <w:r>
        <w:rPr>
          <w:rFonts w:hint="eastAsia"/>
          <w:color w:val="auto"/>
          <w:sz w:val="24"/>
          <w:lang w:val="en-US" w:eastAsia="zh-CN"/>
        </w:rPr>
        <w:t>3</w:t>
      </w:r>
      <w:r>
        <w:rPr>
          <w:color w:val="auto"/>
          <w:sz w:val="24"/>
        </w:rPr>
        <w:t>以及图2-1。</w:t>
      </w:r>
    </w:p>
    <w:p>
      <w:pPr>
        <w:pStyle w:val="5"/>
        <w:spacing w:before="0" w:after="0" w:line="520" w:lineRule="exact"/>
        <w:rPr>
          <w:color w:val="auto"/>
          <w:sz w:val="24"/>
          <w:szCs w:val="24"/>
        </w:rPr>
      </w:pPr>
      <w:r>
        <w:rPr>
          <w:rFonts w:hint="eastAsia"/>
          <w:color w:val="auto"/>
          <w:sz w:val="24"/>
          <w:szCs w:val="24"/>
        </w:rPr>
        <w:t>6.3.</w:t>
      </w:r>
      <w:r>
        <w:rPr>
          <w:color w:val="auto"/>
          <w:sz w:val="24"/>
          <w:szCs w:val="24"/>
        </w:rPr>
        <w:t>4 风险识别</w:t>
      </w:r>
    </w:p>
    <w:p>
      <w:pPr>
        <w:topLinePunct/>
        <w:adjustRightInd w:val="0"/>
        <w:snapToGrid w:val="0"/>
        <w:spacing w:line="360" w:lineRule="auto"/>
        <w:ind w:firstLine="480" w:firstLineChars="200"/>
        <w:outlineLvl w:val="2"/>
        <w:rPr>
          <w:color w:val="auto"/>
          <w:sz w:val="24"/>
        </w:rPr>
      </w:pPr>
      <w:r>
        <w:rPr>
          <w:color w:val="auto"/>
          <w:sz w:val="24"/>
        </w:rPr>
        <w:t>根据《建设项目环境风险评价技术导则》(HJ 169-2018)和《环境风险评价使用技术和方法》规定，风险评价首先确定</w:t>
      </w:r>
      <w:r>
        <w:rPr>
          <w:color w:val="auto"/>
          <w:kern w:val="0"/>
          <w:sz w:val="24"/>
          <w:lang w:bidi="ar"/>
        </w:rPr>
        <w:t>建设项目所用原辅材料的毒性、易燃易爆性等危险性级别。</w:t>
      </w:r>
      <w:r>
        <w:rPr>
          <w:color w:val="auto"/>
          <w:sz w:val="24"/>
        </w:rPr>
        <w:t>项目使用的原辅材料具有易燃性、毒性、具有燃烧爆炸性。在运输过程中采用汽车运输，存储于车间内的原料存储区。</w:t>
      </w:r>
    </w:p>
    <w:p>
      <w:pPr>
        <w:topLinePunct/>
        <w:adjustRightInd w:val="0"/>
        <w:snapToGrid w:val="0"/>
        <w:spacing w:line="360" w:lineRule="auto"/>
        <w:ind w:firstLine="480" w:firstLineChars="200"/>
        <w:outlineLvl w:val="2"/>
        <w:rPr>
          <w:color w:val="auto"/>
          <w:sz w:val="24"/>
        </w:rPr>
      </w:pPr>
      <w:r>
        <w:rPr>
          <w:color w:val="auto"/>
          <w:sz w:val="24"/>
        </w:rPr>
        <w:t>主要影响途径为通过大气、地表水和地下水影响环境。</w:t>
      </w:r>
    </w:p>
    <w:p>
      <w:pPr>
        <w:pStyle w:val="5"/>
        <w:spacing w:before="0" w:after="0" w:line="520" w:lineRule="exact"/>
        <w:rPr>
          <w:color w:val="auto"/>
          <w:sz w:val="24"/>
          <w:szCs w:val="24"/>
        </w:rPr>
      </w:pPr>
      <w:r>
        <w:rPr>
          <w:rFonts w:hint="eastAsia"/>
          <w:color w:val="auto"/>
          <w:sz w:val="24"/>
          <w:szCs w:val="24"/>
        </w:rPr>
        <w:t>6.3.</w:t>
      </w:r>
      <w:r>
        <w:rPr>
          <w:color w:val="auto"/>
          <w:sz w:val="24"/>
          <w:szCs w:val="24"/>
        </w:rPr>
        <w:t>5 风险分析</w:t>
      </w:r>
    </w:p>
    <w:p>
      <w:pPr>
        <w:topLinePunct/>
        <w:adjustRightInd w:val="0"/>
        <w:snapToGrid w:val="0"/>
        <w:spacing w:line="360" w:lineRule="auto"/>
        <w:ind w:firstLine="480" w:firstLineChars="200"/>
        <w:outlineLvl w:val="2"/>
        <w:rPr>
          <w:rFonts w:hint="eastAsia"/>
          <w:b/>
          <w:bCs/>
          <w:color w:val="auto"/>
          <w:sz w:val="24"/>
        </w:rPr>
      </w:pPr>
      <w:r>
        <w:rPr>
          <w:color w:val="auto"/>
          <w:sz w:val="24"/>
        </w:rPr>
        <w:t>项目使用的原辅材料具有易燃性，在生产过程中具有火灾，爆炸风险，一旦发生火灾爆炸事故，则将对环境造成较大的影响，详见下表。</w:t>
      </w:r>
    </w:p>
    <w:p>
      <w:pPr>
        <w:topLinePunct/>
        <w:adjustRightInd w:val="0"/>
        <w:snapToGrid w:val="0"/>
        <w:spacing w:line="360" w:lineRule="auto"/>
        <w:ind w:firstLine="482" w:firstLineChars="200"/>
        <w:jc w:val="center"/>
        <w:outlineLvl w:val="2"/>
        <w:rPr>
          <w:rFonts w:hint="eastAsia"/>
          <w:b/>
          <w:bCs/>
          <w:color w:val="auto"/>
          <w:sz w:val="24"/>
        </w:rPr>
      </w:pPr>
    </w:p>
    <w:p>
      <w:pPr>
        <w:topLinePunct/>
        <w:adjustRightInd w:val="0"/>
        <w:snapToGrid w:val="0"/>
        <w:spacing w:line="360" w:lineRule="auto"/>
        <w:ind w:firstLine="482" w:firstLineChars="200"/>
        <w:jc w:val="center"/>
        <w:outlineLvl w:val="2"/>
        <w:rPr>
          <w:rFonts w:hint="eastAsia"/>
          <w:b/>
          <w:bCs/>
          <w:color w:val="auto"/>
          <w:sz w:val="24"/>
        </w:rPr>
      </w:pPr>
    </w:p>
    <w:p>
      <w:pPr>
        <w:topLinePunct/>
        <w:adjustRightInd w:val="0"/>
        <w:snapToGrid w:val="0"/>
        <w:spacing w:line="360" w:lineRule="auto"/>
        <w:ind w:firstLine="482" w:firstLineChars="200"/>
        <w:jc w:val="center"/>
        <w:outlineLvl w:val="2"/>
        <w:rPr>
          <w:b/>
          <w:bCs/>
          <w:color w:val="auto"/>
          <w:sz w:val="24"/>
        </w:rPr>
      </w:pPr>
      <w:r>
        <w:rPr>
          <w:rFonts w:hint="eastAsia"/>
          <w:b/>
          <w:bCs/>
          <w:color w:val="auto"/>
          <w:sz w:val="24"/>
        </w:rPr>
        <w:t>表6</w:t>
      </w:r>
      <w:r>
        <w:rPr>
          <w:b/>
          <w:bCs/>
          <w:color w:val="auto"/>
          <w:sz w:val="24"/>
        </w:rPr>
        <w:t>-2</w:t>
      </w:r>
      <w:r>
        <w:rPr>
          <w:rFonts w:hint="eastAsia"/>
          <w:b/>
          <w:bCs/>
          <w:color w:val="auto"/>
          <w:sz w:val="24"/>
          <w:lang w:val="en-US" w:eastAsia="zh-CN"/>
        </w:rPr>
        <w:t>2</w:t>
      </w:r>
      <w:r>
        <w:rPr>
          <w:b/>
          <w:bCs/>
          <w:color w:val="auto"/>
          <w:sz w:val="24"/>
        </w:rPr>
        <w:t xml:space="preserve">  项目火灾爆炸环境影响</w:t>
      </w:r>
    </w:p>
    <w:tbl>
      <w:tblPr>
        <w:tblStyle w:val="5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3"/>
        <w:gridCol w:w="936"/>
        <w:gridCol w:w="714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9" w:type="dxa"/>
            <w:gridSpan w:val="2"/>
            <w:vAlign w:val="center"/>
          </w:tcPr>
          <w:p>
            <w:pPr>
              <w:widowControl/>
              <w:jc w:val="center"/>
              <w:rPr>
                <w:color w:val="auto"/>
                <w:kern w:val="0"/>
                <w:szCs w:val="21"/>
                <w:lang w:bidi="ar"/>
              </w:rPr>
            </w:pPr>
            <w:r>
              <w:rPr>
                <w:color w:val="auto"/>
                <w:kern w:val="0"/>
                <w:szCs w:val="21"/>
                <w:lang w:bidi="ar"/>
              </w:rPr>
              <w:t>类型</w:t>
            </w:r>
          </w:p>
        </w:tc>
        <w:tc>
          <w:tcPr>
            <w:tcW w:w="7144" w:type="dxa"/>
            <w:vAlign w:val="center"/>
          </w:tcPr>
          <w:p>
            <w:pPr>
              <w:widowControl/>
              <w:jc w:val="center"/>
              <w:rPr>
                <w:color w:val="auto"/>
                <w:kern w:val="0"/>
                <w:szCs w:val="21"/>
                <w:lang w:bidi="ar"/>
              </w:rPr>
            </w:pPr>
            <w:r>
              <w:rPr>
                <w:color w:val="auto"/>
                <w:kern w:val="0"/>
                <w:szCs w:val="21"/>
                <w:lang w:bidi="ar"/>
              </w:rPr>
              <w:t>影响分析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3" w:type="dxa"/>
            <w:vMerge w:val="restart"/>
            <w:vAlign w:val="center"/>
          </w:tcPr>
          <w:p>
            <w:pPr>
              <w:widowControl/>
              <w:jc w:val="center"/>
              <w:rPr>
                <w:color w:val="auto"/>
                <w:kern w:val="0"/>
                <w:szCs w:val="21"/>
                <w:lang w:bidi="ar"/>
              </w:rPr>
            </w:pPr>
            <w:r>
              <w:rPr>
                <w:color w:val="auto"/>
                <w:kern w:val="0"/>
                <w:szCs w:val="21"/>
                <w:lang w:bidi="ar"/>
              </w:rPr>
              <w:t>火灾影响</w:t>
            </w:r>
          </w:p>
        </w:tc>
        <w:tc>
          <w:tcPr>
            <w:tcW w:w="936" w:type="dxa"/>
            <w:vAlign w:val="center"/>
          </w:tcPr>
          <w:p>
            <w:pPr>
              <w:widowControl/>
              <w:jc w:val="center"/>
              <w:rPr>
                <w:color w:val="auto"/>
                <w:kern w:val="0"/>
                <w:szCs w:val="21"/>
                <w:lang w:bidi="ar"/>
              </w:rPr>
            </w:pPr>
            <w:r>
              <w:rPr>
                <w:color w:val="auto"/>
                <w:kern w:val="0"/>
                <w:szCs w:val="21"/>
                <w:lang w:bidi="ar"/>
              </w:rPr>
              <w:t>热辐射</w:t>
            </w:r>
          </w:p>
        </w:tc>
        <w:tc>
          <w:tcPr>
            <w:tcW w:w="7144" w:type="dxa"/>
            <w:vAlign w:val="center"/>
          </w:tcPr>
          <w:p>
            <w:pPr>
              <w:widowControl/>
              <w:jc w:val="center"/>
              <w:rPr>
                <w:color w:val="auto"/>
                <w:kern w:val="0"/>
                <w:szCs w:val="21"/>
                <w:lang w:bidi="ar"/>
              </w:rPr>
            </w:pPr>
            <w:r>
              <w:rPr>
                <w:color w:val="auto"/>
                <w:kern w:val="0"/>
                <w:szCs w:val="21"/>
                <w:lang w:bidi="ar"/>
              </w:rPr>
              <w:t>不但燃烧速度快，燃烧面积大，而且放出大量的热辐射，危及火灾周围的人员生命以及毗邻建筑物和设备的安全。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3" w:type="dxa"/>
            <w:vMerge w:val="continue"/>
            <w:vAlign w:val="center"/>
          </w:tcPr>
          <w:p>
            <w:pPr>
              <w:widowControl/>
              <w:jc w:val="center"/>
              <w:rPr>
                <w:color w:val="auto"/>
                <w:kern w:val="0"/>
                <w:szCs w:val="21"/>
                <w:lang w:bidi="ar"/>
              </w:rPr>
            </w:pPr>
          </w:p>
        </w:tc>
        <w:tc>
          <w:tcPr>
            <w:tcW w:w="936" w:type="dxa"/>
            <w:vAlign w:val="center"/>
          </w:tcPr>
          <w:p>
            <w:pPr>
              <w:widowControl/>
              <w:jc w:val="center"/>
              <w:rPr>
                <w:color w:val="auto"/>
                <w:kern w:val="0"/>
                <w:szCs w:val="21"/>
                <w:lang w:bidi="ar"/>
              </w:rPr>
            </w:pPr>
            <w:r>
              <w:rPr>
                <w:color w:val="auto"/>
                <w:kern w:val="0"/>
                <w:szCs w:val="21"/>
                <w:lang w:bidi="ar"/>
              </w:rPr>
              <w:t>浓烟及有毒废气</w:t>
            </w:r>
          </w:p>
        </w:tc>
        <w:tc>
          <w:tcPr>
            <w:tcW w:w="7144" w:type="dxa"/>
            <w:vAlign w:val="center"/>
          </w:tcPr>
          <w:p>
            <w:pPr>
              <w:widowControl/>
              <w:jc w:val="center"/>
              <w:rPr>
                <w:color w:val="auto"/>
                <w:kern w:val="0"/>
                <w:szCs w:val="21"/>
                <w:lang w:bidi="ar"/>
              </w:rPr>
            </w:pPr>
            <w:r>
              <w:rPr>
                <w:color w:val="auto"/>
                <w:kern w:val="0"/>
                <w:szCs w:val="21"/>
                <w:lang w:bidi="ar"/>
              </w:rPr>
              <w:t>火灾时再放出大量辐射热的同时，还散发出大量的浓烟，他是由燃烧物质释放出的高温蒸汽和毒气，被分解的未燃烧物质和被火燃烧加热而带入上升气流中的空气和污染物质的混合物。他不但含有大量的热量，而且还含有蒸汽，有毒气体，对火场周围的人员生命安全和周围的大气环境质量造成污染和破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3" w:type="dxa"/>
            <w:vMerge w:val="restart"/>
            <w:vAlign w:val="center"/>
          </w:tcPr>
          <w:p>
            <w:pPr>
              <w:widowControl/>
              <w:jc w:val="center"/>
              <w:rPr>
                <w:color w:val="auto"/>
                <w:kern w:val="0"/>
                <w:szCs w:val="21"/>
                <w:lang w:bidi="ar"/>
              </w:rPr>
            </w:pPr>
            <w:r>
              <w:rPr>
                <w:color w:val="auto"/>
                <w:kern w:val="0"/>
                <w:szCs w:val="21"/>
                <w:lang w:bidi="ar"/>
              </w:rPr>
              <w:t>爆炸影响</w:t>
            </w:r>
          </w:p>
        </w:tc>
        <w:tc>
          <w:tcPr>
            <w:tcW w:w="936" w:type="dxa"/>
            <w:vAlign w:val="center"/>
          </w:tcPr>
          <w:p>
            <w:pPr>
              <w:widowControl/>
              <w:jc w:val="center"/>
              <w:rPr>
                <w:color w:val="auto"/>
                <w:kern w:val="0"/>
                <w:szCs w:val="21"/>
                <w:lang w:bidi="ar"/>
              </w:rPr>
            </w:pPr>
            <w:r>
              <w:rPr>
                <w:color w:val="auto"/>
                <w:kern w:val="0"/>
                <w:szCs w:val="21"/>
                <w:lang w:bidi="ar"/>
              </w:rPr>
              <w:t>爆炸震荡</w:t>
            </w:r>
          </w:p>
        </w:tc>
        <w:tc>
          <w:tcPr>
            <w:tcW w:w="7144" w:type="dxa"/>
            <w:vAlign w:val="center"/>
          </w:tcPr>
          <w:p>
            <w:pPr>
              <w:widowControl/>
              <w:jc w:val="center"/>
              <w:rPr>
                <w:color w:val="auto"/>
                <w:kern w:val="0"/>
                <w:szCs w:val="21"/>
                <w:lang w:bidi="ar"/>
              </w:rPr>
            </w:pPr>
            <w:r>
              <w:rPr>
                <w:color w:val="auto"/>
                <w:kern w:val="0"/>
                <w:szCs w:val="21"/>
                <w:lang w:bidi="ar"/>
              </w:rPr>
              <w:t>在爆炸发生时产生一定能使物体震荡使之松散的作用力，这股力量消弱生产装置及建筑物、设备的基础强度，甚至使之解体。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3" w:type="dxa"/>
            <w:vMerge w:val="continue"/>
            <w:vAlign w:val="center"/>
          </w:tcPr>
          <w:p>
            <w:pPr>
              <w:widowControl/>
              <w:jc w:val="center"/>
              <w:rPr>
                <w:color w:val="auto"/>
                <w:kern w:val="0"/>
                <w:szCs w:val="21"/>
                <w:lang w:bidi="ar"/>
              </w:rPr>
            </w:pPr>
          </w:p>
        </w:tc>
        <w:tc>
          <w:tcPr>
            <w:tcW w:w="936" w:type="dxa"/>
            <w:vAlign w:val="center"/>
          </w:tcPr>
          <w:p>
            <w:pPr>
              <w:widowControl/>
              <w:jc w:val="center"/>
              <w:rPr>
                <w:color w:val="auto"/>
                <w:kern w:val="0"/>
                <w:szCs w:val="21"/>
                <w:lang w:bidi="ar"/>
              </w:rPr>
            </w:pPr>
            <w:r>
              <w:rPr>
                <w:color w:val="auto"/>
                <w:kern w:val="0"/>
                <w:szCs w:val="21"/>
                <w:lang w:bidi="ar"/>
              </w:rPr>
              <w:t>冲击波</w:t>
            </w:r>
          </w:p>
        </w:tc>
        <w:tc>
          <w:tcPr>
            <w:tcW w:w="7144" w:type="dxa"/>
            <w:vAlign w:val="center"/>
          </w:tcPr>
          <w:p>
            <w:pPr>
              <w:widowControl/>
              <w:jc w:val="center"/>
              <w:rPr>
                <w:color w:val="auto"/>
                <w:kern w:val="0"/>
                <w:szCs w:val="21"/>
                <w:lang w:bidi="ar"/>
              </w:rPr>
            </w:pPr>
            <w:r>
              <w:rPr>
                <w:color w:val="auto"/>
                <w:kern w:val="0"/>
                <w:szCs w:val="21"/>
                <w:lang w:bidi="ar"/>
              </w:rPr>
              <w:t>爆炸冲击波最初出现正压力，而后又出现负压力，它与爆炸物的质量成正比，与距离成反比，它将对爆炸区域周围的建筑物产生一个强大的冲击波，并摧毁部分建筑物及设备。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3" w:type="dxa"/>
            <w:vMerge w:val="continue"/>
            <w:vAlign w:val="center"/>
          </w:tcPr>
          <w:p>
            <w:pPr>
              <w:widowControl/>
              <w:jc w:val="center"/>
              <w:rPr>
                <w:color w:val="auto"/>
                <w:kern w:val="0"/>
                <w:szCs w:val="21"/>
                <w:lang w:bidi="ar"/>
              </w:rPr>
            </w:pPr>
          </w:p>
        </w:tc>
        <w:tc>
          <w:tcPr>
            <w:tcW w:w="936" w:type="dxa"/>
            <w:vAlign w:val="center"/>
          </w:tcPr>
          <w:p>
            <w:pPr>
              <w:widowControl/>
              <w:jc w:val="center"/>
              <w:rPr>
                <w:color w:val="auto"/>
                <w:kern w:val="0"/>
                <w:szCs w:val="21"/>
                <w:lang w:bidi="ar"/>
              </w:rPr>
            </w:pPr>
            <w:r>
              <w:rPr>
                <w:color w:val="auto"/>
                <w:kern w:val="0"/>
                <w:szCs w:val="21"/>
                <w:lang w:bidi="ar"/>
              </w:rPr>
              <w:t>冲击碎片</w:t>
            </w:r>
          </w:p>
        </w:tc>
        <w:tc>
          <w:tcPr>
            <w:tcW w:w="7144" w:type="dxa"/>
            <w:vAlign w:val="center"/>
          </w:tcPr>
          <w:p>
            <w:pPr>
              <w:widowControl/>
              <w:jc w:val="center"/>
              <w:rPr>
                <w:color w:val="auto"/>
                <w:kern w:val="0"/>
                <w:szCs w:val="21"/>
                <w:lang w:bidi="ar"/>
              </w:rPr>
            </w:pPr>
            <w:r>
              <w:rPr>
                <w:color w:val="auto"/>
                <w:kern w:val="0"/>
                <w:szCs w:val="21"/>
                <w:lang w:bidi="ar"/>
              </w:rPr>
              <w:t>机械设备、装置、容器等爆炸后产生的大量碎片飞出后会在相当大的范围内造成危害，一般碎片的飞散范围在100-1500米左右。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3" w:type="dxa"/>
            <w:vMerge w:val="continue"/>
            <w:vAlign w:val="center"/>
          </w:tcPr>
          <w:p>
            <w:pPr>
              <w:widowControl/>
              <w:jc w:val="center"/>
              <w:rPr>
                <w:color w:val="auto"/>
                <w:kern w:val="0"/>
                <w:szCs w:val="21"/>
                <w:lang w:bidi="ar"/>
              </w:rPr>
            </w:pPr>
          </w:p>
        </w:tc>
        <w:tc>
          <w:tcPr>
            <w:tcW w:w="936" w:type="dxa"/>
            <w:vAlign w:val="center"/>
          </w:tcPr>
          <w:p>
            <w:pPr>
              <w:widowControl/>
              <w:jc w:val="center"/>
              <w:rPr>
                <w:color w:val="auto"/>
                <w:kern w:val="0"/>
                <w:szCs w:val="21"/>
                <w:lang w:bidi="ar"/>
              </w:rPr>
            </w:pPr>
            <w:r>
              <w:rPr>
                <w:color w:val="auto"/>
                <w:kern w:val="0"/>
                <w:szCs w:val="21"/>
                <w:lang w:bidi="ar"/>
              </w:rPr>
              <w:t>造成新的火灾</w:t>
            </w:r>
          </w:p>
        </w:tc>
        <w:tc>
          <w:tcPr>
            <w:tcW w:w="7144" w:type="dxa"/>
            <w:vAlign w:val="center"/>
          </w:tcPr>
          <w:p>
            <w:pPr>
              <w:widowControl/>
              <w:jc w:val="center"/>
              <w:rPr>
                <w:color w:val="auto"/>
                <w:kern w:val="0"/>
                <w:szCs w:val="21"/>
                <w:lang w:bidi="ar"/>
              </w:rPr>
            </w:pPr>
            <w:r>
              <w:rPr>
                <w:color w:val="auto"/>
                <w:kern w:val="0"/>
                <w:szCs w:val="21"/>
                <w:lang w:bidi="ar"/>
              </w:rPr>
              <w:t>爆炸的余热和残余火种会点燃破损设备内不断流出的可燃物体，而造成新的火灾。</w:t>
            </w:r>
          </w:p>
        </w:tc>
      </w:tr>
    </w:tbl>
    <w:p>
      <w:pPr>
        <w:pStyle w:val="5"/>
        <w:spacing w:before="0" w:after="0" w:line="360" w:lineRule="auto"/>
        <w:rPr>
          <w:color w:val="auto"/>
          <w:sz w:val="24"/>
          <w:szCs w:val="24"/>
        </w:rPr>
      </w:pPr>
      <w:r>
        <w:rPr>
          <w:rFonts w:hint="eastAsia"/>
          <w:color w:val="auto"/>
          <w:sz w:val="24"/>
          <w:szCs w:val="24"/>
        </w:rPr>
        <w:t>6.3.</w:t>
      </w:r>
      <w:r>
        <w:rPr>
          <w:color w:val="auto"/>
          <w:sz w:val="24"/>
          <w:szCs w:val="24"/>
        </w:rPr>
        <w:t>6 风险防范措施及应急要求</w:t>
      </w:r>
    </w:p>
    <w:p>
      <w:pPr>
        <w:spacing w:line="360" w:lineRule="auto"/>
        <w:ind w:firstLine="480" w:firstLineChars="200"/>
        <w:rPr>
          <w:color w:val="auto"/>
          <w:sz w:val="24"/>
        </w:rPr>
      </w:pPr>
      <w:r>
        <w:rPr>
          <w:color w:val="auto"/>
          <w:sz w:val="24"/>
        </w:rPr>
        <w:t>本项目具有潜在的火灾危险性，因此，建设项目的规划设计、施工和运营等必须进行科学规划、合理布置、严格执行国家的防火安全设计规范，特别是仓储区，物料存储量最大，风险事故源强最大，应保证施工质量，严格安全生产制度，严格管理，提高操作人员的素质和水平，避免或减少事故的发生。</w:t>
      </w:r>
    </w:p>
    <w:p>
      <w:pPr>
        <w:spacing w:line="360" w:lineRule="auto"/>
        <w:ind w:firstLine="480" w:firstLineChars="200"/>
        <w:rPr>
          <w:color w:val="auto"/>
          <w:sz w:val="24"/>
        </w:rPr>
      </w:pPr>
      <w:r>
        <w:rPr>
          <w:color w:val="auto"/>
          <w:sz w:val="24"/>
        </w:rPr>
        <w:t>（1）选址：本项目道路、供水、供电、通讯、排水等基础设施基本完备。</w:t>
      </w:r>
    </w:p>
    <w:p>
      <w:pPr>
        <w:spacing w:line="360" w:lineRule="auto"/>
        <w:ind w:firstLine="480" w:firstLineChars="200"/>
        <w:rPr>
          <w:color w:val="auto"/>
          <w:sz w:val="24"/>
        </w:rPr>
      </w:pPr>
      <w:r>
        <w:rPr>
          <w:color w:val="auto"/>
          <w:sz w:val="24"/>
        </w:rPr>
        <w:t>（2）安全防范措施：建筑设计贯彻方便工艺布置的原则，平面简洁规整，功能分区明确。厂区内生产设备集中在厂区北侧，所有设备以电为能源，厂区内无其他可燃性燃料存在。</w:t>
      </w:r>
    </w:p>
    <w:p>
      <w:pPr>
        <w:spacing w:line="360" w:lineRule="auto"/>
        <w:ind w:firstLine="480" w:firstLineChars="200"/>
        <w:rPr>
          <w:color w:val="auto"/>
          <w:sz w:val="24"/>
        </w:rPr>
      </w:pPr>
      <w:r>
        <w:rPr>
          <w:color w:val="auto"/>
          <w:sz w:val="24"/>
        </w:rPr>
        <w:t>（3）生产装置区风险防范措施</w:t>
      </w:r>
    </w:p>
    <w:p>
      <w:pPr>
        <w:spacing w:line="360" w:lineRule="auto"/>
        <w:ind w:firstLine="600" w:firstLineChars="200"/>
        <w:rPr>
          <w:color w:val="auto"/>
          <w:sz w:val="24"/>
        </w:rPr>
      </w:pPr>
      <w:r>
        <w:rPr>
          <w:color w:val="auto"/>
          <w:sz w:val="30"/>
          <w:szCs w:val="30"/>
        </w:rPr>
        <w:sym w:font="Wingdings" w:char="F081"/>
      </w:r>
      <w:r>
        <w:rPr>
          <w:color w:val="auto"/>
          <w:sz w:val="24"/>
        </w:rPr>
        <w:t>厂房严格按照要求的耐火等级、防爆等级，在结构形式上，材料选用上满足防火要求。</w:t>
      </w:r>
    </w:p>
    <w:p>
      <w:pPr>
        <w:spacing w:line="360" w:lineRule="auto"/>
        <w:ind w:firstLine="600" w:firstLineChars="200"/>
        <w:rPr>
          <w:color w:val="auto"/>
          <w:sz w:val="24"/>
        </w:rPr>
      </w:pPr>
      <w:r>
        <w:rPr>
          <w:color w:val="auto"/>
          <w:sz w:val="30"/>
          <w:szCs w:val="30"/>
        </w:rPr>
        <w:sym w:font="Wingdings" w:char="F082"/>
      </w:r>
      <w:r>
        <w:rPr>
          <w:color w:val="auto"/>
          <w:sz w:val="24"/>
        </w:rPr>
        <w:t>电气和仪表专业设计按照《爆炸和火灾危险环境店里装置设计规范》执行，对于仪表灯具、按钮、保护装置全部选用密闭型。</w:t>
      </w:r>
    </w:p>
    <w:p>
      <w:pPr>
        <w:spacing w:line="360" w:lineRule="auto"/>
        <w:ind w:firstLine="600" w:firstLineChars="200"/>
        <w:rPr>
          <w:color w:val="auto"/>
          <w:sz w:val="24"/>
        </w:rPr>
      </w:pPr>
      <w:r>
        <w:rPr>
          <w:color w:val="auto"/>
          <w:sz w:val="30"/>
          <w:szCs w:val="30"/>
        </w:rPr>
        <w:sym w:font="Wingdings" w:char="F083"/>
      </w:r>
      <w:r>
        <w:rPr>
          <w:color w:val="auto"/>
          <w:sz w:val="24"/>
        </w:rPr>
        <w:t>电气设计中防雷、防静电按防雷防静电规范要求，对使用易燃易爆介质的工艺设备及管道均作静电接地处理。对于高大建筑构筑物均采用避雷针和避雷带相结合的避雷方式，并设置防感应雷装置。同时设有良好的接地系统，并连成接地网。</w:t>
      </w:r>
    </w:p>
    <w:p>
      <w:pPr>
        <w:spacing w:line="360" w:lineRule="auto"/>
        <w:ind w:firstLine="480" w:firstLineChars="200"/>
        <w:rPr>
          <w:color w:val="auto"/>
          <w:sz w:val="24"/>
        </w:rPr>
      </w:pPr>
      <w:r>
        <w:rPr>
          <w:color w:val="auto"/>
          <w:sz w:val="24"/>
        </w:rPr>
        <w:t>（4）配备完善的消防措施</w:t>
      </w:r>
    </w:p>
    <w:p>
      <w:pPr>
        <w:spacing w:line="360" w:lineRule="auto"/>
        <w:ind w:firstLine="480" w:firstLineChars="200"/>
        <w:rPr>
          <w:color w:val="auto"/>
          <w:sz w:val="24"/>
        </w:rPr>
      </w:pPr>
      <w:r>
        <w:rPr>
          <w:color w:val="auto"/>
          <w:sz w:val="24"/>
        </w:rPr>
        <w:t>厂区内按照规定配置足量得到手提式干粉灭火器、泡沫灭火器、二氧化碳灭火器。</w:t>
      </w:r>
    </w:p>
    <w:p>
      <w:pPr>
        <w:spacing w:line="360" w:lineRule="auto"/>
        <w:ind w:firstLine="480" w:firstLineChars="200"/>
        <w:rPr>
          <w:color w:val="auto"/>
          <w:sz w:val="24"/>
        </w:rPr>
      </w:pPr>
      <w:r>
        <w:rPr>
          <w:color w:val="auto"/>
          <w:sz w:val="24"/>
        </w:rPr>
        <w:t>（5）生产安全管理及劳动保护</w:t>
      </w:r>
    </w:p>
    <w:p>
      <w:pPr>
        <w:spacing w:line="360" w:lineRule="auto"/>
        <w:rPr>
          <w:color w:val="auto"/>
          <w:sz w:val="24"/>
        </w:rPr>
      </w:pPr>
      <w:r>
        <w:rPr>
          <w:color w:val="auto"/>
          <w:sz w:val="24"/>
        </w:rPr>
        <w:t xml:space="preserve">    </w:t>
      </w:r>
      <w:r>
        <w:rPr>
          <w:color w:val="auto"/>
          <w:sz w:val="30"/>
          <w:szCs w:val="30"/>
        </w:rPr>
        <w:sym w:font="Wingdings" w:char="F081"/>
      </w:r>
      <w:r>
        <w:rPr>
          <w:color w:val="auto"/>
          <w:sz w:val="24"/>
        </w:rPr>
        <w:t>公司建立科学、严格的生产操作规程和安全管理体系，做到各车间、工段生产、安全都有专业人员专职负责。同时公司设专职巡检员，对厂区进行巡检，一旦发现异常情况可马上采取措施。</w:t>
      </w:r>
    </w:p>
    <w:p>
      <w:pPr>
        <w:spacing w:line="360" w:lineRule="auto"/>
        <w:rPr>
          <w:color w:val="auto"/>
          <w:sz w:val="24"/>
        </w:rPr>
      </w:pPr>
      <w:r>
        <w:rPr>
          <w:color w:val="auto"/>
          <w:sz w:val="24"/>
        </w:rPr>
        <w:t xml:space="preserve">  </w:t>
      </w:r>
      <w:r>
        <w:rPr>
          <w:color w:val="auto"/>
          <w:sz w:val="30"/>
          <w:szCs w:val="30"/>
        </w:rPr>
        <w:t xml:space="preserve">  </w:t>
      </w:r>
      <w:r>
        <w:rPr>
          <w:color w:val="auto"/>
          <w:sz w:val="30"/>
          <w:szCs w:val="30"/>
        </w:rPr>
        <w:sym w:font="Wingdings" w:char="F082"/>
      </w:r>
      <w:r>
        <w:rPr>
          <w:color w:val="auto"/>
          <w:sz w:val="24"/>
        </w:rPr>
        <w:t>加强安全生产教育。安全生产教育包括日常安全教育以及外来人员安全教育等。让所有员工了解本厂各种原材料物理化学性质和毒理学性质、防护措施、环境影响等。</w:t>
      </w:r>
    </w:p>
    <w:p>
      <w:pPr>
        <w:spacing w:line="360" w:lineRule="auto"/>
        <w:rPr>
          <w:color w:val="auto"/>
          <w:sz w:val="24"/>
        </w:rPr>
      </w:pPr>
      <w:r>
        <w:rPr>
          <w:color w:val="auto"/>
          <w:sz w:val="24"/>
        </w:rPr>
        <w:t xml:space="preserve">  </w:t>
      </w:r>
      <w:r>
        <w:rPr>
          <w:color w:val="auto"/>
          <w:sz w:val="30"/>
          <w:szCs w:val="30"/>
        </w:rPr>
        <w:t xml:space="preserve">  </w:t>
      </w:r>
      <w:r>
        <w:rPr>
          <w:color w:val="auto"/>
          <w:sz w:val="30"/>
          <w:szCs w:val="30"/>
        </w:rPr>
        <w:sym w:font="Wingdings" w:char="F083"/>
      </w:r>
      <w:r>
        <w:rPr>
          <w:color w:val="auto"/>
          <w:sz w:val="24"/>
        </w:rPr>
        <w:t>为避免原料和产品贮存中火灾事故的发生，生产车间内严禁烟火，不准有明火。</w:t>
      </w:r>
    </w:p>
    <w:p>
      <w:pPr>
        <w:spacing w:line="360" w:lineRule="auto"/>
        <w:ind w:firstLine="480" w:firstLineChars="200"/>
        <w:rPr>
          <w:color w:val="auto"/>
          <w:sz w:val="24"/>
        </w:rPr>
      </w:pPr>
      <w:r>
        <w:rPr>
          <w:color w:val="auto"/>
          <w:sz w:val="24"/>
        </w:rPr>
        <w:t>④对在岗工人及邻近有关人员进行自由救护教育，一旦发生事故迅速进行自我救护，佩戴个人防护用具等。</w:t>
      </w:r>
    </w:p>
    <w:p>
      <w:pPr>
        <w:spacing w:line="360" w:lineRule="auto"/>
        <w:ind w:firstLine="480" w:firstLineChars="200"/>
        <w:rPr>
          <w:color w:val="auto"/>
          <w:sz w:val="24"/>
        </w:rPr>
      </w:pPr>
      <w:r>
        <w:rPr>
          <w:color w:val="auto"/>
          <w:sz w:val="24"/>
        </w:rPr>
        <w:t>（6）有毒气体的防范措施</w:t>
      </w:r>
    </w:p>
    <w:p>
      <w:pPr>
        <w:spacing w:line="460" w:lineRule="exact"/>
        <w:ind w:firstLine="480" w:firstLineChars="200"/>
        <w:rPr>
          <w:color w:val="auto"/>
          <w:sz w:val="24"/>
        </w:rPr>
      </w:pPr>
      <w:r>
        <w:rPr>
          <w:color w:val="auto"/>
          <w:sz w:val="24"/>
        </w:rPr>
        <w:t>①加强安全教育培训和宣传：物质燃烧产生各种毒害气体，气液应加强对从业人员的专题教育，进一步提高企业管理者、操作人员的安全意识防范知识和应急救援的水平。</w:t>
      </w:r>
    </w:p>
    <w:p>
      <w:pPr>
        <w:spacing w:line="460" w:lineRule="exact"/>
        <w:ind w:firstLine="480" w:firstLineChars="200"/>
        <w:rPr>
          <w:color w:val="auto"/>
          <w:sz w:val="24"/>
        </w:rPr>
      </w:pPr>
      <w:r>
        <w:rPr>
          <w:color w:val="auto"/>
          <w:sz w:val="24"/>
        </w:rPr>
        <w:t>②加大安全生产的投入：在强化安全教育、提高安全意识的同时，企业必须加大安全生产的投入。一是在可能产生有毒气体的场所设置报警仪；二是采取通风、监测等安全措施；三是为操作人员配备呼吸器、救护带、有害气体检测仪器等安全设备；四是危险作业增设监护人员并为其配备通讯、救援等设备。</w:t>
      </w:r>
    </w:p>
    <w:p>
      <w:pPr>
        <w:spacing w:line="460" w:lineRule="exact"/>
        <w:ind w:firstLine="480" w:firstLineChars="200"/>
        <w:rPr>
          <w:rFonts w:hint="eastAsia"/>
          <w:b/>
          <w:color w:val="auto"/>
          <w:sz w:val="24"/>
        </w:rPr>
      </w:pPr>
      <w:r>
        <w:rPr>
          <w:color w:val="auto"/>
          <w:sz w:val="24"/>
        </w:rPr>
        <w:t>③建立健全有毒气体中毒事故应急救援预案：原料及成品燃烧可能产生各种有毒气体中毒事故，企业应建立健全有毒气体中毒等事故专项应急救援预案，确认可能发生有毒气体中毒事故的场所，要落实针对性的应急救援组织、救援人员、救援器材。企业应根据实际情况，不断充实和完善应急预案的各项措施，并定期组织演练。</w:t>
      </w:r>
    </w:p>
    <w:p>
      <w:pPr>
        <w:spacing w:line="460" w:lineRule="exact"/>
        <w:ind w:firstLine="480" w:firstLineChars="200"/>
        <w:rPr>
          <w:rFonts w:hint="default" w:ascii="Times New Roman" w:hAnsi="Times New Roman" w:cs="Times New Roman"/>
          <w:color w:val="auto"/>
          <w:sz w:val="24"/>
          <w:lang w:eastAsia="zh-CN"/>
        </w:rPr>
      </w:pPr>
      <w:r>
        <w:rPr>
          <w:rFonts w:hint="default" w:ascii="Times New Roman" w:hAnsi="Times New Roman" w:cs="Times New Roman"/>
          <w:color w:val="auto"/>
          <w:sz w:val="24"/>
          <w:lang w:val="en-US" w:eastAsia="zh-CN"/>
        </w:rPr>
        <w:t>（7）</w:t>
      </w:r>
      <w:r>
        <w:rPr>
          <w:rFonts w:hint="eastAsia" w:ascii="Times New Roman" w:hAnsi="Times New Roman" w:cs="Times New Roman"/>
          <w:color w:val="auto"/>
          <w:sz w:val="24"/>
          <w:lang w:eastAsia="zh-CN"/>
        </w:rPr>
        <w:t>液体原料</w:t>
      </w:r>
      <w:r>
        <w:rPr>
          <w:rFonts w:hint="default" w:ascii="Times New Roman" w:hAnsi="Times New Roman" w:cs="Times New Roman"/>
          <w:color w:val="auto"/>
          <w:sz w:val="24"/>
          <w:lang w:eastAsia="zh-CN"/>
        </w:rPr>
        <w:t>使用过程中的防范措施</w:t>
      </w:r>
    </w:p>
    <w:p>
      <w:pPr>
        <w:spacing w:line="460" w:lineRule="exact"/>
        <w:ind w:firstLine="480" w:firstLineChars="200"/>
        <w:rPr>
          <w:rFonts w:hint="default" w:ascii="Times New Roman" w:hAnsi="Times New Roman" w:cs="Times New Roman"/>
          <w:color w:val="auto"/>
          <w:sz w:val="24"/>
          <w:lang w:eastAsia="zh-CN"/>
        </w:rPr>
      </w:pPr>
      <w:r>
        <w:rPr>
          <w:rFonts w:hint="default" w:ascii="Times New Roman" w:hAnsi="Times New Roman" w:cs="Times New Roman"/>
          <w:color w:val="auto"/>
          <w:sz w:val="24"/>
          <w:lang w:eastAsia="zh-CN"/>
        </w:rPr>
        <w:t>①本项目生产中使用增塑剂</w:t>
      </w:r>
      <w:r>
        <w:rPr>
          <w:rFonts w:hint="eastAsia" w:ascii="Times New Roman" w:hAnsi="Times New Roman" w:cs="Times New Roman"/>
          <w:color w:val="auto"/>
          <w:sz w:val="24"/>
          <w:lang w:eastAsia="zh-CN"/>
        </w:rPr>
        <w:t>、</w:t>
      </w:r>
      <w:r>
        <w:rPr>
          <w:rFonts w:hint="default" w:ascii="Times New Roman" w:hAnsi="Times New Roman" w:cs="Times New Roman"/>
          <w:color w:val="auto"/>
          <w:sz w:val="24"/>
          <w:lang w:eastAsia="zh-CN"/>
        </w:rPr>
        <w:t>乙酸丁酯</w:t>
      </w:r>
      <w:r>
        <w:rPr>
          <w:rFonts w:hint="eastAsia" w:ascii="Times New Roman" w:hAnsi="Times New Roman" w:cs="Times New Roman"/>
          <w:color w:val="auto"/>
          <w:sz w:val="24"/>
          <w:lang w:eastAsia="zh-CN"/>
        </w:rPr>
        <w:t>、中性清洗剂、底涂剂、有机硅等均为液体</w:t>
      </w:r>
      <w:r>
        <w:rPr>
          <w:rFonts w:hint="default" w:ascii="Times New Roman" w:hAnsi="Times New Roman" w:cs="Times New Roman"/>
          <w:color w:val="auto"/>
          <w:sz w:val="24"/>
          <w:lang w:eastAsia="zh-CN"/>
        </w:rPr>
        <w:t>，存储设备务必做到完全封闭，避免漏、渗。</w:t>
      </w:r>
    </w:p>
    <w:p>
      <w:pPr>
        <w:spacing w:line="460" w:lineRule="exact"/>
        <w:ind w:firstLine="480" w:firstLineChars="200"/>
        <w:rPr>
          <w:rFonts w:hint="default" w:ascii="Times New Roman" w:hAnsi="Times New Roman" w:cs="Times New Roman"/>
          <w:color w:val="auto"/>
          <w:sz w:val="24"/>
          <w:lang w:eastAsia="zh-CN"/>
        </w:rPr>
      </w:pPr>
      <w:r>
        <w:rPr>
          <w:rFonts w:hint="default" w:ascii="Times New Roman" w:hAnsi="Times New Roman" w:cs="Times New Roman"/>
          <w:color w:val="auto"/>
          <w:sz w:val="24"/>
          <w:lang w:eastAsia="zh-CN"/>
        </w:rPr>
        <w:t>②在油料投料、计量过程中，定期检查设备的运行情况，做到无渗漏，同时对计量设备定期检测其正确性。</w:t>
      </w:r>
    </w:p>
    <w:p>
      <w:pPr>
        <w:spacing w:line="460" w:lineRule="exact"/>
        <w:ind w:firstLine="480" w:firstLineChars="200"/>
        <w:rPr>
          <w:rFonts w:hint="default" w:ascii="Times New Roman" w:hAnsi="Times New Roman" w:cs="Times New Roman"/>
          <w:color w:val="auto"/>
          <w:sz w:val="24"/>
          <w:lang w:eastAsia="zh-CN"/>
        </w:rPr>
      </w:pPr>
      <w:r>
        <w:rPr>
          <w:rFonts w:hint="default" w:ascii="Times New Roman" w:hAnsi="Times New Roman" w:cs="Times New Roman"/>
          <w:color w:val="auto"/>
          <w:sz w:val="24"/>
        </w:rPr>
        <w:t>③</w:t>
      </w:r>
      <w:r>
        <w:rPr>
          <w:rFonts w:hint="default" w:ascii="Times New Roman" w:hAnsi="Times New Roman" w:cs="Times New Roman"/>
          <w:color w:val="auto"/>
          <w:sz w:val="24"/>
          <w:lang w:eastAsia="zh-CN"/>
        </w:rPr>
        <w:t>若出现</w:t>
      </w:r>
      <w:r>
        <w:rPr>
          <w:rFonts w:hint="eastAsia" w:ascii="Times New Roman" w:hAnsi="Times New Roman" w:cs="Times New Roman"/>
          <w:color w:val="auto"/>
          <w:sz w:val="24"/>
          <w:lang w:eastAsia="zh-CN"/>
        </w:rPr>
        <w:t>液体原料</w:t>
      </w:r>
      <w:r>
        <w:rPr>
          <w:rFonts w:hint="default" w:ascii="Times New Roman" w:hAnsi="Times New Roman" w:cs="Times New Roman"/>
          <w:color w:val="auto"/>
          <w:sz w:val="24"/>
          <w:lang w:eastAsia="zh-CN"/>
        </w:rPr>
        <w:t>渗漏现象，应立即进行应急处理，对</w:t>
      </w:r>
      <w:r>
        <w:rPr>
          <w:rFonts w:hint="eastAsia" w:ascii="Times New Roman" w:hAnsi="Times New Roman" w:cs="Times New Roman"/>
          <w:color w:val="auto"/>
          <w:sz w:val="24"/>
          <w:lang w:eastAsia="zh-CN"/>
        </w:rPr>
        <w:t>存储</w:t>
      </w:r>
      <w:r>
        <w:rPr>
          <w:rFonts w:hint="default" w:ascii="Times New Roman" w:hAnsi="Times New Roman" w:cs="Times New Roman"/>
          <w:color w:val="auto"/>
          <w:sz w:val="24"/>
          <w:lang w:eastAsia="zh-CN"/>
        </w:rPr>
        <w:t>设备附近的地面必须做防渗处理，如有必要需做围堰隔绝泄露，建议企业做应急预案。</w:t>
      </w:r>
    </w:p>
    <w:p>
      <w:pPr>
        <w:spacing w:line="500" w:lineRule="exact"/>
        <w:ind w:firstLine="480" w:firstLineChars="200"/>
        <w:rPr>
          <w:rFonts w:hint="eastAsia"/>
          <w:color w:val="auto"/>
          <w:sz w:val="24"/>
        </w:rPr>
      </w:pPr>
      <w:r>
        <w:rPr>
          <w:rFonts w:hint="eastAsia"/>
          <w:color w:val="auto"/>
          <w:sz w:val="24"/>
          <w:lang w:eastAsia="zh-CN"/>
        </w:rPr>
        <w:t>（</w:t>
      </w:r>
      <w:r>
        <w:rPr>
          <w:rFonts w:hint="eastAsia"/>
          <w:color w:val="auto"/>
          <w:sz w:val="24"/>
          <w:lang w:val="en-US" w:eastAsia="zh-CN"/>
        </w:rPr>
        <w:t>8</w:t>
      </w:r>
      <w:r>
        <w:rPr>
          <w:rFonts w:hint="eastAsia"/>
          <w:color w:val="auto"/>
          <w:sz w:val="24"/>
          <w:lang w:eastAsia="zh-CN"/>
        </w:rPr>
        <w:t>）</w:t>
      </w:r>
      <w:r>
        <w:rPr>
          <w:color w:val="auto"/>
          <w:sz w:val="24"/>
          <w:lang w:val="en-US"/>
        </w:rPr>
        <w:t>消防防范措施</w:t>
      </w:r>
    </w:p>
    <w:p>
      <w:pPr>
        <w:spacing w:line="520" w:lineRule="exact"/>
        <w:ind w:firstLine="480" w:firstLineChars="200"/>
        <w:rPr>
          <w:rFonts w:hint="eastAsia"/>
          <w:snapToGrid w:val="0"/>
          <w:color w:val="auto"/>
          <w:kern w:val="0"/>
          <w:sz w:val="24"/>
        </w:rPr>
      </w:pPr>
      <w:r>
        <w:rPr>
          <w:rFonts w:hint="eastAsia"/>
          <w:snapToGrid w:val="0"/>
          <w:color w:val="auto"/>
          <w:kern w:val="0"/>
          <w:sz w:val="24"/>
        </w:rPr>
        <w:t>本项目</w:t>
      </w:r>
      <w:r>
        <w:rPr>
          <w:rFonts w:hint="eastAsia"/>
          <w:snapToGrid w:val="0"/>
          <w:color w:val="auto"/>
          <w:kern w:val="0"/>
          <w:sz w:val="24"/>
          <w:lang w:eastAsia="zh-CN"/>
        </w:rPr>
        <w:t>可燃物质</w:t>
      </w:r>
      <w:r>
        <w:rPr>
          <w:rFonts w:hint="eastAsia"/>
          <w:snapToGrid w:val="0"/>
          <w:color w:val="auto"/>
          <w:kern w:val="0"/>
          <w:sz w:val="24"/>
        </w:rPr>
        <w:t>一旦发生泄漏遇明火，可能会导致火灾，在灭火过程中将产生消防废水。为此，本次评价提出建设单位应建设一定容量的事故池，以接纳事故情况下排放的污水，保证事故情况下不向外环境排放污水。在事故结束之后，将事故池中的污水在保证不会导致污水</w:t>
      </w:r>
      <w:r>
        <w:rPr>
          <w:rFonts w:hint="eastAsia"/>
          <w:snapToGrid w:val="0"/>
          <w:color w:val="auto"/>
          <w:kern w:val="0"/>
          <w:sz w:val="24"/>
          <w:lang w:eastAsia="zh-CN"/>
        </w:rPr>
        <w:t>处理厂</w:t>
      </w:r>
      <w:r>
        <w:rPr>
          <w:rFonts w:hint="eastAsia"/>
          <w:snapToGrid w:val="0"/>
          <w:color w:val="auto"/>
          <w:kern w:val="0"/>
          <w:sz w:val="24"/>
        </w:rPr>
        <w:t>负荷过载的情况下将污水逐步排入污水处理</w:t>
      </w:r>
      <w:r>
        <w:rPr>
          <w:rFonts w:hint="eastAsia"/>
          <w:snapToGrid w:val="0"/>
          <w:color w:val="auto"/>
          <w:kern w:val="0"/>
          <w:sz w:val="24"/>
          <w:lang w:eastAsia="zh-CN"/>
        </w:rPr>
        <w:t>厂</w:t>
      </w:r>
      <w:r>
        <w:rPr>
          <w:rFonts w:hint="eastAsia"/>
          <w:snapToGrid w:val="0"/>
          <w:color w:val="auto"/>
          <w:kern w:val="0"/>
          <w:sz w:val="24"/>
        </w:rPr>
        <w:t>进行处理。</w:t>
      </w:r>
    </w:p>
    <w:p>
      <w:pPr>
        <w:spacing w:line="520" w:lineRule="exact"/>
        <w:ind w:firstLine="480" w:firstLineChars="200"/>
        <w:rPr>
          <w:rFonts w:hint="eastAsia"/>
          <w:snapToGrid w:val="0"/>
          <w:color w:val="auto"/>
          <w:kern w:val="0"/>
          <w:sz w:val="24"/>
        </w:rPr>
      </w:pPr>
      <w:r>
        <w:rPr>
          <w:rFonts w:hint="eastAsia"/>
          <w:snapToGrid w:val="0"/>
          <w:color w:val="auto"/>
          <w:kern w:val="0"/>
          <w:sz w:val="24"/>
        </w:rPr>
        <w:t>根据《水体污染防控紧急措施设计导则》对应急事故池大小的规定：</w:t>
      </w:r>
    </w:p>
    <w:p>
      <w:pPr>
        <w:spacing w:line="520" w:lineRule="exact"/>
        <w:ind w:firstLine="480" w:firstLineChars="200"/>
        <w:rPr>
          <w:rFonts w:hint="eastAsia"/>
          <w:snapToGrid w:val="0"/>
          <w:color w:val="auto"/>
          <w:kern w:val="0"/>
          <w:sz w:val="24"/>
        </w:rPr>
      </w:pPr>
      <w:r>
        <w:rPr>
          <w:rFonts w:hint="eastAsia"/>
          <w:snapToGrid w:val="0"/>
          <w:color w:val="auto"/>
          <w:kern w:val="0"/>
          <w:sz w:val="24"/>
        </w:rPr>
        <w:t>V 总＝（V1＋V2-V3）max+V4+V5</w:t>
      </w:r>
    </w:p>
    <w:p>
      <w:pPr>
        <w:spacing w:line="520" w:lineRule="exact"/>
        <w:ind w:firstLine="420" w:firstLineChars="200"/>
        <w:rPr>
          <w:rFonts w:hint="eastAsia"/>
          <w:snapToGrid w:val="0"/>
          <w:color w:val="auto"/>
          <w:kern w:val="0"/>
          <w:szCs w:val="21"/>
        </w:rPr>
      </w:pPr>
      <w:r>
        <w:rPr>
          <w:rFonts w:hint="eastAsia"/>
          <w:snapToGrid w:val="0"/>
          <w:color w:val="auto"/>
          <w:kern w:val="0"/>
          <w:szCs w:val="21"/>
        </w:rPr>
        <w:t>注：计算应急事故废水量时，装置区或贮罐区事故不作同时发生考虑，取其中的最大值。</w:t>
      </w:r>
    </w:p>
    <w:p>
      <w:pPr>
        <w:spacing w:line="520" w:lineRule="exact"/>
        <w:ind w:firstLine="480" w:firstLineChars="200"/>
        <w:rPr>
          <w:rFonts w:hint="eastAsia"/>
          <w:snapToGrid w:val="0"/>
          <w:color w:val="auto"/>
          <w:kern w:val="0"/>
          <w:sz w:val="24"/>
        </w:rPr>
      </w:pPr>
      <w:r>
        <w:rPr>
          <w:rFonts w:hint="eastAsia"/>
          <w:snapToGrid w:val="0"/>
          <w:color w:val="auto"/>
          <w:kern w:val="0"/>
          <w:sz w:val="24"/>
        </w:rPr>
        <w:t>V1——最大一个容量的设备或贮罐。</w:t>
      </w:r>
    </w:p>
    <w:p>
      <w:pPr>
        <w:spacing w:line="520" w:lineRule="exact"/>
        <w:ind w:firstLine="480" w:firstLineChars="200"/>
        <w:rPr>
          <w:rFonts w:hint="eastAsia"/>
          <w:snapToGrid w:val="0"/>
          <w:color w:val="auto"/>
          <w:kern w:val="0"/>
          <w:sz w:val="24"/>
        </w:rPr>
      </w:pPr>
      <w:r>
        <w:rPr>
          <w:rFonts w:hint="eastAsia"/>
          <w:snapToGrid w:val="0"/>
          <w:color w:val="auto"/>
          <w:kern w:val="0"/>
          <w:sz w:val="24"/>
        </w:rPr>
        <w:t>V2——发生事故的装置的同时使用的消防设施给水流量，一次事故收集的消防废水量为144m</w:t>
      </w:r>
      <w:r>
        <w:rPr>
          <w:rFonts w:hint="eastAsia"/>
          <w:snapToGrid w:val="0"/>
          <w:color w:val="auto"/>
          <w:kern w:val="0"/>
          <w:sz w:val="24"/>
          <w:vertAlign w:val="superscript"/>
        </w:rPr>
        <w:t>3</w:t>
      </w:r>
      <w:r>
        <w:rPr>
          <w:rFonts w:hint="eastAsia"/>
          <w:snapToGrid w:val="0"/>
          <w:color w:val="auto"/>
          <w:kern w:val="0"/>
          <w:sz w:val="24"/>
        </w:rPr>
        <w:t>。</w:t>
      </w:r>
    </w:p>
    <w:p>
      <w:pPr>
        <w:spacing w:line="520" w:lineRule="exact"/>
        <w:ind w:firstLine="480" w:firstLineChars="200"/>
        <w:rPr>
          <w:rFonts w:hint="eastAsia"/>
          <w:snapToGrid w:val="0"/>
          <w:color w:val="auto"/>
          <w:kern w:val="0"/>
          <w:sz w:val="24"/>
        </w:rPr>
      </w:pPr>
      <w:r>
        <w:rPr>
          <w:rFonts w:hint="eastAsia"/>
          <w:snapToGrid w:val="0"/>
          <w:color w:val="auto"/>
          <w:kern w:val="0"/>
          <w:sz w:val="24"/>
        </w:rPr>
        <w:t>V3——发生事故时可以转输到其他储存或处理设施的物料量。V3为</w:t>
      </w:r>
      <w:r>
        <w:rPr>
          <w:rFonts w:hint="eastAsia"/>
          <w:snapToGrid w:val="0"/>
          <w:color w:val="auto"/>
          <w:kern w:val="0"/>
          <w:sz w:val="24"/>
          <w:lang w:val="en-US" w:eastAsia="zh-CN"/>
        </w:rPr>
        <w:t>100</w:t>
      </w:r>
      <w:r>
        <w:rPr>
          <w:rFonts w:hint="eastAsia"/>
          <w:snapToGrid w:val="0"/>
          <w:color w:val="auto"/>
          <w:kern w:val="0"/>
          <w:sz w:val="24"/>
        </w:rPr>
        <w:t>m</w:t>
      </w:r>
      <w:r>
        <w:rPr>
          <w:rFonts w:hint="eastAsia"/>
          <w:snapToGrid w:val="0"/>
          <w:color w:val="auto"/>
          <w:kern w:val="0"/>
          <w:sz w:val="24"/>
          <w:vertAlign w:val="superscript"/>
        </w:rPr>
        <w:t>3</w:t>
      </w:r>
      <w:r>
        <w:rPr>
          <w:rFonts w:hint="eastAsia"/>
          <w:snapToGrid w:val="0"/>
          <w:color w:val="auto"/>
          <w:kern w:val="0"/>
          <w:sz w:val="24"/>
        </w:rPr>
        <w:t>；</w:t>
      </w:r>
    </w:p>
    <w:p>
      <w:pPr>
        <w:spacing w:line="520" w:lineRule="exact"/>
        <w:ind w:firstLine="480" w:firstLineChars="200"/>
        <w:rPr>
          <w:rFonts w:hint="eastAsia"/>
          <w:snapToGrid w:val="0"/>
          <w:color w:val="auto"/>
          <w:kern w:val="0"/>
          <w:sz w:val="24"/>
        </w:rPr>
      </w:pPr>
      <w:r>
        <w:rPr>
          <w:rFonts w:hint="eastAsia"/>
          <w:snapToGrid w:val="0"/>
          <w:color w:val="auto"/>
          <w:kern w:val="0"/>
          <w:sz w:val="24"/>
        </w:rPr>
        <w:t>V4——发生事故时仍必须进入该收集系统的生产废水量。V4=0。</w:t>
      </w:r>
    </w:p>
    <w:p>
      <w:pPr>
        <w:spacing w:line="520" w:lineRule="exact"/>
        <w:ind w:firstLine="480" w:firstLineChars="200"/>
        <w:rPr>
          <w:rFonts w:hint="eastAsia"/>
          <w:snapToGrid w:val="0"/>
          <w:color w:val="auto"/>
          <w:kern w:val="0"/>
          <w:sz w:val="24"/>
        </w:rPr>
      </w:pPr>
      <w:r>
        <w:rPr>
          <w:rFonts w:hint="eastAsia"/>
          <w:snapToGrid w:val="0"/>
          <w:color w:val="auto"/>
          <w:kern w:val="0"/>
          <w:sz w:val="24"/>
        </w:rPr>
        <w:t>V5——发生事故时可能进入该收集系统的降雨量，V5=</w:t>
      </w:r>
      <w:r>
        <w:rPr>
          <w:rFonts w:hint="eastAsia"/>
          <w:snapToGrid w:val="0"/>
          <w:color w:val="auto"/>
          <w:kern w:val="0"/>
          <w:sz w:val="24"/>
          <w:lang w:val="en-US" w:eastAsia="zh-CN"/>
        </w:rPr>
        <w:t>22.75</w:t>
      </w:r>
      <w:r>
        <w:rPr>
          <w:rFonts w:hint="eastAsia"/>
          <w:snapToGrid w:val="0"/>
          <w:color w:val="auto"/>
          <w:kern w:val="0"/>
          <w:sz w:val="24"/>
        </w:rPr>
        <w:t>m</w:t>
      </w:r>
      <w:r>
        <w:rPr>
          <w:rFonts w:hint="eastAsia"/>
          <w:snapToGrid w:val="0"/>
          <w:color w:val="auto"/>
          <w:kern w:val="0"/>
          <w:sz w:val="24"/>
          <w:vertAlign w:val="superscript"/>
        </w:rPr>
        <w:t>3</w:t>
      </w:r>
      <w:r>
        <w:rPr>
          <w:rFonts w:hint="eastAsia"/>
          <w:snapToGrid w:val="0"/>
          <w:color w:val="auto"/>
          <w:kern w:val="0"/>
          <w:sz w:val="24"/>
        </w:rPr>
        <w:t>；</w:t>
      </w:r>
    </w:p>
    <w:p>
      <w:pPr>
        <w:spacing w:line="520" w:lineRule="exact"/>
        <w:ind w:firstLine="480" w:firstLineChars="200"/>
        <w:rPr>
          <w:rFonts w:hint="eastAsia"/>
          <w:snapToGrid w:val="0"/>
          <w:color w:val="auto"/>
          <w:kern w:val="0"/>
          <w:sz w:val="24"/>
        </w:rPr>
      </w:pPr>
      <w:r>
        <w:rPr>
          <w:rFonts w:hint="eastAsia"/>
          <w:snapToGrid w:val="0"/>
          <w:color w:val="auto"/>
          <w:kern w:val="0"/>
          <w:sz w:val="24"/>
        </w:rPr>
        <w:t>通过以上基础数据可计算得本项目的事故池容积约为：V总=</w:t>
      </w:r>
      <w:r>
        <w:rPr>
          <w:rFonts w:hint="eastAsia"/>
          <w:snapToGrid w:val="0"/>
          <w:color w:val="auto"/>
          <w:kern w:val="0"/>
          <w:sz w:val="24"/>
          <w:lang w:val="en-US" w:eastAsia="zh-CN"/>
        </w:rPr>
        <w:t>66.75</w:t>
      </w:r>
      <w:r>
        <w:rPr>
          <w:rFonts w:hint="eastAsia"/>
          <w:snapToGrid w:val="0"/>
          <w:color w:val="auto"/>
          <w:kern w:val="0"/>
          <w:sz w:val="24"/>
        </w:rPr>
        <w:t>m</w:t>
      </w:r>
      <w:r>
        <w:rPr>
          <w:rFonts w:hint="eastAsia"/>
          <w:snapToGrid w:val="0"/>
          <w:color w:val="auto"/>
          <w:kern w:val="0"/>
          <w:sz w:val="24"/>
          <w:vertAlign w:val="superscript"/>
        </w:rPr>
        <w:t>3</w:t>
      </w:r>
      <w:r>
        <w:rPr>
          <w:rFonts w:hint="eastAsia"/>
          <w:snapToGrid w:val="0"/>
          <w:color w:val="auto"/>
          <w:kern w:val="0"/>
          <w:sz w:val="24"/>
        </w:rPr>
        <w:t>。</w:t>
      </w:r>
    </w:p>
    <w:p>
      <w:pPr>
        <w:spacing w:line="500" w:lineRule="exact"/>
        <w:ind w:firstLine="480" w:firstLineChars="200"/>
        <w:rPr>
          <w:rFonts w:hint="eastAsia"/>
          <w:color w:val="auto"/>
          <w:sz w:val="24"/>
        </w:rPr>
      </w:pPr>
      <w:r>
        <w:rPr>
          <w:rFonts w:hint="eastAsia"/>
          <w:snapToGrid w:val="0"/>
          <w:color w:val="auto"/>
          <w:kern w:val="0"/>
          <w:sz w:val="24"/>
        </w:rPr>
        <w:t>根据上述计算结果，本项目需要的事故池容积为</w:t>
      </w:r>
      <w:r>
        <w:rPr>
          <w:rFonts w:hint="eastAsia"/>
          <w:snapToGrid w:val="0"/>
          <w:color w:val="auto"/>
          <w:kern w:val="0"/>
          <w:sz w:val="24"/>
          <w:lang w:val="en-US" w:eastAsia="zh-CN"/>
        </w:rPr>
        <w:t>66.75</w:t>
      </w:r>
      <w:r>
        <w:rPr>
          <w:rFonts w:hint="eastAsia"/>
          <w:snapToGrid w:val="0"/>
          <w:color w:val="auto"/>
          <w:kern w:val="0"/>
          <w:sz w:val="24"/>
        </w:rPr>
        <w:t>m</w:t>
      </w:r>
      <w:r>
        <w:rPr>
          <w:rFonts w:hint="eastAsia"/>
          <w:snapToGrid w:val="0"/>
          <w:color w:val="auto"/>
          <w:kern w:val="0"/>
          <w:sz w:val="24"/>
          <w:vertAlign w:val="superscript"/>
        </w:rPr>
        <w:t>3</w:t>
      </w:r>
      <w:r>
        <w:rPr>
          <w:rFonts w:hint="eastAsia"/>
          <w:snapToGrid w:val="0"/>
          <w:color w:val="auto"/>
          <w:kern w:val="0"/>
          <w:sz w:val="24"/>
        </w:rPr>
        <w:t xml:space="preserve">，建议设置 </w:t>
      </w:r>
      <w:r>
        <w:rPr>
          <w:rFonts w:hint="eastAsia"/>
          <w:snapToGrid w:val="0"/>
          <w:color w:val="auto"/>
          <w:kern w:val="0"/>
          <w:sz w:val="24"/>
          <w:lang w:val="en-US" w:eastAsia="zh-CN"/>
        </w:rPr>
        <w:t>70</w:t>
      </w:r>
      <w:r>
        <w:rPr>
          <w:rFonts w:hint="eastAsia"/>
          <w:snapToGrid w:val="0"/>
          <w:color w:val="auto"/>
          <w:kern w:val="0"/>
          <w:sz w:val="24"/>
        </w:rPr>
        <w:t>m</w:t>
      </w:r>
      <w:r>
        <w:rPr>
          <w:rFonts w:hint="eastAsia"/>
          <w:snapToGrid w:val="0"/>
          <w:color w:val="auto"/>
          <w:kern w:val="0"/>
          <w:sz w:val="24"/>
          <w:vertAlign w:val="superscript"/>
        </w:rPr>
        <w:t>3</w:t>
      </w:r>
      <w:r>
        <w:rPr>
          <w:rFonts w:hint="eastAsia"/>
          <w:snapToGrid w:val="0"/>
          <w:color w:val="auto"/>
          <w:kern w:val="0"/>
          <w:sz w:val="24"/>
        </w:rPr>
        <w:t xml:space="preserve"> 的事</w:t>
      </w:r>
      <w:r>
        <w:rPr>
          <w:rFonts w:hint="eastAsia"/>
          <w:color w:val="auto"/>
          <w:sz w:val="24"/>
        </w:rPr>
        <w:t>故废水池，能够满足项目事故废水要求。</w:t>
      </w:r>
    </w:p>
    <w:p>
      <w:pPr>
        <w:spacing w:line="500" w:lineRule="exact"/>
        <w:ind w:firstLine="480" w:firstLineChars="200"/>
        <w:rPr>
          <w:rFonts w:hint="eastAsia"/>
          <w:color w:val="auto"/>
          <w:sz w:val="24"/>
          <w:lang w:eastAsia="zh-CN"/>
        </w:rPr>
      </w:pPr>
      <w:r>
        <w:rPr>
          <w:rFonts w:hint="eastAsia"/>
          <w:color w:val="auto"/>
          <w:sz w:val="24"/>
          <w:lang w:eastAsia="zh-CN"/>
        </w:rPr>
        <w:t>根据现场勘查，本项目租赁企业已建设初期雨水收集池，未建设事故池，本项目需另行建设事故池，可依托现有厂区内初期雨水收集池。</w:t>
      </w:r>
    </w:p>
    <w:p>
      <w:pPr>
        <w:spacing w:line="500" w:lineRule="exact"/>
        <w:ind w:firstLine="480" w:firstLineChars="200"/>
        <w:rPr>
          <w:color w:val="auto"/>
          <w:sz w:val="24"/>
        </w:rPr>
      </w:pPr>
      <w:r>
        <w:rPr>
          <w:rFonts w:hint="eastAsia"/>
          <w:color w:val="auto"/>
          <w:sz w:val="24"/>
          <w:lang w:eastAsia="zh-CN"/>
        </w:rPr>
        <w:t>（</w:t>
      </w:r>
      <w:r>
        <w:rPr>
          <w:rFonts w:hint="eastAsia"/>
          <w:color w:val="auto"/>
          <w:sz w:val="24"/>
          <w:lang w:val="en-US" w:eastAsia="zh-CN"/>
        </w:rPr>
        <w:t>8</w:t>
      </w:r>
      <w:r>
        <w:rPr>
          <w:rFonts w:hint="eastAsia"/>
          <w:color w:val="auto"/>
          <w:sz w:val="24"/>
          <w:lang w:eastAsia="zh-CN"/>
        </w:rPr>
        <w:t>）事故</w:t>
      </w:r>
      <w:r>
        <w:rPr>
          <w:color w:val="auto"/>
          <w:sz w:val="24"/>
        </w:rPr>
        <w:t>废水防范措施</w:t>
      </w:r>
    </w:p>
    <w:p>
      <w:pPr>
        <w:spacing w:line="500" w:lineRule="exact"/>
        <w:ind w:firstLine="480" w:firstLineChars="200"/>
        <w:rPr>
          <w:color w:val="auto"/>
          <w:sz w:val="24"/>
        </w:rPr>
      </w:pPr>
      <w:r>
        <w:rPr>
          <w:color w:val="auto"/>
          <w:sz w:val="24"/>
        </w:rPr>
        <w:t>厂区消防水采用独立稳定的消防供水系统，并配备有消防栓及固定式泡沫灭火器材。因火灾、爆炸等产生的事故废水、消防废水导入</w:t>
      </w:r>
      <w:r>
        <w:rPr>
          <w:rFonts w:hint="eastAsia"/>
          <w:color w:val="auto"/>
          <w:sz w:val="24"/>
          <w:lang w:eastAsia="zh-CN"/>
        </w:rPr>
        <w:t>事故水池</w:t>
      </w:r>
      <w:r>
        <w:rPr>
          <w:color w:val="auto"/>
          <w:sz w:val="24"/>
        </w:rPr>
        <w:t>；事故排除后，将废水处理达到相应环境标准后排放，避免直接排放对环境造成严重影响。</w:t>
      </w:r>
    </w:p>
    <w:p>
      <w:pPr>
        <w:spacing w:line="500" w:lineRule="exact"/>
        <w:ind w:firstLine="480" w:firstLineChars="200"/>
        <w:rPr>
          <w:color w:val="auto"/>
          <w:sz w:val="24"/>
        </w:rPr>
      </w:pPr>
      <w:r>
        <w:rPr>
          <w:color w:val="auto"/>
          <w:sz w:val="24"/>
        </w:rPr>
        <w:t>本项目</w:t>
      </w:r>
      <w:r>
        <w:rPr>
          <w:rFonts w:hint="eastAsia"/>
          <w:color w:val="auto"/>
          <w:sz w:val="24"/>
          <w:lang w:eastAsia="zh-CN"/>
        </w:rPr>
        <w:t>新建消防事故水池，</w:t>
      </w:r>
      <w:r>
        <w:rPr>
          <w:color w:val="auto"/>
          <w:sz w:val="24"/>
        </w:rPr>
        <w:t>容量为</w:t>
      </w:r>
      <w:r>
        <w:rPr>
          <w:rFonts w:hint="eastAsia"/>
          <w:color w:val="auto"/>
          <w:sz w:val="24"/>
          <w:lang w:val="en-US" w:eastAsia="zh-CN"/>
        </w:rPr>
        <w:t>70</w:t>
      </w:r>
      <w:r>
        <w:rPr>
          <w:color w:val="auto"/>
          <w:sz w:val="24"/>
        </w:rPr>
        <w:t>m</w:t>
      </w:r>
      <w:r>
        <w:rPr>
          <w:color w:val="auto"/>
          <w:sz w:val="24"/>
          <w:vertAlign w:val="superscript"/>
        </w:rPr>
        <w:t>3</w:t>
      </w:r>
      <w:r>
        <w:rPr>
          <w:rFonts w:hint="eastAsia"/>
          <w:color w:val="auto"/>
          <w:sz w:val="24"/>
          <w:lang w:eastAsia="zh-CN"/>
        </w:rPr>
        <w:t>，可以</w:t>
      </w:r>
      <w:r>
        <w:rPr>
          <w:color w:val="auto"/>
          <w:sz w:val="24"/>
        </w:rPr>
        <w:t>满足消防事故状态下的废水容量，</w:t>
      </w:r>
      <w:r>
        <w:rPr>
          <w:rFonts w:hint="eastAsia"/>
          <w:color w:val="auto"/>
          <w:sz w:val="24"/>
          <w:lang w:eastAsia="zh-CN"/>
        </w:rPr>
        <w:t>同时要求项目单位</w:t>
      </w:r>
      <w:r>
        <w:rPr>
          <w:color w:val="auto"/>
          <w:sz w:val="24"/>
        </w:rPr>
        <w:t>应做好消防</w:t>
      </w:r>
      <w:r>
        <w:rPr>
          <w:rFonts w:hint="eastAsia"/>
          <w:color w:val="auto"/>
          <w:sz w:val="24"/>
          <w:lang w:eastAsia="zh-CN"/>
        </w:rPr>
        <w:t>事故水池</w:t>
      </w:r>
      <w:r>
        <w:rPr>
          <w:color w:val="auto"/>
          <w:sz w:val="24"/>
        </w:rPr>
        <w:t>防渗处理。因此，在废水处理场事故状态下，废水不会出现外排，不会对周围地表水及地下水产生不利影响。</w:t>
      </w:r>
    </w:p>
    <w:p>
      <w:pPr>
        <w:spacing w:line="500" w:lineRule="exact"/>
        <w:ind w:firstLine="480" w:firstLineChars="200"/>
        <w:rPr>
          <w:rFonts w:hint="eastAsia"/>
          <w:color w:val="auto"/>
          <w:sz w:val="24"/>
          <w:lang w:eastAsia="zh-CN"/>
        </w:rPr>
      </w:pPr>
      <w:r>
        <w:rPr>
          <w:rFonts w:hint="eastAsia"/>
          <w:color w:val="auto"/>
          <w:sz w:val="24"/>
          <w:lang w:eastAsia="zh-CN"/>
        </w:rPr>
        <w:t>本项目在雨水排放口设置相应的切断阀门，以用于下雨时切断雨水流至初期雨水的收集池，经絮凝沉淀后再经雨水管网排放。</w:t>
      </w:r>
    </w:p>
    <w:p>
      <w:pPr>
        <w:spacing w:line="500" w:lineRule="exact"/>
        <w:ind w:firstLine="480" w:firstLineChars="200"/>
        <w:rPr>
          <w:color w:val="auto"/>
          <w:sz w:val="24"/>
        </w:rPr>
      </w:pPr>
      <w:r>
        <w:rPr>
          <w:rFonts w:hint="eastAsia"/>
          <w:color w:val="auto"/>
          <w:sz w:val="24"/>
          <w:lang w:eastAsia="zh-CN"/>
        </w:rPr>
        <w:t>同时初期雨水池和消防事故水池二者不可混用。</w:t>
      </w:r>
    </w:p>
    <w:p>
      <w:pPr>
        <w:spacing w:line="500" w:lineRule="exact"/>
        <w:ind w:firstLine="480" w:firstLineChars="200"/>
        <w:rPr>
          <w:color w:val="auto"/>
          <w:sz w:val="24"/>
        </w:rPr>
      </w:pPr>
      <w:r>
        <w:rPr>
          <w:rFonts w:hint="eastAsia"/>
          <w:color w:val="auto"/>
          <w:sz w:val="24"/>
        </w:rPr>
        <w:t>若发生火灾时，大量消防水可能排出厂外，对外部水</w:t>
      </w:r>
      <w:r>
        <w:rPr>
          <w:color w:val="auto"/>
          <w:sz w:val="24"/>
        </w:rPr>
        <w:t>环境可能造成严重污染</w:t>
      </w:r>
      <w:r>
        <w:rPr>
          <w:rFonts w:hint="eastAsia"/>
          <w:color w:val="auto"/>
          <w:sz w:val="24"/>
        </w:rPr>
        <w:t>。针对拟建项目污染物来源及其特性，以实现达标排放和满足应急处置为原则，建立污染源头、处理过程和最终排放的“三级防控”机制。</w:t>
      </w:r>
    </w:p>
    <w:p>
      <w:pPr>
        <w:spacing w:line="500" w:lineRule="exact"/>
        <w:ind w:firstLine="480" w:firstLineChars="200"/>
        <w:rPr>
          <w:color w:val="auto"/>
          <w:sz w:val="24"/>
        </w:rPr>
      </w:pPr>
      <w:r>
        <w:rPr>
          <w:rFonts w:hint="eastAsia"/>
          <w:color w:val="auto"/>
          <w:sz w:val="24"/>
        </w:rPr>
        <w:t>一级预防控制措施：</w:t>
      </w:r>
      <w:r>
        <w:rPr>
          <w:rFonts w:hint="eastAsia"/>
          <w:color w:val="auto"/>
          <w:sz w:val="24"/>
          <w:lang w:eastAsia="zh-CN"/>
        </w:rPr>
        <w:t>生产车间</w:t>
      </w:r>
      <w:r>
        <w:rPr>
          <w:rFonts w:hint="eastAsia"/>
          <w:color w:val="auto"/>
          <w:sz w:val="24"/>
        </w:rPr>
        <w:t>四周设置环形沟，环形沟与事故池连通，将含污染物的事故废水切换至事故应急池；</w:t>
      </w:r>
    </w:p>
    <w:p>
      <w:pPr>
        <w:spacing w:line="500" w:lineRule="exact"/>
        <w:ind w:firstLine="480" w:firstLineChars="200"/>
        <w:rPr>
          <w:color w:val="auto"/>
          <w:sz w:val="24"/>
        </w:rPr>
      </w:pPr>
      <w:r>
        <w:rPr>
          <w:rFonts w:hint="eastAsia"/>
          <w:color w:val="auto"/>
          <w:sz w:val="24"/>
        </w:rPr>
        <w:t>二级预防控制措施：</w:t>
      </w:r>
      <w:r>
        <w:rPr>
          <w:rFonts w:hint="eastAsia"/>
          <w:color w:val="auto"/>
          <w:sz w:val="24"/>
          <w:lang w:eastAsia="zh-CN"/>
        </w:rPr>
        <w:t>新建</w:t>
      </w:r>
      <w:r>
        <w:rPr>
          <w:rFonts w:hint="eastAsia"/>
          <w:color w:val="auto"/>
          <w:sz w:val="24"/>
          <w:lang w:val="en-US" w:eastAsia="zh-CN"/>
        </w:rPr>
        <w:t>1个70m</w:t>
      </w:r>
      <w:r>
        <w:rPr>
          <w:rFonts w:hint="eastAsia"/>
          <w:color w:val="auto"/>
          <w:sz w:val="24"/>
          <w:vertAlign w:val="superscript"/>
          <w:lang w:val="en-US" w:eastAsia="zh-CN"/>
        </w:rPr>
        <w:t>3</w:t>
      </w:r>
      <w:r>
        <w:rPr>
          <w:rFonts w:hint="eastAsia"/>
          <w:color w:val="auto"/>
          <w:sz w:val="24"/>
          <w:lang w:val="en-US" w:eastAsia="zh-CN"/>
        </w:rPr>
        <w:t>的事故水池</w:t>
      </w:r>
      <w:r>
        <w:rPr>
          <w:rFonts w:hint="eastAsia"/>
          <w:color w:val="auto"/>
          <w:sz w:val="24"/>
        </w:rPr>
        <w:t>，当事故发生后，事故废水利用地势差自流至厂区事故应急池暂存；</w:t>
      </w:r>
    </w:p>
    <w:p>
      <w:pPr>
        <w:spacing w:line="500" w:lineRule="exact"/>
        <w:ind w:firstLine="480" w:firstLineChars="200"/>
        <w:rPr>
          <w:color w:val="auto"/>
          <w:sz w:val="24"/>
        </w:rPr>
      </w:pPr>
      <w:r>
        <w:rPr>
          <w:rFonts w:hint="eastAsia"/>
          <w:color w:val="auto"/>
          <w:sz w:val="24"/>
        </w:rPr>
        <w:t>三级预防控制措施：当厂区事故池无法满足事故状态下事故废水处理时，事故废水进入园区污水</w:t>
      </w:r>
      <w:r>
        <w:rPr>
          <w:rFonts w:hint="eastAsia"/>
          <w:color w:val="auto"/>
          <w:sz w:val="24"/>
          <w:lang w:eastAsia="zh-CN"/>
        </w:rPr>
        <w:t>管网</w:t>
      </w:r>
      <w:r>
        <w:rPr>
          <w:rFonts w:hint="eastAsia"/>
          <w:color w:val="auto"/>
          <w:sz w:val="24"/>
        </w:rPr>
        <w:t>，园区作为事故状态下的储存与调控手段，将污染物控制在区内，防止重大事故污染消防水造成的环境污染。</w:t>
      </w:r>
    </w:p>
    <w:p>
      <w:pPr>
        <w:spacing w:line="500" w:lineRule="exact"/>
        <w:ind w:firstLine="480" w:firstLineChars="200"/>
        <w:rPr>
          <w:rFonts w:hint="eastAsia"/>
          <w:color w:val="auto"/>
          <w:sz w:val="24"/>
        </w:rPr>
      </w:pPr>
      <w:r>
        <w:rPr>
          <w:rFonts w:hint="eastAsia"/>
          <w:color w:val="auto"/>
          <w:sz w:val="24"/>
        </w:rPr>
        <w:t>本项目在采取上述措施后，可确保项目的事故废水不会污染厂址附近地表水体和地下水体。事故状况下厂区雨污管线图及排水与外部水体切断措施如下图所示：</w:t>
      </w:r>
    </w:p>
    <w:p>
      <w:pPr>
        <w:pStyle w:val="2"/>
        <w:rPr>
          <w:rFonts w:hint="eastAsia"/>
          <w:color w:val="auto"/>
          <w:sz w:val="24"/>
        </w:rPr>
      </w:pPr>
    </w:p>
    <w:p>
      <w:pPr>
        <w:rPr>
          <w:rFonts w:hint="eastAsia"/>
          <w:color w:val="auto"/>
          <w:sz w:val="24"/>
        </w:rPr>
      </w:pPr>
    </w:p>
    <w:p>
      <w:pPr>
        <w:pStyle w:val="2"/>
        <w:rPr>
          <w:rFonts w:hint="eastAsia"/>
          <w:color w:val="auto"/>
          <w:sz w:val="24"/>
        </w:rPr>
      </w:pPr>
    </w:p>
    <w:p>
      <w:pPr>
        <w:rPr>
          <w:rFonts w:hint="eastAsia"/>
          <w:color w:val="auto"/>
          <w:sz w:val="24"/>
        </w:rPr>
      </w:pPr>
    </w:p>
    <w:p>
      <w:pPr>
        <w:pStyle w:val="2"/>
        <w:rPr>
          <w:rFonts w:hint="eastAsia"/>
          <w:color w:val="auto"/>
          <w:sz w:val="24"/>
        </w:rPr>
      </w:pPr>
    </w:p>
    <w:p>
      <w:pPr>
        <w:rPr>
          <w:rFonts w:hint="eastAsia"/>
          <w:color w:val="auto"/>
          <w:sz w:val="24"/>
        </w:rPr>
      </w:pPr>
    </w:p>
    <w:p>
      <w:pPr>
        <w:pStyle w:val="2"/>
        <w:rPr>
          <w:rFonts w:hint="eastAsia"/>
          <w:color w:val="auto"/>
          <w:sz w:val="24"/>
        </w:rPr>
      </w:pPr>
    </w:p>
    <w:p>
      <w:pPr>
        <w:rPr>
          <w:rFonts w:hint="eastAsia"/>
          <w:color w:val="auto"/>
          <w:sz w:val="24"/>
        </w:rPr>
      </w:pPr>
    </w:p>
    <w:p>
      <w:pPr>
        <w:pStyle w:val="2"/>
        <w:rPr>
          <w:rFonts w:hint="eastAsia"/>
          <w:color w:val="auto"/>
          <w:sz w:val="24"/>
        </w:rPr>
      </w:pPr>
    </w:p>
    <w:p>
      <w:pPr>
        <w:rPr>
          <w:rFonts w:hint="eastAsia"/>
          <w:color w:val="auto"/>
          <w:sz w:val="24"/>
        </w:rPr>
      </w:pPr>
    </w:p>
    <w:p>
      <w:pPr>
        <w:pStyle w:val="2"/>
        <w:rPr>
          <w:rFonts w:hint="eastAsia"/>
          <w:color w:val="auto"/>
          <w:sz w:val="24"/>
        </w:rPr>
      </w:pPr>
    </w:p>
    <w:p>
      <w:pPr>
        <w:rPr>
          <w:rFonts w:hint="eastAsia"/>
          <w:color w:val="auto"/>
          <w:sz w:val="24"/>
        </w:rPr>
      </w:pPr>
    </w:p>
    <w:p>
      <w:pPr>
        <w:rPr>
          <w:rFonts w:hint="eastAsia"/>
        </w:rPr>
      </w:pPr>
    </w:p>
    <w:p>
      <w:pPr>
        <w:rPr>
          <w:rFonts w:hint="eastAsia"/>
          <w:color w:val="auto"/>
          <w:sz w:val="24"/>
        </w:rPr>
      </w:pPr>
      <w:r>
        <w:rPr>
          <w:color w:val="auto"/>
          <w:sz w:val="24"/>
        </w:rPr>
        <w:pict>
          <v:shape id="_x0000_s1036" o:spid="_x0000_s1036" o:spt="75" type="#_x0000_t75" style="position:absolute;left:0pt;margin-left:43.3pt;margin-top:1.2pt;height:261.05pt;width:354.75pt;z-index:-251518976;mso-width-relative:page;mso-height-relative:page;" o:ole="t" filled="f" o:preferrelative="t" stroked="f" coordsize="21600,21600">
            <v:path/>
            <v:fill on="f" focussize="0,0"/>
            <v:stroke on="f"/>
            <v:imagedata r:id="rId55" o:title=""/>
            <o:lock v:ext="edit" aspectratio="f"/>
          </v:shape>
          <o:OLEObject Type="Embed" ProgID="Visio.Drawing.11" ShapeID="_x0000_s1036" DrawAspect="Content" ObjectID="_1468075743" r:id="rId54">
            <o:LockedField>false</o:LockedField>
          </o:OLEObject>
        </w:pict>
      </w:r>
    </w:p>
    <w:p>
      <w:pPr>
        <w:spacing w:line="500" w:lineRule="exact"/>
        <w:rPr>
          <w:color w:val="auto"/>
          <w:sz w:val="24"/>
        </w:rPr>
      </w:pPr>
    </w:p>
    <w:p>
      <w:pPr>
        <w:pStyle w:val="2"/>
        <w:rPr>
          <w:color w:val="auto"/>
          <w:sz w:val="24"/>
        </w:rPr>
      </w:pPr>
    </w:p>
    <w:p>
      <w:pPr>
        <w:pStyle w:val="2"/>
        <w:rPr>
          <w:color w:val="auto"/>
          <w:sz w:val="24"/>
        </w:rPr>
      </w:pPr>
    </w:p>
    <w:p>
      <w:pPr>
        <w:rPr>
          <w:color w:val="auto"/>
        </w:rPr>
      </w:pPr>
    </w:p>
    <w:p>
      <w:pPr>
        <w:rPr>
          <w:color w:val="auto"/>
        </w:rPr>
      </w:pPr>
    </w:p>
    <w:p>
      <w:pPr>
        <w:spacing w:line="500" w:lineRule="exact"/>
        <w:rPr>
          <w:color w:val="auto"/>
          <w:sz w:val="24"/>
        </w:rPr>
      </w:pPr>
    </w:p>
    <w:p>
      <w:pPr>
        <w:pStyle w:val="2"/>
        <w:rPr>
          <w:color w:val="auto"/>
          <w:sz w:val="24"/>
        </w:rPr>
      </w:pPr>
    </w:p>
    <w:p>
      <w:pPr>
        <w:rPr>
          <w:color w:val="auto"/>
          <w:sz w:val="24"/>
        </w:rPr>
      </w:pPr>
    </w:p>
    <w:p>
      <w:pPr>
        <w:pStyle w:val="2"/>
        <w:rPr>
          <w:color w:val="auto"/>
        </w:rPr>
      </w:pPr>
    </w:p>
    <w:p>
      <w:pPr>
        <w:rPr>
          <w:color w:val="auto"/>
          <w:sz w:val="24"/>
        </w:rPr>
      </w:pPr>
    </w:p>
    <w:p>
      <w:pPr>
        <w:pStyle w:val="2"/>
        <w:rPr>
          <w:color w:val="auto"/>
        </w:rPr>
      </w:pPr>
    </w:p>
    <w:p>
      <w:pPr>
        <w:rPr>
          <w:color w:val="auto"/>
        </w:rPr>
      </w:pPr>
    </w:p>
    <w:p>
      <w:pPr>
        <w:pStyle w:val="2"/>
        <w:rPr>
          <w:color w:val="auto"/>
        </w:rPr>
      </w:pPr>
    </w:p>
    <w:p>
      <w:pPr>
        <w:rPr>
          <w:color w:val="auto"/>
        </w:rPr>
      </w:pPr>
    </w:p>
    <w:p>
      <w:pPr>
        <w:spacing w:line="360" w:lineRule="auto"/>
        <w:ind w:firstLine="482" w:firstLineChars="200"/>
        <w:jc w:val="center"/>
        <w:rPr>
          <w:rFonts w:hint="default"/>
          <w:color w:val="auto"/>
        </w:rPr>
      </w:pPr>
      <w:r>
        <w:rPr>
          <w:rFonts w:hint="eastAsia"/>
          <w:b/>
          <w:color w:val="auto"/>
          <w:sz w:val="24"/>
        </w:rPr>
        <w:t>图</w:t>
      </w:r>
      <w:r>
        <w:rPr>
          <w:rFonts w:hint="eastAsia"/>
          <w:b/>
          <w:color w:val="auto"/>
          <w:sz w:val="24"/>
          <w:lang w:val="en-US" w:eastAsia="zh-CN"/>
        </w:rPr>
        <w:t>6-1</w:t>
      </w:r>
      <w:r>
        <w:rPr>
          <w:rFonts w:hint="eastAsia"/>
          <w:b/>
          <w:color w:val="auto"/>
          <w:sz w:val="24"/>
        </w:rPr>
        <w:t xml:space="preserve"> 事故废水切断措施示意图</w:t>
      </w:r>
    </w:p>
    <w:p>
      <w:pPr>
        <w:pStyle w:val="5"/>
        <w:spacing w:before="0" w:after="0" w:line="520" w:lineRule="exact"/>
        <w:rPr>
          <w:rFonts w:hint="default" w:ascii="Times New Roman" w:hAnsi="Times New Roman" w:cs="Times New Roman"/>
          <w:b/>
          <w:bCs/>
          <w:color w:val="auto"/>
          <w:sz w:val="24"/>
          <w:szCs w:val="24"/>
          <w:lang w:val="en-US" w:eastAsia="zh-CN"/>
        </w:rPr>
      </w:pPr>
      <w:r>
        <w:rPr>
          <w:rFonts w:hint="eastAsia" w:ascii="Times New Roman" w:hAnsi="Times New Roman" w:cs="Times New Roman"/>
          <w:b/>
          <w:bCs/>
          <w:color w:val="auto"/>
          <w:sz w:val="24"/>
          <w:szCs w:val="24"/>
          <w:lang w:val="en-US" w:eastAsia="zh-CN"/>
        </w:rPr>
        <w:t>6</w:t>
      </w:r>
      <w:r>
        <w:rPr>
          <w:rFonts w:hint="default" w:ascii="Times New Roman" w:hAnsi="Times New Roman" w:cs="Times New Roman"/>
          <w:b/>
          <w:bCs/>
          <w:color w:val="auto"/>
          <w:sz w:val="24"/>
          <w:szCs w:val="24"/>
          <w:lang w:val="en-US" w:eastAsia="zh-CN"/>
        </w:rPr>
        <w:t>.3.7 事故应急预案</w:t>
      </w:r>
    </w:p>
    <w:p>
      <w:pPr>
        <w:spacing w:line="460" w:lineRule="exact"/>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lang w:eastAsia="zh-CN"/>
        </w:rPr>
        <w:t>（</w:t>
      </w:r>
      <w:r>
        <w:rPr>
          <w:rFonts w:hint="default" w:ascii="Times New Roman" w:hAnsi="Times New Roman" w:cs="Times New Roman"/>
          <w:color w:val="auto"/>
          <w:sz w:val="24"/>
          <w:lang w:val="en-US" w:eastAsia="zh-CN"/>
        </w:rPr>
        <w:t>1</w:t>
      </w:r>
      <w:r>
        <w:rPr>
          <w:rFonts w:hint="default" w:ascii="Times New Roman" w:hAnsi="Times New Roman" w:cs="Times New Roman"/>
          <w:color w:val="auto"/>
          <w:sz w:val="24"/>
          <w:lang w:eastAsia="zh-CN"/>
        </w:rPr>
        <w:t>）</w:t>
      </w:r>
      <w:r>
        <w:rPr>
          <w:rFonts w:hint="default" w:ascii="Times New Roman" w:hAnsi="Times New Roman" w:cs="Times New Roman"/>
          <w:color w:val="auto"/>
          <w:sz w:val="24"/>
        </w:rPr>
        <w:t>应急准备</w:t>
      </w:r>
    </w:p>
    <w:p>
      <w:pPr>
        <w:spacing w:line="460" w:lineRule="exact"/>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厂区内设完善的安全报警通讯系统，并配备防毒面具、灭火器等必要的消防应急设施，一旦发生事故能自行抢救或控制、减缓事故的扩大。</w:t>
      </w:r>
    </w:p>
    <w:p>
      <w:pPr>
        <w:spacing w:line="460" w:lineRule="exact"/>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企业设有专门的应急指挥机构，能对一般性事故第一时间做出正确的决策指挥，并组织公司自身救助力量及在当地社会救援力量的帮助下控制事故影响范围和破坏程度。</w:t>
      </w:r>
    </w:p>
    <w:p>
      <w:pPr>
        <w:spacing w:line="460" w:lineRule="exact"/>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当地消防及社会救援机构取得正常的通讯联系，并委托消防部门对厂区内潜在安全因素进行定期检查，更换消防器材。</w:t>
      </w:r>
    </w:p>
    <w:p>
      <w:pPr>
        <w:spacing w:line="460" w:lineRule="exact"/>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组织人员培训，一般性工作人员要求能熟练掌握正确的设备操作程序，应急指挥机构人员则应进行事故判别、决策指挥等方面的专业培训。</w:t>
      </w:r>
    </w:p>
    <w:p>
      <w:pPr>
        <w:spacing w:line="460" w:lineRule="exact"/>
        <w:ind w:firstLine="480" w:firstLineChars="200"/>
        <w:rPr>
          <w:rFonts w:hint="default" w:ascii="Times New Roman" w:hAnsi="Times New Roman" w:eastAsia="宋体" w:cs="Times New Roman"/>
          <w:b/>
          <w:bCs/>
          <w:color w:val="auto"/>
          <w:spacing w:val="-3"/>
          <w:sz w:val="24"/>
        </w:rPr>
      </w:pPr>
      <w:r>
        <w:rPr>
          <w:rFonts w:hint="default" w:ascii="Times New Roman" w:hAnsi="Times New Roman" w:cs="Times New Roman"/>
          <w:color w:val="auto"/>
          <w:sz w:val="24"/>
        </w:rPr>
        <w:t>根据项目的性质，本次评价提出应急预案，供建设单位参考。</w:t>
      </w:r>
    </w:p>
    <w:p>
      <w:pPr>
        <w:pStyle w:val="155"/>
        <w:spacing w:before="0" w:after="0"/>
        <w:jc w:val="center"/>
        <w:rPr>
          <w:rFonts w:hint="default" w:ascii="Times New Roman" w:hAnsi="Times New Roman" w:eastAsia="宋体" w:cs="Times New Roman"/>
          <w:b/>
          <w:bCs/>
          <w:color w:val="auto"/>
          <w:spacing w:val="-3"/>
          <w:sz w:val="24"/>
        </w:rPr>
      </w:pPr>
    </w:p>
    <w:p>
      <w:pPr>
        <w:pStyle w:val="155"/>
        <w:spacing w:before="0" w:after="0"/>
        <w:jc w:val="center"/>
        <w:rPr>
          <w:rFonts w:hint="default" w:ascii="Times New Roman" w:hAnsi="Times New Roman" w:eastAsia="宋体" w:cs="Times New Roman"/>
          <w:b/>
          <w:bCs/>
          <w:color w:val="auto"/>
          <w:spacing w:val="-3"/>
          <w:sz w:val="24"/>
        </w:rPr>
      </w:pPr>
      <w:r>
        <w:rPr>
          <w:rFonts w:hint="default" w:ascii="Times New Roman" w:hAnsi="Times New Roman" w:eastAsia="宋体" w:cs="Times New Roman"/>
          <w:b/>
          <w:bCs/>
          <w:color w:val="auto"/>
          <w:spacing w:val="-3"/>
          <w:sz w:val="24"/>
        </w:rPr>
        <w:t>表</w:t>
      </w:r>
      <w:r>
        <w:rPr>
          <w:rFonts w:hint="eastAsia" w:ascii="Times New Roman" w:hAnsi="Times New Roman" w:eastAsia="宋体" w:cs="Times New Roman"/>
          <w:b/>
          <w:bCs/>
          <w:color w:val="auto"/>
          <w:spacing w:val="-3"/>
          <w:sz w:val="24"/>
          <w:lang w:val="en-US" w:eastAsia="zh-CN"/>
        </w:rPr>
        <w:t>6-23</w:t>
      </w:r>
      <w:r>
        <w:rPr>
          <w:rFonts w:hint="default" w:ascii="Times New Roman" w:hAnsi="Times New Roman" w:eastAsia="宋体" w:cs="Times New Roman"/>
          <w:b/>
          <w:bCs/>
          <w:color w:val="auto"/>
          <w:spacing w:val="-3"/>
          <w:sz w:val="24"/>
          <w:lang w:eastAsia="zh-CN"/>
        </w:rPr>
        <w:t xml:space="preserve">   </w:t>
      </w:r>
      <w:r>
        <w:rPr>
          <w:rFonts w:hint="default" w:ascii="Times New Roman" w:hAnsi="Times New Roman" w:eastAsia="宋体" w:cs="Times New Roman"/>
          <w:b/>
          <w:bCs/>
          <w:color w:val="auto"/>
          <w:spacing w:val="-3"/>
          <w:sz w:val="24"/>
        </w:rPr>
        <w:t>突发事故应急预案</w:t>
      </w:r>
    </w:p>
    <w:tbl>
      <w:tblPr>
        <w:tblStyle w:val="5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0"/>
        <w:gridCol w:w="1755"/>
        <w:gridCol w:w="654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3" w:hRule="atLeast"/>
        </w:trPr>
        <w:tc>
          <w:tcPr>
            <w:tcW w:w="36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序号</w:t>
            </w:r>
          </w:p>
        </w:tc>
        <w:tc>
          <w:tcPr>
            <w:tcW w:w="98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项目</w:t>
            </w:r>
          </w:p>
        </w:tc>
        <w:tc>
          <w:tcPr>
            <w:tcW w:w="365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内容要求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3" w:hRule="atLeast"/>
        </w:trPr>
        <w:tc>
          <w:tcPr>
            <w:tcW w:w="36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w:t>
            </w:r>
          </w:p>
        </w:tc>
        <w:tc>
          <w:tcPr>
            <w:tcW w:w="98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危险源概况</w:t>
            </w:r>
          </w:p>
        </w:tc>
        <w:tc>
          <w:tcPr>
            <w:tcW w:w="365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生产装置区和存在着火灾、爆炸、泄漏等风险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3" w:hRule="atLeast"/>
        </w:trPr>
        <w:tc>
          <w:tcPr>
            <w:tcW w:w="36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w:t>
            </w:r>
          </w:p>
        </w:tc>
        <w:tc>
          <w:tcPr>
            <w:tcW w:w="98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应急计划区</w:t>
            </w:r>
          </w:p>
        </w:tc>
        <w:tc>
          <w:tcPr>
            <w:tcW w:w="365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生产装置区、原料库、邻近区域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3" w:hRule="atLeast"/>
        </w:trPr>
        <w:tc>
          <w:tcPr>
            <w:tcW w:w="36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w:t>
            </w:r>
          </w:p>
        </w:tc>
        <w:tc>
          <w:tcPr>
            <w:tcW w:w="98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应急组织</w:t>
            </w:r>
          </w:p>
        </w:tc>
        <w:tc>
          <w:tcPr>
            <w:tcW w:w="365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工厂：工厂成立事故应急救援指挥领导小组，下设应急救援办公室。</w:t>
            </w:r>
            <w:r>
              <w:rPr>
                <w:rFonts w:hint="default" w:ascii="Times New Roman" w:hAnsi="Times New Roman" w:cs="Times New Roman"/>
                <w:color w:val="auto"/>
                <w:sz w:val="21"/>
                <w:szCs w:val="21"/>
              </w:rPr>
              <w:cr/>
            </w:r>
            <w:r>
              <w:rPr>
                <w:rFonts w:hint="default" w:ascii="Times New Roman" w:hAnsi="Times New Roman" w:cs="Times New Roman"/>
                <w:color w:val="auto"/>
                <w:sz w:val="21"/>
                <w:szCs w:val="21"/>
              </w:rPr>
              <w:t>地区应急组织机构：成立事故应急救援指挥部，负责工厂附近地区</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全面指挥、救援、管制、疏散。</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专业救援人员：成立专业救援队伍，负责事故控制、救援、善后处理。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3" w:hRule="atLeast"/>
        </w:trPr>
        <w:tc>
          <w:tcPr>
            <w:tcW w:w="36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w:t>
            </w:r>
          </w:p>
        </w:tc>
        <w:tc>
          <w:tcPr>
            <w:tcW w:w="98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应急状态分类及应急响应程</w:t>
            </w:r>
          </w:p>
        </w:tc>
        <w:tc>
          <w:tcPr>
            <w:tcW w:w="365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按照事故发生的严重程度，规定事故的级别及相应的应急分类响应程序。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3" w:hRule="atLeast"/>
        </w:trPr>
        <w:tc>
          <w:tcPr>
            <w:tcW w:w="36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w:t>
            </w:r>
          </w:p>
        </w:tc>
        <w:tc>
          <w:tcPr>
            <w:tcW w:w="98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lang w:eastAsia="zh-CN"/>
              </w:rPr>
            </w:pPr>
            <w:r>
              <w:rPr>
                <w:rFonts w:hint="default" w:ascii="Times New Roman" w:hAnsi="Times New Roman" w:cs="Times New Roman"/>
                <w:color w:val="auto"/>
                <w:sz w:val="21"/>
                <w:szCs w:val="21"/>
                <w:lang w:eastAsia="zh-CN"/>
              </w:rPr>
              <w:t>应急设施、设备与材料</w:t>
            </w:r>
          </w:p>
        </w:tc>
        <w:tc>
          <w:tcPr>
            <w:tcW w:w="365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lang w:eastAsia="zh-CN"/>
              </w:rPr>
            </w:pPr>
            <w:r>
              <w:rPr>
                <w:rFonts w:hint="default" w:ascii="Times New Roman" w:hAnsi="Times New Roman" w:cs="Times New Roman"/>
                <w:color w:val="auto"/>
                <w:sz w:val="21"/>
                <w:szCs w:val="21"/>
                <w:lang w:eastAsia="zh-CN"/>
              </w:rPr>
              <w:t>生产装置：①火灾事故应急设施、设备与材料，主要为消防器材。②防物质外溢、扩散设备等。</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lang w:eastAsia="zh-CN"/>
              </w:rPr>
            </w:pPr>
            <w:r>
              <w:rPr>
                <w:rFonts w:hint="default" w:ascii="Times New Roman" w:hAnsi="Times New Roman" w:cs="Times New Roman"/>
                <w:color w:val="auto"/>
                <w:sz w:val="21"/>
                <w:szCs w:val="21"/>
                <w:lang w:eastAsia="zh-CN"/>
              </w:rPr>
              <w:t>原料库：①防火灾事故应急设施、设备与材料，主要为消防器材。②防物质外溢、扩散，主要是围堰、备用储罐等。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3" w:hRule="atLeast"/>
        </w:trPr>
        <w:tc>
          <w:tcPr>
            <w:tcW w:w="36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6</w:t>
            </w:r>
          </w:p>
        </w:tc>
        <w:tc>
          <w:tcPr>
            <w:tcW w:w="98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lang w:eastAsia="zh-CN"/>
              </w:rPr>
            </w:pPr>
            <w:r>
              <w:rPr>
                <w:rFonts w:hint="default" w:ascii="Times New Roman" w:hAnsi="Times New Roman" w:cs="Times New Roman"/>
                <w:color w:val="auto"/>
                <w:sz w:val="21"/>
                <w:szCs w:val="21"/>
                <w:lang w:eastAsia="zh-CN"/>
              </w:rPr>
              <w:t>应急通讯、通</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信和交通</w:t>
            </w:r>
          </w:p>
        </w:tc>
        <w:tc>
          <w:tcPr>
            <w:tcW w:w="365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lang w:eastAsia="zh-CN"/>
              </w:rPr>
            </w:pPr>
            <w:r>
              <w:rPr>
                <w:rFonts w:hint="default" w:ascii="Times New Roman" w:hAnsi="Times New Roman" w:cs="Times New Roman"/>
                <w:color w:val="auto"/>
                <w:sz w:val="21"/>
                <w:szCs w:val="21"/>
                <w:lang w:eastAsia="zh-CN"/>
              </w:rPr>
              <w:t>厂区组成通信联络队，并规定应急状态下的通讯方式、通知方式和交通保障、管制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3" w:hRule="atLeast"/>
        </w:trPr>
        <w:tc>
          <w:tcPr>
            <w:tcW w:w="36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7</w:t>
            </w:r>
          </w:p>
        </w:tc>
        <w:tc>
          <w:tcPr>
            <w:tcW w:w="98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lang w:eastAsia="zh-CN"/>
              </w:rPr>
            </w:pPr>
            <w:r>
              <w:rPr>
                <w:rFonts w:hint="default" w:ascii="Times New Roman" w:hAnsi="Times New Roman" w:cs="Times New Roman"/>
                <w:color w:val="auto"/>
                <w:sz w:val="21"/>
                <w:szCs w:val="21"/>
                <w:lang w:eastAsia="zh-CN"/>
              </w:rPr>
              <w:t>应急防护措施、清除泄漏</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措施方法和器材</w:t>
            </w:r>
          </w:p>
        </w:tc>
        <w:tc>
          <w:tcPr>
            <w:tcW w:w="365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lang w:eastAsia="zh-CN"/>
              </w:rPr>
            </w:pPr>
            <w:r>
              <w:rPr>
                <w:rFonts w:hint="default" w:ascii="Times New Roman" w:hAnsi="Times New Roman" w:cs="Times New Roman"/>
                <w:color w:val="auto"/>
                <w:sz w:val="21"/>
                <w:szCs w:val="21"/>
                <w:lang w:eastAsia="zh-CN"/>
              </w:rPr>
              <w:t>降低危害，相应的设施器材配备，生产区事故泄漏物和消防废水及时收集到事故池内，邻近区域：控制防火区域，控制和清除污染措施及相应设备配备。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3" w:hRule="atLeast"/>
        </w:trPr>
        <w:tc>
          <w:tcPr>
            <w:tcW w:w="36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8</w:t>
            </w:r>
          </w:p>
        </w:tc>
        <w:tc>
          <w:tcPr>
            <w:tcW w:w="98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lang w:eastAsia="zh-CN"/>
              </w:rPr>
            </w:pPr>
            <w:r>
              <w:rPr>
                <w:rFonts w:hint="default" w:ascii="Times New Roman" w:hAnsi="Times New Roman" w:cs="Times New Roman"/>
                <w:color w:val="auto"/>
                <w:sz w:val="21"/>
                <w:szCs w:val="21"/>
                <w:lang w:eastAsia="zh-CN"/>
              </w:rPr>
              <w:t>应急剂量控</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lang w:eastAsia="zh-CN"/>
              </w:rPr>
            </w:pPr>
            <w:r>
              <w:rPr>
                <w:rFonts w:hint="default" w:ascii="Times New Roman" w:hAnsi="Times New Roman" w:cs="Times New Roman"/>
                <w:color w:val="auto"/>
                <w:sz w:val="21"/>
                <w:szCs w:val="21"/>
                <w:lang w:eastAsia="zh-CN"/>
              </w:rPr>
              <w:t>制、撤离组织</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lang w:eastAsia="zh-CN"/>
              </w:rPr>
            </w:pPr>
            <w:r>
              <w:rPr>
                <w:rFonts w:hint="default" w:ascii="Times New Roman" w:hAnsi="Times New Roman" w:cs="Times New Roman"/>
                <w:color w:val="auto"/>
                <w:sz w:val="21"/>
                <w:szCs w:val="21"/>
                <w:lang w:eastAsia="zh-CN"/>
              </w:rPr>
              <w:t>计划、医疗救</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护与公众健康</w:t>
            </w:r>
          </w:p>
        </w:tc>
        <w:tc>
          <w:tcPr>
            <w:tcW w:w="365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lang w:eastAsia="zh-CN"/>
              </w:rPr>
            </w:pPr>
            <w:r>
              <w:rPr>
                <w:rFonts w:hint="default" w:ascii="Times New Roman" w:hAnsi="Times New Roman" w:cs="Times New Roman"/>
                <w:color w:val="auto"/>
                <w:sz w:val="21"/>
                <w:szCs w:val="21"/>
                <w:lang w:eastAsia="zh-CN"/>
              </w:rPr>
              <w:t>事故现场：事故处理人员对毒物的应急剂量控制制定，现场及邻近装置人员撤离组织计划及救护工厂邻近区：受事故影响的邻近区域人员及公众对毒物应急剂量控制规定，撤离组织计划及救护。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3" w:hRule="atLeast"/>
        </w:trPr>
        <w:tc>
          <w:tcPr>
            <w:tcW w:w="36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9</w:t>
            </w:r>
          </w:p>
        </w:tc>
        <w:tc>
          <w:tcPr>
            <w:tcW w:w="98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lang w:eastAsia="zh-CN"/>
              </w:rPr>
            </w:pPr>
            <w:r>
              <w:rPr>
                <w:rFonts w:hint="default" w:ascii="Times New Roman" w:hAnsi="Times New Roman" w:cs="Times New Roman"/>
                <w:color w:val="auto"/>
                <w:sz w:val="21"/>
                <w:szCs w:val="21"/>
                <w:lang w:eastAsia="zh-CN"/>
              </w:rPr>
              <w:t>应急状态终止</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与恢复措施</w:t>
            </w:r>
          </w:p>
        </w:tc>
        <w:tc>
          <w:tcPr>
            <w:tcW w:w="365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lang w:eastAsia="zh-CN"/>
              </w:rPr>
            </w:pPr>
            <w:r>
              <w:rPr>
                <w:rFonts w:hint="default" w:ascii="Times New Roman" w:hAnsi="Times New Roman" w:cs="Times New Roman"/>
                <w:color w:val="auto"/>
                <w:sz w:val="21"/>
                <w:szCs w:val="21"/>
                <w:lang w:eastAsia="zh-CN"/>
              </w:rPr>
              <w:t>规定应急状态终止程序；事故现场善后处理，恢复措施；邻近区域解除事故警戒及善后恢复措施。</w:t>
            </w:r>
          </w:p>
        </w:tc>
      </w:tr>
    </w:tbl>
    <w:p>
      <w:pPr>
        <w:spacing w:line="500" w:lineRule="exact"/>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lang w:eastAsia="zh-CN"/>
        </w:rPr>
        <w:t>（</w:t>
      </w:r>
      <w:r>
        <w:rPr>
          <w:rFonts w:hint="default" w:ascii="Times New Roman" w:hAnsi="Times New Roman" w:cs="Times New Roman"/>
          <w:color w:val="auto"/>
          <w:sz w:val="24"/>
          <w:lang w:val="en-US" w:eastAsia="zh-CN"/>
        </w:rPr>
        <w:t>2</w:t>
      </w:r>
      <w:r>
        <w:rPr>
          <w:rFonts w:hint="default" w:ascii="Times New Roman" w:hAnsi="Times New Roman" w:cs="Times New Roman"/>
          <w:color w:val="auto"/>
          <w:sz w:val="24"/>
          <w:lang w:eastAsia="zh-CN"/>
        </w:rPr>
        <w:t>）</w:t>
      </w:r>
      <w:r>
        <w:rPr>
          <w:rFonts w:hint="default" w:ascii="Times New Roman" w:hAnsi="Times New Roman" w:cs="Times New Roman"/>
          <w:color w:val="auto"/>
          <w:sz w:val="24"/>
        </w:rPr>
        <w:t>应急联动机制</w:t>
      </w:r>
    </w:p>
    <w:p>
      <w:pPr>
        <w:pStyle w:val="155"/>
        <w:spacing w:before="0" w:after="0" w:line="500" w:lineRule="exact"/>
        <w:ind w:firstLine="480" w:firstLineChars="200"/>
        <w:jc w:val="left"/>
        <w:rPr>
          <w:rFonts w:ascii="Times New Roman" w:hAnsi="Times New Roman" w:eastAsia="宋体"/>
          <w:b/>
          <w:bCs/>
          <w:color w:val="auto"/>
          <w:spacing w:val="-3"/>
          <w:sz w:val="24"/>
        </w:rPr>
      </w:pPr>
      <w:r>
        <w:rPr>
          <w:rFonts w:hint="default" w:ascii="Times New Roman" w:hAnsi="Times New Roman" w:eastAsia="宋体" w:cs="Times New Roman"/>
          <w:color w:val="auto"/>
          <w:sz w:val="24"/>
          <w:lang w:eastAsia="zh-CN"/>
        </w:rPr>
        <w:t>按照</w:t>
      </w:r>
      <w:r>
        <w:rPr>
          <w:rFonts w:hint="default" w:ascii="Times New Roman" w:hAnsi="Times New Roman" w:eastAsia="宋体" w:cs="Times New Roman"/>
          <w:color w:val="auto"/>
          <w:spacing w:val="-1"/>
          <w:sz w:val="24"/>
          <w:lang w:eastAsia="zh-CN"/>
        </w:rPr>
        <w:t>“</w:t>
      </w:r>
      <w:r>
        <w:rPr>
          <w:rFonts w:hint="default" w:ascii="Times New Roman" w:hAnsi="Times New Roman" w:eastAsia="宋体" w:cs="Times New Roman"/>
          <w:color w:val="auto"/>
          <w:spacing w:val="-2"/>
          <w:sz w:val="24"/>
          <w:lang w:eastAsia="zh-CN"/>
        </w:rPr>
        <w:t>企业自救、属地为主、分级响应、区域联动</w:t>
      </w:r>
      <w:r>
        <w:rPr>
          <w:rFonts w:hint="default" w:ascii="Times New Roman" w:hAnsi="Times New Roman" w:eastAsia="宋体" w:cs="Times New Roman"/>
          <w:color w:val="auto"/>
          <w:spacing w:val="1"/>
          <w:sz w:val="24"/>
          <w:lang w:eastAsia="zh-CN"/>
        </w:rPr>
        <w:t>”</w:t>
      </w:r>
      <w:r>
        <w:rPr>
          <w:rFonts w:hint="default" w:ascii="Times New Roman" w:hAnsi="Times New Roman" w:eastAsia="宋体" w:cs="Times New Roman"/>
          <w:color w:val="auto"/>
          <w:spacing w:val="-2"/>
          <w:sz w:val="24"/>
          <w:lang w:eastAsia="zh-CN"/>
        </w:rPr>
        <w:t>的原则，实现企业与地方</w:t>
      </w:r>
      <w:r>
        <w:rPr>
          <w:rFonts w:hint="default" w:ascii="Times New Roman" w:hAnsi="Times New Roman" w:eastAsia="宋体" w:cs="Times New Roman"/>
          <w:color w:val="auto"/>
          <w:spacing w:val="-3"/>
          <w:sz w:val="24"/>
          <w:lang w:eastAsia="zh-CN"/>
        </w:rPr>
        <w:t>人民政府突发环境事件应急预案的有效衔接。地方人民政府应及时对突发环境事</w:t>
      </w:r>
      <w:r>
        <w:rPr>
          <w:rFonts w:hint="default" w:ascii="Times New Roman" w:hAnsi="Times New Roman" w:eastAsia="宋体" w:cs="Times New Roman"/>
          <w:color w:val="auto"/>
          <w:sz w:val="24"/>
          <w:lang w:eastAsia="zh-CN"/>
        </w:rPr>
        <w:t>件进行曝光，并立即采取相应的应急措施。</w:t>
      </w:r>
    </w:p>
    <w:p>
      <w:pPr>
        <w:pStyle w:val="155"/>
        <w:spacing w:before="0" w:after="0"/>
        <w:jc w:val="center"/>
        <w:rPr>
          <w:rFonts w:ascii="Times New Roman" w:hAnsi="Times New Roman" w:eastAsia="宋体"/>
          <w:b/>
          <w:bCs/>
          <w:color w:val="auto"/>
          <w:spacing w:val="-3"/>
          <w:sz w:val="24"/>
        </w:rPr>
      </w:pPr>
    </w:p>
    <w:p>
      <w:pPr>
        <w:pStyle w:val="5"/>
        <w:spacing w:before="0" w:after="0" w:line="520" w:lineRule="exact"/>
        <w:rPr>
          <w:color w:val="auto"/>
          <w:sz w:val="24"/>
          <w:szCs w:val="24"/>
        </w:rPr>
      </w:pPr>
      <w:r>
        <w:rPr>
          <w:rFonts w:hint="eastAsia"/>
          <w:color w:val="auto"/>
          <w:sz w:val="24"/>
          <w:szCs w:val="24"/>
        </w:rPr>
        <w:t>6.3.7</w:t>
      </w:r>
      <w:r>
        <w:rPr>
          <w:color w:val="auto"/>
          <w:sz w:val="24"/>
          <w:szCs w:val="24"/>
        </w:rPr>
        <w:t xml:space="preserve"> 风险影响分析结论</w:t>
      </w:r>
    </w:p>
    <w:p>
      <w:pPr>
        <w:spacing w:line="360" w:lineRule="auto"/>
        <w:ind w:firstLine="480" w:firstLineChars="200"/>
        <w:rPr>
          <w:color w:val="auto"/>
          <w:sz w:val="24"/>
        </w:rPr>
      </w:pPr>
      <w:r>
        <w:rPr>
          <w:color w:val="auto"/>
          <w:sz w:val="24"/>
        </w:rPr>
        <w:t>对照《建设项目环境风险评价技术导则》（HJ 169-2018），本项目不构成重大危险源。在严格落实本报告的提出各项事故防范和应急措施，加强管理，可最大限度地减少可能发生的环境风险。且一旦发生事故，也可将影响范围控制在较小程度之内，减小损失。因此，本项目产生的风险对周围环境的影响是可接受的。</w:t>
      </w:r>
      <w:bookmarkStart w:id="283" w:name="_Toc206896786"/>
      <w:bookmarkStart w:id="284" w:name="_Toc287813407"/>
      <w:bookmarkStart w:id="285" w:name="_Toc333178033"/>
      <w:bookmarkStart w:id="286" w:name="_Toc333178571"/>
      <w:bookmarkStart w:id="287" w:name="_Toc333388614"/>
      <w:bookmarkStart w:id="288" w:name="_Toc335291774"/>
      <w:bookmarkStart w:id="289" w:name="_Toc366874124"/>
      <w:bookmarkStart w:id="290" w:name="_Toc367091883"/>
      <w:bookmarkStart w:id="291" w:name="_Toc24560"/>
      <w:bookmarkStart w:id="292" w:name="_Toc121720666"/>
    </w:p>
    <w:p>
      <w:pPr>
        <w:spacing w:line="360" w:lineRule="auto"/>
        <w:jc w:val="center"/>
        <w:rPr>
          <w:rFonts w:hint="default" w:ascii="Times New Roman" w:hAnsi="Times New Roman" w:cs="Times New Roman"/>
          <w:b/>
          <w:bCs/>
          <w:color w:val="auto"/>
          <w:sz w:val="24"/>
          <w:szCs w:val="32"/>
          <w:lang w:val="en-US" w:eastAsia="zh-CN"/>
        </w:rPr>
      </w:pPr>
      <w:r>
        <w:rPr>
          <w:rFonts w:hint="default" w:ascii="Times New Roman" w:hAnsi="Times New Roman" w:cs="Times New Roman"/>
          <w:b/>
          <w:bCs/>
          <w:color w:val="auto"/>
          <w:sz w:val="24"/>
          <w:szCs w:val="32"/>
          <w:lang w:val="en-US" w:eastAsia="zh-CN"/>
        </w:rPr>
        <w:t>表</w:t>
      </w:r>
      <w:r>
        <w:rPr>
          <w:rFonts w:hint="eastAsia" w:cs="Times New Roman"/>
          <w:b/>
          <w:bCs/>
          <w:color w:val="auto"/>
          <w:sz w:val="24"/>
          <w:szCs w:val="32"/>
          <w:lang w:val="en-US" w:eastAsia="zh-CN"/>
        </w:rPr>
        <w:t>6-24</w:t>
      </w:r>
      <w:r>
        <w:rPr>
          <w:rFonts w:hint="default" w:ascii="Times New Roman" w:hAnsi="Times New Roman" w:cs="Times New Roman"/>
          <w:b/>
          <w:bCs/>
          <w:color w:val="auto"/>
          <w:sz w:val="24"/>
          <w:szCs w:val="32"/>
          <w:lang w:val="en-US" w:eastAsia="zh-CN"/>
        </w:rPr>
        <w:t xml:space="preserve">  环境风险评价自查表</w:t>
      </w:r>
    </w:p>
    <w:tbl>
      <w:tblPr>
        <w:tblStyle w:val="53"/>
        <w:tblW w:w="0" w:type="auto"/>
        <w:tblInd w:w="0" w:type="dxa"/>
        <w:tblLayout w:type="fixed"/>
        <w:tblCellMar>
          <w:top w:w="0" w:type="dxa"/>
          <w:left w:w="108" w:type="dxa"/>
          <w:bottom w:w="0" w:type="dxa"/>
          <w:right w:w="108" w:type="dxa"/>
        </w:tblCellMar>
      </w:tblPr>
      <w:tblGrid>
        <w:gridCol w:w="396"/>
        <w:gridCol w:w="135"/>
        <w:gridCol w:w="397"/>
        <w:gridCol w:w="758"/>
        <w:gridCol w:w="741"/>
        <w:gridCol w:w="459"/>
        <w:gridCol w:w="877"/>
        <w:gridCol w:w="338"/>
        <w:gridCol w:w="59"/>
        <w:gridCol w:w="496"/>
        <w:gridCol w:w="212"/>
        <w:gridCol w:w="233"/>
        <w:gridCol w:w="474"/>
        <w:gridCol w:w="200"/>
        <w:gridCol w:w="509"/>
        <w:gridCol w:w="156"/>
        <w:gridCol w:w="446"/>
        <w:gridCol w:w="105"/>
        <w:gridCol w:w="140"/>
        <w:gridCol w:w="319"/>
        <w:gridCol w:w="250"/>
        <w:gridCol w:w="78"/>
        <w:gridCol w:w="58"/>
        <w:gridCol w:w="571"/>
        <w:gridCol w:w="721"/>
      </w:tblGrid>
      <w:tr>
        <w:tblPrEx>
          <w:tblCellMar>
            <w:top w:w="0" w:type="dxa"/>
            <w:left w:w="108" w:type="dxa"/>
            <w:bottom w:w="0" w:type="dxa"/>
            <w:right w:w="108" w:type="dxa"/>
          </w:tblCellMar>
        </w:tblPrEx>
        <w:trPr>
          <w:trHeight w:val="397" w:hRule="atLeast"/>
        </w:trPr>
        <w:tc>
          <w:tcPr>
            <w:tcW w:w="1686" w:type="dxa"/>
            <w:gridSpan w:val="4"/>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工作内容</w:t>
            </w:r>
          </w:p>
        </w:tc>
        <w:tc>
          <w:tcPr>
            <w:tcW w:w="7442" w:type="dxa"/>
            <w:gridSpan w:val="21"/>
            <w:tcBorders>
              <w:top w:val="single" w:color="auto" w:sz="4" w:space="0"/>
              <w:left w:val="nil"/>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完成情况</w:t>
            </w:r>
          </w:p>
        </w:tc>
      </w:tr>
      <w:tr>
        <w:tblPrEx>
          <w:tblCellMar>
            <w:top w:w="0" w:type="dxa"/>
            <w:left w:w="108" w:type="dxa"/>
            <w:bottom w:w="0" w:type="dxa"/>
            <w:right w:w="108" w:type="dxa"/>
          </w:tblCellMar>
        </w:tblPrEx>
        <w:trPr>
          <w:trHeight w:val="397" w:hRule="atLeast"/>
        </w:trPr>
        <w:tc>
          <w:tcPr>
            <w:tcW w:w="531" w:type="dxa"/>
            <w:gridSpan w:val="2"/>
            <w:vMerge w:val="restart"/>
            <w:tcBorders>
              <w:top w:val="nil"/>
              <w:left w:val="single" w:color="auto" w:sz="4" w:space="0"/>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风</w:t>
            </w:r>
          </w:p>
          <w:p>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险</w:t>
            </w:r>
          </w:p>
          <w:p>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调</w:t>
            </w:r>
          </w:p>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查</w:t>
            </w:r>
          </w:p>
        </w:tc>
        <w:tc>
          <w:tcPr>
            <w:tcW w:w="1155" w:type="dxa"/>
            <w:gridSpan w:val="2"/>
            <w:vMerge w:val="restart"/>
            <w:tcBorders>
              <w:top w:val="nil"/>
              <w:left w:val="nil"/>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危险物质</w:t>
            </w:r>
          </w:p>
        </w:tc>
        <w:tc>
          <w:tcPr>
            <w:tcW w:w="1200" w:type="dxa"/>
            <w:gridSpan w:val="2"/>
            <w:tcBorders>
              <w:top w:val="single" w:color="auto" w:sz="4" w:space="0"/>
              <w:left w:val="nil"/>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名称</w:t>
            </w:r>
          </w:p>
        </w:tc>
        <w:tc>
          <w:tcPr>
            <w:tcW w:w="1274" w:type="dxa"/>
            <w:gridSpan w:val="3"/>
            <w:tcBorders>
              <w:top w:val="single" w:color="auto" w:sz="4" w:space="0"/>
              <w:left w:val="nil"/>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color w:val="auto"/>
                <w:kern w:val="0"/>
                <w:szCs w:val="21"/>
                <w:lang w:val="zh-CN" w:eastAsia="zh-CN" w:bidi="ar"/>
              </w:rPr>
              <w:t>底涂剂</w:t>
            </w:r>
          </w:p>
        </w:tc>
        <w:tc>
          <w:tcPr>
            <w:tcW w:w="708" w:type="dxa"/>
            <w:gridSpan w:val="2"/>
            <w:tcBorders>
              <w:top w:val="single" w:color="auto" w:sz="4" w:space="0"/>
              <w:left w:val="nil"/>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rPr>
            </w:pPr>
            <w:r>
              <w:rPr>
                <w:rFonts w:hint="eastAsia"/>
                <w:color w:val="auto"/>
                <w:kern w:val="0"/>
                <w:szCs w:val="21"/>
                <w:lang w:val="zh-CN" w:bidi="ar"/>
              </w:rPr>
              <w:t>硫磺</w:t>
            </w:r>
          </w:p>
        </w:tc>
        <w:tc>
          <w:tcPr>
            <w:tcW w:w="707" w:type="dxa"/>
            <w:gridSpan w:val="2"/>
            <w:tcBorders>
              <w:top w:val="single" w:color="auto" w:sz="4" w:space="0"/>
              <w:left w:val="nil"/>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rPr>
            </w:pPr>
            <w:r>
              <w:rPr>
                <w:rFonts w:hint="eastAsia"/>
                <w:color w:val="auto"/>
                <w:kern w:val="0"/>
                <w:szCs w:val="21"/>
                <w:lang w:val="zh-CN" w:eastAsia="zh-CN" w:bidi="ar"/>
              </w:rPr>
              <w:t>乙酸丁酯</w:t>
            </w:r>
          </w:p>
        </w:tc>
        <w:tc>
          <w:tcPr>
            <w:tcW w:w="709" w:type="dxa"/>
            <w:gridSpan w:val="2"/>
            <w:tcBorders>
              <w:top w:val="single" w:color="auto" w:sz="4" w:space="0"/>
              <w:left w:val="nil"/>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rPr>
            </w:pPr>
          </w:p>
        </w:tc>
        <w:tc>
          <w:tcPr>
            <w:tcW w:w="707" w:type="dxa"/>
            <w:gridSpan w:val="3"/>
            <w:tcBorders>
              <w:top w:val="single" w:color="auto" w:sz="4" w:space="0"/>
              <w:left w:val="nil"/>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rPr>
            </w:pPr>
          </w:p>
        </w:tc>
        <w:tc>
          <w:tcPr>
            <w:tcW w:w="709" w:type="dxa"/>
            <w:gridSpan w:val="3"/>
            <w:tcBorders>
              <w:top w:val="single" w:color="auto" w:sz="4" w:space="0"/>
              <w:left w:val="nil"/>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rPr>
            </w:pPr>
          </w:p>
        </w:tc>
        <w:tc>
          <w:tcPr>
            <w:tcW w:w="707" w:type="dxa"/>
            <w:gridSpan w:val="3"/>
            <w:tcBorders>
              <w:top w:val="single" w:color="auto" w:sz="4" w:space="0"/>
              <w:left w:val="nil"/>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rPr>
            </w:pPr>
          </w:p>
        </w:tc>
        <w:tc>
          <w:tcPr>
            <w:tcW w:w="721" w:type="dxa"/>
            <w:tcBorders>
              <w:top w:val="single" w:color="auto" w:sz="4" w:space="0"/>
              <w:left w:val="nil"/>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rPr>
            </w:pPr>
          </w:p>
        </w:tc>
      </w:tr>
      <w:tr>
        <w:tblPrEx>
          <w:tblCellMar>
            <w:top w:w="0" w:type="dxa"/>
            <w:left w:w="108" w:type="dxa"/>
            <w:bottom w:w="0" w:type="dxa"/>
            <w:right w:w="108" w:type="dxa"/>
          </w:tblCellMar>
        </w:tblPrEx>
        <w:trPr>
          <w:trHeight w:val="397" w:hRule="atLeast"/>
        </w:trPr>
        <w:tc>
          <w:tcPr>
            <w:tcW w:w="531" w:type="dxa"/>
            <w:gridSpan w:val="2"/>
            <w:vMerge w:val="continue"/>
            <w:tcBorders>
              <w:top w:val="nil"/>
              <w:left w:val="single" w:color="auto" w:sz="4" w:space="0"/>
              <w:bottom w:val="single" w:color="auto" w:sz="4" w:space="0"/>
              <w:right w:val="single" w:color="auto" w:sz="4" w:space="0"/>
            </w:tcBorders>
            <w:noWrap w:val="0"/>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p>
        </w:tc>
        <w:tc>
          <w:tcPr>
            <w:tcW w:w="1155" w:type="dxa"/>
            <w:gridSpan w:val="2"/>
            <w:vMerge w:val="continue"/>
            <w:tcBorders>
              <w:top w:val="nil"/>
              <w:left w:val="nil"/>
              <w:bottom w:val="single" w:color="auto" w:sz="4" w:space="0"/>
              <w:right w:val="single" w:color="auto" w:sz="4" w:space="0"/>
            </w:tcBorders>
            <w:noWrap w:val="0"/>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p>
        </w:tc>
        <w:tc>
          <w:tcPr>
            <w:tcW w:w="1200" w:type="dxa"/>
            <w:gridSpan w:val="2"/>
            <w:tcBorders>
              <w:top w:val="single" w:color="auto" w:sz="4" w:space="0"/>
              <w:left w:val="nil"/>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存在总量/t</w:t>
            </w:r>
          </w:p>
        </w:tc>
        <w:tc>
          <w:tcPr>
            <w:tcW w:w="1274" w:type="dxa"/>
            <w:gridSpan w:val="3"/>
            <w:tcBorders>
              <w:top w:val="single" w:color="auto" w:sz="4" w:space="0"/>
              <w:left w:val="nil"/>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color w:val="auto"/>
                <w:lang w:val="en-US" w:eastAsia="zh-CN"/>
              </w:rPr>
              <w:t>0.1</w:t>
            </w:r>
          </w:p>
        </w:tc>
        <w:tc>
          <w:tcPr>
            <w:tcW w:w="708" w:type="dxa"/>
            <w:gridSpan w:val="2"/>
            <w:tcBorders>
              <w:top w:val="single" w:color="auto" w:sz="4" w:space="0"/>
              <w:left w:val="nil"/>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rPr>
            </w:pPr>
            <w:r>
              <w:rPr>
                <w:rFonts w:hint="eastAsia"/>
                <w:color w:val="auto"/>
                <w:szCs w:val="21"/>
              </w:rPr>
              <w:t>0.03</w:t>
            </w:r>
          </w:p>
        </w:tc>
        <w:tc>
          <w:tcPr>
            <w:tcW w:w="707" w:type="dxa"/>
            <w:gridSpan w:val="2"/>
            <w:tcBorders>
              <w:top w:val="single" w:color="auto" w:sz="4" w:space="0"/>
              <w:left w:val="nil"/>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rPr>
            </w:pPr>
            <w:r>
              <w:rPr>
                <w:rFonts w:hint="eastAsia"/>
                <w:color w:val="auto"/>
                <w:szCs w:val="21"/>
                <w:lang w:val="en-US" w:eastAsia="zh-CN"/>
              </w:rPr>
              <w:t>2</w:t>
            </w:r>
          </w:p>
        </w:tc>
        <w:tc>
          <w:tcPr>
            <w:tcW w:w="709" w:type="dxa"/>
            <w:gridSpan w:val="2"/>
            <w:tcBorders>
              <w:top w:val="single" w:color="auto" w:sz="4" w:space="0"/>
              <w:left w:val="nil"/>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rPr>
            </w:pPr>
          </w:p>
        </w:tc>
        <w:tc>
          <w:tcPr>
            <w:tcW w:w="707" w:type="dxa"/>
            <w:gridSpan w:val="3"/>
            <w:tcBorders>
              <w:top w:val="single" w:color="auto" w:sz="4" w:space="0"/>
              <w:left w:val="nil"/>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rPr>
            </w:pPr>
          </w:p>
        </w:tc>
        <w:tc>
          <w:tcPr>
            <w:tcW w:w="709" w:type="dxa"/>
            <w:gridSpan w:val="3"/>
            <w:tcBorders>
              <w:top w:val="single" w:color="auto" w:sz="4" w:space="0"/>
              <w:left w:val="nil"/>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rPr>
            </w:pPr>
          </w:p>
        </w:tc>
        <w:tc>
          <w:tcPr>
            <w:tcW w:w="707" w:type="dxa"/>
            <w:gridSpan w:val="3"/>
            <w:tcBorders>
              <w:top w:val="single" w:color="auto" w:sz="4" w:space="0"/>
              <w:left w:val="nil"/>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rPr>
            </w:pPr>
          </w:p>
        </w:tc>
        <w:tc>
          <w:tcPr>
            <w:tcW w:w="721" w:type="dxa"/>
            <w:tcBorders>
              <w:top w:val="single" w:color="auto" w:sz="4" w:space="0"/>
              <w:left w:val="nil"/>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rPr>
            </w:pPr>
          </w:p>
        </w:tc>
      </w:tr>
      <w:tr>
        <w:tblPrEx>
          <w:tblCellMar>
            <w:top w:w="0" w:type="dxa"/>
            <w:left w:w="108" w:type="dxa"/>
            <w:bottom w:w="0" w:type="dxa"/>
            <w:right w:w="108" w:type="dxa"/>
          </w:tblCellMar>
        </w:tblPrEx>
        <w:trPr>
          <w:trHeight w:val="397" w:hRule="atLeast"/>
        </w:trPr>
        <w:tc>
          <w:tcPr>
            <w:tcW w:w="531" w:type="dxa"/>
            <w:gridSpan w:val="2"/>
            <w:vMerge w:val="continue"/>
            <w:tcBorders>
              <w:top w:val="nil"/>
              <w:left w:val="single" w:color="auto" w:sz="4" w:space="0"/>
              <w:bottom w:val="single" w:color="auto" w:sz="4" w:space="0"/>
              <w:right w:val="single" w:color="auto" w:sz="4" w:space="0"/>
            </w:tcBorders>
            <w:noWrap w:val="0"/>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p>
        </w:tc>
        <w:tc>
          <w:tcPr>
            <w:tcW w:w="1155" w:type="dxa"/>
            <w:gridSpan w:val="2"/>
            <w:vMerge w:val="restart"/>
            <w:tcBorders>
              <w:top w:val="nil"/>
              <w:left w:val="nil"/>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环境敏感性</w:t>
            </w:r>
          </w:p>
        </w:tc>
        <w:tc>
          <w:tcPr>
            <w:tcW w:w="1200" w:type="dxa"/>
            <w:gridSpan w:val="2"/>
            <w:vMerge w:val="restart"/>
            <w:tcBorders>
              <w:top w:val="nil"/>
              <w:left w:val="nil"/>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大气</w:t>
            </w:r>
          </w:p>
        </w:tc>
        <w:tc>
          <w:tcPr>
            <w:tcW w:w="3398" w:type="dxa"/>
            <w:gridSpan w:val="9"/>
            <w:tcBorders>
              <w:top w:val="single" w:color="auto" w:sz="4" w:space="0"/>
              <w:left w:val="nil"/>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500m范围内人口数</w:t>
            </w:r>
            <w:r>
              <w:rPr>
                <w:rFonts w:hint="default" w:ascii="Times New Roman" w:hAnsi="Times New Roman" w:eastAsia="宋体" w:cs="Times New Roman"/>
                <w:color w:val="auto"/>
                <w:sz w:val="21"/>
                <w:szCs w:val="21"/>
                <w:u w:val="single"/>
              </w:rPr>
              <w:t xml:space="preserve"> </w:t>
            </w:r>
            <w:r>
              <w:rPr>
                <w:rFonts w:hint="eastAsia" w:ascii="Times New Roman" w:hAnsi="Times New Roman" w:eastAsia="宋体" w:cs="Times New Roman"/>
                <w:color w:val="auto"/>
                <w:sz w:val="21"/>
                <w:szCs w:val="21"/>
                <w:u w:val="single"/>
                <w:lang w:val="en-US" w:eastAsia="zh-CN"/>
              </w:rPr>
              <w:t>300</w:t>
            </w:r>
            <w:r>
              <w:rPr>
                <w:rFonts w:hint="default" w:ascii="Times New Roman" w:hAnsi="Times New Roman" w:eastAsia="宋体" w:cs="Times New Roman"/>
                <w:color w:val="auto"/>
                <w:sz w:val="21"/>
                <w:szCs w:val="21"/>
                <w:u w:val="single"/>
              </w:rPr>
              <w:t xml:space="preserve"> </w:t>
            </w:r>
            <w:r>
              <w:rPr>
                <w:rFonts w:hint="default" w:ascii="Times New Roman" w:hAnsi="Times New Roman" w:eastAsia="宋体" w:cs="Times New Roman"/>
                <w:color w:val="auto"/>
                <w:sz w:val="21"/>
                <w:szCs w:val="21"/>
              </w:rPr>
              <w:t>人</w:t>
            </w:r>
          </w:p>
        </w:tc>
        <w:tc>
          <w:tcPr>
            <w:tcW w:w="2844" w:type="dxa"/>
            <w:gridSpan w:val="10"/>
            <w:tcBorders>
              <w:top w:val="single" w:color="auto" w:sz="4" w:space="0"/>
              <w:left w:val="nil"/>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5km范围内人口数</w:t>
            </w:r>
            <w:r>
              <w:rPr>
                <w:rFonts w:hint="default" w:ascii="Times New Roman" w:hAnsi="Times New Roman" w:eastAsia="宋体" w:cs="Times New Roman"/>
                <w:color w:val="auto"/>
                <w:sz w:val="21"/>
                <w:szCs w:val="21"/>
                <w:u w:val="single"/>
              </w:rPr>
              <w:t xml:space="preserve"> </w:t>
            </w:r>
            <w:r>
              <w:rPr>
                <w:rFonts w:hint="default" w:ascii="Times New Roman" w:hAnsi="Times New Roman" w:eastAsia="宋体" w:cs="Times New Roman"/>
                <w:color w:val="auto"/>
                <w:sz w:val="21"/>
                <w:szCs w:val="21"/>
                <w:u w:val="single"/>
                <w:lang w:val="en-US" w:eastAsia="zh-CN"/>
              </w:rPr>
              <w:t>3万</w:t>
            </w:r>
            <w:r>
              <w:rPr>
                <w:rFonts w:hint="default" w:ascii="Times New Roman" w:hAnsi="Times New Roman" w:eastAsia="宋体" w:cs="Times New Roman"/>
                <w:color w:val="auto"/>
                <w:sz w:val="21"/>
                <w:szCs w:val="21"/>
                <w:u w:val="single"/>
              </w:rPr>
              <w:t xml:space="preserve"> </w:t>
            </w:r>
            <w:r>
              <w:rPr>
                <w:rFonts w:hint="default" w:ascii="Times New Roman" w:hAnsi="Times New Roman" w:eastAsia="宋体" w:cs="Times New Roman"/>
                <w:color w:val="auto"/>
                <w:sz w:val="21"/>
                <w:szCs w:val="21"/>
              </w:rPr>
              <w:t>人</w:t>
            </w:r>
          </w:p>
        </w:tc>
      </w:tr>
      <w:tr>
        <w:tblPrEx>
          <w:tblCellMar>
            <w:top w:w="0" w:type="dxa"/>
            <w:left w:w="108" w:type="dxa"/>
            <w:bottom w:w="0" w:type="dxa"/>
            <w:right w:w="108" w:type="dxa"/>
          </w:tblCellMar>
        </w:tblPrEx>
        <w:trPr>
          <w:trHeight w:val="397" w:hRule="atLeast"/>
        </w:trPr>
        <w:tc>
          <w:tcPr>
            <w:tcW w:w="531" w:type="dxa"/>
            <w:gridSpan w:val="2"/>
            <w:vMerge w:val="continue"/>
            <w:tcBorders>
              <w:top w:val="nil"/>
              <w:left w:val="single" w:color="auto" w:sz="4" w:space="0"/>
              <w:bottom w:val="single" w:color="auto" w:sz="4" w:space="0"/>
              <w:right w:val="single" w:color="auto" w:sz="4" w:space="0"/>
            </w:tcBorders>
            <w:noWrap w:val="0"/>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p>
        </w:tc>
        <w:tc>
          <w:tcPr>
            <w:tcW w:w="1155" w:type="dxa"/>
            <w:gridSpan w:val="2"/>
            <w:vMerge w:val="continue"/>
            <w:tcBorders>
              <w:top w:val="nil"/>
              <w:left w:val="nil"/>
              <w:bottom w:val="single" w:color="auto" w:sz="4" w:space="0"/>
              <w:right w:val="single" w:color="auto" w:sz="4" w:space="0"/>
            </w:tcBorders>
            <w:noWrap w:val="0"/>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p>
        </w:tc>
        <w:tc>
          <w:tcPr>
            <w:tcW w:w="1200" w:type="dxa"/>
            <w:gridSpan w:val="2"/>
            <w:vMerge w:val="continue"/>
            <w:tcBorders>
              <w:top w:val="nil"/>
              <w:left w:val="nil"/>
              <w:bottom w:val="single" w:color="auto" w:sz="4" w:space="0"/>
              <w:right w:val="single" w:color="auto" w:sz="4" w:space="0"/>
            </w:tcBorders>
            <w:noWrap w:val="0"/>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p>
        </w:tc>
        <w:tc>
          <w:tcPr>
            <w:tcW w:w="4950" w:type="dxa"/>
            <w:gridSpan w:val="17"/>
            <w:tcBorders>
              <w:top w:val="single" w:color="auto" w:sz="4" w:space="0"/>
              <w:left w:val="nil"/>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每公里管段周边200m范围内人口数（最大）</w:t>
            </w:r>
          </w:p>
        </w:tc>
        <w:tc>
          <w:tcPr>
            <w:tcW w:w="1292" w:type="dxa"/>
            <w:gridSpan w:val="2"/>
            <w:tcBorders>
              <w:top w:val="single" w:color="auto" w:sz="4" w:space="0"/>
              <w:left w:val="nil"/>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人</w:t>
            </w:r>
          </w:p>
        </w:tc>
      </w:tr>
      <w:tr>
        <w:tblPrEx>
          <w:tblCellMar>
            <w:top w:w="0" w:type="dxa"/>
            <w:left w:w="108" w:type="dxa"/>
            <w:bottom w:w="0" w:type="dxa"/>
            <w:right w:w="108" w:type="dxa"/>
          </w:tblCellMar>
        </w:tblPrEx>
        <w:trPr>
          <w:trHeight w:val="397" w:hRule="atLeast"/>
        </w:trPr>
        <w:tc>
          <w:tcPr>
            <w:tcW w:w="531" w:type="dxa"/>
            <w:gridSpan w:val="2"/>
            <w:vMerge w:val="continue"/>
            <w:tcBorders>
              <w:top w:val="nil"/>
              <w:left w:val="single" w:color="auto" w:sz="4" w:space="0"/>
              <w:bottom w:val="single" w:color="auto" w:sz="4" w:space="0"/>
              <w:right w:val="single" w:color="auto" w:sz="4" w:space="0"/>
            </w:tcBorders>
            <w:noWrap w:val="0"/>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p>
        </w:tc>
        <w:tc>
          <w:tcPr>
            <w:tcW w:w="1155" w:type="dxa"/>
            <w:gridSpan w:val="2"/>
            <w:vMerge w:val="continue"/>
            <w:tcBorders>
              <w:top w:val="nil"/>
              <w:left w:val="nil"/>
              <w:bottom w:val="single" w:color="auto" w:sz="4" w:space="0"/>
              <w:right w:val="single" w:color="auto" w:sz="4" w:space="0"/>
            </w:tcBorders>
            <w:noWrap w:val="0"/>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p>
        </w:tc>
        <w:tc>
          <w:tcPr>
            <w:tcW w:w="1200" w:type="dxa"/>
            <w:gridSpan w:val="2"/>
            <w:vMerge w:val="restart"/>
            <w:tcBorders>
              <w:top w:val="nil"/>
              <w:left w:val="nil"/>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地表水</w:t>
            </w:r>
          </w:p>
        </w:tc>
        <w:tc>
          <w:tcPr>
            <w:tcW w:w="1982" w:type="dxa"/>
            <w:gridSpan w:val="5"/>
            <w:tcBorders>
              <w:top w:val="single" w:color="auto" w:sz="4" w:space="0"/>
              <w:left w:val="nil"/>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地表水功能敏感性</w:t>
            </w:r>
          </w:p>
        </w:tc>
        <w:tc>
          <w:tcPr>
            <w:tcW w:w="1416" w:type="dxa"/>
            <w:gridSpan w:val="4"/>
            <w:tcBorders>
              <w:top w:val="single" w:color="auto" w:sz="4" w:space="0"/>
              <w:left w:val="nil"/>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F1□</w:t>
            </w:r>
          </w:p>
        </w:tc>
        <w:tc>
          <w:tcPr>
            <w:tcW w:w="1552" w:type="dxa"/>
            <w:gridSpan w:val="8"/>
            <w:tcBorders>
              <w:top w:val="single" w:color="auto" w:sz="4" w:space="0"/>
              <w:left w:val="nil"/>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F2□</w:t>
            </w:r>
          </w:p>
        </w:tc>
        <w:tc>
          <w:tcPr>
            <w:tcW w:w="1292" w:type="dxa"/>
            <w:gridSpan w:val="2"/>
            <w:tcBorders>
              <w:top w:val="single" w:color="auto" w:sz="4" w:space="0"/>
              <w:left w:val="nil"/>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F3</w:t>
            </w:r>
            <w:r>
              <w:rPr>
                <w:rFonts w:hint="default" w:ascii="Times New Roman" w:hAnsi="Times New Roman" w:eastAsia="宋体" w:cs="Times New Roman"/>
                <w:color w:val="auto"/>
                <w:sz w:val="21"/>
                <w:szCs w:val="21"/>
              </w:rPr>
              <w:sym w:font="Wingdings" w:char="00FE"/>
            </w:r>
          </w:p>
        </w:tc>
      </w:tr>
      <w:tr>
        <w:tblPrEx>
          <w:tblCellMar>
            <w:top w:w="0" w:type="dxa"/>
            <w:left w:w="108" w:type="dxa"/>
            <w:bottom w:w="0" w:type="dxa"/>
            <w:right w:w="108" w:type="dxa"/>
          </w:tblCellMar>
        </w:tblPrEx>
        <w:trPr>
          <w:trHeight w:val="397" w:hRule="atLeast"/>
        </w:trPr>
        <w:tc>
          <w:tcPr>
            <w:tcW w:w="531" w:type="dxa"/>
            <w:gridSpan w:val="2"/>
            <w:vMerge w:val="continue"/>
            <w:tcBorders>
              <w:top w:val="nil"/>
              <w:left w:val="single" w:color="auto" w:sz="4" w:space="0"/>
              <w:bottom w:val="single" w:color="auto" w:sz="4" w:space="0"/>
              <w:right w:val="single" w:color="auto" w:sz="4" w:space="0"/>
            </w:tcBorders>
            <w:noWrap w:val="0"/>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p>
        </w:tc>
        <w:tc>
          <w:tcPr>
            <w:tcW w:w="1155" w:type="dxa"/>
            <w:gridSpan w:val="2"/>
            <w:vMerge w:val="continue"/>
            <w:tcBorders>
              <w:top w:val="nil"/>
              <w:left w:val="nil"/>
              <w:bottom w:val="single" w:color="auto" w:sz="4" w:space="0"/>
              <w:right w:val="single" w:color="auto" w:sz="4" w:space="0"/>
            </w:tcBorders>
            <w:noWrap w:val="0"/>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p>
        </w:tc>
        <w:tc>
          <w:tcPr>
            <w:tcW w:w="1200" w:type="dxa"/>
            <w:gridSpan w:val="2"/>
            <w:vMerge w:val="continue"/>
            <w:tcBorders>
              <w:top w:val="nil"/>
              <w:left w:val="nil"/>
              <w:bottom w:val="single" w:color="auto" w:sz="4" w:space="0"/>
              <w:right w:val="single" w:color="auto" w:sz="4" w:space="0"/>
            </w:tcBorders>
            <w:noWrap w:val="0"/>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p>
        </w:tc>
        <w:tc>
          <w:tcPr>
            <w:tcW w:w="1982" w:type="dxa"/>
            <w:gridSpan w:val="5"/>
            <w:tcBorders>
              <w:top w:val="single" w:color="auto" w:sz="4" w:space="0"/>
              <w:left w:val="nil"/>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环境敏感目标分级</w:t>
            </w:r>
          </w:p>
        </w:tc>
        <w:tc>
          <w:tcPr>
            <w:tcW w:w="1416" w:type="dxa"/>
            <w:gridSpan w:val="4"/>
            <w:tcBorders>
              <w:top w:val="single" w:color="auto" w:sz="4" w:space="0"/>
              <w:left w:val="nil"/>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S1□</w:t>
            </w:r>
          </w:p>
        </w:tc>
        <w:tc>
          <w:tcPr>
            <w:tcW w:w="1552" w:type="dxa"/>
            <w:gridSpan w:val="8"/>
            <w:tcBorders>
              <w:top w:val="single" w:color="auto" w:sz="4" w:space="0"/>
              <w:left w:val="nil"/>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S2□</w:t>
            </w:r>
          </w:p>
        </w:tc>
        <w:tc>
          <w:tcPr>
            <w:tcW w:w="1292" w:type="dxa"/>
            <w:gridSpan w:val="2"/>
            <w:tcBorders>
              <w:top w:val="single" w:color="auto" w:sz="4" w:space="0"/>
              <w:left w:val="nil"/>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S3</w:t>
            </w:r>
            <w:r>
              <w:rPr>
                <w:rFonts w:hint="default" w:ascii="Times New Roman" w:hAnsi="Times New Roman" w:eastAsia="宋体" w:cs="Times New Roman"/>
                <w:color w:val="auto"/>
                <w:sz w:val="21"/>
                <w:szCs w:val="21"/>
              </w:rPr>
              <w:sym w:font="Wingdings" w:char="00FE"/>
            </w:r>
          </w:p>
        </w:tc>
      </w:tr>
      <w:tr>
        <w:tblPrEx>
          <w:tblCellMar>
            <w:top w:w="0" w:type="dxa"/>
            <w:left w:w="108" w:type="dxa"/>
            <w:bottom w:w="0" w:type="dxa"/>
            <w:right w:w="108" w:type="dxa"/>
          </w:tblCellMar>
        </w:tblPrEx>
        <w:trPr>
          <w:trHeight w:val="397" w:hRule="atLeast"/>
        </w:trPr>
        <w:tc>
          <w:tcPr>
            <w:tcW w:w="531" w:type="dxa"/>
            <w:gridSpan w:val="2"/>
            <w:vMerge w:val="continue"/>
            <w:tcBorders>
              <w:top w:val="nil"/>
              <w:left w:val="single" w:color="auto" w:sz="4" w:space="0"/>
              <w:bottom w:val="single" w:color="auto" w:sz="4" w:space="0"/>
              <w:right w:val="single" w:color="auto" w:sz="4" w:space="0"/>
            </w:tcBorders>
            <w:noWrap w:val="0"/>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p>
        </w:tc>
        <w:tc>
          <w:tcPr>
            <w:tcW w:w="1155" w:type="dxa"/>
            <w:gridSpan w:val="2"/>
            <w:vMerge w:val="continue"/>
            <w:tcBorders>
              <w:top w:val="nil"/>
              <w:left w:val="nil"/>
              <w:bottom w:val="single" w:color="auto" w:sz="4" w:space="0"/>
              <w:right w:val="single" w:color="auto" w:sz="4" w:space="0"/>
            </w:tcBorders>
            <w:noWrap w:val="0"/>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p>
        </w:tc>
        <w:tc>
          <w:tcPr>
            <w:tcW w:w="1200" w:type="dxa"/>
            <w:gridSpan w:val="2"/>
            <w:vMerge w:val="restart"/>
            <w:tcBorders>
              <w:top w:val="nil"/>
              <w:left w:val="nil"/>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地下水</w:t>
            </w:r>
          </w:p>
        </w:tc>
        <w:tc>
          <w:tcPr>
            <w:tcW w:w="1982" w:type="dxa"/>
            <w:gridSpan w:val="5"/>
            <w:tcBorders>
              <w:top w:val="single" w:color="auto" w:sz="4" w:space="0"/>
              <w:left w:val="nil"/>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地下水功能敏感性</w:t>
            </w:r>
          </w:p>
        </w:tc>
        <w:tc>
          <w:tcPr>
            <w:tcW w:w="1416" w:type="dxa"/>
            <w:gridSpan w:val="4"/>
            <w:tcBorders>
              <w:top w:val="single" w:color="auto" w:sz="4" w:space="0"/>
              <w:left w:val="nil"/>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G1□</w:t>
            </w:r>
          </w:p>
        </w:tc>
        <w:tc>
          <w:tcPr>
            <w:tcW w:w="1552" w:type="dxa"/>
            <w:gridSpan w:val="8"/>
            <w:tcBorders>
              <w:top w:val="single" w:color="auto" w:sz="4" w:space="0"/>
              <w:left w:val="nil"/>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G2□</w:t>
            </w:r>
          </w:p>
        </w:tc>
        <w:tc>
          <w:tcPr>
            <w:tcW w:w="1292" w:type="dxa"/>
            <w:gridSpan w:val="2"/>
            <w:tcBorders>
              <w:top w:val="single" w:color="auto" w:sz="4" w:space="0"/>
              <w:left w:val="nil"/>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G3</w:t>
            </w:r>
            <w:r>
              <w:rPr>
                <w:rFonts w:hint="default" w:ascii="Times New Roman" w:hAnsi="Times New Roman" w:eastAsia="宋体" w:cs="Times New Roman"/>
                <w:color w:val="auto"/>
                <w:sz w:val="21"/>
                <w:szCs w:val="21"/>
              </w:rPr>
              <w:sym w:font="Wingdings" w:char="00FE"/>
            </w:r>
          </w:p>
        </w:tc>
      </w:tr>
      <w:tr>
        <w:tblPrEx>
          <w:tblCellMar>
            <w:top w:w="0" w:type="dxa"/>
            <w:left w:w="108" w:type="dxa"/>
            <w:bottom w:w="0" w:type="dxa"/>
            <w:right w:w="108" w:type="dxa"/>
          </w:tblCellMar>
        </w:tblPrEx>
        <w:trPr>
          <w:trHeight w:val="397" w:hRule="atLeast"/>
        </w:trPr>
        <w:tc>
          <w:tcPr>
            <w:tcW w:w="531" w:type="dxa"/>
            <w:gridSpan w:val="2"/>
            <w:vMerge w:val="continue"/>
            <w:tcBorders>
              <w:top w:val="nil"/>
              <w:left w:val="single" w:color="auto" w:sz="4" w:space="0"/>
              <w:bottom w:val="single" w:color="auto" w:sz="4" w:space="0"/>
              <w:right w:val="single" w:color="auto" w:sz="4" w:space="0"/>
            </w:tcBorders>
            <w:noWrap w:val="0"/>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p>
        </w:tc>
        <w:tc>
          <w:tcPr>
            <w:tcW w:w="1155" w:type="dxa"/>
            <w:gridSpan w:val="2"/>
            <w:vMerge w:val="continue"/>
            <w:tcBorders>
              <w:top w:val="nil"/>
              <w:left w:val="nil"/>
              <w:bottom w:val="single" w:color="auto" w:sz="4" w:space="0"/>
              <w:right w:val="single" w:color="auto" w:sz="4" w:space="0"/>
            </w:tcBorders>
            <w:noWrap w:val="0"/>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p>
        </w:tc>
        <w:tc>
          <w:tcPr>
            <w:tcW w:w="1200" w:type="dxa"/>
            <w:gridSpan w:val="2"/>
            <w:vMerge w:val="continue"/>
            <w:tcBorders>
              <w:top w:val="nil"/>
              <w:left w:val="nil"/>
              <w:bottom w:val="single" w:color="auto" w:sz="4" w:space="0"/>
              <w:right w:val="single" w:color="auto" w:sz="4" w:space="0"/>
            </w:tcBorders>
            <w:noWrap w:val="0"/>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p>
        </w:tc>
        <w:tc>
          <w:tcPr>
            <w:tcW w:w="1982" w:type="dxa"/>
            <w:gridSpan w:val="5"/>
            <w:tcBorders>
              <w:top w:val="single" w:color="auto" w:sz="4" w:space="0"/>
              <w:left w:val="nil"/>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包气带防污性能</w:t>
            </w:r>
          </w:p>
        </w:tc>
        <w:tc>
          <w:tcPr>
            <w:tcW w:w="1416" w:type="dxa"/>
            <w:gridSpan w:val="4"/>
            <w:tcBorders>
              <w:top w:val="single" w:color="auto" w:sz="4" w:space="0"/>
              <w:left w:val="nil"/>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D1□</w:t>
            </w:r>
          </w:p>
        </w:tc>
        <w:tc>
          <w:tcPr>
            <w:tcW w:w="1552" w:type="dxa"/>
            <w:gridSpan w:val="8"/>
            <w:tcBorders>
              <w:top w:val="single" w:color="auto" w:sz="4" w:space="0"/>
              <w:left w:val="nil"/>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D2□</w:t>
            </w:r>
          </w:p>
        </w:tc>
        <w:tc>
          <w:tcPr>
            <w:tcW w:w="1292" w:type="dxa"/>
            <w:gridSpan w:val="2"/>
            <w:tcBorders>
              <w:top w:val="single" w:color="auto" w:sz="4" w:space="0"/>
              <w:left w:val="nil"/>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D3</w:t>
            </w:r>
            <w:r>
              <w:rPr>
                <w:rFonts w:hint="default" w:ascii="Times New Roman" w:hAnsi="Times New Roman" w:eastAsia="宋体" w:cs="Times New Roman"/>
                <w:color w:val="auto"/>
                <w:sz w:val="21"/>
                <w:szCs w:val="21"/>
              </w:rPr>
              <w:sym w:font="Wingdings" w:char="00FE"/>
            </w:r>
          </w:p>
        </w:tc>
      </w:tr>
      <w:tr>
        <w:tblPrEx>
          <w:tblCellMar>
            <w:top w:w="0" w:type="dxa"/>
            <w:left w:w="108" w:type="dxa"/>
            <w:bottom w:w="0" w:type="dxa"/>
            <w:right w:w="108" w:type="dxa"/>
          </w:tblCellMar>
        </w:tblPrEx>
        <w:trPr>
          <w:trHeight w:val="397" w:hRule="atLeast"/>
        </w:trPr>
        <w:tc>
          <w:tcPr>
            <w:tcW w:w="1686" w:type="dxa"/>
            <w:gridSpan w:val="4"/>
            <w:vMerge w:val="restart"/>
            <w:tcBorders>
              <w:top w:val="nil"/>
              <w:left w:val="single" w:color="auto" w:sz="4" w:space="0"/>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物质及工艺系统危险性</w:t>
            </w:r>
          </w:p>
        </w:tc>
        <w:tc>
          <w:tcPr>
            <w:tcW w:w="1200" w:type="dxa"/>
            <w:gridSpan w:val="2"/>
            <w:tcBorders>
              <w:top w:val="single" w:color="auto" w:sz="4" w:space="0"/>
              <w:left w:val="nil"/>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Q值</w:t>
            </w:r>
          </w:p>
        </w:tc>
        <w:tc>
          <w:tcPr>
            <w:tcW w:w="1982" w:type="dxa"/>
            <w:gridSpan w:val="5"/>
            <w:tcBorders>
              <w:top w:val="single" w:color="auto" w:sz="4" w:space="0"/>
              <w:left w:val="nil"/>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Q＜1</w:t>
            </w:r>
            <w:r>
              <w:rPr>
                <w:rFonts w:hint="default" w:ascii="Times New Roman" w:hAnsi="Times New Roman" w:eastAsia="宋体" w:cs="Times New Roman"/>
                <w:color w:val="auto"/>
                <w:sz w:val="21"/>
                <w:szCs w:val="21"/>
              </w:rPr>
              <w:sym w:font="Wingdings" w:char="00FE"/>
            </w:r>
          </w:p>
        </w:tc>
        <w:tc>
          <w:tcPr>
            <w:tcW w:w="1416" w:type="dxa"/>
            <w:gridSpan w:val="4"/>
            <w:tcBorders>
              <w:top w:val="single" w:color="auto" w:sz="4" w:space="0"/>
              <w:left w:val="nil"/>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1≤Q＜10□</w:t>
            </w:r>
          </w:p>
        </w:tc>
        <w:tc>
          <w:tcPr>
            <w:tcW w:w="1552" w:type="dxa"/>
            <w:gridSpan w:val="8"/>
            <w:tcBorders>
              <w:top w:val="single" w:color="auto" w:sz="4" w:space="0"/>
              <w:left w:val="nil"/>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10≤Q＜100□</w:t>
            </w:r>
          </w:p>
        </w:tc>
        <w:tc>
          <w:tcPr>
            <w:tcW w:w="1292" w:type="dxa"/>
            <w:gridSpan w:val="2"/>
            <w:tcBorders>
              <w:top w:val="single" w:color="auto" w:sz="4" w:space="0"/>
              <w:left w:val="nil"/>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Q＞100□</w:t>
            </w:r>
          </w:p>
        </w:tc>
      </w:tr>
      <w:tr>
        <w:tblPrEx>
          <w:tblCellMar>
            <w:top w:w="0" w:type="dxa"/>
            <w:left w:w="108" w:type="dxa"/>
            <w:bottom w:w="0" w:type="dxa"/>
            <w:right w:w="108" w:type="dxa"/>
          </w:tblCellMar>
        </w:tblPrEx>
        <w:trPr>
          <w:trHeight w:val="397" w:hRule="atLeast"/>
        </w:trPr>
        <w:tc>
          <w:tcPr>
            <w:tcW w:w="1686" w:type="dxa"/>
            <w:gridSpan w:val="4"/>
            <w:vMerge w:val="continue"/>
            <w:tcBorders>
              <w:top w:val="nil"/>
              <w:left w:val="single" w:color="auto" w:sz="4" w:space="0"/>
              <w:bottom w:val="single" w:color="auto" w:sz="4" w:space="0"/>
              <w:right w:val="single" w:color="auto" w:sz="4" w:space="0"/>
            </w:tcBorders>
            <w:noWrap w:val="0"/>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p>
        </w:tc>
        <w:tc>
          <w:tcPr>
            <w:tcW w:w="1200" w:type="dxa"/>
            <w:gridSpan w:val="2"/>
            <w:tcBorders>
              <w:top w:val="single" w:color="auto" w:sz="4" w:space="0"/>
              <w:left w:val="nil"/>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M值</w:t>
            </w:r>
          </w:p>
        </w:tc>
        <w:tc>
          <w:tcPr>
            <w:tcW w:w="1982" w:type="dxa"/>
            <w:gridSpan w:val="5"/>
            <w:tcBorders>
              <w:top w:val="single" w:color="auto" w:sz="4" w:space="0"/>
              <w:left w:val="nil"/>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M1□</w:t>
            </w:r>
          </w:p>
        </w:tc>
        <w:tc>
          <w:tcPr>
            <w:tcW w:w="1416" w:type="dxa"/>
            <w:gridSpan w:val="4"/>
            <w:tcBorders>
              <w:top w:val="single" w:color="auto" w:sz="4" w:space="0"/>
              <w:left w:val="nil"/>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M2□</w:t>
            </w:r>
          </w:p>
        </w:tc>
        <w:tc>
          <w:tcPr>
            <w:tcW w:w="1552" w:type="dxa"/>
            <w:gridSpan w:val="8"/>
            <w:tcBorders>
              <w:top w:val="single" w:color="auto" w:sz="4" w:space="0"/>
              <w:left w:val="nil"/>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M3□</w:t>
            </w:r>
          </w:p>
        </w:tc>
        <w:tc>
          <w:tcPr>
            <w:tcW w:w="1292" w:type="dxa"/>
            <w:gridSpan w:val="2"/>
            <w:tcBorders>
              <w:top w:val="single" w:color="auto" w:sz="4" w:space="0"/>
              <w:left w:val="nil"/>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M4□</w:t>
            </w:r>
          </w:p>
        </w:tc>
      </w:tr>
      <w:tr>
        <w:tblPrEx>
          <w:tblCellMar>
            <w:top w:w="0" w:type="dxa"/>
            <w:left w:w="108" w:type="dxa"/>
            <w:bottom w:w="0" w:type="dxa"/>
            <w:right w:w="108" w:type="dxa"/>
          </w:tblCellMar>
        </w:tblPrEx>
        <w:trPr>
          <w:trHeight w:val="397" w:hRule="atLeast"/>
        </w:trPr>
        <w:tc>
          <w:tcPr>
            <w:tcW w:w="1686" w:type="dxa"/>
            <w:gridSpan w:val="4"/>
            <w:vMerge w:val="continue"/>
            <w:tcBorders>
              <w:top w:val="nil"/>
              <w:left w:val="single" w:color="auto" w:sz="4" w:space="0"/>
              <w:bottom w:val="single" w:color="auto" w:sz="4" w:space="0"/>
              <w:right w:val="single" w:color="auto" w:sz="4" w:space="0"/>
            </w:tcBorders>
            <w:noWrap w:val="0"/>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p>
        </w:tc>
        <w:tc>
          <w:tcPr>
            <w:tcW w:w="1200" w:type="dxa"/>
            <w:gridSpan w:val="2"/>
            <w:tcBorders>
              <w:top w:val="single" w:color="auto" w:sz="4" w:space="0"/>
              <w:left w:val="nil"/>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P值</w:t>
            </w:r>
          </w:p>
        </w:tc>
        <w:tc>
          <w:tcPr>
            <w:tcW w:w="1982" w:type="dxa"/>
            <w:gridSpan w:val="5"/>
            <w:tcBorders>
              <w:top w:val="single" w:color="auto" w:sz="4" w:space="0"/>
              <w:left w:val="nil"/>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P1□</w:t>
            </w:r>
          </w:p>
        </w:tc>
        <w:tc>
          <w:tcPr>
            <w:tcW w:w="1416" w:type="dxa"/>
            <w:gridSpan w:val="4"/>
            <w:tcBorders>
              <w:top w:val="single" w:color="auto" w:sz="4" w:space="0"/>
              <w:left w:val="nil"/>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P2□</w:t>
            </w:r>
          </w:p>
        </w:tc>
        <w:tc>
          <w:tcPr>
            <w:tcW w:w="1552" w:type="dxa"/>
            <w:gridSpan w:val="8"/>
            <w:tcBorders>
              <w:top w:val="single" w:color="auto" w:sz="4" w:space="0"/>
              <w:left w:val="nil"/>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P3□</w:t>
            </w:r>
          </w:p>
        </w:tc>
        <w:tc>
          <w:tcPr>
            <w:tcW w:w="1292" w:type="dxa"/>
            <w:gridSpan w:val="2"/>
            <w:tcBorders>
              <w:top w:val="single" w:color="auto" w:sz="4" w:space="0"/>
              <w:left w:val="nil"/>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P4□</w:t>
            </w:r>
          </w:p>
        </w:tc>
      </w:tr>
      <w:tr>
        <w:tblPrEx>
          <w:tblCellMar>
            <w:top w:w="0" w:type="dxa"/>
            <w:left w:w="108" w:type="dxa"/>
            <w:bottom w:w="0" w:type="dxa"/>
            <w:right w:w="108" w:type="dxa"/>
          </w:tblCellMar>
        </w:tblPrEx>
        <w:trPr>
          <w:trHeight w:val="397" w:hRule="atLeast"/>
        </w:trPr>
        <w:tc>
          <w:tcPr>
            <w:tcW w:w="1686" w:type="dxa"/>
            <w:gridSpan w:val="4"/>
            <w:vMerge w:val="restart"/>
            <w:tcBorders>
              <w:top w:val="nil"/>
              <w:left w:val="single" w:color="auto" w:sz="4" w:space="0"/>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环境敏感</w:t>
            </w:r>
          </w:p>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程度</w:t>
            </w:r>
          </w:p>
        </w:tc>
        <w:tc>
          <w:tcPr>
            <w:tcW w:w="1200" w:type="dxa"/>
            <w:gridSpan w:val="2"/>
            <w:tcBorders>
              <w:top w:val="single" w:color="auto" w:sz="4" w:space="0"/>
              <w:left w:val="nil"/>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大气</w:t>
            </w:r>
          </w:p>
        </w:tc>
        <w:tc>
          <w:tcPr>
            <w:tcW w:w="2215" w:type="dxa"/>
            <w:gridSpan w:val="6"/>
            <w:tcBorders>
              <w:top w:val="single" w:color="auto" w:sz="4" w:space="0"/>
              <w:left w:val="nil"/>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E1□</w:t>
            </w:r>
          </w:p>
        </w:tc>
        <w:tc>
          <w:tcPr>
            <w:tcW w:w="2030" w:type="dxa"/>
            <w:gridSpan w:val="7"/>
            <w:tcBorders>
              <w:top w:val="single" w:color="auto" w:sz="4" w:space="0"/>
              <w:left w:val="nil"/>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E2</w:t>
            </w:r>
            <w:r>
              <w:rPr>
                <w:rFonts w:hint="default" w:ascii="Times New Roman" w:hAnsi="Times New Roman" w:eastAsia="宋体" w:cs="Times New Roman"/>
                <w:color w:val="auto"/>
                <w:sz w:val="21"/>
                <w:szCs w:val="21"/>
              </w:rPr>
              <w:sym w:font="Wingdings" w:char="00FE"/>
            </w:r>
          </w:p>
        </w:tc>
        <w:tc>
          <w:tcPr>
            <w:tcW w:w="1997" w:type="dxa"/>
            <w:gridSpan w:val="6"/>
            <w:tcBorders>
              <w:top w:val="single" w:color="auto" w:sz="4" w:space="0"/>
              <w:left w:val="nil"/>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E3□</w:t>
            </w:r>
          </w:p>
        </w:tc>
      </w:tr>
      <w:tr>
        <w:tblPrEx>
          <w:tblCellMar>
            <w:top w:w="0" w:type="dxa"/>
            <w:left w:w="108" w:type="dxa"/>
            <w:bottom w:w="0" w:type="dxa"/>
            <w:right w:w="108" w:type="dxa"/>
          </w:tblCellMar>
        </w:tblPrEx>
        <w:trPr>
          <w:trHeight w:val="397" w:hRule="atLeast"/>
        </w:trPr>
        <w:tc>
          <w:tcPr>
            <w:tcW w:w="1686" w:type="dxa"/>
            <w:gridSpan w:val="4"/>
            <w:vMerge w:val="continue"/>
            <w:tcBorders>
              <w:top w:val="nil"/>
              <w:left w:val="single" w:color="auto" w:sz="4" w:space="0"/>
              <w:bottom w:val="single" w:color="auto" w:sz="4" w:space="0"/>
              <w:right w:val="single" w:color="auto" w:sz="4" w:space="0"/>
            </w:tcBorders>
            <w:noWrap w:val="0"/>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p>
        </w:tc>
        <w:tc>
          <w:tcPr>
            <w:tcW w:w="1200" w:type="dxa"/>
            <w:gridSpan w:val="2"/>
            <w:tcBorders>
              <w:top w:val="single" w:color="auto" w:sz="4" w:space="0"/>
              <w:left w:val="nil"/>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地表水</w:t>
            </w:r>
          </w:p>
        </w:tc>
        <w:tc>
          <w:tcPr>
            <w:tcW w:w="2215" w:type="dxa"/>
            <w:gridSpan w:val="6"/>
            <w:tcBorders>
              <w:top w:val="single" w:color="auto" w:sz="4" w:space="0"/>
              <w:left w:val="nil"/>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E1□</w:t>
            </w:r>
          </w:p>
        </w:tc>
        <w:tc>
          <w:tcPr>
            <w:tcW w:w="2030" w:type="dxa"/>
            <w:gridSpan w:val="7"/>
            <w:tcBorders>
              <w:top w:val="single" w:color="auto" w:sz="4" w:space="0"/>
              <w:left w:val="nil"/>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E2□</w:t>
            </w:r>
          </w:p>
        </w:tc>
        <w:tc>
          <w:tcPr>
            <w:tcW w:w="1997" w:type="dxa"/>
            <w:gridSpan w:val="6"/>
            <w:tcBorders>
              <w:top w:val="single" w:color="auto" w:sz="4" w:space="0"/>
              <w:left w:val="nil"/>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E3</w:t>
            </w:r>
            <w:r>
              <w:rPr>
                <w:rFonts w:hint="default" w:ascii="Times New Roman" w:hAnsi="Times New Roman" w:eastAsia="宋体" w:cs="Times New Roman"/>
                <w:color w:val="auto"/>
                <w:sz w:val="21"/>
                <w:szCs w:val="21"/>
              </w:rPr>
              <w:sym w:font="Wingdings" w:char="00FE"/>
            </w:r>
          </w:p>
        </w:tc>
      </w:tr>
      <w:tr>
        <w:tblPrEx>
          <w:tblCellMar>
            <w:top w:w="0" w:type="dxa"/>
            <w:left w:w="108" w:type="dxa"/>
            <w:bottom w:w="0" w:type="dxa"/>
            <w:right w:w="108" w:type="dxa"/>
          </w:tblCellMar>
        </w:tblPrEx>
        <w:trPr>
          <w:trHeight w:val="397" w:hRule="atLeast"/>
        </w:trPr>
        <w:tc>
          <w:tcPr>
            <w:tcW w:w="1686" w:type="dxa"/>
            <w:gridSpan w:val="4"/>
            <w:vMerge w:val="continue"/>
            <w:tcBorders>
              <w:top w:val="nil"/>
              <w:left w:val="single" w:color="auto" w:sz="4" w:space="0"/>
              <w:bottom w:val="single" w:color="auto" w:sz="4" w:space="0"/>
              <w:right w:val="single" w:color="auto" w:sz="4" w:space="0"/>
            </w:tcBorders>
            <w:noWrap w:val="0"/>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p>
        </w:tc>
        <w:tc>
          <w:tcPr>
            <w:tcW w:w="1200" w:type="dxa"/>
            <w:gridSpan w:val="2"/>
            <w:tcBorders>
              <w:top w:val="single" w:color="auto" w:sz="4" w:space="0"/>
              <w:left w:val="nil"/>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地下水</w:t>
            </w:r>
          </w:p>
        </w:tc>
        <w:tc>
          <w:tcPr>
            <w:tcW w:w="2215" w:type="dxa"/>
            <w:gridSpan w:val="6"/>
            <w:tcBorders>
              <w:top w:val="single" w:color="auto" w:sz="4" w:space="0"/>
              <w:left w:val="nil"/>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E1□</w:t>
            </w:r>
          </w:p>
        </w:tc>
        <w:tc>
          <w:tcPr>
            <w:tcW w:w="2030" w:type="dxa"/>
            <w:gridSpan w:val="7"/>
            <w:tcBorders>
              <w:top w:val="single" w:color="auto" w:sz="4" w:space="0"/>
              <w:left w:val="nil"/>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E2□</w:t>
            </w:r>
          </w:p>
        </w:tc>
        <w:tc>
          <w:tcPr>
            <w:tcW w:w="1997" w:type="dxa"/>
            <w:gridSpan w:val="6"/>
            <w:tcBorders>
              <w:top w:val="single" w:color="auto" w:sz="4" w:space="0"/>
              <w:left w:val="nil"/>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E3</w:t>
            </w:r>
            <w:r>
              <w:rPr>
                <w:rFonts w:hint="default" w:ascii="Times New Roman" w:hAnsi="Times New Roman" w:eastAsia="宋体" w:cs="Times New Roman"/>
                <w:color w:val="auto"/>
                <w:sz w:val="21"/>
                <w:szCs w:val="21"/>
              </w:rPr>
              <w:sym w:font="Wingdings" w:char="00FE"/>
            </w:r>
          </w:p>
        </w:tc>
      </w:tr>
      <w:tr>
        <w:tblPrEx>
          <w:tblCellMar>
            <w:top w:w="0" w:type="dxa"/>
            <w:left w:w="108" w:type="dxa"/>
            <w:bottom w:w="0" w:type="dxa"/>
            <w:right w:w="108" w:type="dxa"/>
          </w:tblCellMar>
        </w:tblPrEx>
        <w:trPr>
          <w:trHeight w:val="397" w:hRule="atLeast"/>
        </w:trPr>
        <w:tc>
          <w:tcPr>
            <w:tcW w:w="1686" w:type="dxa"/>
            <w:gridSpan w:val="4"/>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环境风险潜势</w:t>
            </w:r>
          </w:p>
        </w:tc>
        <w:tc>
          <w:tcPr>
            <w:tcW w:w="2077" w:type="dxa"/>
            <w:gridSpan w:val="3"/>
            <w:tcBorders>
              <w:top w:val="single" w:color="auto" w:sz="4" w:space="0"/>
              <w:left w:val="nil"/>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Ⅳ</w:t>
            </w:r>
            <w:r>
              <w:rPr>
                <w:rFonts w:hint="default" w:ascii="Times New Roman" w:hAnsi="Times New Roman" w:eastAsia="宋体" w:cs="Times New Roman"/>
                <w:color w:val="auto"/>
                <w:sz w:val="21"/>
                <w:szCs w:val="21"/>
                <w:vertAlign w:val="superscript"/>
              </w:rPr>
              <w:t>+</w:t>
            </w:r>
            <w:r>
              <w:rPr>
                <w:rFonts w:hint="default" w:ascii="Times New Roman" w:hAnsi="Times New Roman" w:eastAsia="宋体" w:cs="Times New Roman"/>
                <w:color w:val="auto"/>
                <w:sz w:val="21"/>
                <w:szCs w:val="21"/>
              </w:rPr>
              <w:t>□</w:t>
            </w:r>
          </w:p>
        </w:tc>
        <w:tc>
          <w:tcPr>
            <w:tcW w:w="1338" w:type="dxa"/>
            <w:gridSpan w:val="5"/>
            <w:tcBorders>
              <w:top w:val="single" w:color="auto" w:sz="4" w:space="0"/>
              <w:left w:val="nil"/>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Ⅳ□</w:t>
            </w:r>
          </w:p>
        </w:tc>
        <w:tc>
          <w:tcPr>
            <w:tcW w:w="1339" w:type="dxa"/>
            <w:gridSpan w:val="4"/>
            <w:tcBorders>
              <w:top w:val="single" w:color="auto" w:sz="4" w:space="0"/>
              <w:left w:val="nil"/>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Ⅲ□</w:t>
            </w:r>
          </w:p>
        </w:tc>
        <w:tc>
          <w:tcPr>
            <w:tcW w:w="1338" w:type="dxa"/>
            <w:gridSpan w:val="6"/>
            <w:tcBorders>
              <w:top w:val="single" w:color="auto" w:sz="4" w:space="0"/>
              <w:left w:val="nil"/>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Ⅱ□</w:t>
            </w:r>
          </w:p>
        </w:tc>
        <w:tc>
          <w:tcPr>
            <w:tcW w:w="1350" w:type="dxa"/>
            <w:gridSpan w:val="3"/>
            <w:tcBorders>
              <w:top w:val="single" w:color="auto" w:sz="4" w:space="0"/>
              <w:left w:val="nil"/>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I</w:t>
            </w:r>
            <w:r>
              <w:rPr>
                <w:rFonts w:hint="default" w:ascii="Times New Roman" w:hAnsi="Times New Roman" w:eastAsia="宋体" w:cs="Times New Roman"/>
                <w:color w:val="auto"/>
                <w:sz w:val="21"/>
                <w:szCs w:val="21"/>
              </w:rPr>
              <w:sym w:font="Wingdings" w:char="00FE"/>
            </w:r>
          </w:p>
        </w:tc>
      </w:tr>
      <w:tr>
        <w:tblPrEx>
          <w:tblCellMar>
            <w:top w:w="0" w:type="dxa"/>
            <w:left w:w="108" w:type="dxa"/>
            <w:bottom w:w="0" w:type="dxa"/>
            <w:right w:w="108" w:type="dxa"/>
          </w:tblCellMar>
        </w:tblPrEx>
        <w:trPr>
          <w:trHeight w:val="397" w:hRule="atLeast"/>
        </w:trPr>
        <w:tc>
          <w:tcPr>
            <w:tcW w:w="1686" w:type="dxa"/>
            <w:gridSpan w:val="4"/>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评价等级</w:t>
            </w:r>
          </w:p>
        </w:tc>
        <w:tc>
          <w:tcPr>
            <w:tcW w:w="2415" w:type="dxa"/>
            <w:gridSpan w:val="4"/>
            <w:tcBorders>
              <w:top w:val="single" w:color="auto" w:sz="4" w:space="0"/>
              <w:left w:val="nil"/>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一级□</w:t>
            </w:r>
          </w:p>
        </w:tc>
        <w:tc>
          <w:tcPr>
            <w:tcW w:w="1000" w:type="dxa"/>
            <w:gridSpan w:val="4"/>
            <w:tcBorders>
              <w:top w:val="single" w:color="auto" w:sz="4" w:space="0"/>
              <w:left w:val="nil"/>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二级□</w:t>
            </w:r>
          </w:p>
        </w:tc>
        <w:tc>
          <w:tcPr>
            <w:tcW w:w="2349" w:type="dxa"/>
            <w:gridSpan w:val="8"/>
            <w:tcBorders>
              <w:top w:val="single" w:color="auto" w:sz="4" w:space="0"/>
              <w:left w:val="nil"/>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三级□</w:t>
            </w:r>
          </w:p>
        </w:tc>
        <w:tc>
          <w:tcPr>
            <w:tcW w:w="1678" w:type="dxa"/>
            <w:gridSpan w:val="5"/>
            <w:tcBorders>
              <w:top w:val="single" w:color="auto" w:sz="4" w:space="0"/>
              <w:left w:val="nil"/>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简单分析</w:t>
            </w:r>
            <w:r>
              <w:rPr>
                <w:rFonts w:hint="default" w:ascii="Times New Roman" w:hAnsi="Times New Roman" w:eastAsia="宋体" w:cs="Times New Roman"/>
                <w:color w:val="auto"/>
                <w:sz w:val="21"/>
                <w:szCs w:val="21"/>
              </w:rPr>
              <w:sym w:font="Wingdings" w:char="00FE"/>
            </w:r>
          </w:p>
        </w:tc>
      </w:tr>
      <w:tr>
        <w:tblPrEx>
          <w:tblCellMar>
            <w:top w:w="0" w:type="dxa"/>
            <w:left w:w="108" w:type="dxa"/>
            <w:bottom w:w="0" w:type="dxa"/>
            <w:right w:w="108" w:type="dxa"/>
          </w:tblCellMar>
        </w:tblPrEx>
        <w:trPr>
          <w:trHeight w:val="397" w:hRule="atLeast"/>
        </w:trPr>
        <w:tc>
          <w:tcPr>
            <w:tcW w:w="396" w:type="dxa"/>
            <w:vMerge w:val="restart"/>
            <w:tcBorders>
              <w:top w:val="nil"/>
              <w:left w:val="single" w:color="auto" w:sz="4" w:space="0"/>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风</w:t>
            </w:r>
          </w:p>
          <w:p>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险</w:t>
            </w:r>
          </w:p>
          <w:p>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识</w:t>
            </w:r>
          </w:p>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别</w:t>
            </w:r>
          </w:p>
        </w:tc>
        <w:tc>
          <w:tcPr>
            <w:tcW w:w="1290" w:type="dxa"/>
            <w:gridSpan w:val="3"/>
            <w:tcBorders>
              <w:top w:val="single" w:color="auto" w:sz="4" w:space="0"/>
              <w:left w:val="nil"/>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物质危险性</w:t>
            </w:r>
          </w:p>
        </w:tc>
        <w:tc>
          <w:tcPr>
            <w:tcW w:w="3415" w:type="dxa"/>
            <w:gridSpan w:val="8"/>
            <w:tcBorders>
              <w:top w:val="single" w:color="auto" w:sz="4" w:space="0"/>
              <w:left w:val="nil"/>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有毒有害</w:t>
            </w:r>
            <w:r>
              <w:rPr>
                <w:rFonts w:hint="default" w:ascii="Times New Roman" w:hAnsi="Times New Roman" w:eastAsia="宋体" w:cs="Times New Roman"/>
                <w:color w:val="auto"/>
                <w:sz w:val="21"/>
                <w:szCs w:val="21"/>
              </w:rPr>
              <w:sym w:font="Wingdings 2" w:char="0052"/>
            </w:r>
          </w:p>
        </w:tc>
        <w:tc>
          <w:tcPr>
            <w:tcW w:w="4027" w:type="dxa"/>
            <w:gridSpan w:val="13"/>
            <w:tcBorders>
              <w:top w:val="single" w:color="auto" w:sz="4" w:space="0"/>
              <w:left w:val="nil"/>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易燃易爆</w:t>
            </w:r>
            <w:r>
              <w:rPr>
                <w:rFonts w:hint="default" w:ascii="Times New Roman" w:hAnsi="Times New Roman" w:eastAsia="宋体" w:cs="Times New Roman"/>
                <w:color w:val="auto"/>
                <w:sz w:val="21"/>
                <w:szCs w:val="21"/>
              </w:rPr>
              <w:sym w:font="Wingdings 2" w:char="0052"/>
            </w:r>
          </w:p>
        </w:tc>
      </w:tr>
      <w:tr>
        <w:tblPrEx>
          <w:tblCellMar>
            <w:top w:w="0" w:type="dxa"/>
            <w:left w:w="108" w:type="dxa"/>
            <w:bottom w:w="0" w:type="dxa"/>
            <w:right w:w="108" w:type="dxa"/>
          </w:tblCellMar>
        </w:tblPrEx>
        <w:trPr>
          <w:trHeight w:val="397" w:hRule="atLeast"/>
        </w:trPr>
        <w:tc>
          <w:tcPr>
            <w:tcW w:w="396" w:type="dxa"/>
            <w:vMerge w:val="continue"/>
            <w:tcBorders>
              <w:top w:val="nil"/>
              <w:left w:val="single" w:color="auto" w:sz="4" w:space="0"/>
              <w:bottom w:val="single" w:color="auto" w:sz="4" w:space="0"/>
              <w:right w:val="single" w:color="auto" w:sz="4" w:space="0"/>
            </w:tcBorders>
            <w:noWrap w:val="0"/>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p>
        </w:tc>
        <w:tc>
          <w:tcPr>
            <w:tcW w:w="1290" w:type="dxa"/>
            <w:gridSpan w:val="3"/>
            <w:tcBorders>
              <w:top w:val="single" w:color="auto" w:sz="4" w:space="0"/>
              <w:left w:val="nil"/>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环境风险类型</w:t>
            </w:r>
          </w:p>
        </w:tc>
        <w:tc>
          <w:tcPr>
            <w:tcW w:w="3415" w:type="dxa"/>
            <w:gridSpan w:val="8"/>
            <w:tcBorders>
              <w:top w:val="single" w:color="auto" w:sz="4" w:space="0"/>
              <w:left w:val="nil"/>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泄漏</w:t>
            </w:r>
            <w:r>
              <w:rPr>
                <w:rFonts w:hint="default" w:ascii="Times New Roman" w:hAnsi="Times New Roman" w:eastAsia="宋体" w:cs="Times New Roman"/>
                <w:color w:val="auto"/>
                <w:sz w:val="21"/>
                <w:szCs w:val="21"/>
              </w:rPr>
              <w:sym w:font="Wingdings 2" w:char="0052"/>
            </w:r>
          </w:p>
        </w:tc>
        <w:tc>
          <w:tcPr>
            <w:tcW w:w="4027" w:type="dxa"/>
            <w:gridSpan w:val="13"/>
            <w:tcBorders>
              <w:top w:val="single" w:color="auto" w:sz="4" w:space="0"/>
              <w:left w:val="nil"/>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火灾、爆炸引发伴生/次生污染物排放</w:t>
            </w:r>
            <w:r>
              <w:rPr>
                <w:rFonts w:hint="default" w:ascii="Times New Roman" w:hAnsi="Times New Roman" w:eastAsia="宋体" w:cs="Times New Roman"/>
                <w:color w:val="auto"/>
                <w:sz w:val="21"/>
                <w:szCs w:val="21"/>
              </w:rPr>
              <w:sym w:font="Wingdings 2" w:char="0052"/>
            </w:r>
          </w:p>
        </w:tc>
      </w:tr>
      <w:tr>
        <w:tblPrEx>
          <w:tblCellMar>
            <w:top w:w="0" w:type="dxa"/>
            <w:left w:w="108" w:type="dxa"/>
            <w:bottom w:w="0" w:type="dxa"/>
            <w:right w:w="108" w:type="dxa"/>
          </w:tblCellMar>
        </w:tblPrEx>
        <w:trPr>
          <w:trHeight w:val="397" w:hRule="atLeast"/>
        </w:trPr>
        <w:tc>
          <w:tcPr>
            <w:tcW w:w="396" w:type="dxa"/>
            <w:vMerge w:val="continue"/>
            <w:tcBorders>
              <w:top w:val="nil"/>
              <w:left w:val="single" w:color="auto" w:sz="4" w:space="0"/>
              <w:bottom w:val="single" w:color="auto" w:sz="4" w:space="0"/>
              <w:right w:val="single" w:color="auto" w:sz="4" w:space="0"/>
            </w:tcBorders>
            <w:noWrap w:val="0"/>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p>
        </w:tc>
        <w:tc>
          <w:tcPr>
            <w:tcW w:w="1290" w:type="dxa"/>
            <w:gridSpan w:val="3"/>
            <w:tcBorders>
              <w:top w:val="single" w:color="auto" w:sz="4" w:space="0"/>
              <w:left w:val="nil"/>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影响途径</w:t>
            </w:r>
          </w:p>
        </w:tc>
        <w:tc>
          <w:tcPr>
            <w:tcW w:w="2970" w:type="dxa"/>
            <w:gridSpan w:val="6"/>
            <w:tcBorders>
              <w:top w:val="single" w:color="auto" w:sz="4" w:space="0"/>
              <w:left w:val="nil"/>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大气</w:t>
            </w:r>
            <w:r>
              <w:rPr>
                <w:rFonts w:hint="default" w:ascii="Times New Roman" w:hAnsi="Times New Roman" w:eastAsia="宋体" w:cs="Times New Roman"/>
                <w:color w:val="auto"/>
                <w:sz w:val="21"/>
                <w:szCs w:val="21"/>
              </w:rPr>
              <w:sym w:font="Wingdings" w:char="00FE"/>
            </w:r>
          </w:p>
        </w:tc>
        <w:tc>
          <w:tcPr>
            <w:tcW w:w="2230" w:type="dxa"/>
            <w:gridSpan w:val="7"/>
            <w:tcBorders>
              <w:top w:val="single" w:color="auto" w:sz="4" w:space="0"/>
              <w:left w:val="nil"/>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地表水</w:t>
            </w:r>
            <w:r>
              <w:rPr>
                <w:rFonts w:hint="default" w:ascii="Times New Roman" w:hAnsi="Times New Roman" w:eastAsia="宋体" w:cs="Times New Roman"/>
                <w:color w:val="auto"/>
                <w:sz w:val="21"/>
                <w:szCs w:val="21"/>
              </w:rPr>
              <w:sym w:font="Wingdings 2" w:char="0052"/>
            </w:r>
          </w:p>
        </w:tc>
        <w:tc>
          <w:tcPr>
            <w:tcW w:w="2242" w:type="dxa"/>
            <w:gridSpan w:val="8"/>
            <w:tcBorders>
              <w:top w:val="single" w:color="auto" w:sz="4" w:space="0"/>
              <w:left w:val="nil"/>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地下水</w:t>
            </w:r>
            <w:r>
              <w:rPr>
                <w:rFonts w:hint="default" w:ascii="Times New Roman" w:hAnsi="Times New Roman" w:eastAsia="宋体" w:cs="Times New Roman"/>
                <w:color w:val="auto"/>
                <w:sz w:val="21"/>
                <w:szCs w:val="21"/>
              </w:rPr>
              <w:sym w:font="Wingdings 2" w:char="0052"/>
            </w:r>
          </w:p>
        </w:tc>
      </w:tr>
      <w:tr>
        <w:tblPrEx>
          <w:tblCellMar>
            <w:top w:w="0" w:type="dxa"/>
            <w:left w:w="108" w:type="dxa"/>
            <w:bottom w:w="0" w:type="dxa"/>
            <w:right w:w="108" w:type="dxa"/>
          </w:tblCellMar>
        </w:tblPrEx>
        <w:trPr>
          <w:trHeight w:val="397" w:hRule="atLeast"/>
        </w:trPr>
        <w:tc>
          <w:tcPr>
            <w:tcW w:w="1686" w:type="dxa"/>
            <w:gridSpan w:val="4"/>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事故情形分析</w:t>
            </w:r>
          </w:p>
        </w:tc>
        <w:tc>
          <w:tcPr>
            <w:tcW w:w="2415" w:type="dxa"/>
            <w:gridSpan w:val="4"/>
            <w:tcBorders>
              <w:top w:val="single" w:color="auto" w:sz="4" w:space="0"/>
              <w:left w:val="nil"/>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源强设定方法</w:t>
            </w:r>
          </w:p>
        </w:tc>
        <w:tc>
          <w:tcPr>
            <w:tcW w:w="1674" w:type="dxa"/>
            <w:gridSpan w:val="6"/>
            <w:tcBorders>
              <w:top w:val="single" w:color="auto" w:sz="4" w:space="0"/>
              <w:left w:val="nil"/>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计算法□</w:t>
            </w:r>
          </w:p>
        </w:tc>
        <w:tc>
          <w:tcPr>
            <w:tcW w:w="1675" w:type="dxa"/>
            <w:gridSpan w:val="6"/>
            <w:tcBorders>
              <w:top w:val="single" w:color="auto" w:sz="4" w:space="0"/>
              <w:left w:val="nil"/>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经验估算法□</w:t>
            </w:r>
          </w:p>
        </w:tc>
        <w:tc>
          <w:tcPr>
            <w:tcW w:w="1678" w:type="dxa"/>
            <w:gridSpan w:val="5"/>
            <w:tcBorders>
              <w:top w:val="single" w:color="auto" w:sz="4" w:space="0"/>
              <w:left w:val="nil"/>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其他估算法□</w:t>
            </w:r>
          </w:p>
        </w:tc>
      </w:tr>
      <w:tr>
        <w:tblPrEx>
          <w:tblCellMar>
            <w:top w:w="0" w:type="dxa"/>
            <w:left w:w="108" w:type="dxa"/>
            <w:bottom w:w="0" w:type="dxa"/>
            <w:right w:w="108" w:type="dxa"/>
          </w:tblCellMar>
        </w:tblPrEx>
        <w:trPr>
          <w:trHeight w:val="397" w:hRule="atLeast"/>
        </w:trPr>
        <w:tc>
          <w:tcPr>
            <w:tcW w:w="928" w:type="dxa"/>
            <w:gridSpan w:val="3"/>
            <w:vMerge w:val="restart"/>
            <w:tcBorders>
              <w:top w:val="nil"/>
              <w:left w:val="single" w:color="auto" w:sz="4" w:space="0"/>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风险预测与评价</w:t>
            </w:r>
          </w:p>
        </w:tc>
        <w:tc>
          <w:tcPr>
            <w:tcW w:w="758" w:type="dxa"/>
            <w:vMerge w:val="restart"/>
            <w:tcBorders>
              <w:top w:val="nil"/>
              <w:left w:val="nil"/>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大气</w:t>
            </w:r>
          </w:p>
        </w:tc>
        <w:tc>
          <w:tcPr>
            <w:tcW w:w="2415" w:type="dxa"/>
            <w:gridSpan w:val="4"/>
            <w:tcBorders>
              <w:top w:val="single" w:color="auto" w:sz="4" w:space="0"/>
              <w:left w:val="nil"/>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预测模型</w:t>
            </w:r>
          </w:p>
        </w:tc>
        <w:tc>
          <w:tcPr>
            <w:tcW w:w="1674" w:type="dxa"/>
            <w:gridSpan w:val="6"/>
            <w:tcBorders>
              <w:top w:val="single" w:color="auto" w:sz="4" w:space="0"/>
              <w:left w:val="nil"/>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SLAB□</w:t>
            </w:r>
          </w:p>
        </w:tc>
        <w:tc>
          <w:tcPr>
            <w:tcW w:w="1675" w:type="dxa"/>
            <w:gridSpan w:val="6"/>
            <w:tcBorders>
              <w:top w:val="single" w:color="auto" w:sz="4" w:space="0"/>
              <w:left w:val="nil"/>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AFTOX□</w:t>
            </w:r>
          </w:p>
        </w:tc>
        <w:tc>
          <w:tcPr>
            <w:tcW w:w="1678" w:type="dxa"/>
            <w:gridSpan w:val="5"/>
            <w:tcBorders>
              <w:top w:val="single" w:color="auto" w:sz="4" w:space="0"/>
              <w:left w:val="nil"/>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其他□</w:t>
            </w:r>
          </w:p>
        </w:tc>
      </w:tr>
      <w:tr>
        <w:tblPrEx>
          <w:tblCellMar>
            <w:top w:w="0" w:type="dxa"/>
            <w:left w:w="108" w:type="dxa"/>
            <w:bottom w:w="0" w:type="dxa"/>
            <w:right w:w="108" w:type="dxa"/>
          </w:tblCellMar>
        </w:tblPrEx>
        <w:trPr>
          <w:trHeight w:val="397" w:hRule="atLeast"/>
        </w:trPr>
        <w:tc>
          <w:tcPr>
            <w:tcW w:w="928" w:type="dxa"/>
            <w:gridSpan w:val="3"/>
            <w:vMerge w:val="continue"/>
            <w:tcBorders>
              <w:top w:val="nil"/>
              <w:left w:val="single" w:color="auto" w:sz="4" w:space="0"/>
              <w:bottom w:val="single" w:color="auto" w:sz="4" w:space="0"/>
              <w:right w:val="single" w:color="auto" w:sz="4" w:space="0"/>
            </w:tcBorders>
            <w:noWrap w:val="0"/>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p>
        </w:tc>
        <w:tc>
          <w:tcPr>
            <w:tcW w:w="758" w:type="dxa"/>
            <w:vMerge w:val="continue"/>
            <w:tcBorders>
              <w:top w:val="nil"/>
              <w:left w:val="nil"/>
              <w:bottom w:val="single" w:color="auto" w:sz="4" w:space="0"/>
              <w:right w:val="single" w:color="auto" w:sz="4" w:space="0"/>
            </w:tcBorders>
            <w:noWrap w:val="0"/>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p>
        </w:tc>
        <w:tc>
          <w:tcPr>
            <w:tcW w:w="2415" w:type="dxa"/>
            <w:gridSpan w:val="4"/>
            <w:tcBorders>
              <w:top w:val="nil"/>
              <w:left w:val="nil"/>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预测结果</w:t>
            </w:r>
          </w:p>
        </w:tc>
        <w:tc>
          <w:tcPr>
            <w:tcW w:w="5027" w:type="dxa"/>
            <w:gridSpan w:val="17"/>
            <w:tcBorders>
              <w:top w:val="single" w:color="auto" w:sz="4" w:space="0"/>
              <w:left w:val="nil"/>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大气毒性终点浓度-1 最大影响范围</w:t>
            </w:r>
            <w:r>
              <w:rPr>
                <w:rFonts w:hint="default" w:ascii="Times New Roman" w:hAnsi="Times New Roman" w:eastAsia="宋体" w:cs="Times New Roman"/>
                <w:color w:val="auto"/>
                <w:sz w:val="21"/>
                <w:szCs w:val="21"/>
                <w:u w:val="single"/>
              </w:rPr>
              <w:t xml:space="preserve">   </w:t>
            </w:r>
            <w:r>
              <w:rPr>
                <w:rFonts w:hint="default" w:ascii="Times New Roman" w:hAnsi="Times New Roman" w:eastAsia="宋体" w:cs="Times New Roman"/>
                <w:color w:val="auto"/>
                <w:sz w:val="21"/>
                <w:szCs w:val="21"/>
                <w:u w:val="single"/>
                <w:lang w:val="en-US" w:eastAsia="zh-CN"/>
              </w:rPr>
              <w:t>/</w:t>
            </w:r>
            <w:r>
              <w:rPr>
                <w:rFonts w:hint="default" w:ascii="Times New Roman" w:hAnsi="Times New Roman" w:eastAsia="宋体" w:cs="Times New Roman"/>
                <w:color w:val="auto"/>
                <w:sz w:val="21"/>
                <w:szCs w:val="21"/>
                <w:u w:val="single"/>
              </w:rPr>
              <w:t xml:space="preserve">  </w:t>
            </w:r>
            <w:r>
              <w:rPr>
                <w:rFonts w:hint="default" w:ascii="Times New Roman" w:hAnsi="Times New Roman" w:eastAsia="宋体" w:cs="Times New Roman"/>
                <w:color w:val="auto"/>
                <w:sz w:val="21"/>
                <w:szCs w:val="21"/>
              </w:rPr>
              <w:t>m</w:t>
            </w:r>
          </w:p>
        </w:tc>
      </w:tr>
      <w:tr>
        <w:tblPrEx>
          <w:tblCellMar>
            <w:top w:w="0" w:type="dxa"/>
            <w:left w:w="108" w:type="dxa"/>
            <w:bottom w:w="0" w:type="dxa"/>
            <w:right w:w="108" w:type="dxa"/>
          </w:tblCellMar>
        </w:tblPrEx>
        <w:trPr>
          <w:trHeight w:val="397" w:hRule="atLeast"/>
        </w:trPr>
        <w:tc>
          <w:tcPr>
            <w:tcW w:w="928" w:type="dxa"/>
            <w:gridSpan w:val="3"/>
            <w:vMerge w:val="continue"/>
            <w:tcBorders>
              <w:top w:val="nil"/>
              <w:left w:val="single" w:color="auto" w:sz="4" w:space="0"/>
              <w:bottom w:val="single" w:color="auto" w:sz="4" w:space="0"/>
              <w:right w:val="single" w:color="auto" w:sz="4" w:space="0"/>
            </w:tcBorders>
            <w:noWrap w:val="0"/>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p>
        </w:tc>
        <w:tc>
          <w:tcPr>
            <w:tcW w:w="1499" w:type="dxa"/>
            <w:gridSpan w:val="2"/>
            <w:tcBorders>
              <w:top w:val="nil"/>
              <w:left w:val="nil"/>
              <w:bottom w:val="single" w:color="auto" w:sz="4" w:space="0"/>
              <w:right w:val="single" w:color="auto" w:sz="4" w:space="0"/>
            </w:tcBorders>
            <w:noWrap w:val="0"/>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p>
        </w:tc>
        <w:tc>
          <w:tcPr>
            <w:tcW w:w="1674" w:type="dxa"/>
            <w:gridSpan w:val="3"/>
            <w:tcBorders>
              <w:top w:val="nil"/>
              <w:left w:val="nil"/>
              <w:bottom w:val="single" w:color="auto" w:sz="4" w:space="0"/>
              <w:right w:val="single" w:color="auto" w:sz="4" w:space="0"/>
            </w:tcBorders>
            <w:noWrap w:val="0"/>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p>
        </w:tc>
        <w:tc>
          <w:tcPr>
            <w:tcW w:w="5027" w:type="dxa"/>
            <w:gridSpan w:val="17"/>
            <w:tcBorders>
              <w:top w:val="single" w:color="auto" w:sz="4" w:space="0"/>
              <w:left w:val="nil"/>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大气毒性终点浓度-2 最大影响范围</w:t>
            </w:r>
            <w:r>
              <w:rPr>
                <w:rFonts w:hint="default" w:ascii="Times New Roman" w:hAnsi="Times New Roman" w:eastAsia="宋体" w:cs="Times New Roman"/>
                <w:color w:val="auto"/>
                <w:sz w:val="21"/>
                <w:szCs w:val="21"/>
                <w:u w:val="single"/>
              </w:rPr>
              <w:t xml:space="preserve">   </w:t>
            </w:r>
            <w:r>
              <w:rPr>
                <w:rFonts w:hint="default" w:ascii="Times New Roman" w:hAnsi="Times New Roman" w:eastAsia="宋体" w:cs="Times New Roman"/>
                <w:color w:val="auto"/>
                <w:sz w:val="21"/>
                <w:szCs w:val="21"/>
                <w:u w:val="single"/>
                <w:lang w:val="en-US" w:eastAsia="zh-CN"/>
              </w:rPr>
              <w:t>/</w:t>
            </w:r>
            <w:r>
              <w:rPr>
                <w:rFonts w:hint="default" w:ascii="Times New Roman" w:hAnsi="Times New Roman" w:eastAsia="宋体" w:cs="Times New Roman"/>
                <w:color w:val="auto"/>
                <w:sz w:val="21"/>
                <w:szCs w:val="21"/>
                <w:u w:val="single"/>
              </w:rPr>
              <w:t xml:space="preserve">  </w:t>
            </w:r>
            <w:r>
              <w:rPr>
                <w:rFonts w:hint="default" w:ascii="Times New Roman" w:hAnsi="Times New Roman" w:eastAsia="宋体" w:cs="Times New Roman"/>
                <w:color w:val="auto"/>
                <w:sz w:val="21"/>
                <w:szCs w:val="21"/>
              </w:rPr>
              <w:t>m</w:t>
            </w:r>
          </w:p>
        </w:tc>
      </w:tr>
      <w:tr>
        <w:tblPrEx>
          <w:tblCellMar>
            <w:top w:w="0" w:type="dxa"/>
            <w:left w:w="108" w:type="dxa"/>
            <w:bottom w:w="0" w:type="dxa"/>
            <w:right w:w="108" w:type="dxa"/>
          </w:tblCellMar>
        </w:tblPrEx>
        <w:trPr>
          <w:trHeight w:val="397" w:hRule="atLeast"/>
        </w:trPr>
        <w:tc>
          <w:tcPr>
            <w:tcW w:w="928" w:type="dxa"/>
            <w:gridSpan w:val="3"/>
            <w:vMerge w:val="continue"/>
            <w:tcBorders>
              <w:top w:val="nil"/>
              <w:left w:val="single" w:color="auto" w:sz="4" w:space="0"/>
              <w:bottom w:val="single" w:color="auto" w:sz="4" w:space="0"/>
              <w:right w:val="single" w:color="auto" w:sz="4" w:space="0"/>
            </w:tcBorders>
            <w:noWrap w:val="0"/>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p>
        </w:tc>
        <w:tc>
          <w:tcPr>
            <w:tcW w:w="1499" w:type="dxa"/>
            <w:gridSpan w:val="2"/>
            <w:tcBorders>
              <w:top w:val="single" w:color="auto" w:sz="4" w:space="0"/>
              <w:left w:val="nil"/>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地表水</w:t>
            </w:r>
          </w:p>
        </w:tc>
        <w:tc>
          <w:tcPr>
            <w:tcW w:w="6701" w:type="dxa"/>
            <w:gridSpan w:val="20"/>
            <w:tcBorders>
              <w:top w:val="single" w:color="auto" w:sz="4" w:space="0"/>
              <w:left w:val="nil"/>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最近环境敏感目标</w:t>
            </w:r>
            <w:r>
              <w:rPr>
                <w:rFonts w:hint="default" w:ascii="Times New Roman" w:hAnsi="Times New Roman" w:eastAsia="宋体" w:cs="Times New Roman"/>
                <w:color w:val="auto"/>
                <w:sz w:val="21"/>
                <w:szCs w:val="21"/>
                <w:u w:val="single"/>
              </w:rPr>
              <w:t xml:space="preserve">   </w:t>
            </w:r>
            <w:r>
              <w:rPr>
                <w:rFonts w:hint="default" w:ascii="Times New Roman" w:hAnsi="Times New Roman" w:eastAsia="宋体" w:cs="Times New Roman"/>
                <w:color w:val="auto"/>
                <w:sz w:val="21"/>
                <w:szCs w:val="21"/>
                <w:u w:val="single"/>
                <w:lang w:val="en-US" w:eastAsia="zh-CN"/>
              </w:rPr>
              <w:t>/</w:t>
            </w:r>
            <w:r>
              <w:rPr>
                <w:rFonts w:hint="default" w:ascii="Times New Roman" w:hAnsi="Times New Roman" w:eastAsia="宋体" w:cs="Times New Roman"/>
                <w:color w:val="auto"/>
                <w:sz w:val="21"/>
                <w:szCs w:val="21"/>
                <w:u w:val="single"/>
              </w:rPr>
              <w:t xml:space="preserve">   </w:t>
            </w:r>
            <w:r>
              <w:rPr>
                <w:rFonts w:hint="default" w:ascii="Times New Roman" w:hAnsi="Times New Roman" w:eastAsia="宋体" w:cs="Times New Roman"/>
                <w:color w:val="auto"/>
                <w:sz w:val="21"/>
                <w:szCs w:val="21"/>
              </w:rPr>
              <w:t>，到达时间</w:t>
            </w:r>
            <w:r>
              <w:rPr>
                <w:rFonts w:hint="default" w:ascii="Times New Roman" w:hAnsi="Times New Roman" w:eastAsia="宋体" w:cs="Times New Roman"/>
                <w:color w:val="auto"/>
                <w:sz w:val="21"/>
                <w:szCs w:val="21"/>
                <w:u w:val="single"/>
              </w:rPr>
              <w:t xml:space="preserve">   </w:t>
            </w:r>
            <w:r>
              <w:rPr>
                <w:rFonts w:hint="default" w:ascii="Times New Roman" w:hAnsi="Times New Roman" w:eastAsia="宋体" w:cs="Times New Roman"/>
                <w:color w:val="auto"/>
                <w:sz w:val="21"/>
                <w:szCs w:val="21"/>
                <w:u w:val="single"/>
                <w:lang w:val="en-US" w:eastAsia="zh-CN"/>
              </w:rPr>
              <w:t>/</w:t>
            </w:r>
            <w:r>
              <w:rPr>
                <w:rFonts w:hint="default" w:ascii="Times New Roman" w:hAnsi="Times New Roman" w:eastAsia="宋体" w:cs="Times New Roman"/>
                <w:color w:val="auto"/>
                <w:sz w:val="21"/>
                <w:szCs w:val="21"/>
                <w:u w:val="single"/>
              </w:rPr>
              <w:t xml:space="preserve">   </w:t>
            </w:r>
            <w:r>
              <w:rPr>
                <w:rFonts w:hint="default" w:ascii="Times New Roman" w:hAnsi="Times New Roman" w:eastAsia="宋体" w:cs="Times New Roman"/>
                <w:color w:val="auto"/>
                <w:sz w:val="21"/>
                <w:szCs w:val="21"/>
              </w:rPr>
              <w:t>h</w:t>
            </w:r>
          </w:p>
        </w:tc>
      </w:tr>
      <w:tr>
        <w:tblPrEx>
          <w:tblCellMar>
            <w:top w:w="0" w:type="dxa"/>
            <w:left w:w="108" w:type="dxa"/>
            <w:bottom w:w="0" w:type="dxa"/>
            <w:right w:w="108" w:type="dxa"/>
          </w:tblCellMar>
        </w:tblPrEx>
        <w:trPr>
          <w:trHeight w:val="397" w:hRule="atLeast"/>
        </w:trPr>
        <w:tc>
          <w:tcPr>
            <w:tcW w:w="928" w:type="dxa"/>
            <w:gridSpan w:val="3"/>
            <w:vMerge w:val="continue"/>
            <w:tcBorders>
              <w:top w:val="nil"/>
              <w:left w:val="single" w:color="auto" w:sz="4" w:space="0"/>
              <w:bottom w:val="single" w:color="auto" w:sz="4" w:space="0"/>
              <w:right w:val="single" w:color="auto" w:sz="4" w:space="0"/>
            </w:tcBorders>
            <w:noWrap w:val="0"/>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p>
        </w:tc>
        <w:tc>
          <w:tcPr>
            <w:tcW w:w="1499" w:type="dxa"/>
            <w:gridSpan w:val="2"/>
            <w:vMerge w:val="restart"/>
            <w:tcBorders>
              <w:top w:val="nil"/>
              <w:left w:val="nil"/>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地下水</w:t>
            </w:r>
          </w:p>
        </w:tc>
        <w:tc>
          <w:tcPr>
            <w:tcW w:w="6701" w:type="dxa"/>
            <w:gridSpan w:val="20"/>
            <w:tcBorders>
              <w:top w:val="single" w:color="auto" w:sz="4" w:space="0"/>
              <w:left w:val="nil"/>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下游厂区边界到达时间</w:t>
            </w:r>
            <w:r>
              <w:rPr>
                <w:rFonts w:hint="default" w:ascii="Times New Roman" w:hAnsi="Times New Roman" w:eastAsia="宋体" w:cs="Times New Roman"/>
                <w:color w:val="auto"/>
                <w:sz w:val="21"/>
                <w:szCs w:val="21"/>
                <w:u w:val="single"/>
              </w:rPr>
              <w:t xml:space="preserve">   </w:t>
            </w:r>
            <w:r>
              <w:rPr>
                <w:rFonts w:hint="default" w:ascii="Times New Roman" w:hAnsi="Times New Roman" w:eastAsia="宋体" w:cs="Times New Roman"/>
                <w:color w:val="auto"/>
                <w:sz w:val="21"/>
                <w:szCs w:val="21"/>
                <w:u w:val="single"/>
                <w:lang w:val="en-US" w:eastAsia="zh-CN"/>
              </w:rPr>
              <w:t>/</w:t>
            </w:r>
            <w:r>
              <w:rPr>
                <w:rFonts w:hint="default" w:ascii="Times New Roman" w:hAnsi="Times New Roman" w:eastAsia="宋体" w:cs="Times New Roman"/>
                <w:color w:val="auto"/>
                <w:sz w:val="21"/>
                <w:szCs w:val="21"/>
                <w:u w:val="single"/>
              </w:rPr>
              <w:t xml:space="preserve">   </w:t>
            </w:r>
            <w:r>
              <w:rPr>
                <w:rFonts w:hint="default" w:ascii="Times New Roman" w:hAnsi="Times New Roman" w:eastAsia="宋体" w:cs="Times New Roman"/>
                <w:color w:val="auto"/>
                <w:sz w:val="21"/>
                <w:szCs w:val="21"/>
              </w:rPr>
              <w:t>d</w:t>
            </w:r>
          </w:p>
        </w:tc>
      </w:tr>
      <w:tr>
        <w:tblPrEx>
          <w:tblCellMar>
            <w:top w:w="0" w:type="dxa"/>
            <w:left w:w="108" w:type="dxa"/>
            <w:bottom w:w="0" w:type="dxa"/>
            <w:right w:w="108" w:type="dxa"/>
          </w:tblCellMar>
        </w:tblPrEx>
        <w:trPr>
          <w:trHeight w:val="397" w:hRule="atLeast"/>
        </w:trPr>
        <w:tc>
          <w:tcPr>
            <w:tcW w:w="928" w:type="dxa"/>
            <w:gridSpan w:val="3"/>
            <w:vMerge w:val="continue"/>
            <w:tcBorders>
              <w:top w:val="nil"/>
              <w:left w:val="single" w:color="auto" w:sz="4" w:space="0"/>
              <w:bottom w:val="single" w:color="auto" w:sz="4" w:space="0"/>
              <w:right w:val="single" w:color="auto" w:sz="4" w:space="0"/>
            </w:tcBorders>
            <w:noWrap w:val="0"/>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p>
        </w:tc>
        <w:tc>
          <w:tcPr>
            <w:tcW w:w="1499" w:type="dxa"/>
            <w:gridSpan w:val="2"/>
            <w:vMerge w:val="continue"/>
            <w:tcBorders>
              <w:top w:val="nil"/>
              <w:left w:val="nil"/>
              <w:bottom w:val="single" w:color="auto" w:sz="4" w:space="0"/>
              <w:right w:val="single" w:color="auto" w:sz="4" w:space="0"/>
            </w:tcBorders>
            <w:noWrap w:val="0"/>
            <w:vAlign w:val="center"/>
          </w:tcPr>
          <w:p>
            <w:pPr>
              <w:widowControl/>
              <w:spacing w:line="240" w:lineRule="auto"/>
              <w:ind w:firstLine="0" w:firstLineChars="0"/>
              <w:jc w:val="center"/>
              <w:rPr>
                <w:rFonts w:hint="default" w:ascii="Times New Roman" w:hAnsi="Times New Roman" w:eastAsia="宋体" w:cs="Times New Roman"/>
                <w:color w:val="auto"/>
                <w:sz w:val="21"/>
                <w:szCs w:val="21"/>
              </w:rPr>
            </w:pPr>
          </w:p>
        </w:tc>
        <w:tc>
          <w:tcPr>
            <w:tcW w:w="6701" w:type="dxa"/>
            <w:gridSpan w:val="20"/>
            <w:tcBorders>
              <w:top w:val="single" w:color="auto" w:sz="4" w:space="0"/>
              <w:left w:val="nil"/>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最近环境敏感目标</w:t>
            </w:r>
            <w:r>
              <w:rPr>
                <w:rFonts w:hint="default" w:ascii="Times New Roman" w:hAnsi="Times New Roman" w:eastAsia="宋体" w:cs="Times New Roman"/>
                <w:color w:val="auto"/>
                <w:sz w:val="21"/>
                <w:szCs w:val="21"/>
                <w:u w:val="single"/>
              </w:rPr>
              <w:t xml:space="preserve">   </w:t>
            </w:r>
            <w:r>
              <w:rPr>
                <w:rFonts w:hint="default" w:ascii="Times New Roman" w:hAnsi="Times New Roman" w:eastAsia="宋体" w:cs="Times New Roman"/>
                <w:color w:val="auto"/>
                <w:sz w:val="21"/>
                <w:szCs w:val="21"/>
                <w:u w:val="single"/>
                <w:lang w:val="en-US" w:eastAsia="zh-CN"/>
              </w:rPr>
              <w:t>/</w:t>
            </w:r>
            <w:r>
              <w:rPr>
                <w:rFonts w:hint="default" w:ascii="Times New Roman" w:hAnsi="Times New Roman" w:eastAsia="宋体" w:cs="Times New Roman"/>
                <w:color w:val="auto"/>
                <w:sz w:val="21"/>
                <w:szCs w:val="21"/>
                <w:u w:val="single"/>
              </w:rPr>
              <w:t xml:space="preserve">   </w:t>
            </w:r>
            <w:r>
              <w:rPr>
                <w:rFonts w:hint="default" w:ascii="Times New Roman" w:hAnsi="Times New Roman" w:eastAsia="宋体" w:cs="Times New Roman"/>
                <w:color w:val="auto"/>
                <w:sz w:val="21"/>
                <w:szCs w:val="21"/>
              </w:rPr>
              <w:t>，到达时间</w:t>
            </w:r>
            <w:r>
              <w:rPr>
                <w:rFonts w:hint="default" w:ascii="Times New Roman" w:hAnsi="Times New Roman" w:eastAsia="宋体" w:cs="Times New Roman"/>
                <w:color w:val="auto"/>
                <w:sz w:val="21"/>
                <w:szCs w:val="21"/>
                <w:u w:val="single"/>
              </w:rPr>
              <w:t xml:space="preserve">   </w:t>
            </w:r>
            <w:r>
              <w:rPr>
                <w:rFonts w:hint="default" w:ascii="Times New Roman" w:hAnsi="Times New Roman" w:eastAsia="宋体" w:cs="Times New Roman"/>
                <w:color w:val="auto"/>
                <w:sz w:val="21"/>
                <w:szCs w:val="21"/>
                <w:u w:val="single"/>
                <w:lang w:val="en-US" w:eastAsia="zh-CN"/>
              </w:rPr>
              <w:t>/</w:t>
            </w:r>
            <w:r>
              <w:rPr>
                <w:rFonts w:hint="default" w:ascii="Times New Roman" w:hAnsi="Times New Roman" w:eastAsia="宋体" w:cs="Times New Roman"/>
                <w:color w:val="auto"/>
                <w:sz w:val="21"/>
                <w:szCs w:val="21"/>
                <w:u w:val="single"/>
              </w:rPr>
              <w:t xml:space="preserve">   </w:t>
            </w:r>
            <w:r>
              <w:rPr>
                <w:rFonts w:hint="default" w:ascii="Times New Roman" w:hAnsi="Times New Roman" w:eastAsia="宋体" w:cs="Times New Roman"/>
                <w:color w:val="auto"/>
                <w:sz w:val="21"/>
                <w:szCs w:val="21"/>
              </w:rPr>
              <w:t>d</w:t>
            </w:r>
          </w:p>
        </w:tc>
      </w:tr>
      <w:tr>
        <w:tblPrEx>
          <w:tblCellMar>
            <w:top w:w="0" w:type="dxa"/>
            <w:left w:w="108" w:type="dxa"/>
            <w:bottom w:w="0" w:type="dxa"/>
            <w:right w:w="108" w:type="dxa"/>
          </w:tblCellMar>
        </w:tblPrEx>
        <w:trPr>
          <w:trHeight w:val="397" w:hRule="atLeast"/>
        </w:trPr>
        <w:tc>
          <w:tcPr>
            <w:tcW w:w="2427" w:type="dxa"/>
            <w:gridSpan w:val="5"/>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重点风险防范措施</w:t>
            </w:r>
          </w:p>
        </w:tc>
        <w:tc>
          <w:tcPr>
            <w:tcW w:w="6701" w:type="dxa"/>
            <w:gridSpan w:val="20"/>
            <w:tcBorders>
              <w:top w:val="single" w:color="auto" w:sz="4" w:space="0"/>
              <w:left w:val="nil"/>
              <w:bottom w:val="single" w:color="auto" w:sz="4" w:space="0"/>
              <w:right w:val="single" w:color="auto" w:sz="4" w:space="0"/>
            </w:tcBorders>
            <w:noWrap w:val="0"/>
            <w:vAlign w:val="center"/>
          </w:tcPr>
          <w:p>
            <w:pPr>
              <w:widowControl/>
              <w:jc w:val="center"/>
              <w:rPr>
                <w:rFonts w:hint="eastAsia"/>
                <w:color w:val="auto"/>
                <w:kern w:val="0"/>
                <w:szCs w:val="21"/>
                <w:lang w:bidi="ar"/>
              </w:rPr>
            </w:pPr>
            <w:r>
              <w:rPr>
                <w:rFonts w:hint="eastAsia"/>
                <w:color w:val="auto"/>
                <w:kern w:val="0"/>
                <w:szCs w:val="21"/>
                <w:lang w:val="en-US" w:eastAsia="zh-CN" w:bidi="ar"/>
              </w:rPr>
              <w:t>·</w:t>
            </w:r>
            <w:r>
              <w:rPr>
                <w:rFonts w:hint="eastAsia"/>
                <w:color w:val="auto"/>
                <w:kern w:val="0"/>
                <w:szCs w:val="21"/>
                <w:lang w:bidi="ar"/>
              </w:rPr>
              <w:t>橡胶原料、硫磺</w:t>
            </w:r>
            <w:r>
              <w:rPr>
                <w:rFonts w:hint="eastAsia"/>
                <w:color w:val="auto"/>
                <w:kern w:val="0"/>
                <w:szCs w:val="21"/>
                <w:lang w:eastAsia="zh-CN" w:bidi="ar"/>
              </w:rPr>
              <w:t>、氧化锌、氧化镁、底涂剂、乙酸丁酯等</w:t>
            </w:r>
            <w:r>
              <w:rPr>
                <w:rFonts w:hint="eastAsia"/>
                <w:color w:val="auto"/>
                <w:kern w:val="0"/>
                <w:szCs w:val="21"/>
                <w:lang w:bidi="ar"/>
              </w:rPr>
              <w:t>原料储存于阴凉、通风处，设置单独的原料存储区域，制定严格的运输、使用及采购记录。</w:t>
            </w:r>
          </w:p>
          <w:p>
            <w:pPr>
              <w:widowControl/>
              <w:jc w:val="center"/>
              <w:rPr>
                <w:rFonts w:hint="eastAsia"/>
                <w:color w:val="auto"/>
                <w:kern w:val="0"/>
                <w:szCs w:val="21"/>
                <w:lang w:bidi="ar"/>
              </w:rPr>
            </w:pPr>
            <w:r>
              <w:rPr>
                <w:rFonts w:hint="eastAsia"/>
                <w:color w:val="auto"/>
                <w:kern w:val="0"/>
                <w:szCs w:val="21"/>
                <w:lang w:val="en-US" w:eastAsia="zh-CN" w:bidi="ar"/>
              </w:rPr>
              <w:t>·</w:t>
            </w:r>
            <w:r>
              <w:rPr>
                <w:rFonts w:hint="eastAsia"/>
                <w:color w:val="auto"/>
                <w:kern w:val="0"/>
                <w:szCs w:val="21"/>
                <w:lang w:bidi="ar"/>
              </w:rPr>
              <w:t>危废暂存间防渗处理，定期检查设备使用情况，保证其正常运行，不外漏各种液体原料。</w:t>
            </w:r>
          </w:p>
          <w:p>
            <w:pPr>
              <w:widowControl/>
              <w:jc w:val="center"/>
              <w:rPr>
                <w:rFonts w:hint="eastAsia"/>
                <w:color w:val="auto"/>
                <w:kern w:val="0"/>
                <w:szCs w:val="21"/>
                <w:lang w:eastAsia="zh-CN" w:bidi="ar"/>
              </w:rPr>
            </w:pPr>
            <w:r>
              <w:rPr>
                <w:rFonts w:hint="eastAsia"/>
                <w:color w:val="auto"/>
                <w:kern w:val="0"/>
                <w:szCs w:val="21"/>
                <w:lang w:val="en-US" w:eastAsia="zh-CN" w:bidi="ar"/>
              </w:rPr>
              <w:t>·</w:t>
            </w:r>
            <w:r>
              <w:rPr>
                <w:rFonts w:hint="eastAsia"/>
                <w:color w:val="auto"/>
                <w:kern w:val="0"/>
                <w:szCs w:val="21"/>
                <w:lang w:bidi="ar"/>
              </w:rPr>
              <w:t>建立健全有毒气体中毒事故应急救援预案</w:t>
            </w:r>
            <w:r>
              <w:rPr>
                <w:rFonts w:hint="eastAsia"/>
                <w:color w:val="auto"/>
                <w:kern w:val="0"/>
                <w:szCs w:val="21"/>
                <w:lang w:eastAsia="zh-CN" w:bidi="ar"/>
              </w:rPr>
              <w:t>；</w:t>
            </w:r>
          </w:p>
          <w:p>
            <w:pPr>
              <w:pStyle w:val="2"/>
              <w:jc w:val="center"/>
              <w:rPr>
                <w:rFonts w:hint="default"/>
              </w:rPr>
            </w:pPr>
            <w:r>
              <w:rPr>
                <w:rFonts w:hint="eastAsia"/>
                <w:color w:val="auto"/>
                <w:kern w:val="0"/>
                <w:szCs w:val="21"/>
                <w:lang w:val="en-US" w:eastAsia="zh-CN" w:bidi="ar"/>
              </w:rPr>
              <w:t>·</w:t>
            </w:r>
            <w:r>
              <w:rPr>
                <w:rFonts w:hint="eastAsia"/>
                <w:color w:val="auto"/>
                <w:kern w:val="0"/>
                <w:szCs w:val="21"/>
                <w:lang w:bidi="ar"/>
              </w:rPr>
              <w:t>加强安全教育培训和宣传</w:t>
            </w:r>
            <w:r>
              <w:rPr>
                <w:rFonts w:hint="eastAsia"/>
                <w:color w:val="auto"/>
                <w:kern w:val="0"/>
                <w:szCs w:val="21"/>
                <w:lang w:eastAsia="zh-CN" w:bidi="ar"/>
              </w:rPr>
              <w:t>；</w:t>
            </w:r>
            <w:r>
              <w:rPr>
                <w:rFonts w:hint="eastAsia"/>
                <w:color w:val="auto"/>
                <w:kern w:val="0"/>
                <w:szCs w:val="21"/>
                <w:lang w:bidi="ar"/>
              </w:rPr>
              <w:t>配备完善的消防措施</w:t>
            </w:r>
          </w:p>
        </w:tc>
      </w:tr>
      <w:tr>
        <w:tblPrEx>
          <w:tblCellMar>
            <w:top w:w="0" w:type="dxa"/>
            <w:left w:w="108" w:type="dxa"/>
            <w:bottom w:w="0" w:type="dxa"/>
            <w:right w:w="108" w:type="dxa"/>
          </w:tblCellMar>
        </w:tblPrEx>
        <w:trPr>
          <w:trHeight w:val="397" w:hRule="atLeast"/>
        </w:trPr>
        <w:tc>
          <w:tcPr>
            <w:tcW w:w="2427" w:type="dxa"/>
            <w:gridSpan w:val="5"/>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评价结论与建议</w:t>
            </w:r>
          </w:p>
        </w:tc>
        <w:tc>
          <w:tcPr>
            <w:tcW w:w="6701" w:type="dxa"/>
            <w:gridSpan w:val="20"/>
            <w:tcBorders>
              <w:top w:val="single" w:color="auto" w:sz="4" w:space="0"/>
              <w:left w:val="nil"/>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根据《建设项目环境风险评价技术导则》（HJ/T169-20</w:t>
            </w:r>
            <w:r>
              <w:rPr>
                <w:rFonts w:hint="default" w:ascii="Times New Roman" w:hAnsi="Times New Roman" w:eastAsia="宋体" w:cs="Times New Roman"/>
                <w:color w:val="auto"/>
                <w:sz w:val="21"/>
                <w:szCs w:val="21"/>
                <w:lang w:val="en-US" w:eastAsia="zh-CN"/>
              </w:rPr>
              <w:t>18</w:t>
            </w:r>
            <w:r>
              <w:rPr>
                <w:rFonts w:hint="default" w:ascii="Times New Roman" w:hAnsi="Times New Roman" w:eastAsia="宋体" w:cs="Times New Roman"/>
                <w:color w:val="auto"/>
                <w:sz w:val="21"/>
                <w:szCs w:val="21"/>
              </w:rPr>
              <w:t>）、《关于进一步加强环境影响评价管理防范环境风险的通知》（环发[2012]77号），采取以上事故风险防范措施和应急预案情况下，项目对周围环境的风险影响在可接受的范围之内。</w:t>
            </w:r>
          </w:p>
        </w:tc>
      </w:tr>
      <w:tr>
        <w:tblPrEx>
          <w:tblCellMar>
            <w:top w:w="0" w:type="dxa"/>
            <w:left w:w="108" w:type="dxa"/>
            <w:bottom w:w="0" w:type="dxa"/>
            <w:right w:w="108" w:type="dxa"/>
          </w:tblCellMar>
        </w:tblPrEx>
        <w:trPr>
          <w:trHeight w:val="397" w:hRule="atLeast"/>
        </w:trPr>
        <w:tc>
          <w:tcPr>
            <w:tcW w:w="9128" w:type="dxa"/>
            <w:gridSpan w:val="25"/>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注：“□”为勾选项，“ ”为填写项。</w:t>
            </w:r>
          </w:p>
        </w:tc>
      </w:tr>
    </w:tbl>
    <w:p>
      <w:pPr>
        <w:sectPr>
          <w:pgSz w:w="11911" w:h="16849"/>
          <w:pgMar w:top="1440" w:right="1587" w:bottom="1440" w:left="1587" w:header="680" w:footer="652" w:gutter="0"/>
          <w:pgBorders>
            <w:top w:val="none" w:sz="0" w:space="0"/>
            <w:left w:val="none" w:sz="0" w:space="0"/>
            <w:bottom w:val="none" w:sz="0" w:space="0"/>
            <w:right w:val="none" w:sz="0" w:space="0"/>
          </w:pgBorders>
          <w:cols w:space="720" w:num="1"/>
          <w:docGrid w:linePitch="322" w:charSpace="0"/>
        </w:sectPr>
      </w:pPr>
    </w:p>
    <w:p>
      <w:pPr>
        <w:pStyle w:val="3"/>
        <w:spacing w:before="120" w:after="0" w:line="360" w:lineRule="auto"/>
        <w:jc w:val="center"/>
        <w:rPr>
          <w:color w:val="auto"/>
          <w:sz w:val="36"/>
          <w:szCs w:val="36"/>
        </w:rPr>
      </w:pPr>
      <w:bookmarkStart w:id="293" w:name="_Toc25920"/>
      <w:r>
        <w:rPr>
          <w:color w:val="auto"/>
          <w:sz w:val="36"/>
          <w:szCs w:val="36"/>
        </w:rPr>
        <w:t>第</w:t>
      </w:r>
      <w:r>
        <w:rPr>
          <w:rFonts w:hint="eastAsia"/>
          <w:color w:val="auto"/>
          <w:sz w:val="36"/>
          <w:szCs w:val="36"/>
        </w:rPr>
        <w:t>七</w:t>
      </w:r>
      <w:r>
        <w:rPr>
          <w:color w:val="auto"/>
          <w:sz w:val="36"/>
          <w:szCs w:val="36"/>
        </w:rPr>
        <w:t xml:space="preserve">章 </w:t>
      </w:r>
      <w:bookmarkEnd w:id="283"/>
      <w:bookmarkEnd w:id="284"/>
      <w:bookmarkEnd w:id="285"/>
      <w:bookmarkEnd w:id="286"/>
      <w:bookmarkEnd w:id="287"/>
      <w:bookmarkEnd w:id="288"/>
      <w:bookmarkEnd w:id="289"/>
      <w:bookmarkEnd w:id="290"/>
      <w:r>
        <w:rPr>
          <w:color w:val="auto"/>
          <w:sz w:val="36"/>
          <w:szCs w:val="36"/>
        </w:rPr>
        <w:t>环境保护措施及可行性论证</w:t>
      </w:r>
      <w:bookmarkEnd w:id="291"/>
      <w:bookmarkEnd w:id="293"/>
    </w:p>
    <w:p>
      <w:pPr>
        <w:pStyle w:val="4"/>
        <w:spacing w:line="520" w:lineRule="exact"/>
        <w:rPr>
          <w:rFonts w:ascii="Times New Roman" w:hAnsi="Times New Roman"/>
          <w:b/>
          <w:color w:val="auto"/>
        </w:rPr>
      </w:pPr>
      <w:bookmarkStart w:id="294" w:name="_Toc333178572"/>
      <w:bookmarkStart w:id="295" w:name="_Toc333178034"/>
      <w:bookmarkStart w:id="296" w:name="_Toc287813408"/>
      <w:bookmarkStart w:id="297" w:name="_Toc206896787"/>
      <w:bookmarkStart w:id="298" w:name="_Toc335291775"/>
      <w:bookmarkStart w:id="299" w:name="_Toc333388615"/>
      <w:bookmarkStart w:id="300" w:name="_Toc30220"/>
      <w:bookmarkStart w:id="301" w:name="_Toc367091884"/>
      <w:bookmarkStart w:id="302" w:name="_Toc23086"/>
      <w:bookmarkStart w:id="303" w:name="_Toc390846952"/>
      <w:bookmarkStart w:id="304" w:name="_Toc366874125"/>
      <w:bookmarkStart w:id="305" w:name="_Toc390247959"/>
      <w:bookmarkStart w:id="306" w:name="_Toc425165587"/>
      <w:bookmarkStart w:id="307" w:name="_Toc388691370"/>
      <w:bookmarkStart w:id="308" w:name="_Toc370291682"/>
      <w:bookmarkStart w:id="309" w:name="_Toc388556595"/>
      <w:bookmarkStart w:id="310" w:name="_Toc121720674"/>
      <w:bookmarkStart w:id="311" w:name="_Toc121720652"/>
      <w:r>
        <w:rPr>
          <w:rFonts w:hint="eastAsia" w:ascii="Times New Roman" w:hAnsi="Times New Roman"/>
          <w:b/>
          <w:color w:val="auto"/>
        </w:rPr>
        <w:t>7</w:t>
      </w:r>
      <w:r>
        <w:rPr>
          <w:rFonts w:ascii="Times New Roman" w:hAnsi="Times New Roman"/>
          <w:b/>
          <w:color w:val="auto"/>
        </w:rPr>
        <w:t>.</w:t>
      </w:r>
      <w:bookmarkEnd w:id="294"/>
      <w:bookmarkEnd w:id="295"/>
      <w:bookmarkEnd w:id="296"/>
      <w:bookmarkEnd w:id="297"/>
      <w:bookmarkEnd w:id="298"/>
      <w:bookmarkEnd w:id="299"/>
      <w:bookmarkStart w:id="312" w:name="_Toc121720671"/>
      <w:r>
        <w:rPr>
          <w:rFonts w:ascii="Times New Roman" w:hAnsi="Times New Roman"/>
          <w:b/>
          <w:color w:val="auto"/>
        </w:rPr>
        <w:t>1施工期污染防治对策</w:t>
      </w:r>
      <w:bookmarkEnd w:id="300"/>
      <w:bookmarkEnd w:id="301"/>
      <w:bookmarkEnd w:id="302"/>
      <w:bookmarkEnd w:id="303"/>
      <w:bookmarkEnd w:id="304"/>
      <w:bookmarkEnd w:id="305"/>
      <w:bookmarkEnd w:id="306"/>
      <w:bookmarkEnd w:id="307"/>
      <w:bookmarkEnd w:id="308"/>
      <w:bookmarkEnd w:id="309"/>
    </w:p>
    <w:bookmarkEnd w:id="312"/>
    <w:p>
      <w:pPr>
        <w:spacing w:line="520" w:lineRule="exact"/>
        <w:ind w:firstLine="472" w:firstLineChars="200"/>
        <w:rPr>
          <w:color w:val="auto"/>
          <w:spacing w:val="-2"/>
          <w:kern w:val="0"/>
          <w:sz w:val="24"/>
          <w:szCs w:val="20"/>
        </w:rPr>
      </w:pPr>
      <w:r>
        <w:rPr>
          <w:color w:val="auto"/>
          <w:spacing w:val="-2"/>
          <w:kern w:val="0"/>
          <w:sz w:val="24"/>
          <w:szCs w:val="20"/>
        </w:rPr>
        <w:t>项目系使用现有厂房进行生产，无土建工程，设备安装后即可正常运营。因此施工期对环境的主要影响是设备安装产生的噪声，属于局部和短期性质，不会造成长期影响。</w:t>
      </w:r>
    </w:p>
    <w:p>
      <w:pPr>
        <w:pStyle w:val="4"/>
        <w:spacing w:line="520" w:lineRule="exact"/>
        <w:rPr>
          <w:rFonts w:ascii="Times New Roman" w:hAnsi="Times New Roman"/>
          <w:b/>
          <w:color w:val="auto"/>
        </w:rPr>
      </w:pPr>
      <w:bookmarkStart w:id="313" w:name="_Toc27412"/>
      <w:bookmarkStart w:id="314" w:name="_Toc8770"/>
      <w:r>
        <w:rPr>
          <w:rFonts w:hint="eastAsia" w:ascii="Times New Roman" w:hAnsi="Times New Roman"/>
          <w:b/>
          <w:color w:val="auto"/>
        </w:rPr>
        <w:t>7</w:t>
      </w:r>
      <w:r>
        <w:rPr>
          <w:rFonts w:ascii="Times New Roman" w:hAnsi="Times New Roman"/>
          <w:b/>
          <w:color w:val="auto"/>
        </w:rPr>
        <w:t>.2运营期污染防治措施</w:t>
      </w:r>
      <w:bookmarkEnd w:id="313"/>
      <w:bookmarkEnd w:id="314"/>
    </w:p>
    <w:p>
      <w:pPr>
        <w:pStyle w:val="5"/>
        <w:spacing w:before="0" w:after="0" w:line="520" w:lineRule="exact"/>
        <w:rPr>
          <w:b/>
          <w:bCs/>
          <w:color w:val="auto"/>
          <w:sz w:val="24"/>
          <w:szCs w:val="24"/>
        </w:rPr>
      </w:pPr>
      <w:r>
        <w:rPr>
          <w:rFonts w:hint="eastAsia"/>
          <w:b/>
          <w:bCs/>
          <w:color w:val="auto"/>
          <w:sz w:val="24"/>
          <w:szCs w:val="24"/>
        </w:rPr>
        <w:t>7.2</w:t>
      </w:r>
      <w:r>
        <w:rPr>
          <w:b/>
          <w:bCs/>
          <w:color w:val="auto"/>
          <w:sz w:val="24"/>
          <w:szCs w:val="24"/>
        </w:rPr>
        <w:t>.1废气污染防治措施</w:t>
      </w:r>
    </w:p>
    <w:p>
      <w:pPr>
        <w:pStyle w:val="15"/>
        <w:adjustRightInd w:val="0"/>
        <w:snapToGrid w:val="0"/>
        <w:spacing w:line="360" w:lineRule="auto"/>
        <w:ind w:firstLine="472" w:firstLineChars="0"/>
        <w:rPr>
          <w:b/>
          <w:bCs/>
          <w:color w:val="auto"/>
        </w:rPr>
      </w:pPr>
      <w:r>
        <w:rPr>
          <w:color w:val="auto"/>
        </w:rPr>
        <w:t>项目废气主要为</w:t>
      </w:r>
      <w:r>
        <w:rPr>
          <w:rFonts w:hint="eastAsia"/>
          <w:color w:val="auto"/>
          <w:lang w:eastAsia="zh-CN"/>
        </w:rPr>
        <w:t>配料粉尘；</w:t>
      </w:r>
      <w:r>
        <w:rPr>
          <w:color w:val="auto"/>
        </w:rPr>
        <w:t>涂胶、晾干</w:t>
      </w:r>
      <w:r>
        <w:rPr>
          <w:rFonts w:hint="eastAsia"/>
          <w:color w:val="auto"/>
          <w:lang w:eastAsia="zh-CN"/>
        </w:rPr>
        <w:t>、烘干</w:t>
      </w:r>
      <w:r>
        <w:rPr>
          <w:color w:val="auto"/>
        </w:rPr>
        <w:t>废气</w:t>
      </w:r>
      <w:r>
        <w:rPr>
          <w:rFonts w:hint="eastAsia"/>
          <w:color w:val="auto"/>
          <w:lang w:eastAsia="zh-CN"/>
        </w:rPr>
        <w:t>；</w:t>
      </w:r>
      <w:r>
        <w:rPr>
          <w:color w:val="auto"/>
        </w:rPr>
        <w:t>配胶、</w:t>
      </w:r>
      <w:r>
        <w:rPr>
          <w:rFonts w:hint="eastAsia"/>
          <w:color w:val="auto"/>
          <w:lang w:eastAsia="zh-CN"/>
        </w:rPr>
        <w:t>密炼、</w:t>
      </w:r>
      <w:r>
        <w:rPr>
          <w:color w:val="auto"/>
          <w:szCs w:val="24"/>
        </w:rPr>
        <w:t>开炼废气。</w:t>
      </w:r>
    </w:p>
    <w:p>
      <w:pPr>
        <w:spacing w:line="480" w:lineRule="exact"/>
        <w:ind w:firstLine="482" w:firstLineChars="200"/>
        <w:jc w:val="left"/>
        <w:rPr>
          <w:b/>
          <w:bCs/>
          <w:color w:val="auto"/>
          <w:sz w:val="24"/>
        </w:rPr>
      </w:pPr>
      <w:r>
        <w:rPr>
          <w:rFonts w:hint="eastAsia"/>
          <w:b/>
          <w:bCs/>
          <w:color w:val="auto"/>
          <w:sz w:val="24"/>
        </w:rPr>
        <w:t>（1）</w:t>
      </w:r>
      <w:r>
        <w:rPr>
          <w:rFonts w:hint="eastAsia"/>
          <w:b/>
          <w:bCs/>
          <w:color w:val="auto"/>
          <w:sz w:val="24"/>
          <w:lang w:eastAsia="zh-CN"/>
        </w:rPr>
        <w:t>配料粉尘</w:t>
      </w:r>
      <w:r>
        <w:rPr>
          <w:b/>
          <w:bCs/>
          <w:color w:val="auto"/>
          <w:sz w:val="24"/>
        </w:rPr>
        <w:t>防治措施</w:t>
      </w:r>
      <w:r>
        <w:rPr>
          <w:rFonts w:hint="eastAsia"/>
          <w:b/>
          <w:bCs/>
          <w:color w:val="auto"/>
          <w:sz w:val="24"/>
        </w:rPr>
        <w:t>及可行性分析</w:t>
      </w:r>
    </w:p>
    <w:p>
      <w:pPr>
        <w:spacing w:line="480" w:lineRule="exact"/>
        <w:ind w:firstLine="480" w:firstLineChars="200"/>
        <w:jc w:val="left"/>
        <w:rPr>
          <w:rFonts w:hint="eastAsia" w:ascii="Times New Roman" w:hAnsi="Times New Roman" w:cs="Times New Roman"/>
          <w:color w:val="auto"/>
          <w:kern w:val="0"/>
          <w:sz w:val="24"/>
          <w:lang w:val="en-US" w:eastAsia="zh-CN"/>
        </w:rPr>
      </w:pPr>
      <w:r>
        <w:rPr>
          <w:rFonts w:hint="eastAsia" w:ascii="Times New Roman" w:hAnsi="Times New Roman" w:cs="Times New Roman"/>
          <w:color w:val="auto"/>
          <w:kern w:val="0"/>
          <w:sz w:val="24"/>
          <w:lang w:eastAsia="zh-CN"/>
        </w:rPr>
        <w:t>项目单独设置一间配料间，在配料间配料工序上方设置集气罩，产生的粉尘通过收集后经一套布袋除尘器进行净化处理，经</w:t>
      </w:r>
      <w:r>
        <w:rPr>
          <w:rFonts w:hint="eastAsia" w:ascii="Times New Roman" w:hAnsi="Times New Roman" w:cs="Times New Roman"/>
          <w:color w:val="auto"/>
          <w:kern w:val="0"/>
          <w:sz w:val="24"/>
          <w:lang w:val="en-US" w:eastAsia="zh-CN"/>
        </w:rPr>
        <w:t>1根15m高排气筒排放</w:t>
      </w:r>
      <w:r>
        <w:rPr>
          <w:rFonts w:hint="eastAsia" w:cs="Times New Roman"/>
          <w:color w:val="auto"/>
          <w:kern w:val="0"/>
          <w:sz w:val="24"/>
          <w:lang w:val="en-US" w:eastAsia="zh-CN"/>
        </w:rPr>
        <w:t>（1#排气筒）</w:t>
      </w:r>
      <w:r>
        <w:rPr>
          <w:rFonts w:hint="eastAsia" w:ascii="Times New Roman" w:hAnsi="Times New Roman" w:cs="Times New Roman"/>
          <w:color w:val="auto"/>
          <w:kern w:val="0"/>
          <w:sz w:val="24"/>
          <w:lang w:val="en-US" w:eastAsia="zh-CN"/>
        </w:rPr>
        <w:t>。</w:t>
      </w:r>
    </w:p>
    <w:p>
      <w:pPr>
        <w:pStyle w:val="49"/>
        <w:spacing w:before="0" w:beforeAutospacing="0" w:after="0" w:afterAutospacing="0" w:line="360" w:lineRule="auto"/>
        <w:ind w:firstLine="480"/>
        <w:jc w:val="both"/>
        <w:rPr>
          <w:rFonts w:hint="eastAsia" w:ascii="Times New Roman" w:hAnsi="Times New Roman" w:eastAsia="宋体"/>
          <w:b/>
          <w:kern w:val="2"/>
          <w:lang w:eastAsia="zh-CN"/>
        </w:rPr>
      </w:pPr>
      <w:r>
        <w:rPr>
          <w:rFonts w:hint="eastAsia" w:ascii="Times New Roman" w:hAnsi="Times New Roman"/>
          <w:b/>
          <w:kern w:val="2"/>
        </w:rPr>
        <w:t>布袋除尘器除尘原理</w:t>
      </w:r>
      <w:r>
        <w:rPr>
          <w:rFonts w:hint="eastAsia"/>
          <w:b/>
          <w:kern w:val="2"/>
          <w:lang w:eastAsia="zh-CN"/>
        </w:rPr>
        <w:t>：</w:t>
      </w:r>
    </w:p>
    <w:p>
      <w:pPr>
        <w:pStyle w:val="49"/>
        <w:spacing w:before="0" w:beforeAutospacing="0" w:after="0" w:afterAutospacing="0" w:line="360" w:lineRule="auto"/>
        <w:ind w:firstLine="480"/>
        <w:jc w:val="both"/>
        <w:rPr>
          <w:rFonts w:ascii="Times New Roman" w:hAnsi="Times New Roman"/>
        </w:rPr>
      </w:pPr>
      <w:r>
        <w:rPr>
          <w:rFonts w:hint="eastAsia" w:ascii="Times New Roman" w:hAnsi="Times New Roman"/>
          <w:kern w:val="2"/>
        </w:rPr>
        <w:t>布袋除尘器除尘原理：含尘气体由灰斗上部进风口进入后，在挡风板的作用下，气流向上流动，流速降低，部分大颗粒粉尘由于惯性力的作用被分离出来落入灰斗。含尘气体进入中箱体经滤袋的过滤净化，粉尘被阻留在滤袋的外表面，净化后的气体经滤袋口进入上箱体，由出风口排出。随着滤袋表面粉尘不断增加，除尘器进出口压差也随之上升。当除尘器阻力达到设定值时，控制系统发出清灰指令，清灰系统开始工作。首先电磁阀接到信号后立即开启，使小膜片上部气室的压缩空气被排放，由于小膜片两端受力的改变，使被小膜片关闭的排气通道开启，大膜片上部气室的压缩空气由此通道排出，大膜片两端受力改变，使大膜片动作，将关闭的输出口打开，</w:t>
      </w:r>
      <w:r>
        <w:rPr>
          <w:rFonts w:ascii="Times New Roman" w:hAnsi="Times New Roman"/>
          <w:kern w:val="2"/>
        </w:rPr>
        <w:t xml:space="preserve"> </w:t>
      </w:r>
      <w:r>
        <w:rPr>
          <w:rFonts w:hint="eastAsia" w:ascii="Times New Roman" w:hAnsi="Times New Roman"/>
          <w:kern w:val="2"/>
        </w:rPr>
        <w:t>气包内的压缩空气经由输出管和喷吹管喷入袋内，实现清灰。当控制信号停止后，电磁阀关闭，小膜片、大膜片相继复位，喷吹停止。脉冲阀是脉冲袋式除尘器关键部件，其使用寿命是用户最为关心的问题。</w:t>
      </w:r>
    </w:p>
    <w:p>
      <w:pPr>
        <w:spacing w:line="360" w:lineRule="auto"/>
        <w:ind w:firstLine="480" w:firstLineChars="200"/>
        <w:rPr>
          <w:rFonts w:ascii="宋体"/>
          <w:sz w:val="24"/>
        </w:rPr>
      </w:pPr>
      <w:r>
        <w:rPr>
          <w:rFonts w:hint="eastAsia"/>
          <w:sz w:val="24"/>
        </w:rPr>
        <w:t>废气处理工艺流程如</w:t>
      </w:r>
      <w:r>
        <w:rPr>
          <w:rFonts w:hint="eastAsia"/>
          <w:sz w:val="24"/>
          <w:lang w:eastAsia="zh-CN"/>
        </w:rPr>
        <w:t>下图</w:t>
      </w:r>
      <w:r>
        <w:rPr>
          <w:rFonts w:hint="eastAsia"/>
          <w:sz w:val="24"/>
        </w:rPr>
        <w:t>所示：</w:t>
      </w:r>
    </w:p>
    <w:p>
      <w:pPr>
        <w:spacing w:line="360" w:lineRule="auto"/>
        <w:jc w:val="center"/>
      </w:pPr>
      <w:r>
        <w:drawing>
          <wp:inline distT="0" distB="0" distL="114300" distR="114300">
            <wp:extent cx="3842385" cy="2533015"/>
            <wp:effectExtent l="0" t="0" r="5715" b="635"/>
            <wp:docPr id="7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12"/>
                    <pic:cNvPicPr>
                      <a:picLocks noChangeAspect="1"/>
                    </pic:cNvPicPr>
                  </pic:nvPicPr>
                  <pic:blipFill>
                    <a:blip r:embed="rId56"/>
                    <a:stretch>
                      <a:fillRect/>
                    </a:stretch>
                  </pic:blipFill>
                  <pic:spPr>
                    <a:xfrm>
                      <a:off x="0" y="0"/>
                      <a:ext cx="3842385" cy="2533015"/>
                    </a:xfrm>
                    <a:prstGeom prst="rect">
                      <a:avLst/>
                    </a:prstGeom>
                    <a:noFill/>
                    <a:ln>
                      <a:noFill/>
                    </a:ln>
                  </pic:spPr>
                </pic:pic>
              </a:graphicData>
            </a:graphic>
          </wp:inline>
        </w:drawing>
      </w:r>
    </w:p>
    <w:p>
      <w:pPr>
        <w:pStyle w:val="107"/>
        <w:keepNext w:val="0"/>
        <w:keepLines w:val="0"/>
        <w:pageBreakBefore w:val="0"/>
        <w:widowControl w:val="0"/>
        <w:kinsoku/>
        <w:wordWrap/>
        <w:overflowPunct/>
        <w:topLinePunct w:val="0"/>
        <w:autoSpaceDE/>
        <w:autoSpaceDN/>
        <w:bidi w:val="0"/>
        <w:spacing w:before="152" w:line="360" w:lineRule="auto"/>
        <w:jc w:val="center"/>
        <w:textAlignment w:val="auto"/>
        <w:rPr>
          <w:b/>
          <w:bCs w:val="0"/>
          <w:color w:val="auto"/>
          <w:sz w:val="24"/>
        </w:rPr>
      </w:pPr>
      <w:r>
        <w:rPr>
          <w:rFonts w:hint="eastAsia"/>
          <w:b/>
          <w:bCs w:val="0"/>
          <w:color w:val="auto"/>
          <w:sz w:val="24"/>
        </w:rPr>
        <w:t>图</w:t>
      </w:r>
      <w:r>
        <w:rPr>
          <w:rFonts w:hint="eastAsia"/>
          <w:b/>
          <w:bCs w:val="0"/>
          <w:color w:val="auto"/>
          <w:sz w:val="24"/>
          <w:lang w:val="en-US" w:eastAsia="zh-CN"/>
        </w:rPr>
        <w:t>7-1</w:t>
      </w:r>
      <w:r>
        <w:rPr>
          <w:rFonts w:hint="eastAsia"/>
          <w:b/>
          <w:bCs w:val="0"/>
          <w:color w:val="auto"/>
          <w:sz w:val="24"/>
        </w:rPr>
        <w:t xml:space="preserve">  布袋除尘处理工艺流程图</w:t>
      </w:r>
    </w:p>
    <w:p>
      <w:pPr>
        <w:autoSpaceDE w:val="0"/>
        <w:autoSpaceDN w:val="0"/>
        <w:adjustRightInd w:val="0"/>
        <w:spacing w:line="360" w:lineRule="auto"/>
        <w:ind w:firstLine="480" w:firstLineChars="200"/>
        <w:rPr>
          <w:rFonts w:hint="eastAsia"/>
        </w:rPr>
      </w:pPr>
      <w:r>
        <w:rPr>
          <w:rFonts w:hint="eastAsia"/>
          <w:sz w:val="24"/>
        </w:rPr>
        <w:t>项目</w:t>
      </w:r>
      <w:r>
        <w:rPr>
          <w:rFonts w:hint="eastAsia"/>
          <w:sz w:val="24"/>
          <w:lang w:eastAsia="zh-CN"/>
        </w:rPr>
        <w:t>配料、投料（粉状物料）</w:t>
      </w:r>
      <w:r>
        <w:rPr>
          <w:rFonts w:hint="eastAsia"/>
          <w:sz w:val="24"/>
        </w:rPr>
        <w:t>工序产生的粉尘经</w:t>
      </w:r>
      <w:r>
        <w:rPr>
          <w:rFonts w:hint="eastAsia"/>
          <w:sz w:val="24"/>
          <w:lang w:eastAsia="zh-CN"/>
        </w:rPr>
        <w:t>布袋除尘器</w:t>
      </w:r>
      <w:r>
        <w:rPr>
          <w:rFonts w:hint="eastAsia"/>
          <w:sz w:val="24"/>
        </w:rPr>
        <w:t>收集，经15m高排气筒达标排放</w:t>
      </w:r>
      <w:r>
        <w:rPr>
          <w:rFonts w:hint="eastAsia"/>
          <w:sz w:val="24"/>
          <w:lang w:eastAsia="zh-CN"/>
        </w:rPr>
        <w:t>（</w:t>
      </w:r>
      <w:r>
        <w:rPr>
          <w:rFonts w:hint="eastAsia"/>
          <w:sz w:val="24"/>
          <w:lang w:val="en-US" w:eastAsia="zh-CN"/>
        </w:rPr>
        <w:t>1#排气筒</w:t>
      </w:r>
      <w:r>
        <w:rPr>
          <w:rFonts w:hint="eastAsia"/>
          <w:sz w:val="24"/>
          <w:lang w:eastAsia="zh-CN"/>
        </w:rPr>
        <w:t>）。</w:t>
      </w:r>
      <w:r>
        <w:rPr>
          <w:rFonts w:hint="eastAsia"/>
          <w:sz w:val="24"/>
        </w:rPr>
        <w:t>粉尘处理效率可达99%以上，处理后粉尘排放浓度满足《橡胶制品工业污染物排放标准》(GB27632-2011)</w:t>
      </w:r>
      <w:r>
        <w:rPr>
          <w:rFonts w:hint="eastAsia"/>
          <w:sz w:val="24"/>
          <w:lang w:eastAsia="zh-CN"/>
        </w:rPr>
        <w:t>标准要求</w:t>
      </w:r>
      <w:r>
        <w:rPr>
          <w:rFonts w:hint="eastAsia"/>
          <w:sz w:val="24"/>
        </w:rPr>
        <w:t>。该工艺成熟可靠，运行稳定，处理工艺可行。</w:t>
      </w:r>
    </w:p>
    <w:p>
      <w:pPr>
        <w:spacing w:line="480" w:lineRule="exact"/>
        <w:ind w:firstLine="482" w:firstLineChars="200"/>
        <w:jc w:val="left"/>
        <w:rPr>
          <w:b/>
          <w:bCs/>
          <w:color w:val="auto"/>
          <w:sz w:val="24"/>
        </w:rPr>
      </w:pPr>
      <w:r>
        <w:rPr>
          <w:rFonts w:hint="eastAsia"/>
          <w:b/>
          <w:bCs/>
          <w:color w:val="auto"/>
          <w:sz w:val="24"/>
        </w:rPr>
        <w:t>（2）</w:t>
      </w:r>
      <w:r>
        <w:rPr>
          <w:rFonts w:hint="eastAsia"/>
          <w:b/>
          <w:color w:val="auto"/>
          <w:sz w:val="24"/>
          <w:lang w:eastAsia="zh-CN"/>
        </w:rPr>
        <w:t>配胶、开</w:t>
      </w:r>
      <w:r>
        <w:rPr>
          <w:b/>
          <w:color w:val="auto"/>
          <w:sz w:val="24"/>
        </w:rPr>
        <w:t>炼、</w:t>
      </w:r>
      <w:r>
        <w:rPr>
          <w:rFonts w:hint="eastAsia"/>
          <w:b/>
          <w:color w:val="auto"/>
          <w:sz w:val="24"/>
          <w:lang w:eastAsia="zh-CN"/>
        </w:rPr>
        <w:t>密炼</w:t>
      </w:r>
      <w:r>
        <w:rPr>
          <w:b/>
          <w:color w:val="auto"/>
          <w:sz w:val="24"/>
        </w:rPr>
        <w:t>废气</w:t>
      </w:r>
      <w:r>
        <w:rPr>
          <w:b/>
          <w:bCs/>
          <w:color w:val="auto"/>
          <w:sz w:val="24"/>
        </w:rPr>
        <w:t>防治措施</w:t>
      </w:r>
      <w:r>
        <w:rPr>
          <w:rFonts w:hint="eastAsia"/>
          <w:b/>
          <w:bCs/>
          <w:color w:val="auto"/>
          <w:sz w:val="24"/>
        </w:rPr>
        <w:t>及可行性分析</w:t>
      </w:r>
    </w:p>
    <w:p>
      <w:pPr>
        <w:adjustRightInd w:val="0"/>
        <w:snapToGrid w:val="0"/>
        <w:spacing w:line="360" w:lineRule="auto"/>
        <w:ind w:firstLine="480" w:firstLineChars="200"/>
        <w:rPr>
          <w:color w:val="auto"/>
          <w:sz w:val="24"/>
        </w:rPr>
      </w:pPr>
      <w:r>
        <w:rPr>
          <w:color w:val="auto"/>
          <w:sz w:val="24"/>
        </w:rPr>
        <w:t>为了减小废气无组织排放，项</w:t>
      </w:r>
      <w:r>
        <w:rPr>
          <w:rFonts w:hint="eastAsia"/>
          <w:color w:val="auto"/>
          <w:sz w:val="24"/>
          <w:lang w:eastAsia="zh-CN"/>
        </w:rPr>
        <w:t>目将配胶、开炼、密炼区分别设置在</w:t>
      </w:r>
      <w:r>
        <w:rPr>
          <w:color w:val="auto"/>
          <w:sz w:val="24"/>
        </w:rPr>
        <w:t>一个</w:t>
      </w:r>
      <w:r>
        <w:rPr>
          <w:rFonts w:hint="eastAsia"/>
          <w:color w:val="auto"/>
          <w:sz w:val="24"/>
          <w:lang w:eastAsia="zh-CN"/>
        </w:rPr>
        <w:t>封闭的</w:t>
      </w:r>
      <w:r>
        <w:rPr>
          <w:color w:val="auto"/>
          <w:sz w:val="24"/>
        </w:rPr>
        <w:t>区域，同时在进出口设置软帘，减小废气无组织排放。项目在</w:t>
      </w:r>
      <w:r>
        <w:rPr>
          <w:rFonts w:hint="eastAsia"/>
          <w:color w:val="auto"/>
          <w:sz w:val="24"/>
          <w:lang w:eastAsia="zh-CN"/>
        </w:rPr>
        <w:t>配胶、开炼、密炼</w:t>
      </w:r>
      <w:r>
        <w:rPr>
          <w:color w:val="auto"/>
          <w:sz w:val="24"/>
        </w:rPr>
        <w:t>工序上方设置集气装置，产生的废气通过集气装置收集后通过二级活性炭净化处理，经1根15m高排气筒（</w:t>
      </w:r>
      <w:r>
        <w:rPr>
          <w:rFonts w:hint="eastAsia"/>
          <w:color w:val="auto"/>
          <w:sz w:val="24"/>
          <w:lang w:val="en-US" w:eastAsia="zh-CN"/>
        </w:rPr>
        <w:t>2#</w:t>
      </w:r>
      <w:r>
        <w:rPr>
          <w:rFonts w:hint="eastAsia"/>
          <w:color w:val="auto"/>
          <w:sz w:val="24"/>
          <w:lang w:eastAsia="zh-CN"/>
        </w:rPr>
        <w:t>排气筒</w:t>
      </w:r>
      <w:r>
        <w:rPr>
          <w:color w:val="auto"/>
          <w:sz w:val="24"/>
        </w:rPr>
        <w:t>）排放。</w:t>
      </w:r>
    </w:p>
    <w:p>
      <w:pPr>
        <w:spacing w:line="520" w:lineRule="exact"/>
        <w:ind w:firstLine="482" w:firstLineChars="200"/>
        <w:rPr>
          <w:b/>
          <w:color w:val="auto"/>
          <w:sz w:val="24"/>
        </w:rPr>
      </w:pPr>
      <w:r>
        <w:rPr>
          <w:b/>
          <w:color w:val="auto"/>
          <w:sz w:val="24"/>
        </w:rPr>
        <w:t>活性炭吸附装置</w:t>
      </w:r>
      <w:r>
        <w:rPr>
          <w:rFonts w:hint="eastAsia"/>
          <w:b/>
          <w:color w:val="auto"/>
          <w:sz w:val="24"/>
        </w:rPr>
        <w:t>：</w:t>
      </w:r>
    </w:p>
    <w:p>
      <w:pPr>
        <w:spacing w:line="520" w:lineRule="exact"/>
        <w:ind w:firstLine="480" w:firstLineChars="200"/>
        <w:rPr>
          <w:bCs/>
          <w:color w:val="auto"/>
          <w:sz w:val="24"/>
        </w:rPr>
      </w:pPr>
      <w:r>
        <w:rPr>
          <w:bCs/>
          <w:color w:val="auto"/>
          <w:sz w:val="24"/>
        </w:rPr>
        <w:t>活性炭是由各种含碳物质（如木材、泥煤、果核、椰壳等原料）在高温下炭化后，再用水蒸气或化学药品（如氯化锌、氯化锰、氯化钙和磷酸等）进行活化处理，然后制成的孔隙十分丰富的吸附剂，比表面积一般在 700～1500m 2 /g 范围内，具有优良的吸附能力。其孔径分布一般为：活性炭 5nm 以下，活性焦炭 2nm 以下，炭分子筛 1nm 以下。炭分子筛式新近发展的一种孔径均一的分子筛型新品种，具有良好的选择吸附能力。</w:t>
      </w:r>
    </w:p>
    <w:p>
      <w:pPr>
        <w:spacing w:line="520" w:lineRule="exact"/>
        <w:ind w:firstLine="480" w:firstLineChars="200"/>
        <w:rPr>
          <w:bCs/>
          <w:color w:val="auto"/>
          <w:sz w:val="24"/>
        </w:rPr>
      </w:pPr>
      <w:r>
        <w:rPr>
          <w:bCs/>
          <w:color w:val="auto"/>
          <w:sz w:val="24"/>
        </w:rPr>
        <w:t>活性炭是一种具有非极性表面、疏水性、亲有机物的吸附剂。所以活性炭常常被用来吸附回收空气中的有机溶剂和恶臭物质，它可以根据需要制成不同性状和粒度，如粉末活性炭、颗粒活性炭及柱状活性炭。活性炭吸附的实质是利用活性炭吸附的特性把低浓度大风量废气中的有机溶剂吸附到活性炭中并浓缩，经活性炭吸附净化后的气体直接排空，其实质是一个吸附浓缩的过程，是一个物理过程。</w:t>
      </w:r>
    </w:p>
    <w:p>
      <w:pPr>
        <w:spacing w:line="520" w:lineRule="exact"/>
        <w:ind w:firstLine="480" w:firstLineChars="200"/>
        <w:rPr>
          <w:color w:val="auto"/>
        </w:rPr>
      </w:pPr>
      <w:r>
        <w:rPr>
          <w:bCs/>
          <w:color w:val="auto"/>
          <w:sz w:val="24"/>
        </w:rPr>
        <w:t>通常二级活性炭对有机废气的去除效率达 90%以上，三级活性炭对有机废气的去除效率达98%以上。</w:t>
      </w:r>
    </w:p>
    <w:p>
      <w:pPr>
        <w:autoSpaceDE w:val="0"/>
        <w:autoSpaceDN w:val="0"/>
        <w:adjustRightInd w:val="0"/>
        <w:spacing w:line="360" w:lineRule="auto"/>
        <w:ind w:firstLine="480" w:firstLineChars="200"/>
        <w:rPr>
          <w:color w:val="auto"/>
          <w:sz w:val="24"/>
          <w:szCs w:val="24"/>
        </w:rPr>
      </w:pPr>
      <w:r>
        <w:rPr>
          <w:rFonts w:hint="eastAsia"/>
          <w:sz w:val="24"/>
        </w:rPr>
        <w:t>项目</w:t>
      </w:r>
      <w:r>
        <w:rPr>
          <w:rFonts w:hint="eastAsia"/>
          <w:color w:val="auto"/>
          <w:sz w:val="24"/>
          <w:lang w:eastAsia="zh-CN"/>
        </w:rPr>
        <w:t>配胶、开炼、密炼</w:t>
      </w:r>
      <w:r>
        <w:rPr>
          <w:rFonts w:hint="eastAsia"/>
          <w:sz w:val="24"/>
        </w:rPr>
        <w:t>工序产生的</w:t>
      </w:r>
      <w:r>
        <w:rPr>
          <w:rFonts w:hint="eastAsia"/>
          <w:sz w:val="24"/>
          <w:lang w:eastAsia="zh-CN"/>
        </w:rPr>
        <w:t>废气</w:t>
      </w:r>
      <w:r>
        <w:rPr>
          <w:rFonts w:hint="eastAsia"/>
          <w:sz w:val="24"/>
        </w:rPr>
        <w:t>经</w:t>
      </w:r>
      <w:r>
        <w:rPr>
          <w:rFonts w:hint="eastAsia"/>
          <w:sz w:val="24"/>
          <w:lang w:eastAsia="zh-CN"/>
        </w:rPr>
        <w:t>二级活性炭净化处理</w:t>
      </w:r>
      <w:r>
        <w:rPr>
          <w:rFonts w:hint="eastAsia"/>
          <w:sz w:val="24"/>
        </w:rPr>
        <w:t>，经15m高排气筒达标排放</w:t>
      </w:r>
      <w:r>
        <w:rPr>
          <w:rFonts w:hint="eastAsia"/>
          <w:sz w:val="24"/>
          <w:lang w:eastAsia="zh-CN"/>
        </w:rPr>
        <w:t>（</w:t>
      </w:r>
      <w:r>
        <w:rPr>
          <w:rFonts w:hint="eastAsia"/>
          <w:sz w:val="24"/>
          <w:lang w:val="en-US" w:eastAsia="zh-CN"/>
        </w:rPr>
        <w:t>1#排气筒</w:t>
      </w:r>
      <w:r>
        <w:rPr>
          <w:rFonts w:hint="eastAsia"/>
          <w:sz w:val="24"/>
          <w:lang w:eastAsia="zh-CN"/>
        </w:rPr>
        <w:t>）。二级活性炭净化装置</w:t>
      </w:r>
      <w:r>
        <w:rPr>
          <w:rFonts w:hint="eastAsia"/>
          <w:sz w:val="24"/>
        </w:rPr>
        <w:t>处理效率可达9</w:t>
      </w:r>
      <w:r>
        <w:rPr>
          <w:rFonts w:hint="eastAsia"/>
          <w:sz w:val="24"/>
          <w:lang w:val="en-US" w:eastAsia="zh-CN"/>
        </w:rPr>
        <w:t>5</w:t>
      </w:r>
      <w:r>
        <w:rPr>
          <w:rFonts w:hint="eastAsia"/>
          <w:sz w:val="24"/>
        </w:rPr>
        <w:t>%以上，处理后</w:t>
      </w:r>
      <w:r>
        <w:rPr>
          <w:rFonts w:hint="eastAsia"/>
          <w:sz w:val="24"/>
          <w:lang w:eastAsia="zh-CN"/>
        </w:rPr>
        <w:t>非甲烷总烃、颗粒物</w:t>
      </w:r>
      <w:r>
        <w:rPr>
          <w:rFonts w:hint="eastAsia"/>
          <w:sz w:val="24"/>
        </w:rPr>
        <w:t>排放浓度满足《橡胶制品工业污染物排放标准》(GB27632-2011)</w:t>
      </w:r>
      <w:r>
        <w:rPr>
          <w:rFonts w:hint="eastAsia"/>
          <w:sz w:val="24"/>
          <w:lang w:eastAsia="zh-CN"/>
        </w:rPr>
        <w:t>标准要求</w:t>
      </w:r>
      <w:r>
        <w:rPr>
          <w:rFonts w:hint="eastAsia"/>
          <w:sz w:val="24"/>
        </w:rPr>
        <w:t>。该工艺成熟可靠，运行稳定，处理工艺可行。</w:t>
      </w:r>
    </w:p>
    <w:p>
      <w:pPr>
        <w:pStyle w:val="5"/>
        <w:spacing w:before="0" w:after="0" w:line="520" w:lineRule="exact"/>
        <w:ind w:firstLine="482" w:firstLineChars="200"/>
        <w:rPr>
          <w:color w:val="auto"/>
          <w:sz w:val="24"/>
          <w:szCs w:val="24"/>
        </w:rPr>
      </w:pPr>
      <w:r>
        <w:rPr>
          <w:color w:val="auto"/>
          <w:sz w:val="24"/>
          <w:szCs w:val="24"/>
        </w:rPr>
        <w:t>（</w:t>
      </w:r>
      <w:r>
        <w:rPr>
          <w:rFonts w:hint="eastAsia"/>
          <w:color w:val="auto"/>
          <w:sz w:val="24"/>
          <w:szCs w:val="24"/>
        </w:rPr>
        <w:t>3</w:t>
      </w:r>
      <w:r>
        <w:rPr>
          <w:color w:val="auto"/>
          <w:sz w:val="24"/>
          <w:szCs w:val="24"/>
        </w:rPr>
        <w:t>）</w:t>
      </w:r>
      <w:r>
        <w:rPr>
          <w:b/>
          <w:bCs/>
          <w:color w:val="auto"/>
          <w:sz w:val="24"/>
        </w:rPr>
        <w:t>涂胶、晾干</w:t>
      </w:r>
      <w:r>
        <w:rPr>
          <w:rFonts w:hint="eastAsia"/>
          <w:b/>
          <w:bCs/>
          <w:color w:val="auto"/>
          <w:sz w:val="24"/>
          <w:lang w:eastAsia="zh-CN"/>
        </w:rPr>
        <w:t>、烘干</w:t>
      </w:r>
      <w:r>
        <w:rPr>
          <w:b/>
          <w:bCs/>
          <w:color w:val="auto"/>
          <w:sz w:val="24"/>
        </w:rPr>
        <w:t>废气</w:t>
      </w:r>
      <w:r>
        <w:rPr>
          <w:color w:val="auto"/>
          <w:sz w:val="24"/>
          <w:szCs w:val="24"/>
        </w:rPr>
        <w:t>防治措施</w:t>
      </w:r>
      <w:r>
        <w:rPr>
          <w:rFonts w:hint="eastAsia"/>
          <w:b/>
          <w:bCs/>
          <w:color w:val="auto"/>
          <w:sz w:val="24"/>
        </w:rPr>
        <w:t>及可行性分析</w:t>
      </w:r>
    </w:p>
    <w:p>
      <w:pPr>
        <w:adjustRightInd w:val="0"/>
        <w:snapToGrid w:val="0"/>
        <w:spacing w:line="360" w:lineRule="auto"/>
        <w:ind w:firstLine="480" w:firstLineChars="200"/>
        <w:rPr>
          <w:color w:val="auto"/>
          <w:sz w:val="24"/>
        </w:rPr>
      </w:pPr>
      <w:r>
        <w:rPr>
          <w:b w:val="0"/>
          <w:bCs w:val="0"/>
          <w:color w:val="auto"/>
          <w:sz w:val="24"/>
        </w:rPr>
        <w:t>为了减小废气无组织排放，项目将配胶</w:t>
      </w:r>
      <w:r>
        <w:rPr>
          <w:rFonts w:hint="eastAsia"/>
          <w:b w:val="0"/>
          <w:bCs w:val="0"/>
          <w:color w:val="auto"/>
          <w:sz w:val="24"/>
          <w:lang w:eastAsia="zh-CN"/>
        </w:rPr>
        <w:t>区域设置单独的配胶间，涂胶工序中全自动生产线为全封闭，半自动生产线设置集气罩收集涂胶废气，晾干、烘干工序设置隧道式封闭通道，项目在配胶、</w:t>
      </w:r>
      <w:r>
        <w:rPr>
          <w:b w:val="0"/>
          <w:bCs w:val="0"/>
          <w:color w:val="auto"/>
          <w:sz w:val="24"/>
        </w:rPr>
        <w:t>涂胶、晾干</w:t>
      </w:r>
      <w:r>
        <w:rPr>
          <w:rFonts w:hint="eastAsia"/>
          <w:b w:val="0"/>
          <w:bCs w:val="0"/>
          <w:color w:val="auto"/>
          <w:sz w:val="24"/>
          <w:lang w:eastAsia="zh-CN"/>
        </w:rPr>
        <w:t>、烘干工序设置集气装置，可有效提高废气的收集效率。经收集的废气通过一套催化燃烧装置进行净化处理，</w:t>
      </w:r>
      <w:r>
        <w:rPr>
          <w:b w:val="0"/>
          <w:bCs w:val="0"/>
          <w:color w:val="auto"/>
          <w:sz w:val="24"/>
        </w:rPr>
        <w:t>经1根15m高排气筒（</w:t>
      </w:r>
      <w:r>
        <w:rPr>
          <w:rFonts w:hint="eastAsia"/>
          <w:b w:val="0"/>
          <w:bCs w:val="0"/>
          <w:color w:val="auto"/>
          <w:sz w:val="24"/>
          <w:lang w:val="en-US" w:eastAsia="zh-CN"/>
        </w:rPr>
        <w:t>3#排气筒</w:t>
      </w:r>
      <w:r>
        <w:rPr>
          <w:b w:val="0"/>
          <w:bCs w:val="0"/>
          <w:color w:val="auto"/>
          <w:sz w:val="24"/>
        </w:rPr>
        <w:t>）排放。</w:t>
      </w:r>
      <w:r>
        <w:rPr>
          <w:color w:val="auto"/>
          <w:sz w:val="24"/>
        </w:rPr>
        <w:t>风机总风量为</w:t>
      </w:r>
      <w:r>
        <w:rPr>
          <w:rFonts w:hint="eastAsia"/>
          <w:color w:val="auto"/>
          <w:sz w:val="24"/>
          <w:lang w:val="en-US" w:eastAsia="zh-CN"/>
        </w:rPr>
        <w:t>450</w:t>
      </w:r>
      <w:r>
        <w:rPr>
          <w:color w:val="auto"/>
          <w:sz w:val="24"/>
        </w:rPr>
        <w:t>00m³/h，净化装置净化效率以9</w:t>
      </w:r>
      <w:r>
        <w:rPr>
          <w:rFonts w:hint="eastAsia"/>
          <w:color w:val="auto"/>
          <w:sz w:val="24"/>
          <w:lang w:val="en-US" w:eastAsia="zh-CN"/>
        </w:rPr>
        <w:t>9</w:t>
      </w:r>
      <w:r>
        <w:rPr>
          <w:color w:val="auto"/>
          <w:sz w:val="24"/>
        </w:rPr>
        <w:t>%计，年工作</w:t>
      </w:r>
      <w:r>
        <w:rPr>
          <w:rFonts w:hint="eastAsia"/>
          <w:color w:val="auto"/>
          <w:sz w:val="24"/>
          <w:lang w:val="en-US" w:eastAsia="zh-CN"/>
        </w:rPr>
        <w:t>24</w:t>
      </w:r>
      <w:r>
        <w:rPr>
          <w:color w:val="auto"/>
          <w:sz w:val="24"/>
        </w:rPr>
        <w:t>00h。</w:t>
      </w:r>
    </w:p>
    <w:p>
      <w:pPr>
        <w:autoSpaceDE w:val="0"/>
        <w:autoSpaceDN w:val="0"/>
        <w:adjustRightInd w:val="0"/>
        <w:spacing w:line="360" w:lineRule="auto"/>
        <w:ind w:firstLine="482" w:firstLineChars="200"/>
        <w:rPr>
          <w:rFonts w:hint="eastAsia"/>
          <w:b/>
          <w:bCs/>
          <w:sz w:val="24"/>
          <w:lang w:eastAsia="zh-CN"/>
        </w:rPr>
      </w:pPr>
      <w:r>
        <w:rPr>
          <w:rFonts w:hint="eastAsia"/>
          <w:b/>
          <w:bCs/>
          <w:sz w:val="24"/>
          <w:lang w:eastAsia="zh-CN"/>
        </w:rPr>
        <w:t>废气处理系统配置说明及部件介绍：</w:t>
      </w:r>
    </w:p>
    <w:p>
      <w:pPr>
        <w:autoSpaceDE w:val="0"/>
        <w:autoSpaceDN w:val="0"/>
        <w:adjustRightInd w:val="0"/>
        <w:spacing w:line="360" w:lineRule="auto"/>
        <w:ind w:firstLine="480" w:firstLineChars="200"/>
        <w:rPr>
          <w:rFonts w:hint="eastAsia"/>
          <w:sz w:val="24"/>
          <w:lang w:eastAsia="zh-CN"/>
        </w:rPr>
      </w:pPr>
      <w:r>
        <w:rPr>
          <w:rFonts w:hint="eastAsia"/>
          <w:sz w:val="24"/>
          <w:lang w:eastAsia="zh-CN"/>
        </w:rPr>
        <w:t>废气处理系统由活性炭吸附系统、催化燃烧再生系统、电气控制系统及通风管道系统等系统组成。</w:t>
      </w:r>
    </w:p>
    <w:p>
      <w:pPr>
        <w:autoSpaceDE w:val="0"/>
        <w:autoSpaceDN w:val="0"/>
        <w:adjustRightInd w:val="0"/>
        <w:spacing w:line="360" w:lineRule="auto"/>
        <w:ind w:firstLine="482" w:firstLineChars="200"/>
        <w:rPr>
          <w:rFonts w:hint="eastAsia"/>
          <w:sz w:val="24"/>
          <w:lang w:eastAsia="zh-CN"/>
        </w:rPr>
      </w:pPr>
      <w:r>
        <w:rPr>
          <w:rFonts w:hint="eastAsia"/>
          <w:b/>
          <w:bCs/>
          <w:sz w:val="24"/>
          <w:lang w:eastAsia="zh-CN"/>
        </w:rPr>
        <w:t>活性炭吸附系统：</w:t>
      </w:r>
      <w:r>
        <w:rPr>
          <w:rFonts w:hint="eastAsia"/>
          <w:sz w:val="24"/>
          <w:lang w:eastAsia="zh-CN"/>
        </w:rPr>
        <w:t>包括吸附箱本体、活性炭、泄压装置、温度传感器、消防喷淋装置、仪表阀门等，由于风量较大和有利于脱附再生等因素，活性炭吸附系统采用 6个单元并联而成。吸附床内胆 Q235 厚 3mm 材料制作。</w:t>
      </w:r>
    </w:p>
    <w:p>
      <w:pPr>
        <w:autoSpaceDE w:val="0"/>
        <w:autoSpaceDN w:val="0"/>
        <w:adjustRightInd w:val="0"/>
        <w:spacing w:line="360" w:lineRule="auto"/>
        <w:ind w:firstLine="480" w:firstLineChars="200"/>
        <w:rPr>
          <w:rFonts w:hint="eastAsia"/>
          <w:sz w:val="24"/>
          <w:lang w:eastAsia="zh-CN"/>
        </w:rPr>
      </w:pPr>
      <w:r>
        <w:rPr>
          <w:rFonts w:hint="eastAsia"/>
          <w:sz w:val="24"/>
          <w:lang w:eastAsia="zh-CN"/>
        </w:rPr>
        <w:t>◎为了保护设备安全，吸附箱上设置水喷淋装置，当温度超过极限设定值时，电柜就会报警，同时喷淋装置就会立即启动，进行喷淋灭火。</w:t>
      </w:r>
    </w:p>
    <w:p>
      <w:pPr>
        <w:autoSpaceDE w:val="0"/>
        <w:autoSpaceDN w:val="0"/>
        <w:adjustRightInd w:val="0"/>
        <w:spacing w:line="360" w:lineRule="auto"/>
        <w:ind w:firstLine="480" w:firstLineChars="200"/>
        <w:rPr>
          <w:rFonts w:hint="eastAsia"/>
          <w:sz w:val="24"/>
          <w:lang w:eastAsia="zh-CN"/>
        </w:rPr>
      </w:pPr>
      <w:r>
        <w:rPr>
          <w:rFonts w:hint="eastAsia"/>
          <w:sz w:val="24"/>
          <w:lang w:eastAsia="zh-CN"/>
        </w:rPr>
        <w:t>◎吸附床的吸附（出）风阀和再生进（出）阀门均采用气动阀门，此阀门密闭性好、开启灵活、维修方便、坚固耐用。</w:t>
      </w:r>
    </w:p>
    <w:p>
      <w:pPr>
        <w:autoSpaceDE w:val="0"/>
        <w:autoSpaceDN w:val="0"/>
        <w:adjustRightInd w:val="0"/>
        <w:spacing w:line="360" w:lineRule="auto"/>
        <w:ind w:firstLine="480" w:firstLineChars="200"/>
        <w:rPr>
          <w:rFonts w:hint="eastAsia"/>
          <w:sz w:val="24"/>
          <w:lang w:eastAsia="zh-CN"/>
        </w:rPr>
      </w:pPr>
      <w:r>
        <w:rPr>
          <w:rFonts w:hint="eastAsia"/>
          <w:sz w:val="24"/>
          <w:lang w:eastAsia="zh-CN"/>
        </w:rPr>
        <w:t>◎吸附箱上设置温度传感器，传感器监测吸附箱内温度，输出信号。</w:t>
      </w:r>
    </w:p>
    <w:p>
      <w:pPr>
        <w:spacing w:line="520" w:lineRule="exact"/>
        <w:ind w:firstLine="482" w:firstLineChars="200"/>
        <w:rPr>
          <w:b/>
          <w:bCs/>
          <w:color w:val="auto"/>
          <w:sz w:val="24"/>
        </w:rPr>
      </w:pPr>
    </w:p>
    <w:p/>
    <w:p>
      <w:pPr>
        <w:pStyle w:val="2"/>
        <w:rPr>
          <w:b/>
          <w:bCs/>
          <w:color w:val="auto"/>
          <w:sz w:val="24"/>
        </w:rPr>
      </w:pPr>
    </w:p>
    <w:p>
      <w:pPr>
        <w:spacing w:line="520" w:lineRule="exact"/>
        <w:ind w:firstLine="482" w:firstLineChars="200"/>
        <w:jc w:val="center"/>
        <w:rPr>
          <w:rFonts w:hint="eastAsia"/>
          <w:b/>
          <w:bCs/>
          <w:color w:val="auto"/>
          <w:sz w:val="24"/>
        </w:rPr>
      </w:pPr>
      <w:r>
        <w:rPr>
          <w:rFonts w:hint="eastAsia"/>
          <w:b/>
          <w:bCs/>
          <w:color w:val="auto"/>
          <w:sz w:val="24"/>
          <w:lang w:eastAsia="zh-CN"/>
        </w:rPr>
        <w:t>表</w:t>
      </w:r>
      <w:r>
        <w:rPr>
          <w:rFonts w:hint="eastAsia"/>
          <w:b/>
          <w:bCs/>
          <w:color w:val="auto"/>
          <w:sz w:val="24"/>
          <w:lang w:val="en-US" w:eastAsia="zh-CN"/>
        </w:rPr>
        <w:t xml:space="preserve">7-1  </w:t>
      </w:r>
      <w:r>
        <w:rPr>
          <w:rFonts w:hint="eastAsia"/>
          <w:b/>
          <w:bCs/>
          <w:color w:val="auto"/>
          <w:sz w:val="24"/>
        </w:rPr>
        <w:t>蜂窝活性炭规格参数</w:t>
      </w:r>
    </w:p>
    <w:p>
      <w:pPr>
        <w:pStyle w:val="2"/>
        <w:rPr>
          <w:rFonts w:hint="eastAsia"/>
          <w:b/>
          <w:bCs/>
          <w:color w:val="auto"/>
          <w:sz w:val="24"/>
        </w:rPr>
      </w:pPr>
      <w:r>
        <w:drawing>
          <wp:anchor distT="0" distB="0" distL="114300" distR="114300" simplePos="0" relativeHeight="251790336" behindDoc="1" locked="0" layoutInCell="1" allowOverlap="1">
            <wp:simplePos x="0" y="0"/>
            <wp:positionH relativeFrom="column">
              <wp:posOffset>-47625</wp:posOffset>
            </wp:positionH>
            <wp:positionV relativeFrom="paragraph">
              <wp:posOffset>46355</wp:posOffset>
            </wp:positionV>
            <wp:extent cx="5543550" cy="2091690"/>
            <wp:effectExtent l="0" t="0" r="0" b="3810"/>
            <wp:wrapNone/>
            <wp:docPr id="7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14"/>
                    <pic:cNvPicPr>
                      <a:picLocks noChangeAspect="1"/>
                    </pic:cNvPicPr>
                  </pic:nvPicPr>
                  <pic:blipFill>
                    <a:blip r:embed="rId57"/>
                    <a:stretch>
                      <a:fillRect/>
                    </a:stretch>
                  </pic:blipFill>
                  <pic:spPr>
                    <a:xfrm>
                      <a:off x="0" y="0"/>
                      <a:ext cx="5543550" cy="2091690"/>
                    </a:xfrm>
                    <a:prstGeom prst="rect">
                      <a:avLst/>
                    </a:prstGeom>
                    <a:noFill/>
                    <a:ln>
                      <a:noFill/>
                    </a:ln>
                  </pic:spPr>
                </pic:pic>
              </a:graphicData>
            </a:graphic>
          </wp:anchor>
        </w:drawing>
      </w:r>
    </w:p>
    <w:p>
      <w:pPr>
        <w:rPr>
          <w:rFonts w:hint="eastAsia"/>
          <w:b/>
          <w:bCs/>
          <w:color w:val="auto"/>
          <w:sz w:val="24"/>
        </w:rPr>
      </w:pPr>
    </w:p>
    <w:p>
      <w:pPr>
        <w:pStyle w:val="2"/>
        <w:rPr>
          <w:rFonts w:hint="eastAsia"/>
          <w:b/>
          <w:bCs/>
          <w:color w:val="auto"/>
          <w:sz w:val="24"/>
        </w:rPr>
      </w:pPr>
    </w:p>
    <w:p>
      <w:pPr>
        <w:rPr>
          <w:rFonts w:hint="eastAsia"/>
          <w:b/>
          <w:bCs/>
          <w:color w:val="auto"/>
          <w:sz w:val="24"/>
        </w:rPr>
      </w:pPr>
    </w:p>
    <w:p>
      <w:pPr>
        <w:pStyle w:val="2"/>
        <w:rPr>
          <w:rFonts w:hint="eastAsia"/>
          <w:b/>
          <w:bCs/>
          <w:color w:val="auto"/>
          <w:sz w:val="24"/>
        </w:rPr>
      </w:pPr>
    </w:p>
    <w:p>
      <w:pPr>
        <w:rPr>
          <w:rFonts w:hint="eastAsia"/>
          <w:b/>
          <w:bCs/>
          <w:color w:val="auto"/>
          <w:sz w:val="24"/>
        </w:rPr>
      </w:pPr>
    </w:p>
    <w:p>
      <w:pPr>
        <w:pStyle w:val="2"/>
        <w:rPr>
          <w:rFonts w:hint="eastAsia"/>
          <w:b/>
          <w:bCs/>
          <w:color w:val="auto"/>
          <w:sz w:val="24"/>
        </w:rPr>
      </w:pPr>
    </w:p>
    <w:p>
      <w:pPr>
        <w:rPr>
          <w:rFonts w:hint="eastAsia"/>
          <w:b/>
          <w:bCs/>
          <w:color w:val="auto"/>
          <w:sz w:val="24"/>
        </w:rPr>
      </w:pPr>
    </w:p>
    <w:p>
      <w:pPr>
        <w:pStyle w:val="2"/>
        <w:rPr>
          <w:rFonts w:hint="eastAsia"/>
        </w:rPr>
      </w:pPr>
    </w:p>
    <w:p>
      <w:pPr>
        <w:rPr>
          <w:rFonts w:hint="eastAsia"/>
          <w:b/>
          <w:bCs/>
          <w:color w:val="auto"/>
          <w:sz w:val="24"/>
        </w:rPr>
      </w:pPr>
    </w:p>
    <w:p>
      <w:pPr>
        <w:pStyle w:val="2"/>
      </w:pPr>
    </w:p>
    <w:p>
      <w:pPr>
        <w:spacing w:line="520" w:lineRule="exact"/>
        <w:ind w:firstLine="420" w:firstLineChars="200"/>
        <w:rPr>
          <w:b/>
          <w:bCs/>
          <w:color w:val="auto"/>
          <w:sz w:val="24"/>
        </w:rPr>
      </w:pPr>
      <w:r>
        <w:drawing>
          <wp:anchor distT="0" distB="0" distL="114300" distR="114300" simplePos="0" relativeHeight="251790336" behindDoc="1" locked="0" layoutInCell="1" allowOverlap="1">
            <wp:simplePos x="0" y="0"/>
            <wp:positionH relativeFrom="column">
              <wp:posOffset>-19050</wp:posOffset>
            </wp:positionH>
            <wp:positionV relativeFrom="paragraph">
              <wp:posOffset>27940</wp:posOffset>
            </wp:positionV>
            <wp:extent cx="5542280" cy="2889250"/>
            <wp:effectExtent l="0" t="0" r="1270" b="6350"/>
            <wp:wrapNone/>
            <wp:docPr id="7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13"/>
                    <pic:cNvPicPr>
                      <a:picLocks noChangeAspect="1"/>
                    </pic:cNvPicPr>
                  </pic:nvPicPr>
                  <pic:blipFill>
                    <a:blip r:embed="rId58"/>
                    <a:stretch>
                      <a:fillRect/>
                    </a:stretch>
                  </pic:blipFill>
                  <pic:spPr>
                    <a:xfrm>
                      <a:off x="0" y="0"/>
                      <a:ext cx="5542280" cy="2889250"/>
                    </a:xfrm>
                    <a:prstGeom prst="rect">
                      <a:avLst/>
                    </a:prstGeom>
                    <a:noFill/>
                    <a:ln>
                      <a:noFill/>
                    </a:ln>
                  </pic:spPr>
                </pic:pic>
              </a:graphicData>
            </a:graphic>
          </wp:anchor>
        </w:drawing>
      </w:r>
    </w:p>
    <w:p>
      <w:pPr>
        <w:spacing w:line="520" w:lineRule="exact"/>
        <w:ind w:firstLine="482" w:firstLineChars="200"/>
        <w:rPr>
          <w:b/>
          <w:bCs/>
          <w:color w:val="auto"/>
          <w:sz w:val="24"/>
        </w:rPr>
      </w:pPr>
    </w:p>
    <w:p>
      <w:pPr>
        <w:spacing w:line="520" w:lineRule="exact"/>
        <w:ind w:firstLine="482" w:firstLineChars="200"/>
        <w:rPr>
          <w:b/>
          <w:bCs/>
          <w:color w:val="auto"/>
          <w:sz w:val="24"/>
        </w:rPr>
      </w:pPr>
    </w:p>
    <w:p>
      <w:pPr>
        <w:pStyle w:val="2"/>
        <w:rPr>
          <w:b/>
          <w:bCs/>
          <w:color w:val="auto"/>
          <w:sz w:val="24"/>
        </w:rPr>
      </w:pPr>
    </w:p>
    <w:p>
      <w:pPr>
        <w:rPr>
          <w:b/>
          <w:bCs/>
          <w:color w:val="auto"/>
          <w:sz w:val="24"/>
        </w:rPr>
      </w:pPr>
    </w:p>
    <w:p>
      <w:pPr>
        <w:pStyle w:val="2"/>
      </w:pPr>
    </w:p>
    <w:p>
      <w:pPr>
        <w:spacing w:line="520" w:lineRule="exact"/>
        <w:ind w:firstLine="482" w:firstLineChars="200"/>
        <w:rPr>
          <w:b/>
          <w:bCs/>
          <w:color w:val="auto"/>
          <w:sz w:val="24"/>
        </w:rPr>
      </w:pPr>
    </w:p>
    <w:p>
      <w:pPr>
        <w:spacing w:line="520" w:lineRule="exact"/>
        <w:ind w:firstLine="482" w:firstLineChars="200"/>
        <w:rPr>
          <w:b/>
          <w:bCs/>
          <w:color w:val="auto"/>
          <w:sz w:val="24"/>
        </w:rPr>
      </w:pPr>
    </w:p>
    <w:p>
      <w:pPr>
        <w:spacing w:line="520" w:lineRule="exact"/>
        <w:ind w:firstLine="482" w:firstLineChars="200"/>
        <w:rPr>
          <w:b/>
          <w:bCs/>
          <w:color w:val="auto"/>
          <w:sz w:val="24"/>
        </w:rPr>
      </w:pPr>
    </w:p>
    <w:p>
      <w:pPr>
        <w:spacing w:line="520" w:lineRule="exact"/>
        <w:ind w:firstLine="482" w:firstLineChars="200"/>
        <w:rPr>
          <w:b/>
          <w:bCs/>
          <w:color w:val="auto"/>
          <w:sz w:val="24"/>
        </w:rPr>
      </w:pPr>
    </w:p>
    <w:p>
      <w:pPr>
        <w:spacing w:line="520" w:lineRule="exact"/>
        <w:ind w:firstLine="482" w:firstLineChars="200"/>
        <w:rPr>
          <w:b/>
          <w:bCs/>
          <w:color w:val="auto"/>
          <w:sz w:val="24"/>
        </w:rPr>
      </w:pPr>
      <w:r>
        <w:rPr>
          <w:rFonts w:hint="eastAsia"/>
          <w:b/>
          <w:bCs/>
          <w:sz w:val="24"/>
          <w:lang w:eastAsia="zh-CN"/>
        </w:rPr>
        <w:t>催化剂</w:t>
      </w:r>
    </w:p>
    <w:p>
      <w:pPr>
        <w:autoSpaceDE w:val="0"/>
        <w:autoSpaceDN w:val="0"/>
        <w:adjustRightInd w:val="0"/>
        <w:spacing w:line="360" w:lineRule="auto"/>
        <w:ind w:firstLine="480" w:firstLineChars="200"/>
        <w:rPr>
          <w:rFonts w:hint="eastAsia"/>
          <w:sz w:val="24"/>
          <w:lang w:eastAsia="zh-CN"/>
        </w:rPr>
      </w:pPr>
      <w:r>
        <w:rPr>
          <w:rFonts w:hint="eastAsia"/>
          <w:sz w:val="24"/>
          <w:lang w:eastAsia="zh-CN"/>
        </w:rPr>
        <w:t>催化剂是在化学反应中能改变反应温度而本身的组成和重量在反应后保持不变</w:t>
      </w:r>
    </w:p>
    <w:p>
      <w:pPr>
        <w:autoSpaceDE w:val="0"/>
        <w:autoSpaceDN w:val="0"/>
        <w:adjustRightInd w:val="0"/>
        <w:spacing w:line="360" w:lineRule="auto"/>
        <w:ind w:firstLine="480" w:firstLineChars="200"/>
        <w:rPr>
          <w:rFonts w:hint="eastAsia"/>
          <w:sz w:val="24"/>
          <w:lang w:eastAsia="zh-CN"/>
        </w:rPr>
      </w:pPr>
      <w:r>
        <w:rPr>
          <w:rFonts w:hint="eastAsia"/>
          <w:sz w:val="24"/>
          <w:lang w:eastAsia="zh-CN"/>
        </w:rPr>
        <w:t>的物质。催化剂蜂窝陶瓷做载体，内浸渍贵金属铂和钯，具有高活性、高净化效率、耐高温及长使用寿命等特点</w:t>
      </w:r>
    </w:p>
    <w:p>
      <w:pPr>
        <w:autoSpaceDE w:val="0"/>
        <w:autoSpaceDN w:val="0"/>
        <w:adjustRightInd w:val="0"/>
        <w:spacing w:line="360" w:lineRule="auto"/>
        <w:ind w:firstLine="420" w:firstLineChars="200"/>
        <w:jc w:val="center"/>
        <w:rPr>
          <w:rFonts w:hint="eastAsia"/>
          <w:b/>
          <w:bCs/>
          <w:sz w:val="24"/>
          <w:lang w:eastAsia="zh-CN"/>
        </w:rPr>
      </w:pPr>
      <w:r>
        <w:drawing>
          <wp:anchor distT="0" distB="0" distL="114300" distR="114300" simplePos="0" relativeHeight="251790336" behindDoc="1" locked="0" layoutInCell="1" allowOverlap="1">
            <wp:simplePos x="0" y="0"/>
            <wp:positionH relativeFrom="column">
              <wp:posOffset>97155</wp:posOffset>
            </wp:positionH>
            <wp:positionV relativeFrom="paragraph">
              <wp:posOffset>282575</wp:posOffset>
            </wp:positionV>
            <wp:extent cx="5543550" cy="1762125"/>
            <wp:effectExtent l="0" t="0" r="0" b="9525"/>
            <wp:wrapNone/>
            <wp:docPr id="8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15"/>
                    <pic:cNvPicPr>
                      <a:picLocks noChangeAspect="1"/>
                    </pic:cNvPicPr>
                  </pic:nvPicPr>
                  <pic:blipFill>
                    <a:blip r:embed="rId59"/>
                    <a:stretch>
                      <a:fillRect/>
                    </a:stretch>
                  </pic:blipFill>
                  <pic:spPr>
                    <a:xfrm>
                      <a:off x="0" y="0"/>
                      <a:ext cx="5543550" cy="1762125"/>
                    </a:xfrm>
                    <a:prstGeom prst="rect">
                      <a:avLst/>
                    </a:prstGeom>
                    <a:noFill/>
                    <a:ln>
                      <a:noFill/>
                    </a:ln>
                  </pic:spPr>
                </pic:pic>
              </a:graphicData>
            </a:graphic>
          </wp:anchor>
        </w:drawing>
      </w:r>
      <w:r>
        <w:rPr>
          <w:rFonts w:hint="eastAsia"/>
          <w:b/>
          <w:bCs/>
          <w:sz w:val="24"/>
          <w:lang w:val="en-US" w:eastAsia="zh-CN"/>
        </w:rPr>
        <w:t xml:space="preserve">表7-2  </w:t>
      </w:r>
      <w:r>
        <w:rPr>
          <w:rFonts w:hint="eastAsia"/>
          <w:b/>
          <w:bCs/>
          <w:sz w:val="24"/>
          <w:lang w:eastAsia="zh-CN"/>
        </w:rPr>
        <w:t>催化剂主要技术性能</w:t>
      </w:r>
    </w:p>
    <w:p>
      <w:pPr>
        <w:rPr>
          <w:rFonts w:hint="eastAsia"/>
          <w:b/>
          <w:bCs/>
          <w:color w:val="auto"/>
          <w:sz w:val="24"/>
        </w:rPr>
      </w:pPr>
    </w:p>
    <w:p>
      <w:pPr>
        <w:pStyle w:val="2"/>
        <w:rPr>
          <w:rFonts w:hint="eastAsia"/>
          <w:b/>
          <w:bCs/>
          <w:color w:val="auto"/>
          <w:sz w:val="24"/>
        </w:rPr>
      </w:pPr>
    </w:p>
    <w:p>
      <w:pPr>
        <w:rPr>
          <w:rFonts w:hint="eastAsia"/>
          <w:b/>
          <w:bCs/>
          <w:color w:val="auto"/>
          <w:sz w:val="24"/>
        </w:rPr>
      </w:pPr>
    </w:p>
    <w:p>
      <w:pPr>
        <w:pStyle w:val="2"/>
        <w:rPr>
          <w:rFonts w:hint="eastAsia"/>
          <w:b/>
          <w:bCs/>
          <w:color w:val="auto"/>
          <w:sz w:val="24"/>
        </w:rPr>
      </w:pPr>
    </w:p>
    <w:p>
      <w:pPr>
        <w:rPr>
          <w:rFonts w:hint="eastAsia"/>
          <w:b/>
          <w:bCs/>
          <w:color w:val="auto"/>
          <w:sz w:val="24"/>
        </w:rPr>
      </w:pPr>
    </w:p>
    <w:p>
      <w:pPr>
        <w:pStyle w:val="2"/>
        <w:rPr>
          <w:rFonts w:hint="eastAsia"/>
          <w:b/>
          <w:bCs/>
          <w:color w:val="auto"/>
          <w:sz w:val="24"/>
        </w:rPr>
      </w:pPr>
    </w:p>
    <w:p>
      <w:pPr>
        <w:rPr>
          <w:rFonts w:hint="eastAsia"/>
          <w:b/>
          <w:bCs/>
          <w:color w:val="auto"/>
          <w:sz w:val="24"/>
        </w:rPr>
      </w:pPr>
    </w:p>
    <w:p>
      <w:pPr>
        <w:pStyle w:val="2"/>
        <w:rPr>
          <w:rFonts w:hint="eastAsia"/>
          <w:b/>
          <w:bCs/>
          <w:color w:val="auto"/>
          <w:sz w:val="24"/>
        </w:rPr>
      </w:pPr>
    </w:p>
    <w:p>
      <w:pPr>
        <w:autoSpaceDE w:val="0"/>
        <w:autoSpaceDN w:val="0"/>
        <w:adjustRightInd w:val="0"/>
        <w:spacing w:line="360" w:lineRule="auto"/>
        <w:ind w:firstLine="482" w:firstLineChars="200"/>
        <w:rPr>
          <w:rFonts w:hint="eastAsia"/>
          <w:b/>
          <w:bCs/>
          <w:color w:val="auto"/>
          <w:sz w:val="24"/>
        </w:rPr>
      </w:pPr>
      <w:r>
        <w:rPr>
          <w:rFonts w:hint="eastAsia"/>
          <w:b/>
          <w:bCs/>
          <w:sz w:val="24"/>
          <w:lang w:eastAsia="zh-CN"/>
        </w:rPr>
        <w:t>催化燃烧再生装置：</w:t>
      </w:r>
      <w:r>
        <w:rPr>
          <w:rFonts w:hint="eastAsia"/>
          <w:sz w:val="24"/>
          <w:lang w:eastAsia="zh-CN"/>
        </w:rPr>
        <w:t>包括装置本体、电加热预热室、催化燃烧蓄热室、防爆泄压装置、温度传感器、连接管道阀门、仪表、催化剂等。</w:t>
      </w:r>
    </w:p>
    <w:p>
      <w:pPr>
        <w:autoSpaceDE w:val="0"/>
        <w:autoSpaceDN w:val="0"/>
        <w:adjustRightInd w:val="0"/>
        <w:spacing w:line="360" w:lineRule="auto"/>
        <w:ind w:firstLine="480" w:firstLineChars="200"/>
        <w:rPr>
          <w:rFonts w:hint="eastAsia"/>
          <w:sz w:val="24"/>
          <w:lang w:eastAsia="zh-CN"/>
        </w:rPr>
      </w:pPr>
      <w:r>
        <w:rPr>
          <w:rFonts w:hint="eastAsia"/>
          <w:sz w:val="24"/>
          <w:lang w:eastAsia="zh-CN"/>
        </w:rPr>
        <w:t>为了节约投资，活性炭吸附单元装置一套催化燃烧再生装置，每个单元交替、轮流进行脱附再生。</w:t>
      </w:r>
    </w:p>
    <w:p>
      <w:pPr>
        <w:autoSpaceDE w:val="0"/>
        <w:autoSpaceDN w:val="0"/>
        <w:adjustRightInd w:val="0"/>
        <w:spacing w:line="360" w:lineRule="auto"/>
        <w:ind w:firstLine="480" w:firstLineChars="200"/>
        <w:rPr>
          <w:rFonts w:hint="eastAsia"/>
          <w:sz w:val="24"/>
          <w:lang w:eastAsia="zh-CN"/>
        </w:rPr>
      </w:pPr>
      <w:r>
        <w:rPr>
          <w:rFonts w:hint="eastAsia"/>
          <w:sz w:val="24"/>
          <w:lang w:eastAsia="zh-CN"/>
        </w:rPr>
        <w:t>◎废气加热采用无污染、运行稳定的电加热方式，电加热室内的电热管分成三组，由电控箱自动控制，当废气温度低于一定温度时（可设定）电热管会自动接通电源给废气加热，当温度高于一定温度（可设定）电热管会自动断开一组或者多组，以节约电能和安全运行为主，电热管选用耐热耐用的不锈钢电热管。</w:t>
      </w:r>
    </w:p>
    <w:p>
      <w:pPr>
        <w:autoSpaceDE w:val="0"/>
        <w:autoSpaceDN w:val="0"/>
        <w:adjustRightInd w:val="0"/>
        <w:spacing w:line="360" w:lineRule="auto"/>
        <w:ind w:firstLine="482" w:firstLineChars="200"/>
        <w:rPr>
          <w:rFonts w:hint="eastAsia"/>
          <w:sz w:val="24"/>
          <w:lang w:eastAsia="zh-CN"/>
        </w:rPr>
      </w:pPr>
      <w:r>
        <w:rPr>
          <w:rFonts w:hint="eastAsia"/>
          <w:b/>
          <w:bCs/>
          <w:sz w:val="24"/>
          <w:lang w:eastAsia="zh-CN"/>
        </w:rPr>
        <w:t>电气控制系统：</w:t>
      </w:r>
      <w:r>
        <w:rPr>
          <w:rFonts w:hint="eastAsia"/>
          <w:sz w:val="24"/>
          <w:lang w:eastAsia="zh-CN"/>
        </w:rPr>
        <w:t>包括电柜、PLC、触摸屏、现场仪表及线管等。</w:t>
      </w:r>
    </w:p>
    <w:p>
      <w:pPr>
        <w:autoSpaceDE w:val="0"/>
        <w:autoSpaceDN w:val="0"/>
        <w:adjustRightInd w:val="0"/>
        <w:spacing w:line="360" w:lineRule="auto"/>
        <w:ind w:firstLine="480" w:firstLineChars="200"/>
        <w:rPr>
          <w:rFonts w:hint="eastAsia"/>
          <w:sz w:val="24"/>
          <w:lang w:eastAsia="zh-CN"/>
        </w:rPr>
      </w:pPr>
      <w:r>
        <w:rPr>
          <w:rFonts w:hint="eastAsia"/>
          <w:sz w:val="24"/>
          <w:lang w:eastAsia="zh-CN"/>
        </w:rPr>
        <w:t>◎根据公职对象的区域和控制量等情况，考虑在现场设一套 PLC控制站，控制站由触摸屏、PLC、现场仪表及线管等组成。电控系统具有手动和自动控制功能：手动控制时各项设备可独立启动，自动控制时各项设备自动按程序启动。</w:t>
      </w:r>
    </w:p>
    <w:p>
      <w:pPr>
        <w:autoSpaceDE w:val="0"/>
        <w:autoSpaceDN w:val="0"/>
        <w:adjustRightInd w:val="0"/>
        <w:spacing w:line="360" w:lineRule="auto"/>
        <w:ind w:firstLine="480" w:firstLineChars="200"/>
        <w:rPr>
          <w:rFonts w:hint="eastAsia"/>
          <w:sz w:val="24"/>
          <w:lang w:eastAsia="zh-CN"/>
        </w:rPr>
      </w:pPr>
      <w:r>
        <w:rPr>
          <w:rFonts w:hint="eastAsia"/>
          <w:sz w:val="24"/>
          <w:lang w:eastAsia="zh-CN"/>
        </w:rPr>
        <w:t>◎本控制系统通过 PLC 采集现场各类数据和信号，实现数据检测，数据存储，动态画面显示等实现监视的功能，对于运行事故能预先自动判断，准确地反映出故障状态、故障时间、及线管信息并及时报警，故障代码以文本形式显示。整个系统能够正常、稳定、安全、高效、低耗运行。</w:t>
      </w:r>
    </w:p>
    <w:p>
      <w:pPr>
        <w:rPr>
          <w:rFonts w:hint="eastAsia"/>
        </w:rPr>
      </w:pPr>
    </w:p>
    <w:p>
      <w:pPr>
        <w:autoSpaceDE w:val="0"/>
        <w:autoSpaceDN w:val="0"/>
        <w:adjustRightInd w:val="0"/>
        <w:spacing w:line="360" w:lineRule="auto"/>
        <w:ind w:firstLine="420" w:firstLineChars="200"/>
        <w:rPr>
          <w:rFonts w:hint="eastAsia"/>
          <w:b/>
          <w:bCs/>
          <w:color w:val="auto"/>
          <w:sz w:val="24"/>
        </w:rPr>
      </w:pPr>
      <w:r>
        <w:drawing>
          <wp:anchor distT="0" distB="0" distL="114300" distR="114300" simplePos="0" relativeHeight="251790336" behindDoc="1" locked="0" layoutInCell="1" allowOverlap="1">
            <wp:simplePos x="0" y="0"/>
            <wp:positionH relativeFrom="column">
              <wp:posOffset>809625</wp:posOffset>
            </wp:positionH>
            <wp:positionV relativeFrom="paragraph">
              <wp:posOffset>-17780</wp:posOffset>
            </wp:positionV>
            <wp:extent cx="3844290" cy="3305810"/>
            <wp:effectExtent l="0" t="0" r="3810" b="8890"/>
            <wp:wrapNone/>
            <wp:docPr id="8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16"/>
                    <pic:cNvPicPr>
                      <a:picLocks noChangeAspect="1"/>
                    </pic:cNvPicPr>
                  </pic:nvPicPr>
                  <pic:blipFill>
                    <a:blip r:embed="rId60"/>
                    <a:stretch>
                      <a:fillRect/>
                    </a:stretch>
                  </pic:blipFill>
                  <pic:spPr>
                    <a:xfrm>
                      <a:off x="0" y="0"/>
                      <a:ext cx="3844290" cy="3305810"/>
                    </a:xfrm>
                    <a:prstGeom prst="rect">
                      <a:avLst/>
                    </a:prstGeom>
                    <a:noFill/>
                    <a:ln>
                      <a:noFill/>
                    </a:ln>
                  </pic:spPr>
                </pic:pic>
              </a:graphicData>
            </a:graphic>
          </wp:anchor>
        </w:drawing>
      </w:r>
    </w:p>
    <w:p/>
    <w:p/>
    <w:p>
      <w:pPr>
        <w:pStyle w:val="2"/>
      </w:pPr>
    </w:p>
    <w:p/>
    <w:p>
      <w:pPr>
        <w:pStyle w:val="2"/>
      </w:pPr>
    </w:p>
    <w:p/>
    <w:p/>
    <w:p>
      <w:pPr>
        <w:pStyle w:val="2"/>
      </w:pPr>
    </w:p>
    <w:p/>
    <w:p>
      <w:pPr>
        <w:pStyle w:val="2"/>
      </w:pPr>
    </w:p>
    <w:p/>
    <w:p>
      <w:pPr>
        <w:pStyle w:val="2"/>
      </w:pPr>
    </w:p>
    <w:p/>
    <w:p/>
    <w:p/>
    <w:p/>
    <w:p/>
    <w:p/>
    <w:p>
      <w:pPr>
        <w:autoSpaceDE w:val="0"/>
        <w:autoSpaceDN w:val="0"/>
        <w:adjustRightInd w:val="0"/>
        <w:spacing w:line="360" w:lineRule="auto"/>
        <w:ind w:firstLine="482" w:firstLineChars="200"/>
        <w:jc w:val="center"/>
        <w:rPr>
          <w:rFonts w:hint="eastAsia"/>
          <w:b/>
          <w:bCs/>
          <w:color w:val="auto"/>
          <w:sz w:val="24"/>
        </w:rPr>
      </w:pPr>
      <w:r>
        <w:rPr>
          <w:rFonts w:hint="eastAsia"/>
          <w:b/>
          <w:bCs/>
          <w:sz w:val="24"/>
          <w:lang w:eastAsia="zh-CN"/>
        </w:rPr>
        <w:t>图</w:t>
      </w:r>
      <w:r>
        <w:rPr>
          <w:rFonts w:hint="eastAsia"/>
          <w:b/>
          <w:bCs/>
          <w:sz w:val="24"/>
          <w:lang w:val="en-US" w:eastAsia="zh-CN"/>
        </w:rPr>
        <w:t xml:space="preserve">7-2  </w:t>
      </w:r>
      <w:r>
        <w:rPr>
          <w:rFonts w:hint="eastAsia"/>
          <w:b/>
          <w:bCs/>
          <w:sz w:val="24"/>
          <w:lang w:eastAsia="zh-CN"/>
        </w:rPr>
        <w:t>催化燃烧工艺流图</w:t>
      </w:r>
    </w:p>
    <w:p>
      <w:pPr>
        <w:spacing w:line="520" w:lineRule="exact"/>
        <w:ind w:firstLine="482" w:firstLineChars="200"/>
        <w:rPr>
          <w:rFonts w:hint="eastAsia" w:eastAsia="宋体"/>
          <w:b/>
          <w:bCs/>
          <w:color w:val="auto"/>
          <w:sz w:val="24"/>
          <w:lang w:eastAsia="zh-CN"/>
        </w:rPr>
      </w:pPr>
      <w:r>
        <w:rPr>
          <w:rFonts w:hint="eastAsia"/>
          <w:b/>
          <w:bCs/>
          <w:color w:val="auto"/>
          <w:sz w:val="24"/>
        </w:rPr>
        <w:t>催化燃烧装置（脱附）原理及吸附器工作过程</w:t>
      </w:r>
      <w:r>
        <w:rPr>
          <w:rFonts w:hint="eastAsia"/>
          <w:b/>
          <w:bCs/>
          <w:color w:val="auto"/>
          <w:sz w:val="24"/>
          <w:lang w:eastAsia="zh-CN"/>
        </w:rPr>
        <w:t>：</w:t>
      </w:r>
    </w:p>
    <w:p>
      <w:pPr>
        <w:autoSpaceDE w:val="0"/>
        <w:autoSpaceDN w:val="0"/>
        <w:adjustRightInd w:val="0"/>
        <w:spacing w:line="360" w:lineRule="auto"/>
        <w:ind w:firstLine="420" w:firstLineChars="200"/>
        <w:rPr>
          <w:rFonts w:hint="eastAsia"/>
          <w:sz w:val="24"/>
          <w:lang w:eastAsia="zh-CN"/>
        </w:rPr>
      </w:pPr>
      <w:r>
        <w:drawing>
          <wp:anchor distT="0" distB="0" distL="114300" distR="114300" simplePos="0" relativeHeight="251790336" behindDoc="1" locked="0" layoutInCell="1" allowOverlap="1">
            <wp:simplePos x="0" y="0"/>
            <wp:positionH relativeFrom="column">
              <wp:posOffset>161925</wp:posOffset>
            </wp:positionH>
            <wp:positionV relativeFrom="paragraph">
              <wp:posOffset>1764665</wp:posOffset>
            </wp:positionV>
            <wp:extent cx="5080635" cy="2799715"/>
            <wp:effectExtent l="0" t="0" r="5715" b="635"/>
            <wp:wrapNone/>
            <wp:docPr id="8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17"/>
                    <pic:cNvPicPr>
                      <a:picLocks noChangeAspect="1"/>
                    </pic:cNvPicPr>
                  </pic:nvPicPr>
                  <pic:blipFill>
                    <a:blip r:embed="rId61"/>
                    <a:stretch>
                      <a:fillRect/>
                    </a:stretch>
                  </pic:blipFill>
                  <pic:spPr>
                    <a:xfrm>
                      <a:off x="0" y="0"/>
                      <a:ext cx="5080635" cy="2799715"/>
                    </a:xfrm>
                    <a:prstGeom prst="rect">
                      <a:avLst/>
                    </a:prstGeom>
                    <a:noFill/>
                    <a:ln>
                      <a:noFill/>
                    </a:ln>
                  </pic:spPr>
                </pic:pic>
              </a:graphicData>
            </a:graphic>
          </wp:anchor>
        </w:drawing>
      </w:r>
      <w:r>
        <w:rPr>
          <w:rFonts w:hint="eastAsia"/>
          <w:sz w:val="24"/>
          <w:lang w:eastAsia="zh-CN"/>
        </w:rPr>
        <w:t>催化燃烧装置内设加热室，启动加热装置，进入内部循环，当热气源达到有机物的沸点时，有机物从活性炭内挥发出来，进入催化室进行催化分解成 CO 2 和 H 2 O，同时释放出热量，利用释放出的热量再进入吸附床脱附时，此时加热装置完全停止工作，有机废气在催化燃烧室内维持自燃，废气再生，循环进行，直至有机物完全从活性炭内部分离，至催化室分解，活性炭得到了再生，有机物得到催化分解处理。</w:t>
      </w:r>
    </w:p>
    <w:p>
      <w:pPr>
        <w:pStyle w:val="2"/>
        <w:rPr>
          <w:rFonts w:hint="eastAsia"/>
          <w:b/>
          <w:bCs/>
          <w:color w:val="auto"/>
          <w:sz w:val="24"/>
        </w:rPr>
      </w:pPr>
    </w:p>
    <w:p>
      <w:pPr>
        <w:rPr>
          <w:rFonts w:hint="eastAsia"/>
          <w:b/>
          <w:bCs/>
          <w:color w:val="auto"/>
          <w:sz w:val="24"/>
        </w:rPr>
      </w:pPr>
    </w:p>
    <w:p>
      <w:pPr>
        <w:pStyle w:val="2"/>
        <w:rPr>
          <w:rFonts w:hint="eastAsia"/>
          <w:b/>
          <w:bCs/>
          <w:color w:val="auto"/>
          <w:sz w:val="24"/>
        </w:rPr>
      </w:pPr>
    </w:p>
    <w:p>
      <w:pPr>
        <w:rPr>
          <w:rFonts w:hint="eastAsia"/>
          <w:b/>
          <w:bCs/>
          <w:color w:val="auto"/>
          <w:sz w:val="24"/>
        </w:rPr>
      </w:pPr>
    </w:p>
    <w:p>
      <w:pPr>
        <w:pStyle w:val="2"/>
        <w:rPr>
          <w:rFonts w:hint="eastAsia"/>
          <w:b/>
          <w:bCs/>
          <w:color w:val="auto"/>
          <w:sz w:val="24"/>
        </w:rPr>
      </w:pPr>
    </w:p>
    <w:p>
      <w:pPr>
        <w:rPr>
          <w:rFonts w:hint="eastAsia"/>
          <w:b/>
          <w:bCs/>
          <w:color w:val="auto"/>
          <w:sz w:val="24"/>
        </w:rPr>
      </w:pPr>
    </w:p>
    <w:p>
      <w:pPr>
        <w:pStyle w:val="2"/>
        <w:rPr>
          <w:rFonts w:hint="eastAsia"/>
          <w:b/>
          <w:bCs/>
          <w:color w:val="auto"/>
          <w:sz w:val="24"/>
        </w:rPr>
      </w:pPr>
    </w:p>
    <w:p>
      <w:pPr>
        <w:rPr>
          <w:rFonts w:hint="eastAsia"/>
        </w:rPr>
      </w:pPr>
    </w:p>
    <w:p>
      <w:pPr>
        <w:pStyle w:val="2"/>
        <w:rPr>
          <w:rFonts w:hint="eastAsia"/>
          <w:b/>
          <w:bCs/>
          <w:color w:val="auto"/>
          <w:sz w:val="24"/>
        </w:rPr>
      </w:pPr>
    </w:p>
    <w:p>
      <w:pPr>
        <w:rPr>
          <w:rFonts w:hint="eastAsia"/>
          <w:b/>
          <w:bCs/>
          <w:color w:val="auto"/>
          <w:sz w:val="24"/>
        </w:rPr>
      </w:pPr>
    </w:p>
    <w:p>
      <w:pPr>
        <w:spacing w:line="520" w:lineRule="exact"/>
        <w:rPr>
          <w:rFonts w:hint="eastAsia"/>
          <w:b/>
          <w:bCs/>
          <w:color w:val="auto"/>
          <w:sz w:val="24"/>
        </w:rPr>
      </w:pPr>
    </w:p>
    <w:p>
      <w:pPr>
        <w:spacing w:line="520" w:lineRule="exact"/>
        <w:ind w:firstLine="482" w:firstLineChars="200"/>
        <w:rPr>
          <w:rFonts w:hint="eastAsia"/>
          <w:b/>
          <w:bCs/>
          <w:color w:val="auto"/>
          <w:sz w:val="24"/>
        </w:rPr>
      </w:pPr>
    </w:p>
    <w:p>
      <w:pPr>
        <w:spacing w:line="520" w:lineRule="exact"/>
        <w:ind w:firstLine="420" w:firstLineChars="200"/>
        <w:rPr>
          <w:b/>
          <w:bCs/>
          <w:color w:val="auto"/>
          <w:sz w:val="24"/>
        </w:rPr>
      </w:pPr>
      <w:r>
        <w:drawing>
          <wp:anchor distT="0" distB="0" distL="114300" distR="114300" simplePos="0" relativeHeight="251790336" behindDoc="1" locked="0" layoutInCell="1" allowOverlap="1">
            <wp:simplePos x="0" y="0"/>
            <wp:positionH relativeFrom="column">
              <wp:posOffset>190500</wp:posOffset>
            </wp:positionH>
            <wp:positionV relativeFrom="paragraph">
              <wp:posOffset>276860</wp:posOffset>
            </wp:positionV>
            <wp:extent cx="5019040" cy="3346450"/>
            <wp:effectExtent l="0" t="0" r="10160" b="6350"/>
            <wp:wrapNone/>
            <wp:docPr id="8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18"/>
                    <pic:cNvPicPr>
                      <a:picLocks noChangeAspect="1"/>
                    </pic:cNvPicPr>
                  </pic:nvPicPr>
                  <pic:blipFill>
                    <a:blip r:embed="rId62"/>
                    <a:stretch>
                      <a:fillRect/>
                    </a:stretch>
                  </pic:blipFill>
                  <pic:spPr>
                    <a:xfrm>
                      <a:off x="0" y="0"/>
                      <a:ext cx="5019040" cy="3346450"/>
                    </a:xfrm>
                    <a:prstGeom prst="rect">
                      <a:avLst/>
                    </a:prstGeom>
                    <a:noFill/>
                    <a:ln>
                      <a:noFill/>
                    </a:ln>
                  </pic:spPr>
                </pic:pic>
              </a:graphicData>
            </a:graphic>
          </wp:anchor>
        </w:drawing>
      </w:r>
    </w:p>
    <w:p>
      <w:pPr>
        <w:spacing w:line="520" w:lineRule="exact"/>
        <w:ind w:firstLine="482" w:firstLineChars="200"/>
        <w:rPr>
          <w:b/>
          <w:bCs/>
          <w:color w:val="auto"/>
          <w:sz w:val="24"/>
        </w:rPr>
      </w:pPr>
    </w:p>
    <w:p>
      <w:pPr>
        <w:spacing w:line="520" w:lineRule="exact"/>
        <w:ind w:firstLine="420" w:firstLineChars="200"/>
      </w:pPr>
    </w:p>
    <w:p>
      <w:pPr>
        <w:spacing w:line="520" w:lineRule="exact"/>
        <w:ind w:firstLine="420" w:firstLineChars="200"/>
      </w:pPr>
    </w:p>
    <w:p>
      <w:pPr>
        <w:spacing w:line="520" w:lineRule="exact"/>
        <w:ind w:firstLine="420" w:firstLineChars="200"/>
      </w:pPr>
    </w:p>
    <w:p>
      <w:pPr>
        <w:spacing w:line="520" w:lineRule="exact"/>
        <w:ind w:firstLine="420" w:firstLineChars="200"/>
      </w:pPr>
    </w:p>
    <w:p>
      <w:pPr>
        <w:spacing w:line="520" w:lineRule="exact"/>
        <w:ind w:firstLine="420" w:firstLineChars="200"/>
      </w:pPr>
    </w:p>
    <w:p>
      <w:pPr>
        <w:spacing w:line="520" w:lineRule="exact"/>
        <w:ind w:firstLine="420" w:firstLineChars="200"/>
      </w:pPr>
    </w:p>
    <w:p>
      <w:pPr>
        <w:spacing w:line="520" w:lineRule="exact"/>
        <w:ind w:firstLine="420" w:firstLineChars="200"/>
      </w:pPr>
    </w:p>
    <w:p>
      <w:pPr>
        <w:spacing w:line="520" w:lineRule="exact"/>
        <w:ind w:firstLine="420" w:firstLineChars="200"/>
      </w:pPr>
    </w:p>
    <w:p>
      <w:pPr>
        <w:spacing w:line="520" w:lineRule="exact"/>
        <w:ind w:firstLine="420" w:firstLineChars="200"/>
      </w:pPr>
    </w:p>
    <w:p>
      <w:pPr>
        <w:spacing w:line="520" w:lineRule="exact"/>
        <w:ind w:firstLine="482" w:firstLineChars="200"/>
        <w:jc w:val="center"/>
        <w:rPr>
          <w:rFonts w:hint="eastAsia" w:eastAsia="宋体"/>
          <w:b/>
          <w:bCs/>
          <w:sz w:val="24"/>
          <w:szCs w:val="24"/>
          <w:lang w:eastAsia="zh-CN"/>
        </w:rPr>
      </w:pPr>
      <w:r>
        <w:rPr>
          <w:rFonts w:hint="eastAsia"/>
          <w:b/>
          <w:bCs/>
          <w:sz w:val="24"/>
          <w:szCs w:val="24"/>
          <w:lang w:eastAsia="zh-CN"/>
        </w:rPr>
        <w:t>图</w:t>
      </w:r>
      <w:r>
        <w:rPr>
          <w:rFonts w:hint="eastAsia"/>
          <w:b/>
          <w:bCs/>
          <w:sz w:val="24"/>
          <w:szCs w:val="24"/>
          <w:lang w:val="en-US" w:eastAsia="zh-CN"/>
        </w:rPr>
        <w:t xml:space="preserve">7-3  </w:t>
      </w:r>
      <w:r>
        <w:rPr>
          <w:rFonts w:hint="eastAsia"/>
          <w:b/>
          <w:bCs/>
          <w:sz w:val="24"/>
          <w:szCs w:val="24"/>
          <w:lang w:eastAsia="zh-CN"/>
        </w:rPr>
        <w:t>催化燃烧现场装置案例照片</w:t>
      </w:r>
    </w:p>
    <w:p>
      <w:pPr>
        <w:adjustRightInd w:val="0"/>
        <w:snapToGrid w:val="0"/>
        <w:spacing w:line="360" w:lineRule="auto"/>
        <w:ind w:firstLine="480" w:firstLineChars="200"/>
        <w:rPr>
          <w:b/>
          <w:bCs/>
          <w:color w:val="auto"/>
          <w:sz w:val="24"/>
        </w:rPr>
      </w:pPr>
      <w:r>
        <w:rPr>
          <w:b w:val="0"/>
          <w:bCs w:val="0"/>
          <w:color w:val="auto"/>
          <w:sz w:val="24"/>
        </w:rPr>
        <w:t>项目将配胶</w:t>
      </w:r>
      <w:r>
        <w:rPr>
          <w:rFonts w:hint="eastAsia"/>
          <w:b w:val="0"/>
          <w:bCs w:val="0"/>
          <w:color w:val="auto"/>
          <w:sz w:val="24"/>
          <w:lang w:eastAsia="zh-CN"/>
        </w:rPr>
        <w:t>区域设置单独的配胶间，涂胶工序中全自动生产线为全封闭，半自动生产线设置集气罩收集涂胶废气，晾干、烘干工序设置隧道式封闭通道，项目在配胶、</w:t>
      </w:r>
      <w:r>
        <w:rPr>
          <w:b w:val="0"/>
          <w:bCs w:val="0"/>
          <w:color w:val="auto"/>
          <w:sz w:val="24"/>
        </w:rPr>
        <w:t>涂胶、晾干</w:t>
      </w:r>
      <w:r>
        <w:rPr>
          <w:rFonts w:hint="eastAsia"/>
          <w:b w:val="0"/>
          <w:bCs w:val="0"/>
          <w:color w:val="auto"/>
          <w:sz w:val="24"/>
          <w:lang w:eastAsia="zh-CN"/>
        </w:rPr>
        <w:t>、烘干工序设置集气装置，可有效提高废气的收集效率。经收集的废气通过一套催化燃烧装置进行净化处理，经1根15m高排气筒（</w:t>
      </w:r>
      <w:r>
        <w:rPr>
          <w:rFonts w:hint="eastAsia"/>
          <w:b w:val="0"/>
          <w:bCs w:val="0"/>
          <w:color w:val="auto"/>
          <w:sz w:val="24"/>
          <w:lang w:val="en-US" w:eastAsia="zh-CN"/>
        </w:rPr>
        <w:t>3#排气筒</w:t>
      </w:r>
      <w:r>
        <w:rPr>
          <w:rFonts w:hint="eastAsia"/>
          <w:b w:val="0"/>
          <w:bCs w:val="0"/>
          <w:color w:val="auto"/>
          <w:sz w:val="24"/>
          <w:lang w:eastAsia="zh-CN"/>
        </w:rPr>
        <w:t>）排放。经净化处理后的有机废气排放浓度可满足</w:t>
      </w:r>
      <w:r>
        <w:rPr>
          <w:rFonts w:hint="eastAsia"/>
          <w:b w:val="0"/>
          <w:bCs w:val="0"/>
          <w:color w:val="auto"/>
          <w:sz w:val="24"/>
          <w:lang w:val="en-US" w:eastAsia="zh-CN"/>
        </w:rPr>
        <w:t>《工业企业挥发性有机物排放控制标准》（DB12/524-2014）中表2中标准，</w:t>
      </w:r>
      <w:r>
        <w:rPr>
          <w:rFonts w:hint="eastAsia"/>
          <w:b w:val="0"/>
          <w:bCs w:val="0"/>
          <w:color w:val="auto"/>
          <w:sz w:val="24"/>
          <w:lang w:eastAsia="zh-CN"/>
        </w:rPr>
        <w:t>该工艺成熟可靠，运行稳定，处理工艺可行。</w:t>
      </w:r>
    </w:p>
    <w:p>
      <w:pPr>
        <w:numPr>
          <w:ilvl w:val="0"/>
          <w:numId w:val="3"/>
        </w:numPr>
        <w:spacing w:line="520" w:lineRule="exact"/>
        <w:ind w:left="0" w:leftChars="0" w:firstLine="482" w:firstLineChars="200"/>
        <w:rPr>
          <w:b/>
          <w:bCs/>
          <w:color w:val="auto"/>
          <w:sz w:val="24"/>
        </w:rPr>
      </w:pPr>
      <w:r>
        <w:rPr>
          <w:b/>
          <w:bCs/>
          <w:color w:val="auto"/>
          <w:sz w:val="24"/>
        </w:rPr>
        <w:t>集气罩设置要求</w:t>
      </w:r>
    </w:p>
    <w:p>
      <w:pPr>
        <w:numPr>
          <w:ilvl w:val="0"/>
          <w:numId w:val="0"/>
        </w:numPr>
        <w:spacing w:line="520" w:lineRule="exact"/>
        <w:ind w:firstLine="480" w:firstLineChars="200"/>
        <w:rPr>
          <w:rFonts w:hint="eastAsia" w:eastAsia="宋体"/>
          <w:b/>
          <w:bCs/>
          <w:color w:val="auto"/>
          <w:sz w:val="24"/>
          <w:lang w:eastAsia="zh-CN"/>
        </w:rPr>
      </w:pPr>
      <w:r>
        <w:rPr>
          <w:rFonts w:hint="eastAsia"/>
          <w:color w:val="auto"/>
          <w:sz w:val="24"/>
          <w:lang w:eastAsia="zh-CN"/>
        </w:rPr>
        <w:t>为了减小无组织废气的排放，确保废气有组织收集效率，项目对集气罩的</w:t>
      </w:r>
      <w:r>
        <w:rPr>
          <w:color w:val="auto"/>
          <w:sz w:val="24"/>
        </w:rPr>
        <w:t>位置</w:t>
      </w:r>
      <w:r>
        <w:rPr>
          <w:rFonts w:hint="eastAsia"/>
          <w:color w:val="auto"/>
          <w:sz w:val="24"/>
          <w:lang w:eastAsia="zh-CN"/>
        </w:rPr>
        <w:t>要求</w:t>
      </w:r>
      <w:r>
        <w:rPr>
          <w:color w:val="auto"/>
          <w:sz w:val="24"/>
        </w:rPr>
        <w:t>尽量低、接近废气源、罩口设一定高度的直边等。由于本项目产生废气的工位较多，评价建议在设置集气装置时，罩面面积需大于产气工位，同时根据设备的大小，合理布局设备，必要时设置软帘，以保证90%以上的集气效率</w:t>
      </w:r>
      <w:r>
        <w:rPr>
          <w:rFonts w:hint="eastAsia"/>
          <w:color w:val="auto"/>
          <w:sz w:val="24"/>
          <w:lang w:eastAsia="zh-CN"/>
        </w:rPr>
        <w:t>。</w:t>
      </w:r>
    </w:p>
    <w:p>
      <w:pPr>
        <w:pStyle w:val="24"/>
        <w:ind w:left="0" w:leftChars="0" w:firstLine="480"/>
        <w:rPr>
          <w:rFonts w:hint="eastAsia"/>
          <w:bCs/>
          <w:color w:val="auto"/>
          <w:sz w:val="24"/>
        </w:rPr>
      </w:pPr>
    </w:p>
    <w:p>
      <w:pPr>
        <w:pStyle w:val="24"/>
        <w:ind w:left="0" w:leftChars="0" w:firstLine="480"/>
        <w:rPr>
          <w:color w:val="auto"/>
        </w:rPr>
      </w:pPr>
      <w:r>
        <w:rPr>
          <w:rFonts w:hint="eastAsia"/>
          <w:bCs/>
          <w:color w:val="auto"/>
          <w:sz w:val="24"/>
        </w:rPr>
        <w:t>项目废气处理工艺图如下所示：</w:t>
      </w:r>
    </w:p>
    <w:p>
      <w:pPr>
        <w:pStyle w:val="67"/>
        <w:rPr>
          <w:color w:val="auto"/>
        </w:rPr>
      </w:pPr>
      <w:r>
        <w:rPr>
          <w:rFonts w:ascii="Times New Roman" w:hAnsi="Times New Roman"/>
          <w:b w:val="0"/>
          <w:bCs/>
          <w:color w:val="auto"/>
          <w:sz w:val="24"/>
        </w:rPr>
        <w:pict>
          <v:shape id="_x0000_s1035" o:spid="_x0000_s1035" o:spt="75" type="#_x0000_t75" style="position:absolute;left:0pt;margin-left:7.5pt;margin-top:12.3pt;height:212.6pt;width:436.8pt;z-index:-251526144;mso-width-relative:page;mso-height-relative:page;" o:ole="t" filled="f" o:preferrelative="t" stroked="f" coordsize="21600,21600">
            <v:path/>
            <v:fill on="f" focussize="0,0"/>
            <v:stroke on="f"/>
            <v:imagedata r:id="rId64" o:title=""/>
            <o:lock v:ext="edit" aspectratio="f"/>
          </v:shape>
          <o:OLEObject Type="Embed" ProgID="Visio.Drawing.11" ShapeID="_x0000_s1035" DrawAspect="Content" ObjectID="_1468075744" r:id="rId63">
            <o:LockedField>false</o:LockedField>
          </o:OLEObject>
        </w:pict>
      </w:r>
    </w:p>
    <w:p>
      <w:pPr>
        <w:pStyle w:val="6"/>
        <w:numPr>
          <w:ilvl w:val="0"/>
          <w:numId w:val="0"/>
        </w:numPr>
        <w:rPr>
          <w:rFonts w:ascii="Times New Roman" w:hAnsi="Times New Roman"/>
          <w:b w:val="0"/>
          <w:bCs/>
          <w:color w:val="auto"/>
          <w:sz w:val="24"/>
        </w:rPr>
      </w:pPr>
    </w:p>
    <w:p>
      <w:pPr>
        <w:pStyle w:val="6"/>
        <w:numPr>
          <w:ilvl w:val="0"/>
          <w:numId w:val="0"/>
        </w:numPr>
        <w:rPr>
          <w:rFonts w:ascii="Times New Roman" w:hAnsi="Times New Roman"/>
          <w:b w:val="0"/>
          <w:bCs/>
          <w:color w:val="auto"/>
          <w:sz w:val="24"/>
        </w:rPr>
      </w:pPr>
    </w:p>
    <w:p>
      <w:pPr>
        <w:rPr>
          <w:rFonts w:ascii="Times New Roman" w:hAnsi="Times New Roman"/>
          <w:b w:val="0"/>
          <w:bCs/>
          <w:color w:val="auto"/>
          <w:sz w:val="24"/>
        </w:rPr>
      </w:pPr>
    </w:p>
    <w:p>
      <w:pPr>
        <w:pStyle w:val="2"/>
        <w:rPr>
          <w:rFonts w:ascii="Times New Roman" w:hAnsi="Times New Roman"/>
          <w:b w:val="0"/>
          <w:bCs/>
          <w:color w:val="auto"/>
          <w:sz w:val="24"/>
        </w:rPr>
      </w:pPr>
    </w:p>
    <w:p>
      <w:pPr>
        <w:rPr>
          <w:rFonts w:ascii="Times New Roman" w:hAnsi="Times New Roman"/>
          <w:b w:val="0"/>
          <w:bCs/>
          <w:color w:val="auto"/>
          <w:sz w:val="24"/>
        </w:rPr>
      </w:pPr>
    </w:p>
    <w:p>
      <w:pPr>
        <w:pStyle w:val="2"/>
        <w:rPr>
          <w:rFonts w:ascii="Times New Roman" w:hAnsi="Times New Roman"/>
          <w:b w:val="0"/>
          <w:bCs/>
          <w:color w:val="auto"/>
          <w:sz w:val="24"/>
        </w:rPr>
      </w:pPr>
    </w:p>
    <w:p>
      <w:pPr>
        <w:rPr>
          <w:rFonts w:ascii="Times New Roman" w:hAnsi="Times New Roman"/>
          <w:b w:val="0"/>
          <w:bCs/>
          <w:color w:val="auto"/>
          <w:sz w:val="24"/>
        </w:rPr>
      </w:pPr>
    </w:p>
    <w:p>
      <w:pPr>
        <w:pStyle w:val="2"/>
        <w:rPr>
          <w:rFonts w:ascii="Times New Roman" w:hAnsi="Times New Roman"/>
          <w:b w:val="0"/>
          <w:bCs/>
          <w:color w:val="auto"/>
          <w:sz w:val="24"/>
        </w:rPr>
      </w:pPr>
    </w:p>
    <w:p>
      <w:pPr>
        <w:rPr>
          <w:rFonts w:hint="eastAsia" w:eastAsia="宋体"/>
          <w:lang w:val="en-US" w:eastAsia="zh-CN"/>
        </w:rPr>
      </w:pPr>
    </w:p>
    <w:p>
      <w:pPr>
        <w:rPr>
          <w:color w:val="auto"/>
        </w:rPr>
      </w:pPr>
    </w:p>
    <w:p>
      <w:pPr>
        <w:adjustRightInd w:val="0"/>
        <w:snapToGrid w:val="0"/>
        <w:spacing w:line="520" w:lineRule="exact"/>
        <w:jc w:val="center"/>
        <w:rPr>
          <w:color w:val="auto"/>
        </w:rPr>
      </w:pPr>
      <w:r>
        <w:rPr>
          <w:b/>
          <w:color w:val="auto"/>
          <w:sz w:val="24"/>
        </w:rPr>
        <w:t>图</w:t>
      </w:r>
      <w:r>
        <w:rPr>
          <w:rFonts w:hint="eastAsia"/>
          <w:b/>
          <w:color w:val="auto"/>
          <w:sz w:val="24"/>
        </w:rPr>
        <w:t>7</w:t>
      </w:r>
      <w:r>
        <w:rPr>
          <w:b/>
          <w:color w:val="auto"/>
          <w:sz w:val="24"/>
        </w:rPr>
        <w:t>-</w:t>
      </w:r>
      <w:r>
        <w:rPr>
          <w:rFonts w:hint="eastAsia"/>
          <w:b/>
          <w:color w:val="auto"/>
          <w:sz w:val="24"/>
          <w:lang w:val="en-US" w:eastAsia="zh-CN"/>
        </w:rPr>
        <w:t>4</w:t>
      </w:r>
      <w:r>
        <w:rPr>
          <w:b/>
          <w:color w:val="auto"/>
          <w:sz w:val="24"/>
        </w:rPr>
        <w:t xml:space="preserve">  废气处理工艺示意图</w:t>
      </w:r>
    </w:p>
    <w:p>
      <w:pPr>
        <w:spacing w:line="360" w:lineRule="auto"/>
        <w:ind w:firstLine="480" w:firstLineChars="200"/>
        <w:rPr>
          <w:bCs/>
          <w:color w:val="auto"/>
          <w:sz w:val="24"/>
        </w:rPr>
      </w:pPr>
      <w:r>
        <w:rPr>
          <w:bCs/>
          <w:color w:val="auto"/>
          <w:sz w:val="24"/>
        </w:rPr>
        <w:t>根据分析可知，经处理后</w:t>
      </w:r>
      <w:r>
        <w:rPr>
          <w:rFonts w:hint="eastAsia"/>
          <w:bCs/>
          <w:color w:val="auto"/>
          <w:sz w:val="24"/>
          <w:lang w:val="en-US" w:eastAsia="zh-CN"/>
        </w:rPr>
        <w:t>密炼、</w:t>
      </w:r>
      <w:r>
        <w:rPr>
          <w:rFonts w:hint="eastAsia"/>
          <w:bCs/>
          <w:color w:val="auto"/>
          <w:sz w:val="24"/>
          <w:lang w:eastAsia="zh-CN"/>
        </w:rPr>
        <w:t>开炼、配料中产生的颗粒物、</w:t>
      </w:r>
      <w:r>
        <w:rPr>
          <w:bCs/>
          <w:color w:val="auto"/>
          <w:sz w:val="24"/>
        </w:rPr>
        <w:t>非甲烷总烃排放浓度能够满足橡胶加工非甲烷总烃排放执行《橡胶制品工业污染物排放标准》（GB27632-2011）表5和表6新建企业大气污染物排放限值；</w:t>
      </w:r>
    </w:p>
    <w:p>
      <w:pPr>
        <w:spacing w:line="360" w:lineRule="auto"/>
        <w:ind w:firstLine="480" w:firstLineChars="200"/>
        <w:rPr>
          <w:bCs/>
          <w:color w:val="auto"/>
          <w:sz w:val="24"/>
        </w:rPr>
      </w:pPr>
      <w:r>
        <w:rPr>
          <w:bCs/>
          <w:color w:val="auto"/>
          <w:sz w:val="24"/>
        </w:rPr>
        <w:t>硫化氢排放速率</w:t>
      </w:r>
      <w:r>
        <w:rPr>
          <w:rFonts w:hint="eastAsia"/>
          <w:bCs/>
          <w:color w:val="auto"/>
          <w:sz w:val="24"/>
        </w:rPr>
        <w:t>，排放浓度</w:t>
      </w:r>
      <w:r>
        <w:rPr>
          <w:bCs/>
          <w:color w:val="auto"/>
          <w:sz w:val="24"/>
        </w:rPr>
        <w:t>能够满足《恶臭污染物排放标准》（GB14554-93）二级标准</w:t>
      </w:r>
      <w:r>
        <w:rPr>
          <w:rFonts w:hint="eastAsia"/>
          <w:bCs/>
          <w:color w:val="auto"/>
          <w:sz w:val="24"/>
        </w:rPr>
        <w:t>及</w:t>
      </w:r>
      <w:r>
        <w:rPr>
          <w:bCs/>
          <w:color w:val="auto"/>
          <w:sz w:val="24"/>
        </w:rPr>
        <w:t>厂界无组织排放限值。</w:t>
      </w:r>
    </w:p>
    <w:p>
      <w:pPr>
        <w:spacing w:line="360" w:lineRule="auto"/>
        <w:ind w:firstLine="480" w:firstLineChars="200"/>
        <w:rPr>
          <w:rFonts w:hint="eastAsia"/>
          <w:bCs/>
          <w:color w:val="auto"/>
          <w:sz w:val="24"/>
          <w:lang w:val="en-US" w:eastAsia="zh-CN"/>
        </w:rPr>
      </w:pPr>
      <w:r>
        <w:rPr>
          <w:bCs/>
          <w:color w:val="auto"/>
          <w:sz w:val="24"/>
        </w:rPr>
        <w:t>涂胶、晾干</w:t>
      </w:r>
      <w:r>
        <w:rPr>
          <w:rFonts w:hint="eastAsia"/>
          <w:bCs/>
          <w:color w:val="auto"/>
          <w:sz w:val="24"/>
          <w:lang w:eastAsia="zh-CN"/>
        </w:rPr>
        <w:t>、烘干产生的非甲烷总烃排放浓度及排放速率满足</w:t>
      </w:r>
      <w:r>
        <w:rPr>
          <w:bCs/>
          <w:color w:val="auto"/>
          <w:sz w:val="24"/>
          <w:lang w:val="en-US"/>
        </w:rPr>
        <w:t>《工业企业挥发性有机物排放控制标准》（DB12/524-2014）中表2中标准</w:t>
      </w:r>
      <w:r>
        <w:rPr>
          <w:rFonts w:hint="eastAsia"/>
          <w:bCs/>
          <w:color w:val="auto"/>
          <w:sz w:val="24"/>
          <w:lang w:val="en-US" w:eastAsia="zh-CN"/>
        </w:rPr>
        <w:t>。</w:t>
      </w:r>
    </w:p>
    <w:p>
      <w:pPr>
        <w:pStyle w:val="5"/>
        <w:spacing w:before="0" w:after="0" w:line="360" w:lineRule="auto"/>
        <w:ind w:firstLine="482" w:firstLineChars="200"/>
        <w:rPr>
          <w:color w:val="auto"/>
          <w:sz w:val="24"/>
          <w:szCs w:val="24"/>
        </w:rPr>
      </w:pPr>
      <w:r>
        <w:rPr>
          <w:color w:val="auto"/>
          <w:sz w:val="24"/>
          <w:szCs w:val="24"/>
        </w:rPr>
        <w:t>（</w:t>
      </w:r>
      <w:r>
        <w:rPr>
          <w:rFonts w:hint="eastAsia"/>
          <w:color w:val="auto"/>
          <w:sz w:val="24"/>
          <w:szCs w:val="24"/>
          <w:lang w:val="en-US" w:eastAsia="zh-CN"/>
        </w:rPr>
        <w:t>5</w:t>
      </w:r>
      <w:r>
        <w:rPr>
          <w:color w:val="auto"/>
          <w:sz w:val="24"/>
          <w:szCs w:val="24"/>
        </w:rPr>
        <w:t>）无组织废气防治措施</w:t>
      </w:r>
    </w:p>
    <w:p>
      <w:pPr>
        <w:spacing w:line="360" w:lineRule="auto"/>
        <w:ind w:firstLine="480" w:firstLineChars="200"/>
        <w:rPr>
          <w:bCs/>
          <w:color w:val="auto"/>
          <w:sz w:val="24"/>
        </w:rPr>
      </w:pPr>
      <w:r>
        <w:rPr>
          <w:bCs/>
          <w:color w:val="auto"/>
          <w:sz w:val="24"/>
        </w:rPr>
        <w:t>建设项目无组织排放的废气主要是未捕集的粉尘、非甲烷总烃、H</w:t>
      </w:r>
      <w:r>
        <w:rPr>
          <w:bCs/>
          <w:color w:val="auto"/>
          <w:sz w:val="24"/>
          <w:vertAlign w:val="subscript"/>
        </w:rPr>
        <w:t>2</w:t>
      </w:r>
      <w:r>
        <w:rPr>
          <w:bCs/>
          <w:color w:val="auto"/>
          <w:sz w:val="24"/>
        </w:rPr>
        <w:t>S等。建设单位拟采取如下措施，以减少无组织挥发量与排放浓度：</w:t>
      </w:r>
    </w:p>
    <w:p>
      <w:pPr>
        <w:spacing w:line="360" w:lineRule="auto"/>
        <w:ind w:firstLine="480" w:firstLineChars="200"/>
        <w:rPr>
          <w:bCs/>
          <w:color w:val="auto"/>
          <w:sz w:val="24"/>
        </w:rPr>
      </w:pPr>
      <w:r>
        <w:rPr>
          <w:color w:val="auto"/>
          <w:sz w:val="24"/>
        </w:rPr>
        <w:t>①</w:t>
      </w:r>
      <w:r>
        <w:rPr>
          <w:bCs/>
          <w:color w:val="auto"/>
          <w:sz w:val="24"/>
        </w:rPr>
        <w:t>合理布置车间，将产生无组织废气的产生源布置在远离厂界的地方，以减少无组织废气对厂界周围环境的影响；</w:t>
      </w:r>
    </w:p>
    <w:p>
      <w:pPr>
        <w:spacing w:line="360" w:lineRule="auto"/>
        <w:ind w:firstLine="480" w:firstLineChars="200"/>
        <w:rPr>
          <w:bCs/>
          <w:color w:val="auto"/>
          <w:sz w:val="24"/>
        </w:rPr>
      </w:pPr>
      <w:r>
        <w:rPr>
          <w:color w:val="auto"/>
          <w:sz w:val="24"/>
        </w:rPr>
        <w:t>②</w:t>
      </w:r>
      <w:r>
        <w:rPr>
          <w:bCs/>
          <w:color w:val="auto"/>
          <w:sz w:val="24"/>
        </w:rPr>
        <w:t>加强对操作工的培训和管理，确保废气的捕捉率，以减少人为造成的废气无组织排放；</w:t>
      </w:r>
    </w:p>
    <w:p>
      <w:pPr>
        <w:spacing w:line="360" w:lineRule="auto"/>
        <w:ind w:firstLine="480" w:firstLineChars="200"/>
        <w:rPr>
          <w:bCs/>
          <w:color w:val="auto"/>
          <w:sz w:val="24"/>
        </w:rPr>
      </w:pPr>
      <w:r>
        <w:rPr>
          <w:color w:val="auto"/>
          <w:sz w:val="24"/>
        </w:rPr>
        <w:t>③</w:t>
      </w:r>
      <w:r>
        <w:rPr>
          <w:bCs/>
          <w:color w:val="auto"/>
          <w:sz w:val="24"/>
        </w:rPr>
        <w:t>在</w:t>
      </w:r>
      <w:r>
        <w:rPr>
          <w:rFonts w:hint="eastAsia"/>
          <w:bCs/>
          <w:color w:val="auto"/>
          <w:sz w:val="24"/>
          <w:lang w:eastAsia="zh-CN"/>
        </w:rPr>
        <w:t>各个产物设备设置封闭的区域，确保废气在小范围内形成负压收集，减少无组织散发</w:t>
      </w:r>
      <w:r>
        <w:rPr>
          <w:bCs/>
          <w:color w:val="auto"/>
          <w:sz w:val="24"/>
        </w:rPr>
        <w:t>。</w:t>
      </w:r>
    </w:p>
    <w:p>
      <w:pPr>
        <w:spacing w:line="360" w:lineRule="auto"/>
        <w:ind w:firstLine="480" w:firstLineChars="200"/>
        <w:rPr>
          <w:bCs/>
          <w:color w:val="auto"/>
          <w:sz w:val="24"/>
        </w:rPr>
      </w:pPr>
      <w:r>
        <w:rPr>
          <w:bCs/>
          <w:color w:val="auto"/>
          <w:sz w:val="24"/>
        </w:rPr>
        <w:t>④</w:t>
      </w:r>
      <w:r>
        <w:rPr>
          <w:rFonts w:hint="eastAsia"/>
          <w:bCs/>
          <w:color w:val="auto"/>
          <w:sz w:val="24"/>
        </w:rPr>
        <w:t>在废气产生车间进出口设置软帘或门，增加车间封闭性，提高无组织废气收集效率。</w:t>
      </w:r>
    </w:p>
    <w:p>
      <w:pPr>
        <w:spacing w:line="360" w:lineRule="auto"/>
        <w:ind w:firstLine="480" w:firstLineChars="200"/>
        <w:rPr>
          <w:bCs/>
          <w:color w:val="auto"/>
          <w:sz w:val="24"/>
        </w:rPr>
      </w:pPr>
      <w:r>
        <w:rPr>
          <w:rFonts w:hint="eastAsia"/>
          <w:bCs/>
          <w:color w:val="auto"/>
          <w:sz w:val="24"/>
        </w:rPr>
        <w:t>⑤集气罩的位置尽量靠近废气产生源，针对部分工序，项目集气罩的面积需大于废气产生工序，提高收集效率。</w:t>
      </w:r>
    </w:p>
    <w:p>
      <w:pPr>
        <w:spacing w:line="360" w:lineRule="auto"/>
        <w:ind w:firstLine="480" w:firstLineChars="200"/>
        <w:rPr>
          <w:bCs/>
          <w:color w:val="auto"/>
          <w:sz w:val="24"/>
        </w:rPr>
      </w:pPr>
      <w:r>
        <w:rPr>
          <w:bCs/>
          <w:color w:val="auto"/>
          <w:sz w:val="24"/>
        </w:rPr>
        <w:t>通过以上措施，可以减少无组织废气的排放，无组织排放的废气能够满足相应的排放标准要求，对周围大气环境的影响。</w:t>
      </w:r>
    </w:p>
    <w:p>
      <w:pPr>
        <w:pStyle w:val="5"/>
        <w:spacing w:before="0" w:after="0" w:line="360" w:lineRule="auto"/>
        <w:rPr>
          <w:color w:val="auto"/>
          <w:sz w:val="24"/>
          <w:szCs w:val="24"/>
        </w:rPr>
      </w:pPr>
      <w:bookmarkStart w:id="315" w:name="_Toc16752"/>
      <w:r>
        <w:rPr>
          <w:rFonts w:hint="eastAsia"/>
          <w:color w:val="auto"/>
          <w:sz w:val="24"/>
          <w:szCs w:val="24"/>
        </w:rPr>
        <w:t>7.2</w:t>
      </w:r>
      <w:r>
        <w:rPr>
          <w:color w:val="auto"/>
          <w:sz w:val="24"/>
          <w:szCs w:val="24"/>
        </w:rPr>
        <w:t>.2废水污染防治措施</w:t>
      </w:r>
      <w:bookmarkEnd w:id="315"/>
    </w:p>
    <w:bookmarkEnd w:id="310"/>
    <w:p>
      <w:pPr>
        <w:spacing w:line="520" w:lineRule="exact"/>
        <w:ind w:firstLine="480" w:firstLineChars="200"/>
        <w:rPr>
          <w:color w:val="auto"/>
          <w:sz w:val="24"/>
        </w:rPr>
      </w:pPr>
      <w:bookmarkStart w:id="316" w:name="_Toc19302"/>
      <w:bookmarkStart w:id="317" w:name="_Toc121720676"/>
      <w:bookmarkStart w:id="318" w:name="_Toc206896792"/>
      <w:r>
        <w:rPr>
          <w:color w:val="auto"/>
          <w:sz w:val="24"/>
        </w:rPr>
        <w:t>项目主要为生活污水，</w:t>
      </w:r>
      <w:r>
        <w:rPr>
          <w:rFonts w:hint="eastAsia"/>
          <w:color w:val="auto"/>
          <w:sz w:val="24"/>
          <w:lang w:eastAsia="zh-CN"/>
        </w:rPr>
        <w:t>生活污水经化粪池预处理后排入市政污水管网</w:t>
      </w:r>
      <w:r>
        <w:rPr>
          <w:color w:val="auto"/>
          <w:sz w:val="24"/>
        </w:rPr>
        <w:t>，</w:t>
      </w:r>
      <w:r>
        <w:rPr>
          <w:rFonts w:hint="eastAsia"/>
          <w:color w:val="auto"/>
          <w:sz w:val="24"/>
          <w:lang w:eastAsia="zh-CN"/>
        </w:rPr>
        <w:t>进入宁国市污水处理厂</w:t>
      </w:r>
      <w:r>
        <w:rPr>
          <w:color w:val="auto"/>
          <w:sz w:val="24"/>
        </w:rPr>
        <w:t>。项目的运行对所在地水环境影响较小，不会改变原有水体功能类别。</w:t>
      </w:r>
    </w:p>
    <w:p>
      <w:pPr>
        <w:pStyle w:val="5"/>
        <w:spacing w:before="0" w:after="0" w:line="520" w:lineRule="exact"/>
        <w:rPr>
          <w:color w:val="auto"/>
          <w:sz w:val="24"/>
          <w:szCs w:val="24"/>
        </w:rPr>
      </w:pPr>
      <w:r>
        <w:rPr>
          <w:rFonts w:hint="eastAsia"/>
          <w:color w:val="auto"/>
          <w:sz w:val="24"/>
          <w:szCs w:val="24"/>
        </w:rPr>
        <w:t>7.2</w:t>
      </w:r>
      <w:r>
        <w:rPr>
          <w:color w:val="auto"/>
          <w:sz w:val="24"/>
          <w:szCs w:val="24"/>
        </w:rPr>
        <w:t>.3噪声污染防治措施</w:t>
      </w:r>
      <w:bookmarkEnd w:id="316"/>
    </w:p>
    <w:p>
      <w:pPr>
        <w:spacing w:line="520" w:lineRule="exact"/>
        <w:ind w:firstLine="480" w:firstLineChars="200"/>
        <w:rPr>
          <w:snapToGrid w:val="0"/>
          <w:color w:val="auto"/>
          <w:kern w:val="0"/>
          <w:sz w:val="24"/>
        </w:rPr>
      </w:pPr>
      <w:bookmarkStart w:id="319" w:name="_Hlt85614171"/>
      <w:r>
        <w:rPr>
          <w:snapToGrid w:val="0"/>
          <w:color w:val="auto"/>
          <w:kern w:val="0"/>
          <w:sz w:val="24"/>
        </w:rPr>
        <w:t>本项目主要噪声源为各类机械加工设备、动力设备等，噪声值为75-100dB(A)，采取隔声减振、消声、距离衰减等措施后降噪量可达10-15dB(A)。主要噪声防治措施如下：</w:t>
      </w:r>
    </w:p>
    <w:p>
      <w:pPr>
        <w:spacing w:line="520" w:lineRule="exact"/>
        <w:ind w:firstLine="480" w:firstLineChars="200"/>
        <w:rPr>
          <w:snapToGrid w:val="0"/>
          <w:color w:val="auto"/>
          <w:kern w:val="0"/>
          <w:sz w:val="24"/>
        </w:rPr>
      </w:pPr>
      <w:r>
        <w:rPr>
          <w:snapToGrid w:val="0"/>
          <w:color w:val="auto"/>
          <w:kern w:val="0"/>
          <w:sz w:val="24"/>
        </w:rPr>
        <w:t>针对本项目产生的噪声主要为设备噪声，拟采取的降噪措施主要有：</w:t>
      </w:r>
    </w:p>
    <w:p>
      <w:pPr>
        <w:autoSpaceDE w:val="0"/>
        <w:autoSpaceDN w:val="0"/>
        <w:adjustRightInd w:val="0"/>
        <w:spacing w:line="520" w:lineRule="exact"/>
        <w:ind w:firstLine="480" w:firstLineChars="200"/>
        <w:rPr>
          <w:color w:val="auto"/>
          <w:kern w:val="0"/>
          <w:sz w:val="24"/>
        </w:rPr>
      </w:pPr>
      <w:r>
        <w:rPr>
          <w:color w:val="auto"/>
          <w:kern w:val="0"/>
          <w:sz w:val="24"/>
        </w:rPr>
        <w:t>（1）优先选用低噪声设备；对设备噪声源采取消声、隔声、减振措施。</w:t>
      </w:r>
    </w:p>
    <w:p>
      <w:pPr>
        <w:autoSpaceDE w:val="0"/>
        <w:autoSpaceDN w:val="0"/>
        <w:adjustRightInd w:val="0"/>
        <w:spacing w:line="520" w:lineRule="exact"/>
        <w:ind w:firstLine="480" w:firstLineChars="200"/>
        <w:rPr>
          <w:color w:val="auto"/>
          <w:kern w:val="0"/>
          <w:sz w:val="24"/>
        </w:rPr>
      </w:pPr>
      <w:r>
        <w:rPr>
          <w:color w:val="auto"/>
          <w:kern w:val="0"/>
          <w:sz w:val="24"/>
        </w:rPr>
        <w:t>（2）对工人加强培训管理，装卸货物尽量做到小心操作，并对设备进行定期维修和保养，保持润滑，降低设备运行噪声。</w:t>
      </w:r>
    </w:p>
    <w:p>
      <w:pPr>
        <w:spacing w:line="520" w:lineRule="exact"/>
        <w:ind w:firstLine="480" w:firstLineChars="200"/>
        <w:rPr>
          <w:snapToGrid w:val="0"/>
          <w:color w:val="auto"/>
          <w:kern w:val="0"/>
          <w:sz w:val="24"/>
        </w:rPr>
      </w:pPr>
      <w:r>
        <w:rPr>
          <w:color w:val="auto"/>
          <w:kern w:val="0"/>
          <w:sz w:val="24"/>
        </w:rPr>
        <w:t>（3）加强设备管理，对生产设备定期检查与维护，使设备保持良好的运行状况，降低运转时产生的噪声，可降低噪声5dB(A)以上。</w:t>
      </w:r>
    </w:p>
    <w:p>
      <w:pPr>
        <w:pStyle w:val="67"/>
        <w:spacing w:line="520" w:lineRule="exact"/>
        <w:ind w:firstLine="480" w:firstLineChars="200"/>
        <w:jc w:val="both"/>
        <w:rPr>
          <w:rFonts w:ascii="Times New Roman" w:cs="Times New Roman"/>
          <w:color w:val="auto"/>
        </w:rPr>
      </w:pPr>
      <w:r>
        <w:rPr>
          <w:rFonts w:ascii="Times New Roman" w:cs="Times New Roman"/>
          <w:color w:val="auto"/>
        </w:rPr>
        <w:t>（4）加强车间的隔音措施，如适当增加车间墙壁厚度，并按照隔声门窗。</w:t>
      </w:r>
    </w:p>
    <w:p>
      <w:pPr>
        <w:pStyle w:val="67"/>
        <w:spacing w:line="520" w:lineRule="exact"/>
        <w:ind w:firstLine="480" w:firstLineChars="200"/>
        <w:jc w:val="both"/>
        <w:rPr>
          <w:rFonts w:ascii="Times New Roman" w:cs="Times New Roman"/>
          <w:color w:val="auto"/>
        </w:rPr>
      </w:pPr>
      <w:r>
        <w:rPr>
          <w:rFonts w:ascii="Times New Roman" w:cs="Times New Roman"/>
          <w:color w:val="auto"/>
        </w:rPr>
        <w:t>（5）合理布局，合理布置厂内各功能区的位置及车间内部设备的位置，将高噪声设备（尽量安置在厂区中间以增加其距离衰减量，减少对周围环境的影响。</w:t>
      </w:r>
    </w:p>
    <w:p>
      <w:pPr>
        <w:pStyle w:val="67"/>
        <w:spacing w:line="520" w:lineRule="exact"/>
        <w:ind w:firstLine="480" w:firstLineChars="200"/>
        <w:jc w:val="both"/>
        <w:rPr>
          <w:rFonts w:ascii="Times New Roman" w:cs="Times New Roman"/>
          <w:color w:val="auto"/>
        </w:rPr>
      </w:pPr>
      <w:r>
        <w:rPr>
          <w:rFonts w:ascii="Times New Roman" w:cs="Times New Roman"/>
          <w:color w:val="auto"/>
        </w:rPr>
        <w:t>通过类比调查，采取以上措施后，设备噪声衰减量在10dB（A），各厂界处昼夜噪声均可达到《工业企业厂界环境噪声排放标准》（GB12348-2008）中3类标准。建设单位应加强设备的维护，确保设备处于良好的运转状态，杜绝因设备不正常运转时产生的高噪声现象。</w:t>
      </w:r>
    </w:p>
    <w:p>
      <w:pPr>
        <w:spacing w:line="520" w:lineRule="exact"/>
        <w:ind w:firstLine="480" w:firstLineChars="200"/>
        <w:rPr>
          <w:snapToGrid w:val="0"/>
          <w:color w:val="auto"/>
          <w:kern w:val="0"/>
          <w:sz w:val="24"/>
        </w:rPr>
      </w:pPr>
      <w:r>
        <w:rPr>
          <w:color w:val="auto"/>
          <w:sz w:val="24"/>
        </w:rPr>
        <w:t>项目采取的治理措施可行。</w:t>
      </w:r>
    </w:p>
    <w:bookmarkEnd w:id="319"/>
    <w:p>
      <w:pPr>
        <w:pStyle w:val="5"/>
        <w:spacing w:before="0" w:after="0" w:line="520" w:lineRule="exact"/>
        <w:rPr>
          <w:color w:val="auto"/>
          <w:sz w:val="24"/>
          <w:szCs w:val="24"/>
        </w:rPr>
      </w:pPr>
      <w:bookmarkStart w:id="320" w:name="_Toc19921"/>
      <w:r>
        <w:rPr>
          <w:rFonts w:hint="eastAsia"/>
          <w:color w:val="auto"/>
          <w:sz w:val="24"/>
          <w:szCs w:val="24"/>
        </w:rPr>
        <w:t>7.2</w:t>
      </w:r>
      <w:r>
        <w:rPr>
          <w:color w:val="auto"/>
          <w:sz w:val="24"/>
          <w:szCs w:val="24"/>
        </w:rPr>
        <w:t>.4固体废物污染防治措施</w:t>
      </w:r>
      <w:bookmarkEnd w:id="320"/>
    </w:p>
    <w:p>
      <w:pPr>
        <w:spacing w:line="520" w:lineRule="exact"/>
        <w:ind w:firstLine="525"/>
        <w:rPr>
          <w:snapToGrid w:val="0"/>
          <w:color w:val="auto"/>
          <w:kern w:val="0"/>
          <w:sz w:val="24"/>
        </w:rPr>
      </w:pPr>
      <w:r>
        <w:rPr>
          <w:bCs/>
          <w:snapToGrid w:val="0"/>
          <w:color w:val="auto"/>
          <w:kern w:val="0"/>
          <w:sz w:val="24"/>
        </w:rPr>
        <w:t>（1）</w:t>
      </w:r>
      <w:r>
        <w:rPr>
          <w:snapToGrid w:val="0"/>
          <w:color w:val="auto"/>
          <w:kern w:val="0"/>
          <w:sz w:val="24"/>
        </w:rPr>
        <w:t>基本原则</w:t>
      </w:r>
    </w:p>
    <w:p>
      <w:pPr>
        <w:spacing w:line="520" w:lineRule="exact"/>
        <w:ind w:firstLine="525"/>
        <w:rPr>
          <w:snapToGrid w:val="0"/>
          <w:color w:val="auto"/>
          <w:kern w:val="0"/>
          <w:sz w:val="24"/>
        </w:rPr>
      </w:pPr>
      <w:r>
        <w:rPr>
          <w:snapToGrid w:val="0"/>
          <w:color w:val="auto"/>
          <w:kern w:val="0"/>
          <w:sz w:val="24"/>
        </w:rPr>
        <w:t>a、我国固体废物管理的技术政策是对各类废物实施无害化、减量化和资源化，对可利用的固体废物要尽可能利用。</w:t>
      </w:r>
    </w:p>
    <w:p>
      <w:pPr>
        <w:spacing w:line="520" w:lineRule="exact"/>
        <w:ind w:firstLine="525"/>
        <w:rPr>
          <w:snapToGrid w:val="0"/>
          <w:color w:val="auto"/>
          <w:kern w:val="0"/>
          <w:sz w:val="24"/>
        </w:rPr>
      </w:pPr>
      <w:r>
        <w:rPr>
          <w:snapToGrid w:val="0"/>
          <w:color w:val="auto"/>
          <w:kern w:val="0"/>
          <w:sz w:val="24"/>
        </w:rPr>
        <w:t>b、对固体废物实行从产生、收集、运输、贮存直至最终处理实行全过程管理，加强固体废物运输过程的事故风险防范。</w:t>
      </w:r>
    </w:p>
    <w:p>
      <w:pPr>
        <w:spacing w:line="520" w:lineRule="exact"/>
        <w:ind w:firstLine="525"/>
        <w:rPr>
          <w:snapToGrid w:val="0"/>
          <w:color w:val="auto"/>
          <w:kern w:val="0"/>
          <w:sz w:val="24"/>
        </w:rPr>
      </w:pPr>
      <w:r>
        <w:rPr>
          <w:snapToGrid w:val="0"/>
          <w:color w:val="auto"/>
          <w:kern w:val="0"/>
          <w:sz w:val="24"/>
        </w:rPr>
        <w:t>c、固体废物临时堆放合理选址，尽量减少占用土地、避免影响厂区内环境，临时堆放场地要有防渗漏设施，尤其是危险废物等临时贮存场所应严格落实防渗防雨措施，并配置合理材质的密闭容器存放危险废物。</w:t>
      </w:r>
    </w:p>
    <w:p>
      <w:pPr>
        <w:spacing w:line="520" w:lineRule="exact"/>
        <w:ind w:firstLine="525"/>
        <w:rPr>
          <w:snapToGrid w:val="0"/>
          <w:color w:val="auto"/>
          <w:kern w:val="0"/>
          <w:sz w:val="24"/>
        </w:rPr>
      </w:pPr>
      <w:r>
        <w:rPr>
          <w:snapToGrid w:val="0"/>
          <w:color w:val="auto"/>
          <w:kern w:val="0"/>
          <w:sz w:val="24"/>
        </w:rPr>
        <w:t>d、对各类固废应严格进行分类收集，在自身加强利用的基础上，及时组织清运，最终经综合利用或妥善安全处置。</w:t>
      </w:r>
    </w:p>
    <w:p>
      <w:pPr>
        <w:spacing w:line="520" w:lineRule="exact"/>
        <w:ind w:firstLine="525"/>
        <w:rPr>
          <w:snapToGrid w:val="0"/>
          <w:color w:val="auto"/>
          <w:kern w:val="0"/>
          <w:sz w:val="24"/>
        </w:rPr>
      </w:pPr>
      <w:r>
        <w:rPr>
          <w:bCs/>
          <w:snapToGrid w:val="0"/>
          <w:color w:val="auto"/>
          <w:kern w:val="0"/>
          <w:sz w:val="24"/>
        </w:rPr>
        <w:t>（2）</w:t>
      </w:r>
      <w:r>
        <w:rPr>
          <w:snapToGrid w:val="0"/>
          <w:color w:val="auto"/>
          <w:kern w:val="0"/>
          <w:sz w:val="24"/>
        </w:rPr>
        <w:t>防治措施</w:t>
      </w:r>
    </w:p>
    <w:p>
      <w:pPr>
        <w:spacing w:line="360" w:lineRule="auto"/>
        <w:ind w:firstLine="480" w:firstLineChars="200"/>
        <w:rPr>
          <w:bCs/>
          <w:color w:val="auto"/>
          <w:sz w:val="24"/>
        </w:rPr>
      </w:pPr>
      <w:r>
        <w:rPr>
          <w:rFonts w:hint="eastAsia"/>
          <w:bCs/>
          <w:color w:val="auto"/>
          <w:sz w:val="24"/>
          <w:lang w:eastAsia="zh-CN"/>
        </w:rPr>
        <w:t>收集的粉尘</w:t>
      </w:r>
      <w:r>
        <w:rPr>
          <w:bCs/>
          <w:color w:val="auto"/>
          <w:sz w:val="24"/>
        </w:rPr>
        <w:t>：集中收集后</w:t>
      </w:r>
      <w:r>
        <w:rPr>
          <w:rFonts w:hint="eastAsia"/>
          <w:bCs/>
          <w:color w:val="auto"/>
          <w:sz w:val="24"/>
          <w:lang w:eastAsia="zh-CN"/>
        </w:rPr>
        <w:t>回用于生产</w:t>
      </w:r>
      <w:r>
        <w:rPr>
          <w:bCs/>
          <w:color w:val="auto"/>
          <w:sz w:val="24"/>
        </w:rPr>
        <w:t>。</w:t>
      </w:r>
    </w:p>
    <w:p>
      <w:pPr>
        <w:spacing w:line="360" w:lineRule="auto"/>
        <w:ind w:firstLine="480" w:firstLineChars="200"/>
        <w:rPr>
          <w:color w:val="auto"/>
          <w:sz w:val="24"/>
        </w:rPr>
      </w:pPr>
      <w:r>
        <w:rPr>
          <w:bCs/>
          <w:color w:val="auto"/>
          <w:sz w:val="24"/>
        </w:rPr>
        <w:t>废包</w:t>
      </w:r>
      <w:r>
        <w:rPr>
          <w:rFonts w:hint="eastAsia"/>
          <w:bCs/>
          <w:color w:val="auto"/>
          <w:sz w:val="24"/>
        </w:rPr>
        <w:t>装材料（一般固体废物）：集中收</w:t>
      </w:r>
      <w:r>
        <w:rPr>
          <w:bCs/>
          <w:color w:val="auto"/>
          <w:sz w:val="24"/>
        </w:rPr>
        <w:t>集后外售物资回收公司</w:t>
      </w:r>
      <w:r>
        <w:rPr>
          <w:color w:val="auto"/>
          <w:sz w:val="24"/>
        </w:rPr>
        <w:t>。</w:t>
      </w:r>
    </w:p>
    <w:p>
      <w:pPr>
        <w:spacing w:line="360" w:lineRule="auto"/>
        <w:ind w:firstLine="480" w:firstLineChars="200"/>
        <w:rPr>
          <w:color w:val="auto"/>
          <w:sz w:val="24"/>
        </w:rPr>
      </w:pPr>
      <w:r>
        <w:rPr>
          <w:rFonts w:hint="eastAsia"/>
          <w:color w:val="auto"/>
          <w:sz w:val="24"/>
        </w:rPr>
        <w:t>生活垃圾：交由环卫</w:t>
      </w:r>
      <w:r>
        <w:rPr>
          <w:color w:val="auto"/>
          <w:sz w:val="24"/>
        </w:rPr>
        <w:t>处理。</w:t>
      </w:r>
    </w:p>
    <w:p>
      <w:pPr>
        <w:spacing w:line="360" w:lineRule="auto"/>
        <w:ind w:firstLine="480" w:firstLineChars="200"/>
        <w:rPr>
          <w:color w:val="auto"/>
          <w:kern w:val="0"/>
        </w:rPr>
      </w:pPr>
      <w:r>
        <w:rPr>
          <w:rFonts w:hint="eastAsia"/>
          <w:color w:val="auto"/>
          <w:sz w:val="24"/>
          <w:lang w:eastAsia="zh-CN"/>
        </w:rPr>
        <w:t>废活性炭、废硫化剂</w:t>
      </w:r>
      <w:r>
        <w:rPr>
          <w:rFonts w:hint="default"/>
          <w:bCs/>
          <w:color w:val="auto"/>
          <w:sz w:val="24"/>
          <w:lang w:val="en-US" w:eastAsia="zh-CN"/>
        </w:rPr>
        <w:t>及废氧化锌等包装材料</w:t>
      </w:r>
      <w:r>
        <w:rPr>
          <w:rFonts w:hint="eastAsia"/>
          <w:bCs/>
          <w:color w:val="auto"/>
          <w:sz w:val="24"/>
          <w:lang w:val="en-US" w:eastAsia="zh-CN"/>
        </w:rPr>
        <w:t>、废脱脂槽液</w:t>
      </w:r>
      <w:r>
        <w:rPr>
          <w:rFonts w:hint="eastAsia"/>
          <w:bCs/>
          <w:color w:val="auto"/>
          <w:sz w:val="24"/>
        </w:rPr>
        <w:t>：</w:t>
      </w:r>
      <w:r>
        <w:rPr>
          <w:bCs/>
          <w:color w:val="auto"/>
          <w:sz w:val="24"/>
        </w:rPr>
        <w:t>位于厂区危废临时暂存场所暂存，定期送有危险废物处置资质的单位集中处置。</w:t>
      </w:r>
    </w:p>
    <w:p>
      <w:pPr>
        <w:spacing w:line="520" w:lineRule="exact"/>
        <w:ind w:firstLine="525"/>
        <w:rPr>
          <w:b/>
          <w:snapToGrid w:val="0"/>
          <w:color w:val="auto"/>
          <w:kern w:val="0"/>
          <w:sz w:val="24"/>
        </w:rPr>
      </w:pPr>
      <w:r>
        <w:rPr>
          <w:b/>
          <w:snapToGrid w:val="0"/>
          <w:color w:val="auto"/>
          <w:kern w:val="0"/>
          <w:sz w:val="24"/>
        </w:rPr>
        <w:t>一般固废暂存间位置：</w:t>
      </w:r>
    </w:p>
    <w:p>
      <w:pPr>
        <w:pStyle w:val="2"/>
        <w:spacing w:line="360" w:lineRule="auto"/>
        <w:ind w:firstLine="480" w:firstLineChars="200"/>
        <w:rPr>
          <w:snapToGrid w:val="0"/>
          <w:color w:val="auto"/>
          <w:kern w:val="0"/>
          <w:sz w:val="24"/>
        </w:rPr>
      </w:pPr>
      <w:r>
        <w:rPr>
          <w:rFonts w:hint="eastAsia"/>
          <w:snapToGrid w:val="0"/>
          <w:color w:val="auto"/>
          <w:kern w:val="0"/>
          <w:sz w:val="24"/>
          <w:lang w:eastAsia="zh-CN"/>
        </w:rPr>
        <w:t>本项目建设一个</w:t>
      </w:r>
      <w:r>
        <w:rPr>
          <w:snapToGrid w:val="0"/>
          <w:color w:val="auto"/>
          <w:kern w:val="0"/>
          <w:sz w:val="24"/>
        </w:rPr>
        <w:t>一般固废暂存间</w:t>
      </w:r>
      <w:r>
        <w:rPr>
          <w:rFonts w:hint="eastAsia"/>
          <w:snapToGrid w:val="0"/>
          <w:color w:val="auto"/>
          <w:kern w:val="0"/>
          <w:sz w:val="24"/>
          <w:lang w:eastAsia="zh-CN"/>
        </w:rPr>
        <w:t>，位于项目西北角，</w:t>
      </w:r>
      <w:r>
        <w:rPr>
          <w:snapToGrid w:val="0"/>
          <w:color w:val="auto"/>
          <w:kern w:val="0"/>
          <w:sz w:val="24"/>
        </w:rPr>
        <w:t>建筑面积</w:t>
      </w:r>
      <w:r>
        <w:rPr>
          <w:rFonts w:hint="eastAsia"/>
          <w:snapToGrid w:val="0"/>
          <w:color w:val="auto"/>
          <w:kern w:val="0"/>
          <w:sz w:val="24"/>
          <w:lang w:val="en-US" w:eastAsia="zh-CN"/>
        </w:rPr>
        <w:t>15</w:t>
      </w:r>
      <w:r>
        <w:rPr>
          <w:snapToGrid w:val="0"/>
          <w:color w:val="auto"/>
          <w:kern w:val="0"/>
          <w:sz w:val="24"/>
        </w:rPr>
        <w:t>m</w:t>
      </w:r>
      <w:r>
        <w:rPr>
          <w:snapToGrid w:val="0"/>
          <w:color w:val="auto"/>
          <w:kern w:val="0"/>
          <w:sz w:val="24"/>
          <w:vertAlign w:val="superscript"/>
        </w:rPr>
        <w:t>2</w:t>
      </w:r>
      <w:r>
        <w:rPr>
          <w:snapToGrid w:val="0"/>
          <w:color w:val="auto"/>
          <w:kern w:val="0"/>
          <w:sz w:val="24"/>
        </w:rPr>
        <w:t>。一般固废间主要存放本项目生产所产生的一般固废，主要有一般废包装袋、</w:t>
      </w:r>
      <w:r>
        <w:rPr>
          <w:rFonts w:hint="eastAsia"/>
          <w:snapToGrid w:val="0"/>
          <w:color w:val="auto"/>
          <w:kern w:val="0"/>
          <w:sz w:val="24"/>
          <w:lang w:eastAsia="zh-CN"/>
        </w:rPr>
        <w:t>收集的粉尘</w:t>
      </w:r>
      <w:r>
        <w:rPr>
          <w:snapToGrid w:val="0"/>
          <w:color w:val="auto"/>
          <w:kern w:val="0"/>
          <w:sz w:val="24"/>
        </w:rPr>
        <w:t>等一般固废。</w:t>
      </w:r>
    </w:p>
    <w:p>
      <w:pPr>
        <w:pStyle w:val="2"/>
        <w:spacing w:line="360" w:lineRule="auto"/>
        <w:ind w:firstLine="482" w:firstLineChars="200"/>
        <w:rPr>
          <w:b/>
          <w:snapToGrid w:val="0"/>
          <w:color w:val="auto"/>
          <w:kern w:val="0"/>
          <w:sz w:val="24"/>
        </w:rPr>
      </w:pPr>
      <w:r>
        <w:rPr>
          <w:b/>
          <w:snapToGrid w:val="0"/>
          <w:color w:val="auto"/>
          <w:kern w:val="0"/>
          <w:sz w:val="24"/>
        </w:rPr>
        <w:t>一般固废暂存间设置及处置要求：</w:t>
      </w:r>
    </w:p>
    <w:p>
      <w:pPr>
        <w:pStyle w:val="2"/>
        <w:spacing w:line="360" w:lineRule="auto"/>
        <w:ind w:firstLine="480" w:firstLineChars="200"/>
        <w:rPr>
          <w:snapToGrid w:val="0"/>
          <w:color w:val="auto"/>
          <w:kern w:val="0"/>
          <w:sz w:val="24"/>
        </w:rPr>
      </w:pPr>
      <w:r>
        <w:rPr>
          <w:snapToGrid w:val="0"/>
          <w:color w:val="auto"/>
          <w:kern w:val="0"/>
          <w:sz w:val="24"/>
        </w:rPr>
        <w:t>①一般固废间地面需做硬化处理。</w:t>
      </w:r>
    </w:p>
    <w:p>
      <w:pPr>
        <w:pStyle w:val="2"/>
        <w:spacing w:line="360" w:lineRule="auto"/>
        <w:ind w:firstLine="480" w:firstLineChars="200"/>
        <w:rPr>
          <w:snapToGrid w:val="0"/>
          <w:color w:val="auto"/>
          <w:kern w:val="0"/>
          <w:sz w:val="24"/>
        </w:rPr>
      </w:pPr>
      <w:r>
        <w:rPr>
          <w:snapToGrid w:val="0"/>
          <w:color w:val="auto"/>
          <w:kern w:val="0"/>
          <w:sz w:val="24"/>
        </w:rPr>
        <w:t>②一般固废间需封闭处理，避免一般固废散落到其区域，</w:t>
      </w:r>
    </w:p>
    <w:p>
      <w:pPr>
        <w:pStyle w:val="2"/>
        <w:ind w:firstLine="480" w:firstLineChars="200"/>
        <w:rPr>
          <w:snapToGrid w:val="0"/>
          <w:color w:val="auto"/>
          <w:kern w:val="0"/>
          <w:sz w:val="24"/>
        </w:rPr>
      </w:pPr>
      <w:r>
        <w:rPr>
          <w:snapToGrid w:val="0"/>
          <w:color w:val="auto"/>
          <w:kern w:val="0"/>
          <w:sz w:val="24"/>
        </w:rPr>
        <w:t>③对一般固废需要做分类存放，不可混放；</w:t>
      </w:r>
    </w:p>
    <w:p>
      <w:pPr>
        <w:pStyle w:val="2"/>
        <w:ind w:firstLine="480" w:firstLineChars="200"/>
        <w:rPr>
          <w:color w:val="auto"/>
        </w:rPr>
      </w:pPr>
      <w:r>
        <w:rPr>
          <w:snapToGrid w:val="0"/>
          <w:color w:val="auto"/>
          <w:kern w:val="0"/>
          <w:sz w:val="24"/>
        </w:rPr>
        <w:t>④对及时需要处理的一般固废需定期清理处理；</w:t>
      </w:r>
    </w:p>
    <w:p>
      <w:pPr>
        <w:spacing w:line="520" w:lineRule="exact"/>
        <w:ind w:firstLine="525"/>
        <w:rPr>
          <w:snapToGrid w:val="0"/>
          <w:color w:val="auto"/>
          <w:kern w:val="0"/>
          <w:sz w:val="24"/>
        </w:rPr>
      </w:pPr>
      <w:r>
        <w:rPr>
          <w:b/>
          <w:snapToGrid w:val="0"/>
          <w:color w:val="auto"/>
          <w:kern w:val="0"/>
          <w:sz w:val="24"/>
        </w:rPr>
        <w:t>危废暂存间位置及规范化设置要求：</w:t>
      </w:r>
    </w:p>
    <w:p>
      <w:pPr>
        <w:spacing w:line="520" w:lineRule="exact"/>
        <w:ind w:firstLine="525"/>
        <w:rPr>
          <w:color w:val="auto"/>
          <w:sz w:val="24"/>
        </w:rPr>
      </w:pPr>
      <w:r>
        <w:rPr>
          <w:snapToGrid w:val="0"/>
          <w:color w:val="auto"/>
          <w:kern w:val="0"/>
          <w:sz w:val="24"/>
        </w:rPr>
        <w:t>为减小危险废物物的储运风险，防止危险废物流失污染环境，建设单位应设计危险废物库，用于临时存放外委处置前的危险废弃物，</w:t>
      </w:r>
      <w:r>
        <w:rPr>
          <w:rFonts w:hint="eastAsia"/>
          <w:color w:val="auto"/>
          <w:sz w:val="24"/>
        </w:rPr>
        <w:t>项目产生的危险废物为废活</w:t>
      </w:r>
      <w:r>
        <w:rPr>
          <w:rFonts w:hint="eastAsia" w:hAnsi="宋体"/>
          <w:color w:val="auto"/>
          <w:kern w:val="0"/>
          <w:sz w:val="24"/>
        </w:rPr>
        <w:t>性炭</w:t>
      </w:r>
      <w:r>
        <w:rPr>
          <w:rFonts w:hint="eastAsia" w:hAnsi="宋体"/>
          <w:color w:val="auto"/>
          <w:kern w:val="0"/>
          <w:sz w:val="24"/>
          <w:lang w:eastAsia="zh-CN"/>
        </w:rPr>
        <w:t>，新建</w:t>
      </w:r>
      <w:r>
        <w:rPr>
          <w:rFonts w:hint="eastAsia" w:hAnsi="宋体"/>
          <w:color w:val="auto"/>
          <w:kern w:val="0"/>
          <w:sz w:val="24"/>
          <w:lang w:val="en-US" w:eastAsia="zh-CN"/>
        </w:rPr>
        <w:t>1个</w:t>
      </w:r>
      <w:r>
        <w:rPr>
          <w:rFonts w:hint="eastAsia" w:hAnsi="宋体"/>
          <w:color w:val="auto"/>
          <w:kern w:val="0"/>
          <w:sz w:val="24"/>
        </w:rPr>
        <w:t>危废暂存间，危险废物拟半年委托处置一次。项目危废于暂存间密封暂存后，定期送具有危险废物处置资质单位进行处理，危废库</w:t>
      </w:r>
      <w:r>
        <w:rPr>
          <w:rFonts w:hint="eastAsia"/>
          <w:color w:val="auto"/>
          <w:sz w:val="24"/>
        </w:rPr>
        <w:t>设有防腐、防渗、防雨等措施。</w:t>
      </w:r>
    </w:p>
    <w:p>
      <w:pPr>
        <w:spacing w:line="460" w:lineRule="exact"/>
        <w:ind w:firstLine="480" w:firstLineChars="200"/>
        <w:rPr>
          <w:b/>
          <w:color w:val="auto"/>
          <w:sz w:val="24"/>
        </w:rPr>
      </w:pPr>
      <w:r>
        <w:rPr>
          <w:rFonts w:hint="eastAsia"/>
          <w:color w:val="auto"/>
          <w:sz w:val="24"/>
        </w:rPr>
        <w:t>项目危险废物贮存场所基本情况详见下表：</w:t>
      </w:r>
    </w:p>
    <w:p>
      <w:pPr>
        <w:spacing w:line="460" w:lineRule="exact"/>
        <w:jc w:val="center"/>
        <w:rPr>
          <w:rFonts w:ascii="宋体" w:hAnsi="宋体"/>
          <w:b/>
          <w:color w:val="auto"/>
          <w:sz w:val="24"/>
        </w:rPr>
      </w:pPr>
      <w:r>
        <w:rPr>
          <w:rFonts w:hint="eastAsia"/>
          <w:b/>
          <w:color w:val="auto"/>
          <w:sz w:val="24"/>
        </w:rPr>
        <w:t>表7-</w:t>
      </w:r>
      <w:r>
        <w:rPr>
          <w:rFonts w:hint="eastAsia"/>
          <w:b/>
          <w:color w:val="auto"/>
          <w:sz w:val="24"/>
          <w:lang w:val="en-US" w:eastAsia="zh-CN"/>
        </w:rPr>
        <w:t>3</w:t>
      </w:r>
      <w:r>
        <w:rPr>
          <w:rFonts w:hint="eastAsia"/>
          <w:b/>
          <w:color w:val="auto"/>
          <w:sz w:val="24"/>
        </w:rPr>
        <w:t xml:space="preserve">  </w:t>
      </w:r>
      <w:r>
        <w:rPr>
          <w:rFonts w:hint="eastAsia" w:ascii="宋体" w:hAnsi="宋体" w:cs="宋体"/>
          <w:b/>
          <w:bCs/>
          <w:color w:val="auto"/>
          <w:kern w:val="0"/>
          <w:sz w:val="24"/>
        </w:rPr>
        <w:t xml:space="preserve">建设项目危险废物贮存场所基本情况表 </w:t>
      </w:r>
    </w:p>
    <w:tbl>
      <w:tblPr>
        <w:tblStyle w:val="53"/>
        <w:tblW w:w="5113" w:type="pct"/>
        <w:jc w:val="center"/>
        <w:tblBorders>
          <w:top w:val="outset" w:color="auto" w:sz="6" w:space="0"/>
          <w:left w:val="outset" w:color="auto" w:sz="6" w:space="0"/>
          <w:bottom w:val="outset" w:color="auto" w:sz="6" w:space="0"/>
          <w:right w:val="outset" w:color="auto" w:sz="6" w:space="0"/>
          <w:insideH w:val="none" w:color="auto" w:sz="0" w:space="0"/>
          <w:insideV w:val="none" w:color="auto" w:sz="0" w:space="0"/>
        </w:tblBorders>
        <w:tblLayout w:type="autofit"/>
        <w:tblCellMar>
          <w:top w:w="0" w:type="dxa"/>
          <w:left w:w="0" w:type="dxa"/>
          <w:bottom w:w="0" w:type="dxa"/>
          <w:right w:w="0" w:type="dxa"/>
        </w:tblCellMar>
      </w:tblPr>
      <w:tblGrid>
        <w:gridCol w:w="634"/>
        <w:gridCol w:w="876"/>
        <w:gridCol w:w="1431"/>
        <w:gridCol w:w="828"/>
        <w:gridCol w:w="1190"/>
        <w:gridCol w:w="815"/>
        <w:gridCol w:w="704"/>
        <w:gridCol w:w="1200"/>
        <w:gridCol w:w="598"/>
        <w:gridCol w:w="675"/>
      </w:tblGrid>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rHeight w:val="601" w:hRule="atLeast"/>
          <w:jc w:val="center"/>
        </w:trPr>
        <w:tc>
          <w:tcPr>
            <w:tcW w:w="354" w:type="pct"/>
            <w:tcBorders>
              <w:top w:val="outset" w:color="auto" w:sz="6" w:space="0"/>
              <w:left w:val="outset" w:color="auto" w:sz="6" w:space="0"/>
              <w:bottom w:val="outset" w:color="auto" w:sz="6" w:space="0"/>
              <w:right w:val="outset" w:color="auto" w:sz="6" w:space="0"/>
            </w:tcBorders>
            <w:vAlign w:val="center"/>
          </w:tcPr>
          <w:p>
            <w:pPr>
              <w:widowControl/>
              <w:spacing w:line="320" w:lineRule="exact"/>
              <w:jc w:val="center"/>
              <w:rPr>
                <w:rFonts w:ascii="宋体" w:hAnsi="宋体" w:cs="宋体"/>
                <w:b/>
                <w:color w:val="auto"/>
                <w:kern w:val="0"/>
                <w:szCs w:val="21"/>
              </w:rPr>
            </w:pPr>
            <w:r>
              <w:rPr>
                <w:rFonts w:hint="eastAsia" w:ascii="宋体" w:hAnsi="宋体" w:cs="宋体"/>
                <w:b/>
                <w:color w:val="auto"/>
                <w:kern w:val="0"/>
                <w:szCs w:val="21"/>
              </w:rPr>
              <w:t>序号</w:t>
            </w:r>
          </w:p>
        </w:tc>
        <w:tc>
          <w:tcPr>
            <w:tcW w:w="489" w:type="pct"/>
            <w:tcBorders>
              <w:top w:val="outset" w:color="auto" w:sz="6" w:space="0"/>
              <w:left w:val="outset" w:color="auto" w:sz="6" w:space="0"/>
              <w:bottom w:val="outset" w:color="auto" w:sz="6" w:space="0"/>
              <w:right w:val="outset" w:color="auto" w:sz="6" w:space="0"/>
            </w:tcBorders>
            <w:vAlign w:val="center"/>
          </w:tcPr>
          <w:p>
            <w:pPr>
              <w:widowControl/>
              <w:spacing w:line="320" w:lineRule="exact"/>
              <w:jc w:val="center"/>
              <w:rPr>
                <w:rFonts w:ascii="宋体" w:hAnsi="宋体" w:cs="宋体"/>
                <w:b/>
                <w:color w:val="auto"/>
                <w:kern w:val="0"/>
                <w:szCs w:val="21"/>
              </w:rPr>
            </w:pPr>
            <w:r>
              <w:rPr>
                <w:rFonts w:hint="eastAsia" w:ascii="宋体" w:hAnsi="宋体" w:cs="宋体"/>
                <w:b/>
                <w:color w:val="auto"/>
                <w:kern w:val="0"/>
                <w:szCs w:val="21"/>
              </w:rPr>
              <w:t>贮存场所名称</w:t>
            </w:r>
          </w:p>
        </w:tc>
        <w:tc>
          <w:tcPr>
            <w:tcW w:w="799" w:type="pct"/>
            <w:tcBorders>
              <w:top w:val="outset" w:color="auto" w:sz="6" w:space="0"/>
              <w:left w:val="outset" w:color="auto" w:sz="6" w:space="0"/>
              <w:bottom w:val="outset" w:color="auto" w:sz="6" w:space="0"/>
              <w:right w:val="outset" w:color="auto" w:sz="6" w:space="0"/>
            </w:tcBorders>
            <w:vAlign w:val="center"/>
          </w:tcPr>
          <w:p>
            <w:pPr>
              <w:widowControl/>
              <w:spacing w:line="320" w:lineRule="exact"/>
              <w:jc w:val="center"/>
              <w:rPr>
                <w:rFonts w:ascii="宋体" w:hAnsi="宋体" w:cs="宋体"/>
                <w:b/>
                <w:color w:val="auto"/>
                <w:kern w:val="0"/>
                <w:szCs w:val="21"/>
              </w:rPr>
            </w:pPr>
            <w:r>
              <w:rPr>
                <w:rFonts w:hint="eastAsia" w:ascii="宋体" w:hAnsi="宋体" w:cs="宋体"/>
                <w:b/>
                <w:color w:val="auto"/>
                <w:kern w:val="0"/>
                <w:szCs w:val="21"/>
              </w:rPr>
              <w:t>危险废物</w:t>
            </w:r>
          </w:p>
          <w:p>
            <w:pPr>
              <w:widowControl/>
              <w:spacing w:line="320" w:lineRule="exact"/>
              <w:jc w:val="center"/>
              <w:rPr>
                <w:rFonts w:ascii="宋体" w:hAnsi="宋体" w:cs="宋体"/>
                <w:b/>
                <w:color w:val="auto"/>
                <w:kern w:val="0"/>
                <w:szCs w:val="21"/>
              </w:rPr>
            </w:pPr>
            <w:r>
              <w:rPr>
                <w:rFonts w:hint="eastAsia" w:ascii="宋体" w:hAnsi="宋体" w:cs="宋体"/>
                <w:b/>
                <w:color w:val="auto"/>
                <w:kern w:val="0"/>
                <w:szCs w:val="21"/>
              </w:rPr>
              <w:t>名称</w:t>
            </w:r>
          </w:p>
        </w:tc>
        <w:tc>
          <w:tcPr>
            <w:tcW w:w="462" w:type="pct"/>
            <w:tcBorders>
              <w:top w:val="outset" w:color="auto" w:sz="6" w:space="0"/>
              <w:left w:val="outset" w:color="auto" w:sz="6" w:space="0"/>
              <w:bottom w:val="outset" w:color="auto" w:sz="6" w:space="0"/>
              <w:right w:val="outset" w:color="auto" w:sz="6" w:space="0"/>
            </w:tcBorders>
            <w:vAlign w:val="center"/>
          </w:tcPr>
          <w:p>
            <w:pPr>
              <w:spacing w:line="320" w:lineRule="exact"/>
              <w:ind w:left="-63" w:leftChars="-30" w:right="-63" w:rightChars="-30"/>
              <w:jc w:val="center"/>
              <w:rPr>
                <w:rFonts w:ascii="宋体" w:hAnsi="宋体"/>
                <w:b/>
                <w:bCs/>
                <w:color w:val="auto"/>
                <w:szCs w:val="21"/>
              </w:rPr>
            </w:pPr>
            <w:r>
              <w:rPr>
                <w:rFonts w:hint="eastAsia" w:ascii="宋体" w:hAnsi="宋体"/>
                <w:b/>
                <w:bCs/>
                <w:color w:val="auto"/>
                <w:szCs w:val="21"/>
              </w:rPr>
              <w:t>危险废</w:t>
            </w:r>
          </w:p>
          <w:p>
            <w:pPr>
              <w:spacing w:line="320" w:lineRule="exact"/>
              <w:ind w:left="-63" w:leftChars="-30" w:right="-63" w:rightChars="-30"/>
              <w:jc w:val="center"/>
              <w:rPr>
                <w:rFonts w:ascii="宋体" w:hAnsi="宋体"/>
                <w:b/>
                <w:bCs/>
                <w:color w:val="auto"/>
                <w:szCs w:val="21"/>
              </w:rPr>
            </w:pPr>
            <w:r>
              <w:rPr>
                <w:rFonts w:hint="eastAsia" w:ascii="宋体" w:hAnsi="宋体"/>
                <w:b/>
                <w:bCs/>
                <w:color w:val="auto"/>
                <w:szCs w:val="21"/>
              </w:rPr>
              <w:t>物类别</w:t>
            </w:r>
          </w:p>
        </w:tc>
        <w:tc>
          <w:tcPr>
            <w:tcW w:w="664" w:type="pct"/>
            <w:tcBorders>
              <w:top w:val="outset" w:color="auto" w:sz="6" w:space="0"/>
              <w:left w:val="outset" w:color="auto" w:sz="6" w:space="0"/>
              <w:bottom w:val="outset" w:color="auto" w:sz="6" w:space="0"/>
              <w:right w:val="outset" w:color="auto" w:sz="6" w:space="0"/>
            </w:tcBorders>
            <w:vAlign w:val="center"/>
          </w:tcPr>
          <w:p>
            <w:pPr>
              <w:spacing w:line="320" w:lineRule="exact"/>
              <w:ind w:left="-63" w:leftChars="-30" w:right="-63" w:rightChars="-30"/>
              <w:jc w:val="center"/>
              <w:rPr>
                <w:rFonts w:ascii="宋体" w:hAnsi="宋体"/>
                <w:b/>
                <w:bCs/>
                <w:color w:val="auto"/>
                <w:szCs w:val="21"/>
              </w:rPr>
            </w:pPr>
            <w:r>
              <w:rPr>
                <w:rFonts w:hint="eastAsia" w:ascii="宋体" w:hAnsi="宋体"/>
                <w:b/>
                <w:bCs/>
                <w:color w:val="auto"/>
                <w:szCs w:val="21"/>
              </w:rPr>
              <w:t>危险废物</w:t>
            </w:r>
          </w:p>
          <w:p>
            <w:pPr>
              <w:spacing w:line="320" w:lineRule="exact"/>
              <w:ind w:left="-63" w:leftChars="-30" w:right="-63" w:rightChars="-30"/>
              <w:jc w:val="center"/>
              <w:rPr>
                <w:rFonts w:ascii="宋体" w:hAnsi="宋体"/>
                <w:b/>
                <w:bCs/>
                <w:color w:val="auto"/>
                <w:szCs w:val="21"/>
              </w:rPr>
            </w:pPr>
            <w:r>
              <w:rPr>
                <w:rFonts w:hint="eastAsia" w:ascii="宋体" w:hAnsi="宋体"/>
                <w:b/>
                <w:bCs/>
                <w:color w:val="auto"/>
                <w:szCs w:val="21"/>
              </w:rPr>
              <w:t>代码</w:t>
            </w:r>
          </w:p>
        </w:tc>
        <w:tc>
          <w:tcPr>
            <w:tcW w:w="455" w:type="pct"/>
            <w:tcBorders>
              <w:top w:val="outset" w:color="auto" w:sz="6" w:space="0"/>
              <w:left w:val="outset" w:color="auto" w:sz="6" w:space="0"/>
              <w:bottom w:val="outset" w:color="auto" w:sz="6" w:space="0"/>
              <w:right w:val="outset" w:color="auto" w:sz="6" w:space="0"/>
            </w:tcBorders>
            <w:vAlign w:val="center"/>
          </w:tcPr>
          <w:p>
            <w:pPr>
              <w:widowControl/>
              <w:spacing w:line="320" w:lineRule="exact"/>
              <w:jc w:val="center"/>
              <w:rPr>
                <w:rFonts w:ascii="宋体" w:hAnsi="宋体" w:cs="宋体"/>
                <w:b/>
                <w:color w:val="auto"/>
                <w:kern w:val="0"/>
                <w:szCs w:val="21"/>
              </w:rPr>
            </w:pPr>
            <w:r>
              <w:rPr>
                <w:rFonts w:hint="eastAsia" w:ascii="宋体" w:hAnsi="宋体" w:cs="宋体"/>
                <w:b/>
                <w:color w:val="auto"/>
                <w:kern w:val="0"/>
                <w:szCs w:val="21"/>
              </w:rPr>
              <w:t>位置</w:t>
            </w:r>
          </w:p>
        </w:tc>
        <w:tc>
          <w:tcPr>
            <w:tcW w:w="393" w:type="pct"/>
            <w:tcBorders>
              <w:top w:val="outset" w:color="auto" w:sz="6" w:space="0"/>
              <w:left w:val="outset" w:color="auto" w:sz="6" w:space="0"/>
              <w:bottom w:val="outset" w:color="auto" w:sz="6" w:space="0"/>
              <w:right w:val="outset" w:color="auto" w:sz="6" w:space="0"/>
            </w:tcBorders>
            <w:vAlign w:val="center"/>
          </w:tcPr>
          <w:p>
            <w:pPr>
              <w:widowControl/>
              <w:spacing w:line="320" w:lineRule="exact"/>
              <w:jc w:val="center"/>
              <w:rPr>
                <w:rFonts w:ascii="宋体" w:hAnsi="宋体" w:cs="宋体"/>
                <w:b/>
                <w:color w:val="auto"/>
                <w:kern w:val="0"/>
                <w:szCs w:val="21"/>
              </w:rPr>
            </w:pPr>
            <w:r>
              <w:rPr>
                <w:rFonts w:hint="eastAsia" w:ascii="宋体" w:hAnsi="宋体" w:cs="宋体"/>
                <w:b/>
                <w:color w:val="auto"/>
                <w:kern w:val="0"/>
                <w:szCs w:val="21"/>
              </w:rPr>
              <w:t>占地</w:t>
            </w:r>
          </w:p>
          <w:p>
            <w:pPr>
              <w:widowControl/>
              <w:spacing w:line="320" w:lineRule="exact"/>
              <w:jc w:val="center"/>
              <w:rPr>
                <w:rFonts w:ascii="宋体" w:hAnsi="宋体" w:cs="宋体"/>
                <w:b/>
                <w:color w:val="auto"/>
                <w:kern w:val="0"/>
                <w:szCs w:val="21"/>
              </w:rPr>
            </w:pPr>
            <w:r>
              <w:rPr>
                <w:rFonts w:hint="eastAsia" w:ascii="宋体" w:hAnsi="宋体" w:cs="宋体"/>
                <w:b/>
                <w:color w:val="auto"/>
                <w:kern w:val="0"/>
                <w:szCs w:val="21"/>
              </w:rPr>
              <w:t>面积</w:t>
            </w:r>
          </w:p>
        </w:tc>
        <w:tc>
          <w:tcPr>
            <w:tcW w:w="670" w:type="pct"/>
            <w:tcBorders>
              <w:top w:val="outset" w:color="auto" w:sz="6" w:space="0"/>
              <w:left w:val="outset" w:color="auto" w:sz="6" w:space="0"/>
              <w:bottom w:val="outset" w:color="auto" w:sz="6" w:space="0"/>
              <w:right w:val="outset" w:color="auto" w:sz="6" w:space="0"/>
            </w:tcBorders>
            <w:vAlign w:val="center"/>
          </w:tcPr>
          <w:p>
            <w:pPr>
              <w:widowControl/>
              <w:spacing w:line="320" w:lineRule="exact"/>
              <w:jc w:val="center"/>
              <w:rPr>
                <w:rFonts w:ascii="宋体" w:hAnsi="宋体" w:cs="宋体"/>
                <w:b/>
                <w:color w:val="auto"/>
                <w:kern w:val="0"/>
                <w:szCs w:val="21"/>
              </w:rPr>
            </w:pPr>
            <w:r>
              <w:rPr>
                <w:rFonts w:hint="eastAsia" w:ascii="宋体" w:hAnsi="宋体" w:cs="宋体"/>
                <w:b/>
                <w:color w:val="auto"/>
                <w:kern w:val="0"/>
                <w:szCs w:val="21"/>
              </w:rPr>
              <w:t>贮存</w:t>
            </w:r>
          </w:p>
          <w:p>
            <w:pPr>
              <w:widowControl/>
              <w:spacing w:line="320" w:lineRule="exact"/>
              <w:jc w:val="center"/>
              <w:rPr>
                <w:rFonts w:ascii="宋体" w:hAnsi="宋体" w:cs="宋体"/>
                <w:b/>
                <w:color w:val="auto"/>
                <w:kern w:val="0"/>
                <w:szCs w:val="21"/>
              </w:rPr>
            </w:pPr>
            <w:r>
              <w:rPr>
                <w:rFonts w:hint="eastAsia" w:ascii="宋体" w:hAnsi="宋体" w:cs="宋体"/>
                <w:b/>
                <w:color w:val="auto"/>
                <w:kern w:val="0"/>
                <w:szCs w:val="21"/>
              </w:rPr>
              <w:t>方式</w:t>
            </w:r>
          </w:p>
        </w:tc>
        <w:tc>
          <w:tcPr>
            <w:tcW w:w="334" w:type="pct"/>
            <w:tcBorders>
              <w:top w:val="outset" w:color="auto" w:sz="6" w:space="0"/>
              <w:left w:val="outset" w:color="auto" w:sz="6" w:space="0"/>
              <w:bottom w:val="outset" w:color="auto" w:sz="6" w:space="0"/>
              <w:right w:val="outset" w:color="auto" w:sz="6" w:space="0"/>
            </w:tcBorders>
            <w:vAlign w:val="center"/>
          </w:tcPr>
          <w:p>
            <w:pPr>
              <w:widowControl/>
              <w:spacing w:line="320" w:lineRule="exact"/>
              <w:jc w:val="center"/>
              <w:rPr>
                <w:rFonts w:ascii="宋体" w:hAnsi="宋体" w:cs="宋体"/>
                <w:b/>
                <w:color w:val="auto"/>
                <w:kern w:val="0"/>
                <w:szCs w:val="21"/>
              </w:rPr>
            </w:pPr>
            <w:r>
              <w:rPr>
                <w:rFonts w:hint="eastAsia" w:ascii="宋体" w:hAnsi="宋体" w:cs="宋体"/>
                <w:b/>
                <w:color w:val="auto"/>
                <w:kern w:val="0"/>
                <w:szCs w:val="21"/>
              </w:rPr>
              <w:t>贮存</w:t>
            </w:r>
          </w:p>
          <w:p>
            <w:pPr>
              <w:widowControl/>
              <w:spacing w:line="320" w:lineRule="exact"/>
              <w:jc w:val="center"/>
              <w:rPr>
                <w:rFonts w:ascii="宋体" w:hAnsi="宋体" w:cs="宋体"/>
                <w:b/>
                <w:color w:val="auto"/>
                <w:kern w:val="0"/>
                <w:szCs w:val="21"/>
              </w:rPr>
            </w:pPr>
            <w:r>
              <w:rPr>
                <w:rFonts w:hint="eastAsia" w:ascii="宋体" w:hAnsi="宋体" w:cs="宋体"/>
                <w:b/>
                <w:color w:val="auto"/>
                <w:kern w:val="0"/>
                <w:szCs w:val="21"/>
              </w:rPr>
              <w:t>能力</w:t>
            </w:r>
          </w:p>
        </w:tc>
        <w:tc>
          <w:tcPr>
            <w:tcW w:w="376" w:type="pct"/>
            <w:tcBorders>
              <w:top w:val="outset" w:color="auto" w:sz="6" w:space="0"/>
              <w:left w:val="outset" w:color="auto" w:sz="6" w:space="0"/>
              <w:bottom w:val="outset" w:color="auto" w:sz="6" w:space="0"/>
              <w:right w:val="outset" w:color="auto" w:sz="6" w:space="0"/>
            </w:tcBorders>
            <w:vAlign w:val="center"/>
          </w:tcPr>
          <w:p>
            <w:pPr>
              <w:widowControl/>
              <w:spacing w:line="320" w:lineRule="exact"/>
              <w:jc w:val="center"/>
              <w:rPr>
                <w:rFonts w:ascii="宋体" w:hAnsi="宋体" w:cs="宋体"/>
                <w:b/>
                <w:color w:val="auto"/>
                <w:kern w:val="0"/>
                <w:szCs w:val="21"/>
              </w:rPr>
            </w:pPr>
            <w:r>
              <w:rPr>
                <w:rFonts w:hint="eastAsia" w:ascii="宋体" w:hAnsi="宋体" w:cs="宋体"/>
                <w:b/>
                <w:color w:val="auto"/>
                <w:kern w:val="0"/>
                <w:szCs w:val="21"/>
              </w:rPr>
              <w:t>贮存</w:t>
            </w:r>
          </w:p>
          <w:p>
            <w:pPr>
              <w:widowControl/>
              <w:spacing w:line="320" w:lineRule="exact"/>
              <w:jc w:val="center"/>
              <w:rPr>
                <w:rFonts w:ascii="宋体" w:hAnsi="宋体" w:cs="宋体"/>
                <w:b/>
                <w:color w:val="auto"/>
                <w:kern w:val="0"/>
                <w:szCs w:val="21"/>
              </w:rPr>
            </w:pPr>
            <w:r>
              <w:rPr>
                <w:rFonts w:hint="eastAsia" w:ascii="宋体" w:hAnsi="宋体" w:cs="宋体"/>
                <w:b/>
                <w:color w:val="auto"/>
                <w:kern w:val="0"/>
                <w:szCs w:val="21"/>
              </w:rPr>
              <w:t>周期</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rHeight w:val="601" w:hRule="atLeast"/>
          <w:jc w:val="center"/>
        </w:trPr>
        <w:tc>
          <w:tcPr>
            <w:tcW w:w="354" w:type="pct"/>
            <w:tcBorders>
              <w:top w:val="outset" w:color="auto" w:sz="6" w:space="0"/>
              <w:left w:val="outset" w:color="auto" w:sz="6" w:space="0"/>
              <w:bottom w:val="outset" w:color="auto" w:sz="6" w:space="0"/>
              <w:right w:val="outset" w:color="auto" w:sz="6" w:space="0"/>
            </w:tcBorders>
            <w:vAlign w:val="center"/>
          </w:tcPr>
          <w:p>
            <w:pPr>
              <w:widowControl/>
              <w:spacing w:line="320" w:lineRule="exact"/>
              <w:jc w:val="center"/>
              <w:rPr>
                <w:rFonts w:ascii="宋体" w:hAnsi="宋体" w:cs="宋体"/>
                <w:color w:val="auto"/>
                <w:kern w:val="0"/>
                <w:szCs w:val="21"/>
              </w:rPr>
            </w:pPr>
            <w:r>
              <w:rPr>
                <w:rFonts w:hint="eastAsia" w:ascii="宋体" w:hAnsi="宋体" w:cs="宋体"/>
                <w:color w:val="auto"/>
                <w:kern w:val="0"/>
                <w:szCs w:val="21"/>
              </w:rPr>
              <w:t>1</w:t>
            </w:r>
          </w:p>
        </w:tc>
        <w:tc>
          <w:tcPr>
            <w:tcW w:w="489" w:type="pct"/>
            <w:vMerge w:val="restart"/>
            <w:tcBorders>
              <w:top w:val="outset" w:color="auto" w:sz="6" w:space="0"/>
              <w:left w:val="outset" w:color="auto" w:sz="6" w:space="0"/>
              <w:right w:val="outset" w:color="auto" w:sz="6" w:space="0"/>
            </w:tcBorders>
            <w:vAlign w:val="center"/>
          </w:tcPr>
          <w:p>
            <w:pPr>
              <w:widowControl/>
              <w:spacing w:line="320" w:lineRule="exact"/>
              <w:jc w:val="center"/>
              <w:rPr>
                <w:rFonts w:ascii="宋体" w:hAnsi="宋体" w:cs="宋体"/>
                <w:color w:val="auto"/>
                <w:kern w:val="0"/>
                <w:szCs w:val="21"/>
              </w:rPr>
            </w:pPr>
            <w:r>
              <w:rPr>
                <w:rFonts w:ascii="宋体" w:hAnsi="宋体" w:cs="宋体"/>
                <w:color w:val="auto"/>
                <w:kern w:val="0"/>
                <w:szCs w:val="21"/>
              </w:rPr>
              <w:t>危废暂存库</w:t>
            </w:r>
          </w:p>
        </w:tc>
        <w:tc>
          <w:tcPr>
            <w:tcW w:w="799" w:type="pct"/>
            <w:tcBorders>
              <w:top w:val="outset" w:color="auto" w:sz="6" w:space="0"/>
              <w:left w:val="outset" w:color="auto" w:sz="6" w:space="0"/>
              <w:bottom w:val="outset" w:color="auto" w:sz="6" w:space="0"/>
              <w:right w:val="outset" w:color="auto" w:sz="6" w:space="0"/>
            </w:tcBorders>
            <w:vAlign w:val="center"/>
          </w:tcPr>
          <w:p>
            <w:pPr>
              <w:pStyle w:val="166"/>
              <w:snapToGrid w:val="0"/>
              <w:rPr>
                <w:rFonts w:ascii="Times New Roman" w:hAnsi="Times New Roman" w:eastAsia="宋体" w:cs="Times New Roman"/>
                <w:color w:val="auto"/>
                <w:kern w:val="24"/>
                <w:sz w:val="21"/>
                <w:szCs w:val="21"/>
                <w:lang w:val="en-US" w:eastAsia="zh-CN" w:bidi="ar-SA"/>
              </w:rPr>
            </w:pPr>
            <w:r>
              <w:rPr>
                <w:rFonts w:ascii="Times New Roman" w:hAnsi="Times New Roman"/>
                <w:color w:val="auto"/>
                <w:sz w:val="21"/>
                <w:szCs w:val="21"/>
              </w:rPr>
              <w:t>废活性炭</w:t>
            </w:r>
          </w:p>
        </w:tc>
        <w:tc>
          <w:tcPr>
            <w:tcW w:w="462" w:type="pct"/>
            <w:tcBorders>
              <w:top w:val="outset" w:color="auto" w:sz="6" w:space="0"/>
              <w:left w:val="outset" w:color="auto" w:sz="6" w:space="0"/>
              <w:bottom w:val="outset" w:color="auto" w:sz="6" w:space="0"/>
              <w:right w:val="outset" w:color="auto" w:sz="6" w:space="0"/>
            </w:tcBorders>
            <w:vAlign w:val="center"/>
          </w:tcPr>
          <w:p>
            <w:pPr>
              <w:pStyle w:val="166"/>
              <w:snapToGrid w:val="0"/>
              <w:rPr>
                <w:rFonts w:ascii="Times New Roman" w:hAnsi="Times New Roman" w:eastAsia="宋体" w:cs="Times New Roman"/>
                <w:color w:val="auto"/>
                <w:kern w:val="24"/>
                <w:sz w:val="21"/>
                <w:szCs w:val="21"/>
                <w:lang w:val="en-US" w:eastAsia="zh-CN" w:bidi="ar-SA"/>
              </w:rPr>
            </w:pPr>
            <w:r>
              <w:rPr>
                <w:rFonts w:ascii="Times New Roman" w:hAnsi="Times New Roman"/>
                <w:color w:val="auto"/>
                <w:sz w:val="21"/>
                <w:szCs w:val="21"/>
              </w:rPr>
              <w:t>HW49</w:t>
            </w:r>
          </w:p>
        </w:tc>
        <w:tc>
          <w:tcPr>
            <w:tcW w:w="664" w:type="pct"/>
            <w:tcBorders>
              <w:top w:val="outset" w:color="auto" w:sz="6" w:space="0"/>
              <w:left w:val="outset" w:color="auto" w:sz="6" w:space="0"/>
              <w:bottom w:val="outset" w:color="auto" w:sz="6" w:space="0"/>
              <w:right w:val="outset" w:color="auto" w:sz="6" w:space="0"/>
            </w:tcBorders>
            <w:vAlign w:val="center"/>
          </w:tcPr>
          <w:p>
            <w:pPr>
              <w:pStyle w:val="166"/>
              <w:snapToGrid w:val="0"/>
              <w:rPr>
                <w:rFonts w:ascii="Times New Roman" w:hAnsi="Times New Roman" w:eastAsia="宋体" w:cs="Times New Roman"/>
                <w:color w:val="auto"/>
                <w:kern w:val="24"/>
                <w:sz w:val="21"/>
                <w:szCs w:val="21"/>
                <w:lang w:val="en-US" w:eastAsia="zh-CN" w:bidi="ar-SA"/>
              </w:rPr>
            </w:pPr>
            <w:r>
              <w:rPr>
                <w:rFonts w:ascii="Times New Roman" w:hAnsi="Times New Roman"/>
                <w:color w:val="auto"/>
                <w:sz w:val="21"/>
                <w:szCs w:val="21"/>
              </w:rPr>
              <w:t>900-041-49</w:t>
            </w:r>
          </w:p>
        </w:tc>
        <w:tc>
          <w:tcPr>
            <w:tcW w:w="455" w:type="pct"/>
            <w:vMerge w:val="restart"/>
            <w:tcBorders>
              <w:top w:val="outset" w:color="auto" w:sz="6" w:space="0"/>
              <w:left w:val="outset" w:color="auto" w:sz="6" w:space="0"/>
              <w:right w:val="outset" w:color="auto" w:sz="6" w:space="0"/>
            </w:tcBorders>
            <w:vAlign w:val="center"/>
          </w:tcPr>
          <w:p>
            <w:pPr>
              <w:widowControl/>
              <w:spacing w:line="320" w:lineRule="exact"/>
              <w:jc w:val="center"/>
              <w:rPr>
                <w:rFonts w:hint="eastAsia" w:ascii="宋体" w:hAnsi="宋体" w:eastAsia="宋体" w:cs="宋体"/>
                <w:color w:val="auto"/>
                <w:kern w:val="0"/>
                <w:szCs w:val="21"/>
                <w:lang w:eastAsia="zh-CN"/>
              </w:rPr>
            </w:pPr>
            <w:r>
              <w:rPr>
                <w:rFonts w:hint="eastAsia"/>
                <w:color w:val="auto"/>
              </w:rPr>
              <w:t>厂区</w:t>
            </w:r>
            <w:r>
              <w:rPr>
                <w:rFonts w:hint="eastAsia"/>
                <w:color w:val="auto"/>
                <w:lang w:eastAsia="zh-CN"/>
              </w:rPr>
              <w:t>西侧</w:t>
            </w:r>
          </w:p>
        </w:tc>
        <w:tc>
          <w:tcPr>
            <w:tcW w:w="393" w:type="pct"/>
            <w:vMerge w:val="restart"/>
            <w:tcBorders>
              <w:top w:val="outset" w:color="auto" w:sz="6" w:space="0"/>
              <w:left w:val="outset" w:color="auto" w:sz="6" w:space="0"/>
              <w:right w:val="outset" w:color="auto" w:sz="6" w:space="0"/>
            </w:tcBorders>
            <w:vAlign w:val="center"/>
          </w:tcPr>
          <w:p>
            <w:pPr>
              <w:widowControl/>
              <w:spacing w:line="320" w:lineRule="exact"/>
              <w:jc w:val="center"/>
              <w:rPr>
                <w:rFonts w:ascii="宋体" w:hAnsi="宋体" w:cs="宋体"/>
                <w:color w:val="auto"/>
                <w:kern w:val="0"/>
                <w:szCs w:val="21"/>
              </w:rPr>
            </w:pPr>
            <w:r>
              <w:rPr>
                <w:rFonts w:hint="eastAsia" w:ascii="宋体" w:hAnsi="宋体" w:cs="宋体"/>
                <w:color w:val="auto"/>
                <w:kern w:val="0"/>
                <w:szCs w:val="21"/>
                <w:lang w:val="en-US" w:eastAsia="zh-CN"/>
              </w:rPr>
              <w:t>15</w:t>
            </w:r>
            <w:r>
              <w:rPr>
                <w:rFonts w:hint="eastAsia" w:ascii="宋体" w:hAnsi="宋体" w:cs="宋体"/>
                <w:color w:val="auto"/>
                <w:kern w:val="0"/>
                <w:szCs w:val="21"/>
              </w:rPr>
              <w:t>㎡</w:t>
            </w:r>
          </w:p>
        </w:tc>
        <w:tc>
          <w:tcPr>
            <w:tcW w:w="670" w:type="pct"/>
            <w:tcBorders>
              <w:top w:val="outset" w:color="auto" w:sz="6" w:space="0"/>
              <w:left w:val="outset" w:color="auto" w:sz="6" w:space="0"/>
              <w:bottom w:val="outset" w:color="auto" w:sz="6" w:space="0"/>
              <w:right w:val="outset" w:color="auto" w:sz="6" w:space="0"/>
            </w:tcBorders>
            <w:vAlign w:val="center"/>
          </w:tcPr>
          <w:p>
            <w:pPr>
              <w:widowControl/>
              <w:spacing w:line="320" w:lineRule="exact"/>
              <w:jc w:val="center"/>
              <w:rPr>
                <w:rFonts w:ascii="宋体" w:hAnsi="宋体" w:cs="宋体"/>
                <w:color w:val="auto"/>
                <w:kern w:val="0"/>
                <w:szCs w:val="21"/>
              </w:rPr>
            </w:pPr>
            <w:r>
              <w:rPr>
                <w:rFonts w:hint="eastAsia" w:ascii="宋体" w:hAnsi="宋体" w:cs="宋体"/>
                <w:color w:val="auto"/>
                <w:kern w:val="0"/>
                <w:szCs w:val="21"/>
              </w:rPr>
              <w:t>桶装</w:t>
            </w:r>
          </w:p>
        </w:tc>
        <w:tc>
          <w:tcPr>
            <w:tcW w:w="334" w:type="pct"/>
            <w:vMerge w:val="restart"/>
            <w:tcBorders>
              <w:top w:val="outset" w:color="auto" w:sz="6" w:space="0"/>
              <w:left w:val="outset" w:color="auto" w:sz="6" w:space="0"/>
              <w:right w:val="outset" w:color="auto" w:sz="6" w:space="0"/>
            </w:tcBorders>
            <w:vAlign w:val="center"/>
          </w:tcPr>
          <w:p>
            <w:pPr>
              <w:widowControl/>
              <w:spacing w:line="320" w:lineRule="exact"/>
              <w:jc w:val="center"/>
              <w:rPr>
                <w:rFonts w:ascii="宋体" w:hAnsi="宋体" w:cs="宋体"/>
                <w:color w:val="auto"/>
                <w:kern w:val="0"/>
                <w:szCs w:val="21"/>
              </w:rPr>
            </w:pPr>
            <w:r>
              <w:rPr>
                <w:rFonts w:hint="eastAsia" w:ascii="宋体" w:hAnsi="宋体" w:cs="宋体"/>
                <w:color w:val="auto"/>
                <w:kern w:val="0"/>
                <w:szCs w:val="21"/>
                <w:lang w:val="en-US" w:eastAsia="zh-CN"/>
              </w:rPr>
              <w:t>5</w:t>
            </w:r>
            <w:r>
              <w:rPr>
                <w:rFonts w:hint="eastAsia" w:ascii="宋体" w:hAnsi="宋体" w:cs="宋体"/>
                <w:color w:val="auto"/>
                <w:kern w:val="0"/>
                <w:szCs w:val="21"/>
              </w:rPr>
              <w:t>t</w:t>
            </w:r>
          </w:p>
        </w:tc>
        <w:tc>
          <w:tcPr>
            <w:tcW w:w="376" w:type="pct"/>
            <w:vMerge w:val="restart"/>
            <w:tcBorders>
              <w:top w:val="outset" w:color="auto" w:sz="6" w:space="0"/>
              <w:left w:val="outset" w:color="auto" w:sz="6" w:space="0"/>
              <w:right w:val="outset" w:color="auto" w:sz="6" w:space="0"/>
            </w:tcBorders>
            <w:vAlign w:val="center"/>
          </w:tcPr>
          <w:p>
            <w:pPr>
              <w:widowControl/>
              <w:spacing w:line="320" w:lineRule="exact"/>
              <w:jc w:val="center"/>
              <w:rPr>
                <w:rFonts w:ascii="宋体" w:hAnsi="宋体" w:cs="宋体"/>
                <w:color w:val="auto"/>
                <w:kern w:val="0"/>
                <w:szCs w:val="21"/>
              </w:rPr>
            </w:pPr>
            <w:r>
              <w:rPr>
                <w:rFonts w:hint="eastAsia" w:ascii="宋体" w:hAnsi="宋体"/>
                <w:color w:val="auto"/>
                <w:szCs w:val="21"/>
              </w:rPr>
              <w:t>半年</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rHeight w:val="601" w:hRule="atLeast"/>
          <w:jc w:val="center"/>
        </w:trPr>
        <w:tc>
          <w:tcPr>
            <w:tcW w:w="354" w:type="pct"/>
            <w:tcBorders>
              <w:top w:val="outset" w:color="auto" w:sz="6" w:space="0"/>
              <w:left w:val="outset" w:color="auto" w:sz="6" w:space="0"/>
              <w:bottom w:val="outset" w:color="auto" w:sz="6" w:space="0"/>
              <w:right w:val="outset" w:color="auto" w:sz="6" w:space="0"/>
            </w:tcBorders>
            <w:vAlign w:val="center"/>
          </w:tcPr>
          <w:p>
            <w:pPr>
              <w:widowControl/>
              <w:spacing w:line="320" w:lineRule="exact"/>
              <w:jc w:val="center"/>
              <w:rPr>
                <w:rFonts w:hint="eastAsia" w:ascii="宋体" w:hAnsi="宋体" w:eastAsia="宋体" w:cs="宋体"/>
                <w:color w:val="auto"/>
                <w:kern w:val="0"/>
                <w:szCs w:val="21"/>
                <w:lang w:val="en-US" w:eastAsia="zh-CN"/>
              </w:rPr>
            </w:pPr>
            <w:r>
              <w:rPr>
                <w:rFonts w:hint="eastAsia" w:ascii="宋体" w:hAnsi="宋体" w:cs="宋体"/>
                <w:color w:val="auto"/>
                <w:kern w:val="0"/>
                <w:szCs w:val="21"/>
                <w:lang w:val="en-US" w:eastAsia="zh-CN"/>
              </w:rPr>
              <w:t>2</w:t>
            </w:r>
          </w:p>
        </w:tc>
        <w:tc>
          <w:tcPr>
            <w:tcW w:w="489" w:type="pct"/>
            <w:vMerge w:val="continue"/>
            <w:tcBorders>
              <w:left w:val="outset" w:color="auto" w:sz="6" w:space="0"/>
              <w:right w:val="outset" w:color="auto" w:sz="6" w:space="0"/>
            </w:tcBorders>
            <w:vAlign w:val="center"/>
          </w:tcPr>
          <w:p>
            <w:pPr>
              <w:widowControl/>
              <w:spacing w:line="320" w:lineRule="exact"/>
              <w:jc w:val="center"/>
              <w:rPr>
                <w:rFonts w:ascii="宋体" w:hAnsi="宋体" w:cs="宋体"/>
                <w:color w:val="auto"/>
                <w:kern w:val="0"/>
                <w:szCs w:val="21"/>
              </w:rPr>
            </w:pPr>
          </w:p>
        </w:tc>
        <w:tc>
          <w:tcPr>
            <w:tcW w:w="799" w:type="pct"/>
            <w:tcBorders>
              <w:top w:val="outset" w:color="auto" w:sz="6" w:space="0"/>
              <w:left w:val="outset" w:color="auto" w:sz="6" w:space="0"/>
              <w:bottom w:val="outset" w:color="auto" w:sz="6" w:space="0"/>
              <w:right w:val="outset" w:color="auto" w:sz="6" w:space="0"/>
            </w:tcBorders>
            <w:vAlign w:val="center"/>
          </w:tcPr>
          <w:p>
            <w:pPr>
              <w:pStyle w:val="166"/>
              <w:snapToGrid w:val="0"/>
              <w:rPr>
                <w:rFonts w:ascii="Times New Roman" w:hAnsi="Times New Roman"/>
                <w:color w:val="auto"/>
                <w:sz w:val="21"/>
                <w:szCs w:val="21"/>
              </w:rPr>
            </w:pPr>
            <w:r>
              <w:rPr>
                <w:rFonts w:hint="default" w:ascii="Times New Roman" w:hAnsi="Times New Roman"/>
                <w:color w:val="auto"/>
                <w:sz w:val="21"/>
                <w:szCs w:val="21"/>
                <w:lang w:val="en-US" w:eastAsia="zh-CN"/>
              </w:rPr>
              <w:t>废硫化剂及废氧化锌等包装材料</w:t>
            </w:r>
          </w:p>
        </w:tc>
        <w:tc>
          <w:tcPr>
            <w:tcW w:w="462" w:type="pct"/>
            <w:tcBorders>
              <w:top w:val="outset" w:color="auto" w:sz="6" w:space="0"/>
              <w:left w:val="outset" w:color="auto" w:sz="6" w:space="0"/>
              <w:bottom w:val="outset" w:color="auto" w:sz="6" w:space="0"/>
              <w:right w:val="outset" w:color="auto" w:sz="6" w:space="0"/>
            </w:tcBorders>
            <w:vAlign w:val="center"/>
          </w:tcPr>
          <w:p>
            <w:pPr>
              <w:pStyle w:val="166"/>
              <w:snapToGrid w:val="0"/>
              <w:rPr>
                <w:rFonts w:hint="default" w:ascii="Times New Roman" w:hAnsi="Times New Roman"/>
                <w:color w:val="auto"/>
                <w:sz w:val="21"/>
                <w:szCs w:val="21"/>
                <w:lang w:val="en-US" w:eastAsia="zh-CN"/>
              </w:rPr>
            </w:pPr>
            <w:r>
              <w:rPr>
                <w:rFonts w:hint="default" w:ascii="Times New Roman" w:hAnsi="Times New Roman"/>
                <w:color w:val="auto"/>
                <w:sz w:val="21"/>
                <w:szCs w:val="21"/>
                <w:lang w:val="en-US" w:eastAsia="zh-CN"/>
              </w:rPr>
              <w:t>HW49</w:t>
            </w:r>
          </w:p>
        </w:tc>
        <w:tc>
          <w:tcPr>
            <w:tcW w:w="664" w:type="pct"/>
            <w:tcBorders>
              <w:top w:val="outset" w:color="auto" w:sz="6" w:space="0"/>
              <w:left w:val="outset" w:color="auto" w:sz="6" w:space="0"/>
              <w:bottom w:val="outset" w:color="auto" w:sz="6" w:space="0"/>
              <w:right w:val="outset" w:color="auto" w:sz="6" w:space="0"/>
            </w:tcBorders>
            <w:vAlign w:val="center"/>
          </w:tcPr>
          <w:p>
            <w:pPr>
              <w:pStyle w:val="166"/>
              <w:snapToGrid w:val="0"/>
              <w:rPr>
                <w:rFonts w:hint="default" w:ascii="Times New Roman" w:hAnsi="Times New Roman"/>
                <w:color w:val="auto"/>
                <w:sz w:val="21"/>
                <w:szCs w:val="21"/>
                <w:lang w:val="en-US" w:eastAsia="zh-CN"/>
              </w:rPr>
            </w:pPr>
            <w:r>
              <w:rPr>
                <w:rFonts w:hint="default" w:ascii="Times New Roman" w:hAnsi="Times New Roman"/>
                <w:color w:val="auto"/>
                <w:sz w:val="21"/>
                <w:szCs w:val="21"/>
                <w:lang w:val="en-US" w:eastAsia="zh-CN"/>
              </w:rPr>
              <w:t>900-041-49</w:t>
            </w:r>
          </w:p>
        </w:tc>
        <w:tc>
          <w:tcPr>
            <w:tcW w:w="455" w:type="pct"/>
            <w:vMerge w:val="continue"/>
            <w:tcBorders>
              <w:left w:val="outset" w:color="auto" w:sz="6" w:space="0"/>
              <w:right w:val="outset" w:color="auto" w:sz="6" w:space="0"/>
            </w:tcBorders>
            <w:vAlign w:val="center"/>
          </w:tcPr>
          <w:p>
            <w:pPr>
              <w:widowControl/>
              <w:spacing w:line="320" w:lineRule="exact"/>
              <w:jc w:val="center"/>
              <w:rPr>
                <w:rFonts w:ascii="宋体" w:hAnsi="宋体" w:cs="宋体"/>
                <w:color w:val="auto"/>
                <w:kern w:val="0"/>
                <w:szCs w:val="21"/>
              </w:rPr>
            </w:pPr>
          </w:p>
        </w:tc>
        <w:tc>
          <w:tcPr>
            <w:tcW w:w="393" w:type="pct"/>
            <w:vMerge w:val="continue"/>
            <w:tcBorders>
              <w:left w:val="outset" w:color="auto" w:sz="6" w:space="0"/>
              <w:right w:val="outset" w:color="auto" w:sz="6" w:space="0"/>
            </w:tcBorders>
            <w:vAlign w:val="center"/>
          </w:tcPr>
          <w:p>
            <w:pPr>
              <w:widowControl/>
              <w:spacing w:line="320" w:lineRule="exact"/>
              <w:jc w:val="center"/>
              <w:rPr>
                <w:rFonts w:ascii="宋体" w:hAnsi="宋体" w:cs="宋体"/>
                <w:color w:val="auto"/>
                <w:kern w:val="0"/>
                <w:szCs w:val="21"/>
              </w:rPr>
            </w:pPr>
          </w:p>
        </w:tc>
        <w:tc>
          <w:tcPr>
            <w:tcW w:w="670" w:type="pct"/>
            <w:tcBorders>
              <w:top w:val="outset" w:color="auto" w:sz="6" w:space="0"/>
              <w:left w:val="outset" w:color="auto" w:sz="6" w:space="0"/>
              <w:bottom w:val="outset" w:color="auto" w:sz="6" w:space="0"/>
              <w:right w:val="outset" w:color="auto" w:sz="6" w:space="0"/>
            </w:tcBorders>
            <w:vAlign w:val="center"/>
          </w:tcPr>
          <w:p>
            <w:pPr>
              <w:widowControl/>
              <w:spacing w:line="320" w:lineRule="exact"/>
              <w:jc w:val="center"/>
              <w:rPr>
                <w:rFonts w:hint="eastAsia" w:ascii="宋体" w:hAnsi="宋体" w:cs="宋体"/>
                <w:color w:val="auto"/>
                <w:kern w:val="0"/>
                <w:szCs w:val="21"/>
              </w:rPr>
            </w:pPr>
            <w:r>
              <w:rPr>
                <w:rFonts w:hint="eastAsia" w:ascii="宋体" w:hAnsi="宋体" w:cs="宋体"/>
                <w:color w:val="auto"/>
                <w:kern w:val="0"/>
                <w:szCs w:val="21"/>
              </w:rPr>
              <w:t>桶装</w:t>
            </w:r>
          </w:p>
        </w:tc>
        <w:tc>
          <w:tcPr>
            <w:tcW w:w="334" w:type="pct"/>
            <w:vMerge w:val="continue"/>
            <w:tcBorders>
              <w:left w:val="outset" w:color="auto" w:sz="6" w:space="0"/>
              <w:right w:val="outset" w:color="auto" w:sz="6" w:space="0"/>
            </w:tcBorders>
            <w:vAlign w:val="center"/>
          </w:tcPr>
          <w:p>
            <w:pPr>
              <w:widowControl/>
              <w:spacing w:line="320" w:lineRule="exact"/>
              <w:jc w:val="center"/>
              <w:rPr>
                <w:rFonts w:ascii="宋体" w:hAnsi="宋体" w:cs="宋体"/>
                <w:color w:val="auto"/>
                <w:kern w:val="0"/>
                <w:szCs w:val="21"/>
              </w:rPr>
            </w:pPr>
          </w:p>
        </w:tc>
        <w:tc>
          <w:tcPr>
            <w:tcW w:w="376" w:type="pct"/>
            <w:vMerge w:val="continue"/>
            <w:tcBorders>
              <w:left w:val="outset" w:color="auto" w:sz="6" w:space="0"/>
              <w:right w:val="outset" w:color="auto" w:sz="6" w:space="0"/>
            </w:tcBorders>
            <w:vAlign w:val="center"/>
          </w:tcPr>
          <w:p>
            <w:pPr>
              <w:widowControl/>
              <w:spacing w:line="320" w:lineRule="exact"/>
              <w:jc w:val="center"/>
              <w:rPr>
                <w:rFonts w:ascii="宋体" w:hAnsi="宋体"/>
                <w:color w:val="auto"/>
                <w:szCs w:val="21"/>
              </w:rPr>
            </w:pP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rHeight w:val="601" w:hRule="atLeast"/>
          <w:jc w:val="center"/>
        </w:trPr>
        <w:tc>
          <w:tcPr>
            <w:tcW w:w="354" w:type="pct"/>
            <w:tcBorders>
              <w:top w:val="outset" w:color="auto" w:sz="6" w:space="0"/>
              <w:left w:val="outset" w:color="auto" w:sz="6" w:space="0"/>
              <w:bottom w:val="outset" w:color="auto" w:sz="6" w:space="0"/>
              <w:right w:val="outset" w:color="auto" w:sz="6" w:space="0"/>
            </w:tcBorders>
            <w:vAlign w:val="center"/>
          </w:tcPr>
          <w:p>
            <w:pPr>
              <w:widowControl/>
              <w:spacing w:line="320" w:lineRule="exact"/>
              <w:jc w:val="center"/>
              <w:rPr>
                <w:rFonts w:hint="default" w:ascii="宋体" w:hAnsi="宋体" w:cs="宋体"/>
                <w:color w:val="auto"/>
                <w:kern w:val="0"/>
                <w:szCs w:val="21"/>
                <w:lang w:val="en-US" w:eastAsia="zh-CN"/>
              </w:rPr>
            </w:pPr>
            <w:r>
              <w:rPr>
                <w:rFonts w:hint="eastAsia" w:ascii="宋体" w:hAnsi="宋体" w:cs="宋体"/>
                <w:color w:val="auto"/>
                <w:kern w:val="0"/>
                <w:szCs w:val="21"/>
                <w:lang w:val="en-US" w:eastAsia="zh-CN"/>
              </w:rPr>
              <w:t>3</w:t>
            </w:r>
          </w:p>
        </w:tc>
        <w:tc>
          <w:tcPr>
            <w:tcW w:w="489" w:type="pct"/>
            <w:vMerge w:val="continue"/>
            <w:tcBorders>
              <w:left w:val="outset" w:color="auto" w:sz="6" w:space="0"/>
              <w:right w:val="outset" w:color="auto" w:sz="6" w:space="0"/>
            </w:tcBorders>
            <w:vAlign w:val="center"/>
          </w:tcPr>
          <w:p>
            <w:pPr>
              <w:widowControl/>
              <w:spacing w:line="320" w:lineRule="exact"/>
              <w:jc w:val="center"/>
              <w:rPr>
                <w:rFonts w:ascii="宋体" w:hAnsi="宋体" w:cs="宋体"/>
                <w:color w:val="auto"/>
                <w:kern w:val="0"/>
                <w:szCs w:val="21"/>
              </w:rPr>
            </w:pPr>
          </w:p>
        </w:tc>
        <w:tc>
          <w:tcPr>
            <w:tcW w:w="799" w:type="pct"/>
            <w:tcBorders>
              <w:top w:val="outset" w:color="auto" w:sz="6" w:space="0"/>
              <w:left w:val="outset" w:color="auto" w:sz="6" w:space="0"/>
              <w:bottom w:val="outset" w:color="auto" w:sz="6" w:space="0"/>
              <w:right w:val="outset" w:color="auto" w:sz="6" w:space="0"/>
            </w:tcBorders>
            <w:vAlign w:val="center"/>
          </w:tcPr>
          <w:p>
            <w:pPr>
              <w:pStyle w:val="166"/>
              <w:snapToGrid w:val="0"/>
              <w:rPr>
                <w:rFonts w:hint="default" w:ascii="Times New Roman" w:hAnsi="Times New Roman"/>
                <w:color w:val="auto"/>
                <w:sz w:val="21"/>
                <w:szCs w:val="21"/>
                <w:lang w:val="en-US" w:eastAsia="zh-CN"/>
              </w:rPr>
            </w:pPr>
            <w:r>
              <w:rPr>
                <w:rFonts w:hint="eastAsia" w:ascii="Times New Roman" w:hAnsi="Times New Roman"/>
                <w:color w:val="auto"/>
                <w:sz w:val="21"/>
                <w:szCs w:val="21"/>
                <w:lang w:val="en-US" w:eastAsia="zh-CN"/>
              </w:rPr>
              <w:t>废脱脂槽液</w:t>
            </w:r>
          </w:p>
        </w:tc>
        <w:tc>
          <w:tcPr>
            <w:tcW w:w="462" w:type="pct"/>
            <w:tcBorders>
              <w:top w:val="outset" w:color="auto" w:sz="6" w:space="0"/>
              <w:left w:val="outset" w:color="auto" w:sz="6" w:space="0"/>
              <w:bottom w:val="outset" w:color="auto" w:sz="6" w:space="0"/>
              <w:right w:val="outset" w:color="auto" w:sz="6" w:space="0"/>
            </w:tcBorders>
            <w:vAlign w:val="center"/>
          </w:tcPr>
          <w:p>
            <w:pPr>
              <w:pStyle w:val="166"/>
              <w:snapToGrid w:val="0"/>
              <w:rPr>
                <w:rFonts w:hint="default" w:ascii="Times New Roman" w:hAnsi="Times New Roman"/>
                <w:color w:val="auto"/>
                <w:sz w:val="21"/>
                <w:szCs w:val="21"/>
                <w:lang w:val="en-US" w:eastAsia="zh-CN"/>
              </w:rPr>
            </w:pPr>
            <w:r>
              <w:rPr>
                <w:rFonts w:hint="eastAsia" w:ascii="Times New Roman" w:hAnsi="Times New Roman"/>
                <w:color w:val="auto"/>
                <w:sz w:val="21"/>
                <w:szCs w:val="21"/>
                <w:lang w:val="en-US" w:eastAsia="zh-CN"/>
              </w:rPr>
              <w:t>HW17</w:t>
            </w:r>
          </w:p>
        </w:tc>
        <w:tc>
          <w:tcPr>
            <w:tcW w:w="664" w:type="pct"/>
            <w:tcBorders>
              <w:top w:val="outset" w:color="auto" w:sz="6" w:space="0"/>
              <w:left w:val="outset" w:color="auto" w:sz="6" w:space="0"/>
              <w:bottom w:val="outset" w:color="auto" w:sz="6" w:space="0"/>
              <w:right w:val="outset" w:color="auto" w:sz="6" w:space="0"/>
            </w:tcBorders>
            <w:vAlign w:val="center"/>
          </w:tcPr>
          <w:p>
            <w:pPr>
              <w:pStyle w:val="166"/>
              <w:snapToGrid w:val="0"/>
              <w:rPr>
                <w:rFonts w:hint="default" w:ascii="Times New Roman" w:hAnsi="Times New Roman"/>
                <w:color w:val="auto"/>
                <w:sz w:val="21"/>
                <w:szCs w:val="21"/>
                <w:lang w:val="en-US" w:eastAsia="zh-CN"/>
              </w:rPr>
            </w:pPr>
            <w:r>
              <w:rPr>
                <w:rFonts w:hint="default" w:ascii="Times New Roman" w:hAnsi="Times New Roman"/>
                <w:color w:val="auto"/>
                <w:sz w:val="21"/>
                <w:szCs w:val="21"/>
                <w:lang w:val="en-US" w:eastAsia="zh-CN"/>
              </w:rPr>
              <w:t xml:space="preserve">336-064-17 </w:t>
            </w:r>
          </w:p>
        </w:tc>
        <w:tc>
          <w:tcPr>
            <w:tcW w:w="455" w:type="pct"/>
            <w:vMerge w:val="continue"/>
            <w:tcBorders>
              <w:left w:val="outset" w:color="auto" w:sz="6" w:space="0"/>
              <w:right w:val="outset" w:color="auto" w:sz="6" w:space="0"/>
            </w:tcBorders>
            <w:vAlign w:val="center"/>
          </w:tcPr>
          <w:p>
            <w:pPr>
              <w:widowControl/>
              <w:spacing w:line="320" w:lineRule="exact"/>
              <w:jc w:val="center"/>
              <w:rPr>
                <w:rFonts w:ascii="宋体" w:hAnsi="宋体" w:cs="宋体"/>
                <w:color w:val="auto"/>
                <w:kern w:val="0"/>
                <w:szCs w:val="21"/>
              </w:rPr>
            </w:pPr>
          </w:p>
        </w:tc>
        <w:tc>
          <w:tcPr>
            <w:tcW w:w="393" w:type="pct"/>
            <w:vMerge w:val="continue"/>
            <w:tcBorders>
              <w:left w:val="outset" w:color="auto" w:sz="6" w:space="0"/>
              <w:right w:val="outset" w:color="auto" w:sz="6" w:space="0"/>
            </w:tcBorders>
            <w:vAlign w:val="center"/>
          </w:tcPr>
          <w:p>
            <w:pPr>
              <w:widowControl/>
              <w:spacing w:line="320" w:lineRule="exact"/>
              <w:jc w:val="center"/>
              <w:rPr>
                <w:rFonts w:ascii="宋体" w:hAnsi="宋体" w:cs="宋体"/>
                <w:color w:val="auto"/>
                <w:kern w:val="0"/>
                <w:szCs w:val="21"/>
              </w:rPr>
            </w:pPr>
          </w:p>
        </w:tc>
        <w:tc>
          <w:tcPr>
            <w:tcW w:w="670" w:type="pct"/>
            <w:tcBorders>
              <w:top w:val="outset" w:color="auto" w:sz="6" w:space="0"/>
              <w:left w:val="outset" w:color="auto" w:sz="6" w:space="0"/>
              <w:bottom w:val="outset" w:color="auto" w:sz="6" w:space="0"/>
              <w:right w:val="outset" w:color="auto" w:sz="6" w:space="0"/>
            </w:tcBorders>
            <w:vAlign w:val="center"/>
          </w:tcPr>
          <w:p>
            <w:pPr>
              <w:widowControl/>
              <w:spacing w:line="320" w:lineRule="exact"/>
              <w:jc w:val="center"/>
              <w:rPr>
                <w:rFonts w:hint="eastAsia" w:ascii="宋体" w:hAnsi="宋体" w:cs="宋体"/>
                <w:color w:val="auto"/>
                <w:kern w:val="0"/>
                <w:szCs w:val="21"/>
              </w:rPr>
            </w:pPr>
            <w:r>
              <w:rPr>
                <w:rFonts w:hint="eastAsia" w:ascii="宋体" w:hAnsi="宋体" w:cs="宋体"/>
                <w:color w:val="auto"/>
                <w:kern w:val="0"/>
                <w:szCs w:val="21"/>
              </w:rPr>
              <w:t>桶装</w:t>
            </w:r>
          </w:p>
        </w:tc>
        <w:tc>
          <w:tcPr>
            <w:tcW w:w="334" w:type="pct"/>
            <w:vMerge w:val="continue"/>
            <w:tcBorders>
              <w:left w:val="outset" w:color="auto" w:sz="6" w:space="0"/>
              <w:right w:val="outset" w:color="auto" w:sz="6" w:space="0"/>
            </w:tcBorders>
            <w:vAlign w:val="center"/>
          </w:tcPr>
          <w:p>
            <w:pPr>
              <w:widowControl/>
              <w:spacing w:line="320" w:lineRule="exact"/>
              <w:jc w:val="center"/>
              <w:rPr>
                <w:rFonts w:ascii="宋体" w:hAnsi="宋体" w:cs="宋体"/>
                <w:color w:val="auto"/>
                <w:kern w:val="0"/>
                <w:szCs w:val="21"/>
              </w:rPr>
            </w:pPr>
          </w:p>
        </w:tc>
        <w:tc>
          <w:tcPr>
            <w:tcW w:w="376" w:type="pct"/>
            <w:vMerge w:val="continue"/>
            <w:tcBorders>
              <w:left w:val="outset" w:color="auto" w:sz="6" w:space="0"/>
              <w:right w:val="outset" w:color="auto" w:sz="6" w:space="0"/>
            </w:tcBorders>
            <w:vAlign w:val="center"/>
          </w:tcPr>
          <w:p>
            <w:pPr>
              <w:widowControl/>
              <w:spacing w:line="320" w:lineRule="exact"/>
              <w:jc w:val="center"/>
              <w:rPr>
                <w:rFonts w:ascii="宋体" w:hAnsi="宋体"/>
                <w:color w:val="auto"/>
                <w:szCs w:val="21"/>
              </w:rPr>
            </w:pPr>
          </w:p>
        </w:tc>
      </w:tr>
    </w:tbl>
    <w:p>
      <w:pPr>
        <w:adjustRightInd w:val="0"/>
        <w:spacing w:line="460" w:lineRule="exact"/>
        <w:ind w:firstLine="482"/>
        <w:jc w:val="left"/>
        <w:rPr>
          <w:color w:val="auto"/>
          <w:sz w:val="24"/>
        </w:rPr>
      </w:pPr>
      <w:r>
        <w:rPr>
          <w:rFonts w:hint="eastAsia"/>
          <w:color w:val="auto"/>
          <w:sz w:val="24"/>
        </w:rPr>
        <w:t>按照危险废物管理要求，厂内对危险废物进行临时贮存，转移和最终处置严格按照《危险废物收集、贮存、运输技术规范》（HJ2025-2012）中相关规定，危险废物临时贮存期间应满足</w:t>
      </w:r>
      <w:r>
        <w:rPr>
          <w:color w:val="auto"/>
          <w:sz w:val="24"/>
        </w:rPr>
        <w:t>《</w:t>
      </w:r>
      <w:r>
        <w:rPr>
          <w:rFonts w:hint="eastAsia"/>
          <w:color w:val="auto"/>
          <w:sz w:val="24"/>
        </w:rPr>
        <w:t>危险</w:t>
      </w:r>
      <w:r>
        <w:rPr>
          <w:color w:val="auto"/>
          <w:sz w:val="24"/>
        </w:rPr>
        <w:t>废物贮存污染控制标准》（GB1859</w:t>
      </w:r>
      <w:r>
        <w:rPr>
          <w:rFonts w:hint="eastAsia"/>
          <w:color w:val="auto"/>
          <w:sz w:val="24"/>
        </w:rPr>
        <w:t>7</w:t>
      </w:r>
      <w:r>
        <w:rPr>
          <w:color w:val="auto"/>
          <w:sz w:val="24"/>
        </w:rPr>
        <w:t>-2001）</w:t>
      </w:r>
      <w:r>
        <w:rPr>
          <w:rFonts w:hint="eastAsia"/>
          <w:color w:val="auto"/>
          <w:sz w:val="24"/>
        </w:rPr>
        <w:t>及修改单中对危险废物贮存设施的要求，严禁将危险废物混入非危险废物中。</w:t>
      </w:r>
    </w:p>
    <w:p>
      <w:pPr>
        <w:spacing w:line="520" w:lineRule="exact"/>
        <w:ind w:firstLine="525"/>
        <w:rPr>
          <w:b/>
          <w:snapToGrid w:val="0"/>
          <w:color w:val="auto"/>
          <w:kern w:val="0"/>
          <w:sz w:val="24"/>
        </w:rPr>
      </w:pPr>
      <w:r>
        <w:rPr>
          <w:b/>
          <w:snapToGrid w:val="0"/>
          <w:color w:val="auto"/>
          <w:kern w:val="0"/>
          <w:sz w:val="24"/>
        </w:rPr>
        <w:t>1）危废暂存间设置要求</w:t>
      </w:r>
    </w:p>
    <w:p>
      <w:pPr>
        <w:spacing w:line="520" w:lineRule="exact"/>
        <w:ind w:firstLine="525"/>
        <w:rPr>
          <w:snapToGrid w:val="0"/>
          <w:color w:val="auto"/>
          <w:kern w:val="0"/>
          <w:sz w:val="24"/>
        </w:rPr>
      </w:pPr>
      <w:r>
        <w:rPr>
          <w:snapToGrid w:val="0"/>
          <w:color w:val="auto"/>
          <w:kern w:val="0"/>
          <w:sz w:val="24"/>
        </w:rPr>
        <w:t>①地面与裙脚要用坚固、防渗的材料建造，建筑材料必须与危险废物相容。</w:t>
      </w:r>
    </w:p>
    <w:p>
      <w:pPr>
        <w:spacing w:line="520" w:lineRule="exact"/>
        <w:ind w:firstLine="525"/>
        <w:rPr>
          <w:snapToGrid w:val="0"/>
          <w:color w:val="auto"/>
          <w:kern w:val="0"/>
          <w:sz w:val="24"/>
        </w:rPr>
      </w:pPr>
      <w:r>
        <w:rPr>
          <w:snapToGrid w:val="0"/>
          <w:color w:val="auto"/>
          <w:kern w:val="0"/>
          <w:sz w:val="24"/>
        </w:rPr>
        <w:t>②应在易燃、易爆等危险品仓库防护区域以外。</w:t>
      </w:r>
    </w:p>
    <w:p>
      <w:pPr>
        <w:spacing w:line="520" w:lineRule="exact"/>
        <w:ind w:firstLine="525"/>
        <w:rPr>
          <w:snapToGrid w:val="0"/>
          <w:color w:val="auto"/>
          <w:kern w:val="0"/>
          <w:sz w:val="24"/>
        </w:rPr>
      </w:pPr>
      <w:r>
        <w:rPr>
          <w:snapToGrid w:val="0"/>
          <w:color w:val="auto"/>
          <w:kern w:val="0"/>
          <w:sz w:val="24"/>
        </w:rPr>
        <w:t>③设施内要有安全照明设施和观察窗口。</w:t>
      </w:r>
    </w:p>
    <w:p>
      <w:pPr>
        <w:spacing w:line="520" w:lineRule="exact"/>
        <w:ind w:firstLine="525"/>
        <w:rPr>
          <w:snapToGrid w:val="0"/>
          <w:color w:val="auto"/>
          <w:kern w:val="0"/>
          <w:sz w:val="24"/>
        </w:rPr>
      </w:pPr>
      <w:r>
        <w:rPr>
          <w:snapToGrid w:val="0"/>
          <w:color w:val="auto"/>
          <w:kern w:val="0"/>
          <w:sz w:val="24"/>
        </w:rPr>
        <w:t>④用以存放危险废物容器的地方，必须有耐腐蚀的硬化地面，且表面无裂隙。</w:t>
      </w:r>
    </w:p>
    <w:p>
      <w:pPr>
        <w:spacing w:line="520" w:lineRule="exact"/>
        <w:ind w:firstLine="525"/>
        <w:rPr>
          <w:snapToGrid w:val="0"/>
          <w:color w:val="auto"/>
          <w:kern w:val="0"/>
          <w:sz w:val="24"/>
        </w:rPr>
      </w:pPr>
      <w:r>
        <w:rPr>
          <w:snapToGrid w:val="0"/>
          <w:color w:val="auto"/>
          <w:kern w:val="0"/>
          <w:sz w:val="24"/>
        </w:rPr>
        <w:t>⑤基础必须防渗，防渗层为2毫米厚</w:t>
      </w:r>
      <w:r>
        <w:rPr>
          <w:color w:val="auto"/>
        </w:rPr>
        <w:fldChar w:fldCharType="begin"/>
      </w:r>
      <w:r>
        <w:rPr>
          <w:color w:val="auto"/>
        </w:rPr>
        <w:instrText xml:space="preserve"> HYPERLINK "http://baike.baidu.com/view/1012701.htm" \t "_blank" </w:instrText>
      </w:r>
      <w:r>
        <w:rPr>
          <w:color w:val="auto"/>
        </w:rPr>
        <w:fldChar w:fldCharType="separate"/>
      </w:r>
      <w:r>
        <w:rPr>
          <w:rStyle w:val="61"/>
          <w:snapToGrid w:val="0"/>
          <w:color w:val="auto"/>
          <w:kern w:val="0"/>
          <w:sz w:val="24"/>
          <w:u w:val="none"/>
        </w:rPr>
        <w:t>高密度聚乙烯</w:t>
      </w:r>
      <w:r>
        <w:rPr>
          <w:rStyle w:val="61"/>
          <w:snapToGrid w:val="0"/>
          <w:color w:val="auto"/>
          <w:kern w:val="0"/>
          <w:sz w:val="24"/>
          <w:u w:val="none"/>
        </w:rPr>
        <w:fldChar w:fldCharType="end"/>
      </w:r>
      <w:r>
        <w:rPr>
          <w:snapToGrid w:val="0"/>
          <w:color w:val="auto"/>
          <w:kern w:val="0"/>
          <w:sz w:val="24"/>
        </w:rPr>
        <w:t>或至少2毫米厚的其它人工材料，渗透系数≤10</w:t>
      </w:r>
      <w:r>
        <w:rPr>
          <w:snapToGrid w:val="0"/>
          <w:color w:val="auto"/>
          <w:kern w:val="0"/>
          <w:sz w:val="24"/>
          <w:vertAlign w:val="superscript"/>
        </w:rPr>
        <w:t>-7</w:t>
      </w:r>
      <w:r>
        <w:rPr>
          <w:snapToGrid w:val="0"/>
          <w:color w:val="auto"/>
          <w:kern w:val="0"/>
          <w:sz w:val="24"/>
        </w:rPr>
        <w:t>厘米/秒。</w:t>
      </w:r>
    </w:p>
    <w:p>
      <w:pPr>
        <w:spacing w:line="520" w:lineRule="exact"/>
        <w:ind w:firstLine="525"/>
        <w:rPr>
          <w:snapToGrid w:val="0"/>
          <w:color w:val="auto"/>
          <w:kern w:val="0"/>
          <w:sz w:val="24"/>
        </w:rPr>
      </w:pPr>
      <w:r>
        <w:rPr>
          <w:snapToGrid w:val="0"/>
          <w:color w:val="auto"/>
          <w:kern w:val="0"/>
          <w:sz w:val="24"/>
        </w:rPr>
        <w:t>⑥危险废物堆要防风、防雨、防晒。</w:t>
      </w:r>
    </w:p>
    <w:p>
      <w:pPr>
        <w:spacing w:line="520" w:lineRule="exact"/>
        <w:ind w:firstLine="525"/>
        <w:rPr>
          <w:b/>
          <w:snapToGrid w:val="0"/>
          <w:color w:val="auto"/>
          <w:kern w:val="0"/>
          <w:sz w:val="24"/>
        </w:rPr>
      </w:pPr>
      <w:r>
        <w:rPr>
          <w:b/>
          <w:snapToGrid w:val="0"/>
          <w:color w:val="auto"/>
          <w:kern w:val="0"/>
          <w:sz w:val="24"/>
        </w:rPr>
        <w:t>2）危险废物处置要求</w:t>
      </w:r>
    </w:p>
    <w:p>
      <w:pPr>
        <w:spacing w:line="520" w:lineRule="exact"/>
        <w:ind w:firstLine="525"/>
        <w:rPr>
          <w:snapToGrid w:val="0"/>
          <w:color w:val="auto"/>
          <w:kern w:val="0"/>
          <w:sz w:val="24"/>
        </w:rPr>
      </w:pPr>
      <w:r>
        <w:rPr>
          <w:snapToGrid w:val="0"/>
          <w:color w:val="auto"/>
          <w:kern w:val="0"/>
          <w:sz w:val="24"/>
        </w:rPr>
        <w:t>建设单位应委派专人负责，认真执行五联单制度。做好每次外运处置废弃物的运输登记，认真填写危险废物转移联单（每种废物填写一份联单），并加盖公司公章，经运输单位核实验收签字后，将联单第一联副联自留存档，将联单第二联交移出地环境保护行政主管部门，第三联及其余各联交付运输单位，随危险废物转移运行。第四联交接受单位，第五联交接受地环保局。</w:t>
      </w:r>
    </w:p>
    <w:p>
      <w:pPr>
        <w:spacing w:line="520" w:lineRule="exact"/>
        <w:ind w:firstLine="525"/>
        <w:rPr>
          <w:snapToGrid w:val="0"/>
          <w:color w:val="auto"/>
          <w:kern w:val="0"/>
          <w:sz w:val="24"/>
        </w:rPr>
      </w:pPr>
      <w:r>
        <w:rPr>
          <w:snapToGrid w:val="0"/>
          <w:color w:val="auto"/>
          <w:kern w:val="0"/>
          <w:sz w:val="24"/>
        </w:rPr>
        <w:t>危险废物产生者和危险废物贮存设施经营者均须作好危险废物情况的记录，记录上须注明危险废物的名称、来源、数量、特性和包装容器的类别、入库日期、存放库位、废物出库日期及接收单位名称。危险废物的记录和货单在危险废物回取后应继续保留三年。</w:t>
      </w:r>
    </w:p>
    <w:p>
      <w:pPr>
        <w:spacing w:line="520" w:lineRule="exact"/>
        <w:ind w:firstLine="525"/>
        <w:rPr>
          <w:b/>
          <w:bCs/>
          <w:snapToGrid w:val="0"/>
          <w:color w:val="auto"/>
          <w:kern w:val="0"/>
          <w:sz w:val="24"/>
        </w:rPr>
      </w:pPr>
      <w:r>
        <w:rPr>
          <w:b/>
          <w:snapToGrid w:val="0"/>
          <w:color w:val="auto"/>
          <w:kern w:val="0"/>
          <w:sz w:val="24"/>
        </w:rPr>
        <w:t>3）</w:t>
      </w:r>
      <w:r>
        <w:rPr>
          <w:b/>
          <w:bCs/>
          <w:snapToGrid w:val="0"/>
          <w:color w:val="auto"/>
          <w:kern w:val="0"/>
          <w:sz w:val="24"/>
        </w:rPr>
        <w:t>运输环节防治措施</w:t>
      </w:r>
    </w:p>
    <w:p>
      <w:pPr>
        <w:spacing w:line="520" w:lineRule="exact"/>
        <w:ind w:firstLine="525"/>
        <w:rPr>
          <w:snapToGrid w:val="0"/>
          <w:color w:val="auto"/>
          <w:kern w:val="0"/>
          <w:sz w:val="24"/>
        </w:rPr>
      </w:pPr>
      <w:r>
        <w:rPr>
          <w:snapToGrid w:val="0"/>
          <w:color w:val="auto"/>
          <w:kern w:val="0"/>
          <w:sz w:val="24"/>
        </w:rPr>
        <w:t>在采取处理废弃物的同时，加强对废弃物的管理，特别是对危险废物的管理。为防止废弃物逸散、流失，采取有害废物分类集中堆放、专人负责等措施，可有效地防止废弃物的二次污染。根据中华人民共和国国务院令第344 号《危险化学品安全管理条例》的有关规定，在危险废弃物外运至处置单位时必须严格遵守以下要求：</w:t>
      </w:r>
    </w:p>
    <w:p>
      <w:pPr>
        <w:spacing w:line="520" w:lineRule="exact"/>
        <w:ind w:firstLine="525"/>
        <w:rPr>
          <w:snapToGrid w:val="0"/>
          <w:color w:val="auto"/>
          <w:kern w:val="0"/>
          <w:sz w:val="24"/>
        </w:rPr>
      </w:pPr>
      <w:r>
        <w:rPr>
          <w:color w:val="auto"/>
          <w:sz w:val="24"/>
        </w:rPr>
        <w:t>A、</w:t>
      </w:r>
      <w:r>
        <w:rPr>
          <w:snapToGrid w:val="0"/>
          <w:color w:val="auto"/>
          <w:kern w:val="0"/>
          <w:sz w:val="24"/>
        </w:rPr>
        <w:t>做好每次外运处置废弃物的运输登记，认真填写危险废物转移联单（每种废物填写一份联单），并加盖公司公章，经运输单位核实验收签字后，将联单第一联副联自留存档，将联单第二联交移出地环境保护行政主管部门，第三联及其余各联交付运输单位，随危险废物转移运行。第四联交接受单位，第五联交接受地环保局。</w:t>
      </w:r>
    </w:p>
    <w:p>
      <w:pPr>
        <w:spacing w:line="520" w:lineRule="exact"/>
        <w:ind w:firstLine="525"/>
        <w:rPr>
          <w:snapToGrid w:val="0"/>
          <w:color w:val="auto"/>
          <w:kern w:val="0"/>
          <w:sz w:val="24"/>
        </w:rPr>
      </w:pPr>
      <w:r>
        <w:rPr>
          <w:color w:val="auto"/>
          <w:sz w:val="24"/>
        </w:rPr>
        <w:t>B、</w:t>
      </w:r>
      <w:r>
        <w:rPr>
          <w:snapToGrid w:val="0"/>
          <w:color w:val="auto"/>
          <w:kern w:val="0"/>
          <w:sz w:val="24"/>
        </w:rPr>
        <w:t>废弃物处置单位的运输人员必须掌握危险化学品运输的安全知识，了解所运载的危险化学品的性质、危害特性、包装容器的使用特性和发生意外时的应急措施。运输车辆必须具有车辆危险货物运输许可证。</w:t>
      </w:r>
    </w:p>
    <w:p>
      <w:pPr>
        <w:spacing w:line="520" w:lineRule="exact"/>
        <w:ind w:firstLine="525"/>
        <w:rPr>
          <w:snapToGrid w:val="0"/>
          <w:color w:val="auto"/>
          <w:kern w:val="0"/>
          <w:sz w:val="24"/>
        </w:rPr>
      </w:pPr>
      <w:r>
        <w:rPr>
          <w:color w:val="auto"/>
          <w:sz w:val="24"/>
        </w:rPr>
        <w:t>C、</w:t>
      </w:r>
      <w:r>
        <w:rPr>
          <w:snapToGrid w:val="0"/>
          <w:color w:val="auto"/>
          <w:kern w:val="0"/>
          <w:sz w:val="24"/>
        </w:rPr>
        <w:t>处置单位在运输危险废弃物时必须配备押运人员，并随时处于押运人员的监管之下，不得超装、超载，严格按照所在城市规定的行车时间和行车路线行驶，不得进入危险化学品运输车辆禁止通行的区域。</w:t>
      </w:r>
    </w:p>
    <w:p>
      <w:pPr>
        <w:spacing w:line="520" w:lineRule="exact"/>
        <w:ind w:firstLine="525"/>
        <w:rPr>
          <w:snapToGrid w:val="0"/>
          <w:color w:val="auto"/>
          <w:kern w:val="0"/>
          <w:sz w:val="24"/>
        </w:rPr>
      </w:pPr>
      <w:r>
        <w:rPr>
          <w:color w:val="auto"/>
          <w:sz w:val="24"/>
        </w:rPr>
        <w:t>D、</w:t>
      </w:r>
      <w:r>
        <w:rPr>
          <w:snapToGrid w:val="0"/>
          <w:color w:val="auto"/>
          <w:kern w:val="0"/>
          <w:sz w:val="24"/>
        </w:rPr>
        <w:t>危险废弃物在运输途中若发生被盗、丢失、流散、泄漏等情况时，公司及押运人员必须立即向当地公安部门报告，并采取一切可能的警示措施。</w:t>
      </w:r>
    </w:p>
    <w:p>
      <w:pPr>
        <w:spacing w:line="520" w:lineRule="exact"/>
        <w:ind w:firstLine="525"/>
        <w:rPr>
          <w:snapToGrid w:val="0"/>
          <w:color w:val="auto"/>
          <w:kern w:val="0"/>
          <w:sz w:val="24"/>
        </w:rPr>
      </w:pPr>
      <w:r>
        <w:rPr>
          <w:snapToGrid w:val="0"/>
          <w:color w:val="auto"/>
          <w:kern w:val="0"/>
          <w:sz w:val="24"/>
        </w:rPr>
        <w:t>综上，只要企业强化管理，做好危险废物、一般固废及生活垃圾的收集、贮存和清运工作，并采取恰当的安全处置方法，经处置后固体废物就不会对周围环境产生明显的不利影响。</w:t>
      </w:r>
    </w:p>
    <w:p>
      <w:pPr>
        <w:pStyle w:val="5"/>
        <w:spacing w:before="0" w:after="0" w:line="520" w:lineRule="exact"/>
        <w:rPr>
          <w:color w:val="auto"/>
          <w:sz w:val="24"/>
          <w:szCs w:val="24"/>
        </w:rPr>
      </w:pPr>
      <w:bookmarkStart w:id="321" w:name="_Toc20308"/>
      <w:r>
        <w:rPr>
          <w:rFonts w:hint="eastAsia"/>
          <w:color w:val="auto"/>
          <w:sz w:val="24"/>
          <w:szCs w:val="24"/>
        </w:rPr>
        <w:t>7.2</w:t>
      </w:r>
      <w:r>
        <w:rPr>
          <w:color w:val="auto"/>
          <w:sz w:val="24"/>
          <w:szCs w:val="24"/>
        </w:rPr>
        <w:t>.5地下水污染防治措施</w:t>
      </w:r>
      <w:bookmarkEnd w:id="321"/>
    </w:p>
    <w:p>
      <w:pPr>
        <w:pStyle w:val="5"/>
        <w:spacing w:before="0" w:after="0" w:line="520" w:lineRule="exact"/>
        <w:ind w:firstLine="480" w:firstLineChars="200"/>
        <w:rPr>
          <w:b w:val="0"/>
          <w:bCs w:val="0"/>
          <w:color w:val="auto"/>
          <w:sz w:val="24"/>
          <w:szCs w:val="24"/>
        </w:rPr>
      </w:pPr>
      <w:r>
        <w:rPr>
          <w:b w:val="0"/>
          <w:bCs w:val="0"/>
          <w:color w:val="auto"/>
          <w:sz w:val="24"/>
          <w:szCs w:val="24"/>
        </w:rPr>
        <w:t>（1）分区防渗措施</w:t>
      </w:r>
    </w:p>
    <w:p>
      <w:pPr>
        <w:pStyle w:val="146"/>
        <w:spacing w:line="520" w:lineRule="exact"/>
        <w:rPr>
          <w:color w:val="auto"/>
        </w:rPr>
      </w:pPr>
      <w:r>
        <w:rPr>
          <w:color w:val="auto"/>
        </w:rPr>
        <w:t>本项目应根据建设项目场地天然包气带防污性能、污染控制难易程度和污染物特性，按照《环境影响评价技术导则 地下水环境》（HJ 610-2016）中提出的防渗技术要求进行划分及确定：</w:t>
      </w:r>
    </w:p>
    <w:p>
      <w:pPr>
        <w:pStyle w:val="146"/>
        <w:spacing w:line="520" w:lineRule="exact"/>
        <w:rPr>
          <w:color w:val="auto"/>
        </w:rPr>
      </w:pPr>
      <w:r>
        <w:rPr>
          <w:color w:val="auto"/>
        </w:rPr>
        <w:t>①天然包气带防污性能分级</w:t>
      </w:r>
    </w:p>
    <w:p>
      <w:pPr>
        <w:pStyle w:val="146"/>
        <w:spacing w:line="520" w:lineRule="exact"/>
        <w:rPr>
          <w:b/>
          <w:color w:val="auto"/>
        </w:rPr>
      </w:pPr>
      <w:r>
        <w:rPr>
          <w:color w:val="auto"/>
        </w:rPr>
        <w:t>按照本次工作调查结果，项目场区包气带防污性能分级为弱。</w:t>
      </w:r>
    </w:p>
    <w:p>
      <w:pPr>
        <w:adjustRightInd w:val="0"/>
        <w:snapToGrid w:val="0"/>
        <w:spacing w:line="520" w:lineRule="exact"/>
        <w:jc w:val="center"/>
        <w:rPr>
          <w:b/>
          <w:color w:val="auto"/>
          <w:sz w:val="24"/>
        </w:rPr>
      </w:pPr>
      <w:r>
        <w:rPr>
          <w:b/>
          <w:color w:val="auto"/>
          <w:sz w:val="24"/>
        </w:rPr>
        <w:t>表</w:t>
      </w:r>
      <w:r>
        <w:rPr>
          <w:rFonts w:hint="eastAsia"/>
          <w:b/>
          <w:color w:val="auto"/>
          <w:sz w:val="24"/>
        </w:rPr>
        <w:t>7</w:t>
      </w:r>
      <w:r>
        <w:rPr>
          <w:b/>
          <w:color w:val="auto"/>
          <w:sz w:val="24"/>
        </w:rPr>
        <w:t>-</w:t>
      </w:r>
      <w:r>
        <w:rPr>
          <w:rFonts w:hint="eastAsia"/>
          <w:b/>
          <w:color w:val="auto"/>
          <w:sz w:val="24"/>
          <w:lang w:val="en-US" w:eastAsia="zh-CN"/>
        </w:rPr>
        <w:t>4</w:t>
      </w:r>
      <w:r>
        <w:rPr>
          <w:b/>
          <w:color w:val="auto"/>
          <w:sz w:val="24"/>
        </w:rPr>
        <w:t xml:space="preserve">  天然包气带防污性能分级参照表</w:t>
      </w:r>
    </w:p>
    <w:tbl>
      <w:tblPr>
        <w:tblStyle w:val="5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51"/>
        <w:gridCol w:w="787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51" w:type="dxa"/>
            <w:vAlign w:val="center"/>
          </w:tcPr>
          <w:p>
            <w:pPr>
              <w:pStyle w:val="146"/>
              <w:spacing w:line="240" w:lineRule="auto"/>
              <w:ind w:firstLine="0" w:firstLineChars="0"/>
              <w:jc w:val="center"/>
              <w:rPr>
                <w:color w:val="auto"/>
                <w:sz w:val="21"/>
                <w:szCs w:val="21"/>
              </w:rPr>
            </w:pPr>
            <w:r>
              <w:rPr>
                <w:color w:val="auto"/>
                <w:sz w:val="21"/>
                <w:szCs w:val="21"/>
              </w:rPr>
              <w:t>分级</w:t>
            </w:r>
          </w:p>
        </w:tc>
        <w:tc>
          <w:tcPr>
            <w:tcW w:w="7877" w:type="dxa"/>
            <w:vAlign w:val="center"/>
          </w:tcPr>
          <w:p>
            <w:pPr>
              <w:pStyle w:val="146"/>
              <w:spacing w:line="240" w:lineRule="auto"/>
              <w:ind w:firstLine="0" w:firstLineChars="0"/>
              <w:jc w:val="center"/>
              <w:rPr>
                <w:color w:val="auto"/>
                <w:sz w:val="21"/>
                <w:szCs w:val="21"/>
              </w:rPr>
            </w:pPr>
            <w:r>
              <w:rPr>
                <w:color w:val="auto"/>
                <w:sz w:val="21"/>
                <w:szCs w:val="21"/>
              </w:rPr>
              <w:t>主要特征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51" w:type="dxa"/>
            <w:vAlign w:val="center"/>
          </w:tcPr>
          <w:p>
            <w:pPr>
              <w:pStyle w:val="146"/>
              <w:spacing w:line="240" w:lineRule="auto"/>
              <w:ind w:firstLine="0" w:firstLineChars="0"/>
              <w:jc w:val="center"/>
              <w:rPr>
                <w:color w:val="auto"/>
                <w:sz w:val="21"/>
                <w:szCs w:val="21"/>
              </w:rPr>
            </w:pPr>
            <w:r>
              <w:rPr>
                <w:color w:val="auto"/>
                <w:sz w:val="21"/>
                <w:szCs w:val="21"/>
              </w:rPr>
              <w:t>强</w:t>
            </w:r>
          </w:p>
        </w:tc>
        <w:tc>
          <w:tcPr>
            <w:tcW w:w="7877" w:type="dxa"/>
            <w:vAlign w:val="center"/>
          </w:tcPr>
          <w:p>
            <w:pPr>
              <w:pStyle w:val="146"/>
              <w:spacing w:line="240" w:lineRule="auto"/>
              <w:ind w:firstLine="0" w:firstLineChars="0"/>
              <w:jc w:val="center"/>
              <w:rPr>
                <w:color w:val="auto"/>
                <w:sz w:val="21"/>
                <w:szCs w:val="21"/>
              </w:rPr>
            </w:pPr>
            <w:r>
              <w:rPr>
                <w:color w:val="auto"/>
                <w:sz w:val="21"/>
                <w:szCs w:val="21"/>
              </w:rPr>
              <w:t>岩（土）层单层厚度Mb≧1.0m，渗透系数K≦1*10</w:t>
            </w:r>
            <w:r>
              <w:rPr>
                <w:color w:val="auto"/>
                <w:sz w:val="21"/>
                <w:szCs w:val="21"/>
                <w:vertAlign w:val="superscript"/>
              </w:rPr>
              <w:t>-6</w:t>
            </w:r>
            <w:r>
              <w:rPr>
                <w:color w:val="auto"/>
                <w:sz w:val="21"/>
                <w:szCs w:val="21"/>
              </w:rPr>
              <w:t>cm/s,且分布连续稳定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51" w:type="dxa"/>
            <w:vAlign w:val="center"/>
          </w:tcPr>
          <w:p>
            <w:pPr>
              <w:pStyle w:val="146"/>
              <w:spacing w:line="240" w:lineRule="auto"/>
              <w:ind w:firstLine="0" w:firstLineChars="0"/>
              <w:jc w:val="center"/>
              <w:rPr>
                <w:color w:val="auto"/>
                <w:sz w:val="21"/>
                <w:szCs w:val="21"/>
              </w:rPr>
            </w:pPr>
            <w:r>
              <w:rPr>
                <w:color w:val="auto"/>
                <w:sz w:val="21"/>
                <w:szCs w:val="21"/>
              </w:rPr>
              <w:t>中</w:t>
            </w:r>
          </w:p>
        </w:tc>
        <w:tc>
          <w:tcPr>
            <w:tcW w:w="7877" w:type="dxa"/>
            <w:vAlign w:val="center"/>
          </w:tcPr>
          <w:p>
            <w:pPr>
              <w:pStyle w:val="146"/>
              <w:spacing w:line="240" w:lineRule="auto"/>
              <w:ind w:firstLine="0" w:firstLineChars="0"/>
              <w:jc w:val="center"/>
              <w:rPr>
                <w:color w:val="auto"/>
                <w:sz w:val="21"/>
                <w:szCs w:val="21"/>
              </w:rPr>
            </w:pPr>
            <w:r>
              <w:rPr>
                <w:color w:val="auto"/>
                <w:sz w:val="21"/>
                <w:szCs w:val="21"/>
              </w:rPr>
              <w:t>岩（土）层单层厚度0.5m≦Mb</w:t>
            </w:r>
            <w:r>
              <w:rPr>
                <w:color w:val="auto"/>
                <w:sz w:val="21"/>
                <w:szCs w:val="21"/>
                <w:shd w:val="clear" w:color="auto" w:fill="FFFFFF"/>
              </w:rPr>
              <w:t>＜1.0m，渗透系数</w:t>
            </w:r>
            <w:r>
              <w:rPr>
                <w:color w:val="auto"/>
                <w:sz w:val="21"/>
                <w:szCs w:val="21"/>
              </w:rPr>
              <w:t>K≦1*10</w:t>
            </w:r>
            <w:r>
              <w:rPr>
                <w:color w:val="auto"/>
                <w:sz w:val="21"/>
                <w:szCs w:val="21"/>
                <w:vertAlign w:val="superscript"/>
              </w:rPr>
              <w:t>-6</w:t>
            </w:r>
            <w:r>
              <w:rPr>
                <w:color w:val="auto"/>
                <w:sz w:val="21"/>
                <w:szCs w:val="21"/>
              </w:rPr>
              <w:t>cm/s,且分布连续稳定</w:t>
            </w:r>
          </w:p>
          <w:p>
            <w:pPr>
              <w:pStyle w:val="146"/>
              <w:spacing w:line="240" w:lineRule="auto"/>
              <w:ind w:firstLine="0" w:firstLineChars="0"/>
              <w:jc w:val="center"/>
              <w:rPr>
                <w:color w:val="auto"/>
                <w:sz w:val="21"/>
                <w:szCs w:val="21"/>
              </w:rPr>
            </w:pPr>
            <w:r>
              <w:rPr>
                <w:color w:val="auto"/>
                <w:sz w:val="21"/>
                <w:szCs w:val="21"/>
              </w:rPr>
              <w:t>岩（土）层单层厚度Mb</w:t>
            </w:r>
            <w:r>
              <w:rPr>
                <w:color w:val="auto"/>
                <w:sz w:val="21"/>
                <w:szCs w:val="21"/>
                <w:shd w:val="clear" w:color="auto" w:fill="FFFFFF"/>
              </w:rPr>
              <w:t>≧1.0m，渗透系数</w:t>
            </w:r>
            <w:r>
              <w:rPr>
                <w:color w:val="auto"/>
                <w:sz w:val="21"/>
                <w:szCs w:val="21"/>
              </w:rPr>
              <w:t>1*10</w:t>
            </w:r>
            <w:r>
              <w:rPr>
                <w:color w:val="auto"/>
                <w:sz w:val="21"/>
                <w:szCs w:val="21"/>
                <w:vertAlign w:val="superscript"/>
              </w:rPr>
              <w:t>-6</w:t>
            </w:r>
            <w:r>
              <w:rPr>
                <w:color w:val="auto"/>
                <w:sz w:val="21"/>
                <w:szCs w:val="21"/>
              </w:rPr>
              <w:t>cm/s</w:t>
            </w:r>
            <w:r>
              <w:rPr>
                <w:color w:val="auto"/>
                <w:sz w:val="21"/>
                <w:szCs w:val="21"/>
                <w:shd w:val="clear" w:color="auto" w:fill="FFFFFF"/>
              </w:rPr>
              <w:t>＜</w:t>
            </w:r>
            <w:r>
              <w:rPr>
                <w:color w:val="auto"/>
                <w:sz w:val="21"/>
                <w:szCs w:val="21"/>
              </w:rPr>
              <w:t>K≦1*10</w:t>
            </w:r>
            <w:r>
              <w:rPr>
                <w:color w:val="auto"/>
                <w:sz w:val="21"/>
                <w:szCs w:val="21"/>
                <w:vertAlign w:val="superscript"/>
              </w:rPr>
              <w:t>-4</w:t>
            </w:r>
            <w:r>
              <w:rPr>
                <w:color w:val="auto"/>
                <w:sz w:val="21"/>
                <w:szCs w:val="21"/>
              </w:rPr>
              <w:t>cm/s,且分布连续稳定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51" w:type="dxa"/>
            <w:vAlign w:val="center"/>
          </w:tcPr>
          <w:p>
            <w:pPr>
              <w:pStyle w:val="146"/>
              <w:spacing w:line="240" w:lineRule="auto"/>
              <w:ind w:firstLine="0" w:firstLineChars="0"/>
              <w:jc w:val="center"/>
              <w:rPr>
                <w:color w:val="auto"/>
                <w:sz w:val="21"/>
                <w:szCs w:val="21"/>
              </w:rPr>
            </w:pPr>
            <w:r>
              <w:rPr>
                <w:color w:val="auto"/>
                <w:sz w:val="21"/>
                <w:szCs w:val="21"/>
              </w:rPr>
              <w:t>弱</w:t>
            </w:r>
          </w:p>
        </w:tc>
        <w:tc>
          <w:tcPr>
            <w:tcW w:w="7877" w:type="dxa"/>
            <w:vAlign w:val="center"/>
          </w:tcPr>
          <w:p>
            <w:pPr>
              <w:pStyle w:val="146"/>
              <w:spacing w:line="240" w:lineRule="auto"/>
              <w:ind w:firstLine="0" w:firstLineChars="0"/>
              <w:jc w:val="center"/>
              <w:rPr>
                <w:color w:val="auto"/>
                <w:sz w:val="21"/>
                <w:szCs w:val="21"/>
              </w:rPr>
            </w:pPr>
            <w:r>
              <w:rPr>
                <w:color w:val="auto"/>
                <w:sz w:val="21"/>
                <w:szCs w:val="21"/>
              </w:rPr>
              <w:t>岩（土）层不满足上述“强”和“中”条件</w:t>
            </w:r>
          </w:p>
        </w:tc>
      </w:tr>
    </w:tbl>
    <w:p>
      <w:pPr>
        <w:pStyle w:val="146"/>
        <w:spacing w:line="360" w:lineRule="auto"/>
        <w:rPr>
          <w:color w:val="auto"/>
        </w:rPr>
      </w:pPr>
      <w:r>
        <w:rPr>
          <w:color w:val="auto"/>
        </w:rPr>
        <w:t>②污染物控制难易程度</w:t>
      </w:r>
    </w:p>
    <w:p>
      <w:pPr>
        <w:pStyle w:val="146"/>
        <w:spacing w:line="360" w:lineRule="auto"/>
        <w:rPr>
          <w:color w:val="auto"/>
        </w:rPr>
      </w:pPr>
      <w:r>
        <w:rPr>
          <w:color w:val="auto"/>
        </w:rPr>
        <w:t>按照HJ 610-2016要求，其项目场区各设施及建构筑物污染物难易控制程度需要进行分级，根据项目实际情况，其分级情况下表所示。</w:t>
      </w:r>
    </w:p>
    <w:p>
      <w:pPr>
        <w:adjustRightInd w:val="0"/>
        <w:snapToGrid w:val="0"/>
        <w:spacing w:line="360" w:lineRule="auto"/>
        <w:jc w:val="center"/>
        <w:rPr>
          <w:b/>
          <w:color w:val="auto"/>
          <w:sz w:val="24"/>
        </w:rPr>
      </w:pPr>
    </w:p>
    <w:p>
      <w:pPr>
        <w:adjustRightInd w:val="0"/>
        <w:snapToGrid w:val="0"/>
        <w:spacing w:line="360" w:lineRule="auto"/>
        <w:jc w:val="center"/>
        <w:rPr>
          <w:b/>
          <w:color w:val="auto"/>
          <w:sz w:val="24"/>
        </w:rPr>
      </w:pPr>
      <w:r>
        <w:rPr>
          <w:b/>
          <w:color w:val="auto"/>
          <w:sz w:val="24"/>
        </w:rPr>
        <w:t>表</w:t>
      </w:r>
      <w:r>
        <w:rPr>
          <w:rFonts w:hint="eastAsia"/>
          <w:b/>
          <w:color w:val="auto"/>
          <w:sz w:val="24"/>
        </w:rPr>
        <w:t>7</w:t>
      </w:r>
      <w:r>
        <w:rPr>
          <w:b/>
          <w:color w:val="auto"/>
          <w:sz w:val="24"/>
        </w:rPr>
        <w:t>-</w:t>
      </w:r>
      <w:r>
        <w:rPr>
          <w:rFonts w:hint="eastAsia"/>
          <w:b/>
          <w:color w:val="auto"/>
          <w:sz w:val="24"/>
          <w:lang w:val="en-US" w:eastAsia="zh-CN"/>
        </w:rPr>
        <w:t>5</w:t>
      </w:r>
      <w:r>
        <w:rPr>
          <w:b/>
          <w:color w:val="auto"/>
          <w:sz w:val="24"/>
        </w:rPr>
        <w:t xml:space="preserve">  污染物控制难易程度分级参照表</w:t>
      </w:r>
    </w:p>
    <w:tbl>
      <w:tblPr>
        <w:tblStyle w:val="5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54"/>
        <w:gridCol w:w="67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jc w:val="center"/>
        </w:trPr>
        <w:tc>
          <w:tcPr>
            <w:tcW w:w="1854" w:type="dxa"/>
            <w:vAlign w:val="center"/>
          </w:tcPr>
          <w:p>
            <w:pPr>
              <w:pStyle w:val="146"/>
              <w:spacing w:line="240" w:lineRule="auto"/>
              <w:ind w:firstLine="0" w:firstLineChars="0"/>
              <w:jc w:val="center"/>
              <w:rPr>
                <w:color w:val="auto"/>
                <w:sz w:val="21"/>
                <w:szCs w:val="21"/>
              </w:rPr>
            </w:pPr>
            <w:r>
              <w:rPr>
                <w:color w:val="auto"/>
                <w:sz w:val="21"/>
                <w:szCs w:val="21"/>
              </w:rPr>
              <w:t>污染控制难易度</w:t>
            </w:r>
          </w:p>
        </w:tc>
        <w:tc>
          <w:tcPr>
            <w:tcW w:w="6741" w:type="dxa"/>
            <w:vAlign w:val="center"/>
          </w:tcPr>
          <w:p>
            <w:pPr>
              <w:pStyle w:val="146"/>
              <w:spacing w:line="240" w:lineRule="auto"/>
              <w:ind w:firstLine="0" w:firstLineChars="0"/>
              <w:jc w:val="center"/>
              <w:rPr>
                <w:color w:val="auto"/>
                <w:sz w:val="21"/>
                <w:szCs w:val="21"/>
              </w:rPr>
            </w:pPr>
            <w:r>
              <w:rPr>
                <w:color w:val="auto"/>
                <w:sz w:val="21"/>
                <w:szCs w:val="21"/>
              </w:rPr>
              <w:t>主要特征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jc w:val="center"/>
        </w:trPr>
        <w:tc>
          <w:tcPr>
            <w:tcW w:w="1854" w:type="dxa"/>
            <w:vAlign w:val="center"/>
          </w:tcPr>
          <w:p>
            <w:pPr>
              <w:pStyle w:val="146"/>
              <w:spacing w:line="240" w:lineRule="auto"/>
              <w:ind w:firstLine="0" w:firstLineChars="0"/>
              <w:jc w:val="center"/>
              <w:rPr>
                <w:color w:val="auto"/>
                <w:sz w:val="21"/>
                <w:szCs w:val="21"/>
              </w:rPr>
            </w:pPr>
            <w:r>
              <w:rPr>
                <w:color w:val="auto"/>
                <w:sz w:val="21"/>
                <w:szCs w:val="21"/>
              </w:rPr>
              <w:t>难</w:t>
            </w:r>
          </w:p>
        </w:tc>
        <w:tc>
          <w:tcPr>
            <w:tcW w:w="6741" w:type="dxa"/>
            <w:vAlign w:val="center"/>
          </w:tcPr>
          <w:p>
            <w:pPr>
              <w:pStyle w:val="146"/>
              <w:spacing w:line="240" w:lineRule="auto"/>
              <w:ind w:firstLine="0" w:firstLineChars="0"/>
              <w:jc w:val="center"/>
              <w:rPr>
                <w:color w:val="auto"/>
                <w:sz w:val="21"/>
                <w:szCs w:val="21"/>
              </w:rPr>
            </w:pPr>
            <w:r>
              <w:rPr>
                <w:color w:val="auto"/>
                <w:sz w:val="21"/>
                <w:szCs w:val="21"/>
              </w:rPr>
              <w:t>对地下水环境有污染物的物料或污染物渗漏后，不能及时发现和处理的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jc w:val="center"/>
        </w:trPr>
        <w:tc>
          <w:tcPr>
            <w:tcW w:w="1854" w:type="dxa"/>
            <w:vAlign w:val="center"/>
          </w:tcPr>
          <w:p>
            <w:pPr>
              <w:pStyle w:val="146"/>
              <w:spacing w:line="240" w:lineRule="auto"/>
              <w:ind w:firstLine="0" w:firstLineChars="0"/>
              <w:jc w:val="center"/>
              <w:rPr>
                <w:color w:val="auto"/>
                <w:sz w:val="21"/>
                <w:szCs w:val="21"/>
              </w:rPr>
            </w:pPr>
            <w:r>
              <w:rPr>
                <w:color w:val="auto"/>
                <w:sz w:val="21"/>
                <w:szCs w:val="21"/>
              </w:rPr>
              <w:t>易</w:t>
            </w:r>
          </w:p>
        </w:tc>
        <w:tc>
          <w:tcPr>
            <w:tcW w:w="6741" w:type="dxa"/>
            <w:vAlign w:val="center"/>
          </w:tcPr>
          <w:p>
            <w:pPr>
              <w:pStyle w:val="146"/>
              <w:spacing w:line="240" w:lineRule="auto"/>
              <w:ind w:firstLine="0" w:firstLineChars="0"/>
              <w:jc w:val="center"/>
              <w:rPr>
                <w:color w:val="auto"/>
                <w:sz w:val="21"/>
                <w:szCs w:val="21"/>
              </w:rPr>
            </w:pPr>
            <w:r>
              <w:rPr>
                <w:color w:val="auto"/>
                <w:sz w:val="21"/>
                <w:szCs w:val="21"/>
              </w:rPr>
              <w:t>对地下水环境有污染物的物料或污染物渗漏后，可及时发现和处理的</w:t>
            </w:r>
          </w:p>
        </w:tc>
      </w:tr>
    </w:tbl>
    <w:p>
      <w:pPr>
        <w:pStyle w:val="146"/>
        <w:spacing w:line="360" w:lineRule="auto"/>
        <w:jc w:val="left"/>
        <w:rPr>
          <w:color w:val="auto"/>
        </w:rPr>
      </w:pPr>
      <w:r>
        <w:rPr>
          <w:color w:val="auto"/>
        </w:rPr>
        <w:t>③场地防渗分区确定</w:t>
      </w:r>
    </w:p>
    <w:p>
      <w:pPr>
        <w:pStyle w:val="146"/>
        <w:spacing w:line="360" w:lineRule="auto"/>
        <w:jc w:val="left"/>
        <w:rPr>
          <w:color w:val="auto"/>
        </w:rPr>
      </w:pPr>
      <w:r>
        <w:rPr>
          <w:color w:val="auto"/>
        </w:rPr>
        <w:t>按照HJ 610-2016要求，防渗分区应根据建设项目场地天然气包气带防污性能、污染控制难易程度和污染物特性，参照下表提出防渗技术要求。其中污染物控制难易程度分级和天然气包气带防污性能分级分别参照下表进行相关等级确定，见下表。</w:t>
      </w:r>
    </w:p>
    <w:p>
      <w:pPr>
        <w:adjustRightInd w:val="0"/>
        <w:snapToGrid w:val="0"/>
        <w:spacing w:line="360" w:lineRule="auto"/>
        <w:jc w:val="center"/>
        <w:rPr>
          <w:b/>
          <w:color w:val="auto"/>
          <w:sz w:val="24"/>
        </w:rPr>
      </w:pPr>
      <w:r>
        <w:rPr>
          <w:b/>
          <w:color w:val="auto"/>
          <w:sz w:val="24"/>
        </w:rPr>
        <w:t>表</w:t>
      </w:r>
      <w:r>
        <w:rPr>
          <w:rFonts w:hint="eastAsia"/>
          <w:b/>
          <w:color w:val="auto"/>
          <w:sz w:val="24"/>
        </w:rPr>
        <w:t>7</w:t>
      </w:r>
      <w:r>
        <w:rPr>
          <w:b/>
          <w:color w:val="auto"/>
          <w:sz w:val="24"/>
        </w:rPr>
        <w:t>-</w:t>
      </w:r>
      <w:r>
        <w:rPr>
          <w:rFonts w:hint="eastAsia"/>
          <w:b/>
          <w:color w:val="auto"/>
          <w:sz w:val="24"/>
          <w:lang w:val="en-US" w:eastAsia="zh-CN"/>
        </w:rPr>
        <w:t>6</w:t>
      </w:r>
      <w:r>
        <w:rPr>
          <w:b/>
          <w:color w:val="auto"/>
          <w:sz w:val="24"/>
        </w:rPr>
        <w:t xml:space="preserve">  地下水污染防渗分区参照表</w:t>
      </w:r>
    </w:p>
    <w:tbl>
      <w:tblPr>
        <w:tblStyle w:val="5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03"/>
        <w:gridCol w:w="1440"/>
        <w:gridCol w:w="1659"/>
        <w:gridCol w:w="1570"/>
        <w:gridCol w:w="25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5" w:hRule="atLeast"/>
          <w:jc w:val="center"/>
        </w:trPr>
        <w:tc>
          <w:tcPr>
            <w:tcW w:w="1403" w:type="dxa"/>
            <w:vAlign w:val="center"/>
          </w:tcPr>
          <w:p>
            <w:pPr>
              <w:pStyle w:val="146"/>
              <w:spacing w:line="240" w:lineRule="auto"/>
              <w:ind w:firstLine="0" w:firstLineChars="0"/>
              <w:jc w:val="center"/>
              <w:rPr>
                <w:color w:val="auto"/>
                <w:sz w:val="21"/>
                <w:szCs w:val="21"/>
              </w:rPr>
            </w:pPr>
            <w:r>
              <w:rPr>
                <w:color w:val="auto"/>
                <w:sz w:val="21"/>
                <w:szCs w:val="21"/>
              </w:rPr>
              <w:t>防渗区域</w:t>
            </w:r>
          </w:p>
        </w:tc>
        <w:tc>
          <w:tcPr>
            <w:tcW w:w="1440" w:type="dxa"/>
            <w:vAlign w:val="center"/>
          </w:tcPr>
          <w:p>
            <w:pPr>
              <w:pStyle w:val="146"/>
              <w:spacing w:line="240" w:lineRule="auto"/>
              <w:ind w:firstLine="0" w:firstLineChars="0"/>
              <w:jc w:val="center"/>
              <w:rPr>
                <w:color w:val="auto"/>
                <w:sz w:val="21"/>
                <w:szCs w:val="21"/>
              </w:rPr>
            </w:pPr>
            <w:r>
              <w:rPr>
                <w:color w:val="auto"/>
                <w:sz w:val="21"/>
                <w:szCs w:val="21"/>
              </w:rPr>
              <w:t>天然包气带防污性能</w:t>
            </w:r>
          </w:p>
        </w:tc>
        <w:tc>
          <w:tcPr>
            <w:tcW w:w="1659" w:type="dxa"/>
            <w:vAlign w:val="center"/>
          </w:tcPr>
          <w:p>
            <w:pPr>
              <w:pStyle w:val="146"/>
              <w:spacing w:line="240" w:lineRule="auto"/>
              <w:ind w:firstLine="0" w:firstLineChars="0"/>
              <w:jc w:val="center"/>
              <w:rPr>
                <w:color w:val="auto"/>
                <w:sz w:val="21"/>
                <w:szCs w:val="21"/>
              </w:rPr>
            </w:pPr>
            <w:r>
              <w:rPr>
                <w:color w:val="auto"/>
                <w:sz w:val="21"/>
                <w:szCs w:val="21"/>
              </w:rPr>
              <w:t>污染控制难易程度</w:t>
            </w:r>
          </w:p>
        </w:tc>
        <w:tc>
          <w:tcPr>
            <w:tcW w:w="1570" w:type="dxa"/>
            <w:vAlign w:val="center"/>
          </w:tcPr>
          <w:p>
            <w:pPr>
              <w:pStyle w:val="146"/>
              <w:spacing w:line="240" w:lineRule="auto"/>
              <w:ind w:firstLine="0" w:firstLineChars="0"/>
              <w:jc w:val="center"/>
              <w:rPr>
                <w:color w:val="auto"/>
                <w:sz w:val="21"/>
                <w:szCs w:val="21"/>
              </w:rPr>
            </w:pPr>
            <w:r>
              <w:rPr>
                <w:color w:val="auto"/>
                <w:sz w:val="21"/>
                <w:szCs w:val="21"/>
              </w:rPr>
              <w:t>污染物类型</w:t>
            </w:r>
          </w:p>
        </w:tc>
        <w:tc>
          <w:tcPr>
            <w:tcW w:w="2504" w:type="dxa"/>
            <w:vAlign w:val="center"/>
          </w:tcPr>
          <w:p>
            <w:pPr>
              <w:pStyle w:val="146"/>
              <w:spacing w:line="240" w:lineRule="auto"/>
              <w:ind w:firstLine="0" w:firstLineChars="0"/>
              <w:jc w:val="center"/>
              <w:rPr>
                <w:color w:val="auto"/>
                <w:sz w:val="21"/>
                <w:szCs w:val="21"/>
              </w:rPr>
            </w:pPr>
            <w:r>
              <w:rPr>
                <w:color w:val="auto"/>
                <w:sz w:val="21"/>
                <w:szCs w:val="21"/>
              </w:rPr>
              <w:t>污染物防渗技术要求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3" w:hRule="atLeast"/>
          <w:jc w:val="center"/>
        </w:trPr>
        <w:tc>
          <w:tcPr>
            <w:tcW w:w="1403" w:type="dxa"/>
            <w:vMerge w:val="restart"/>
            <w:vAlign w:val="center"/>
          </w:tcPr>
          <w:p>
            <w:pPr>
              <w:pStyle w:val="146"/>
              <w:spacing w:line="240" w:lineRule="auto"/>
              <w:ind w:firstLine="0" w:firstLineChars="0"/>
              <w:jc w:val="center"/>
              <w:rPr>
                <w:color w:val="auto"/>
                <w:sz w:val="21"/>
                <w:szCs w:val="21"/>
              </w:rPr>
            </w:pPr>
            <w:r>
              <w:rPr>
                <w:color w:val="auto"/>
                <w:sz w:val="21"/>
                <w:szCs w:val="21"/>
              </w:rPr>
              <w:t>重点防渗区</w:t>
            </w:r>
          </w:p>
        </w:tc>
        <w:tc>
          <w:tcPr>
            <w:tcW w:w="1440" w:type="dxa"/>
            <w:vAlign w:val="center"/>
          </w:tcPr>
          <w:p>
            <w:pPr>
              <w:pStyle w:val="146"/>
              <w:spacing w:line="240" w:lineRule="auto"/>
              <w:ind w:firstLine="0" w:firstLineChars="0"/>
              <w:jc w:val="center"/>
              <w:rPr>
                <w:color w:val="auto"/>
                <w:sz w:val="21"/>
                <w:szCs w:val="21"/>
              </w:rPr>
            </w:pPr>
            <w:r>
              <w:rPr>
                <w:color w:val="auto"/>
                <w:sz w:val="21"/>
                <w:szCs w:val="21"/>
              </w:rPr>
              <w:t>弱</w:t>
            </w:r>
          </w:p>
        </w:tc>
        <w:tc>
          <w:tcPr>
            <w:tcW w:w="1659" w:type="dxa"/>
            <w:vAlign w:val="center"/>
          </w:tcPr>
          <w:p>
            <w:pPr>
              <w:pStyle w:val="146"/>
              <w:spacing w:line="240" w:lineRule="auto"/>
              <w:ind w:firstLine="0" w:firstLineChars="0"/>
              <w:jc w:val="center"/>
              <w:rPr>
                <w:color w:val="auto"/>
                <w:sz w:val="21"/>
                <w:szCs w:val="21"/>
              </w:rPr>
            </w:pPr>
            <w:r>
              <w:rPr>
                <w:color w:val="auto"/>
                <w:sz w:val="21"/>
                <w:szCs w:val="21"/>
              </w:rPr>
              <w:t>难</w:t>
            </w:r>
          </w:p>
        </w:tc>
        <w:tc>
          <w:tcPr>
            <w:tcW w:w="1570" w:type="dxa"/>
            <w:vMerge w:val="restart"/>
            <w:vAlign w:val="center"/>
          </w:tcPr>
          <w:p>
            <w:pPr>
              <w:pStyle w:val="146"/>
              <w:spacing w:line="240" w:lineRule="auto"/>
              <w:ind w:firstLine="0" w:firstLineChars="0"/>
              <w:jc w:val="center"/>
              <w:rPr>
                <w:color w:val="auto"/>
                <w:sz w:val="21"/>
                <w:szCs w:val="21"/>
              </w:rPr>
            </w:pPr>
            <w:r>
              <w:rPr>
                <w:color w:val="auto"/>
                <w:sz w:val="21"/>
                <w:szCs w:val="21"/>
              </w:rPr>
              <w:t>重金属、持久性有机污染物</w:t>
            </w:r>
          </w:p>
        </w:tc>
        <w:tc>
          <w:tcPr>
            <w:tcW w:w="2504" w:type="dxa"/>
            <w:vMerge w:val="restart"/>
            <w:vAlign w:val="center"/>
          </w:tcPr>
          <w:p>
            <w:pPr>
              <w:pStyle w:val="146"/>
              <w:spacing w:line="240" w:lineRule="auto"/>
              <w:ind w:firstLine="0" w:firstLineChars="0"/>
              <w:jc w:val="center"/>
              <w:rPr>
                <w:color w:val="auto"/>
                <w:sz w:val="21"/>
                <w:szCs w:val="21"/>
              </w:rPr>
            </w:pPr>
            <w:r>
              <w:rPr>
                <w:color w:val="auto"/>
                <w:sz w:val="21"/>
                <w:szCs w:val="21"/>
              </w:rPr>
              <w:t>等效黏土防渗层Mb</w:t>
            </w:r>
            <w:r>
              <w:rPr>
                <w:color w:val="auto"/>
                <w:sz w:val="21"/>
                <w:szCs w:val="21"/>
                <w:shd w:val="clear" w:color="auto" w:fill="FFFFFF"/>
              </w:rPr>
              <w:t>≧6m，</w:t>
            </w:r>
            <w:r>
              <w:rPr>
                <w:color w:val="auto"/>
                <w:sz w:val="21"/>
                <w:szCs w:val="21"/>
              </w:rPr>
              <w:t>K≦1*10</w:t>
            </w:r>
            <w:r>
              <w:rPr>
                <w:color w:val="auto"/>
                <w:sz w:val="21"/>
                <w:szCs w:val="21"/>
                <w:vertAlign w:val="superscript"/>
              </w:rPr>
              <w:t>-7</w:t>
            </w:r>
            <w:r>
              <w:rPr>
                <w:color w:val="auto"/>
                <w:sz w:val="21"/>
                <w:szCs w:val="21"/>
              </w:rPr>
              <w:t>cm/s，或参照GB18598执行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3" w:hRule="atLeast"/>
          <w:jc w:val="center"/>
        </w:trPr>
        <w:tc>
          <w:tcPr>
            <w:tcW w:w="1403" w:type="dxa"/>
            <w:vMerge w:val="continue"/>
            <w:vAlign w:val="center"/>
          </w:tcPr>
          <w:p>
            <w:pPr>
              <w:pStyle w:val="146"/>
              <w:spacing w:line="240" w:lineRule="auto"/>
              <w:ind w:firstLine="420"/>
              <w:jc w:val="center"/>
              <w:rPr>
                <w:color w:val="auto"/>
                <w:sz w:val="21"/>
                <w:szCs w:val="21"/>
              </w:rPr>
            </w:pPr>
          </w:p>
        </w:tc>
        <w:tc>
          <w:tcPr>
            <w:tcW w:w="1440" w:type="dxa"/>
            <w:vAlign w:val="center"/>
          </w:tcPr>
          <w:p>
            <w:pPr>
              <w:pStyle w:val="146"/>
              <w:spacing w:line="240" w:lineRule="auto"/>
              <w:ind w:firstLine="0" w:firstLineChars="0"/>
              <w:jc w:val="center"/>
              <w:rPr>
                <w:color w:val="auto"/>
                <w:sz w:val="21"/>
                <w:szCs w:val="21"/>
              </w:rPr>
            </w:pPr>
            <w:r>
              <w:rPr>
                <w:color w:val="auto"/>
                <w:sz w:val="21"/>
                <w:szCs w:val="21"/>
              </w:rPr>
              <w:t>中-强</w:t>
            </w:r>
          </w:p>
        </w:tc>
        <w:tc>
          <w:tcPr>
            <w:tcW w:w="1659" w:type="dxa"/>
            <w:vAlign w:val="center"/>
          </w:tcPr>
          <w:p>
            <w:pPr>
              <w:pStyle w:val="146"/>
              <w:spacing w:line="240" w:lineRule="auto"/>
              <w:ind w:firstLine="0" w:firstLineChars="0"/>
              <w:jc w:val="center"/>
              <w:rPr>
                <w:color w:val="auto"/>
                <w:sz w:val="21"/>
                <w:szCs w:val="21"/>
              </w:rPr>
            </w:pPr>
            <w:r>
              <w:rPr>
                <w:color w:val="auto"/>
                <w:sz w:val="21"/>
                <w:szCs w:val="21"/>
              </w:rPr>
              <w:t>难</w:t>
            </w:r>
          </w:p>
        </w:tc>
        <w:tc>
          <w:tcPr>
            <w:tcW w:w="1570" w:type="dxa"/>
            <w:vMerge w:val="continue"/>
            <w:vAlign w:val="center"/>
          </w:tcPr>
          <w:p>
            <w:pPr>
              <w:pStyle w:val="146"/>
              <w:spacing w:line="240" w:lineRule="auto"/>
              <w:ind w:firstLine="420"/>
              <w:jc w:val="center"/>
              <w:rPr>
                <w:color w:val="auto"/>
                <w:sz w:val="21"/>
                <w:szCs w:val="21"/>
              </w:rPr>
            </w:pPr>
          </w:p>
        </w:tc>
        <w:tc>
          <w:tcPr>
            <w:tcW w:w="2504" w:type="dxa"/>
            <w:vMerge w:val="continue"/>
            <w:vAlign w:val="center"/>
          </w:tcPr>
          <w:p>
            <w:pPr>
              <w:pStyle w:val="146"/>
              <w:spacing w:line="240" w:lineRule="auto"/>
              <w:ind w:firstLine="420"/>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3" w:hRule="atLeast"/>
          <w:jc w:val="center"/>
        </w:trPr>
        <w:tc>
          <w:tcPr>
            <w:tcW w:w="1403" w:type="dxa"/>
            <w:vMerge w:val="continue"/>
            <w:vAlign w:val="center"/>
          </w:tcPr>
          <w:p>
            <w:pPr>
              <w:pStyle w:val="146"/>
              <w:spacing w:line="240" w:lineRule="auto"/>
              <w:ind w:firstLine="420"/>
              <w:jc w:val="center"/>
              <w:rPr>
                <w:color w:val="auto"/>
                <w:sz w:val="21"/>
                <w:szCs w:val="21"/>
              </w:rPr>
            </w:pPr>
          </w:p>
        </w:tc>
        <w:tc>
          <w:tcPr>
            <w:tcW w:w="1440" w:type="dxa"/>
            <w:vAlign w:val="center"/>
          </w:tcPr>
          <w:p>
            <w:pPr>
              <w:pStyle w:val="146"/>
              <w:spacing w:line="240" w:lineRule="auto"/>
              <w:ind w:firstLine="0" w:firstLineChars="0"/>
              <w:jc w:val="center"/>
              <w:rPr>
                <w:color w:val="auto"/>
                <w:sz w:val="21"/>
                <w:szCs w:val="21"/>
              </w:rPr>
            </w:pPr>
            <w:r>
              <w:rPr>
                <w:color w:val="auto"/>
                <w:sz w:val="21"/>
                <w:szCs w:val="21"/>
              </w:rPr>
              <w:t>弱</w:t>
            </w:r>
          </w:p>
        </w:tc>
        <w:tc>
          <w:tcPr>
            <w:tcW w:w="1659" w:type="dxa"/>
            <w:vAlign w:val="center"/>
          </w:tcPr>
          <w:p>
            <w:pPr>
              <w:pStyle w:val="146"/>
              <w:spacing w:line="240" w:lineRule="auto"/>
              <w:ind w:firstLine="0" w:firstLineChars="0"/>
              <w:jc w:val="center"/>
              <w:rPr>
                <w:color w:val="auto"/>
                <w:sz w:val="21"/>
                <w:szCs w:val="21"/>
              </w:rPr>
            </w:pPr>
            <w:r>
              <w:rPr>
                <w:color w:val="auto"/>
                <w:sz w:val="21"/>
                <w:szCs w:val="21"/>
              </w:rPr>
              <w:t>易</w:t>
            </w:r>
          </w:p>
        </w:tc>
        <w:tc>
          <w:tcPr>
            <w:tcW w:w="1570" w:type="dxa"/>
            <w:vMerge w:val="continue"/>
            <w:vAlign w:val="center"/>
          </w:tcPr>
          <w:p>
            <w:pPr>
              <w:pStyle w:val="146"/>
              <w:spacing w:line="240" w:lineRule="auto"/>
              <w:ind w:firstLine="420"/>
              <w:jc w:val="center"/>
              <w:rPr>
                <w:color w:val="auto"/>
                <w:sz w:val="21"/>
                <w:szCs w:val="21"/>
              </w:rPr>
            </w:pPr>
          </w:p>
        </w:tc>
        <w:tc>
          <w:tcPr>
            <w:tcW w:w="2504" w:type="dxa"/>
            <w:vMerge w:val="continue"/>
            <w:vAlign w:val="center"/>
          </w:tcPr>
          <w:p>
            <w:pPr>
              <w:pStyle w:val="146"/>
              <w:spacing w:line="240" w:lineRule="auto"/>
              <w:ind w:firstLine="420"/>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3" w:hRule="atLeast"/>
          <w:jc w:val="center"/>
        </w:trPr>
        <w:tc>
          <w:tcPr>
            <w:tcW w:w="1403" w:type="dxa"/>
            <w:vMerge w:val="restart"/>
            <w:vAlign w:val="center"/>
          </w:tcPr>
          <w:p>
            <w:pPr>
              <w:pStyle w:val="146"/>
              <w:spacing w:line="240" w:lineRule="auto"/>
              <w:ind w:firstLine="0" w:firstLineChars="0"/>
              <w:jc w:val="center"/>
              <w:rPr>
                <w:color w:val="auto"/>
                <w:sz w:val="21"/>
                <w:szCs w:val="21"/>
              </w:rPr>
            </w:pPr>
            <w:r>
              <w:rPr>
                <w:color w:val="auto"/>
                <w:sz w:val="21"/>
                <w:szCs w:val="21"/>
              </w:rPr>
              <w:t>一般防渗区</w:t>
            </w:r>
          </w:p>
        </w:tc>
        <w:tc>
          <w:tcPr>
            <w:tcW w:w="1440" w:type="dxa"/>
            <w:vAlign w:val="center"/>
          </w:tcPr>
          <w:p>
            <w:pPr>
              <w:pStyle w:val="146"/>
              <w:spacing w:line="240" w:lineRule="auto"/>
              <w:ind w:firstLine="0" w:firstLineChars="0"/>
              <w:jc w:val="center"/>
              <w:rPr>
                <w:color w:val="auto"/>
                <w:sz w:val="21"/>
                <w:szCs w:val="21"/>
              </w:rPr>
            </w:pPr>
            <w:r>
              <w:rPr>
                <w:color w:val="auto"/>
                <w:sz w:val="21"/>
                <w:szCs w:val="21"/>
              </w:rPr>
              <w:t>弱</w:t>
            </w:r>
          </w:p>
        </w:tc>
        <w:tc>
          <w:tcPr>
            <w:tcW w:w="1659" w:type="dxa"/>
            <w:vAlign w:val="center"/>
          </w:tcPr>
          <w:p>
            <w:pPr>
              <w:pStyle w:val="146"/>
              <w:spacing w:line="240" w:lineRule="auto"/>
              <w:ind w:firstLine="0" w:firstLineChars="0"/>
              <w:jc w:val="center"/>
              <w:rPr>
                <w:color w:val="auto"/>
                <w:sz w:val="21"/>
                <w:szCs w:val="21"/>
              </w:rPr>
            </w:pPr>
            <w:r>
              <w:rPr>
                <w:color w:val="auto"/>
                <w:sz w:val="21"/>
                <w:szCs w:val="21"/>
              </w:rPr>
              <w:t>易-难</w:t>
            </w:r>
          </w:p>
        </w:tc>
        <w:tc>
          <w:tcPr>
            <w:tcW w:w="1570" w:type="dxa"/>
            <w:vMerge w:val="restart"/>
            <w:vAlign w:val="center"/>
          </w:tcPr>
          <w:p>
            <w:pPr>
              <w:pStyle w:val="146"/>
              <w:spacing w:line="240" w:lineRule="auto"/>
              <w:ind w:firstLine="0" w:firstLineChars="0"/>
              <w:jc w:val="center"/>
              <w:rPr>
                <w:color w:val="auto"/>
                <w:sz w:val="21"/>
                <w:szCs w:val="21"/>
              </w:rPr>
            </w:pPr>
            <w:r>
              <w:rPr>
                <w:color w:val="auto"/>
                <w:sz w:val="21"/>
                <w:szCs w:val="21"/>
              </w:rPr>
              <w:t>其他类型</w:t>
            </w:r>
          </w:p>
        </w:tc>
        <w:tc>
          <w:tcPr>
            <w:tcW w:w="2504" w:type="dxa"/>
            <w:vMerge w:val="restart"/>
            <w:vAlign w:val="center"/>
          </w:tcPr>
          <w:p>
            <w:pPr>
              <w:pStyle w:val="146"/>
              <w:spacing w:line="240" w:lineRule="auto"/>
              <w:ind w:firstLine="0" w:firstLineChars="0"/>
              <w:jc w:val="center"/>
              <w:rPr>
                <w:color w:val="auto"/>
                <w:sz w:val="21"/>
                <w:szCs w:val="21"/>
              </w:rPr>
            </w:pPr>
            <w:r>
              <w:rPr>
                <w:color w:val="auto"/>
                <w:sz w:val="21"/>
                <w:szCs w:val="21"/>
              </w:rPr>
              <w:t>等效黏土防渗层Mb</w:t>
            </w:r>
            <w:r>
              <w:rPr>
                <w:color w:val="auto"/>
                <w:sz w:val="21"/>
                <w:szCs w:val="21"/>
                <w:shd w:val="clear" w:color="auto" w:fill="FFFFFF"/>
              </w:rPr>
              <w:t>≧1.5m，</w:t>
            </w:r>
            <w:r>
              <w:rPr>
                <w:color w:val="auto"/>
                <w:sz w:val="21"/>
                <w:szCs w:val="21"/>
              </w:rPr>
              <w:t>K≦1*10</w:t>
            </w:r>
            <w:r>
              <w:rPr>
                <w:color w:val="auto"/>
                <w:sz w:val="21"/>
                <w:szCs w:val="21"/>
                <w:vertAlign w:val="superscript"/>
              </w:rPr>
              <w:t>-7</w:t>
            </w:r>
            <w:r>
              <w:rPr>
                <w:color w:val="auto"/>
                <w:sz w:val="21"/>
                <w:szCs w:val="21"/>
              </w:rPr>
              <w:t>cm/s，或参照GB16889执行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3" w:hRule="atLeast"/>
          <w:jc w:val="center"/>
        </w:trPr>
        <w:tc>
          <w:tcPr>
            <w:tcW w:w="1403" w:type="dxa"/>
            <w:vMerge w:val="continue"/>
            <w:vAlign w:val="center"/>
          </w:tcPr>
          <w:p>
            <w:pPr>
              <w:pStyle w:val="146"/>
              <w:spacing w:line="240" w:lineRule="auto"/>
              <w:ind w:firstLine="420"/>
              <w:jc w:val="center"/>
              <w:rPr>
                <w:color w:val="auto"/>
                <w:sz w:val="21"/>
                <w:szCs w:val="21"/>
              </w:rPr>
            </w:pPr>
          </w:p>
        </w:tc>
        <w:tc>
          <w:tcPr>
            <w:tcW w:w="1440" w:type="dxa"/>
            <w:vAlign w:val="center"/>
          </w:tcPr>
          <w:p>
            <w:pPr>
              <w:pStyle w:val="146"/>
              <w:spacing w:line="240" w:lineRule="auto"/>
              <w:ind w:firstLine="0" w:firstLineChars="0"/>
              <w:jc w:val="center"/>
              <w:rPr>
                <w:color w:val="auto"/>
                <w:sz w:val="21"/>
                <w:szCs w:val="21"/>
              </w:rPr>
            </w:pPr>
            <w:r>
              <w:rPr>
                <w:color w:val="auto"/>
                <w:sz w:val="21"/>
                <w:szCs w:val="21"/>
              </w:rPr>
              <w:t>中-强</w:t>
            </w:r>
          </w:p>
        </w:tc>
        <w:tc>
          <w:tcPr>
            <w:tcW w:w="1659" w:type="dxa"/>
            <w:vAlign w:val="center"/>
          </w:tcPr>
          <w:p>
            <w:pPr>
              <w:pStyle w:val="146"/>
              <w:spacing w:line="240" w:lineRule="auto"/>
              <w:ind w:firstLine="0" w:firstLineChars="0"/>
              <w:jc w:val="center"/>
              <w:rPr>
                <w:color w:val="auto"/>
                <w:sz w:val="21"/>
                <w:szCs w:val="21"/>
              </w:rPr>
            </w:pPr>
            <w:r>
              <w:rPr>
                <w:color w:val="auto"/>
                <w:sz w:val="21"/>
                <w:szCs w:val="21"/>
              </w:rPr>
              <w:t>难</w:t>
            </w:r>
          </w:p>
        </w:tc>
        <w:tc>
          <w:tcPr>
            <w:tcW w:w="1570" w:type="dxa"/>
            <w:vMerge w:val="continue"/>
            <w:vAlign w:val="center"/>
          </w:tcPr>
          <w:p>
            <w:pPr>
              <w:pStyle w:val="146"/>
              <w:spacing w:line="240" w:lineRule="auto"/>
              <w:ind w:firstLine="420"/>
              <w:jc w:val="center"/>
              <w:rPr>
                <w:color w:val="auto"/>
                <w:sz w:val="21"/>
                <w:szCs w:val="21"/>
              </w:rPr>
            </w:pPr>
          </w:p>
        </w:tc>
        <w:tc>
          <w:tcPr>
            <w:tcW w:w="2504" w:type="dxa"/>
            <w:vMerge w:val="continue"/>
            <w:vAlign w:val="center"/>
          </w:tcPr>
          <w:p>
            <w:pPr>
              <w:pStyle w:val="146"/>
              <w:spacing w:line="240" w:lineRule="auto"/>
              <w:ind w:firstLine="420"/>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3" w:hRule="atLeast"/>
          <w:jc w:val="center"/>
        </w:trPr>
        <w:tc>
          <w:tcPr>
            <w:tcW w:w="1403" w:type="dxa"/>
            <w:vMerge w:val="continue"/>
            <w:vAlign w:val="center"/>
          </w:tcPr>
          <w:p>
            <w:pPr>
              <w:pStyle w:val="146"/>
              <w:spacing w:line="240" w:lineRule="auto"/>
              <w:ind w:firstLine="420"/>
              <w:jc w:val="center"/>
              <w:rPr>
                <w:color w:val="auto"/>
                <w:sz w:val="21"/>
                <w:szCs w:val="21"/>
              </w:rPr>
            </w:pPr>
          </w:p>
        </w:tc>
        <w:tc>
          <w:tcPr>
            <w:tcW w:w="1440" w:type="dxa"/>
            <w:vAlign w:val="center"/>
          </w:tcPr>
          <w:p>
            <w:pPr>
              <w:pStyle w:val="146"/>
              <w:spacing w:line="240" w:lineRule="auto"/>
              <w:ind w:firstLine="0" w:firstLineChars="0"/>
              <w:jc w:val="center"/>
              <w:rPr>
                <w:color w:val="auto"/>
                <w:sz w:val="21"/>
                <w:szCs w:val="21"/>
              </w:rPr>
            </w:pPr>
            <w:r>
              <w:rPr>
                <w:color w:val="auto"/>
                <w:sz w:val="21"/>
                <w:szCs w:val="21"/>
              </w:rPr>
              <w:t>中</w:t>
            </w:r>
          </w:p>
        </w:tc>
        <w:tc>
          <w:tcPr>
            <w:tcW w:w="1659" w:type="dxa"/>
            <w:vAlign w:val="center"/>
          </w:tcPr>
          <w:p>
            <w:pPr>
              <w:pStyle w:val="146"/>
              <w:spacing w:line="240" w:lineRule="auto"/>
              <w:ind w:firstLine="0" w:firstLineChars="0"/>
              <w:jc w:val="center"/>
              <w:rPr>
                <w:color w:val="auto"/>
                <w:sz w:val="21"/>
                <w:szCs w:val="21"/>
              </w:rPr>
            </w:pPr>
            <w:r>
              <w:rPr>
                <w:color w:val="auto"/>
                <w:sz w:val="21"/>
                <w:szCs w:val="21"/>
              </w:rPr>
              <w:t>易</w:t>
            </w:r>
          </w:p>
        </w:tc>
        <w:tc>
          <w:tcPr>
            <w:tcW w:w="1570" w:type="dxa"/>
            <w:vMerge w:val="restart"/>
            <w:vAlign w:val="center"/>
          </w:tcPr>
          <w:p>
            <w:pPr>
              <w:pStyle w:val="146"/>
              <w:spacing w:line="240" w:lineRule="auto"/>
              <w:ind w:firstLine="0" w:firstLineChars="0"/>
              <w:jc w:val="center"/>
              <w:rPr>
                <w:color w:val="auto"/>
                <w:sz w:val="21"/>
                <w:szCs w:val="21"/>
              </w:rPr>
            </w:pPr>
            <w:r>
              <w:rPr>
                <w:color w:val="auto"/>
                <w:sz w:val="21"/>
                <w:szCs w:val="21"/>
              </w:rPr>
              <w:t>重金属、持久性有机污染物</w:t>
            </w:r>
          </w:p>
        </w:tc>
        <w:tc>
          <w:tcPr>
            <w:tcW w:w="2504" w:type="dxa"/>
            <w:vMerge w:val="continue"/>
            <w:vAlign w:val="center"/>
          </w:tcPr>
          <w:p>
            <w:pPr>
              <w:pStyle w:val="146"/>
              <w:spacing w:line="240" w:lineRule="auto"/>
              <w:ind w:firstLine="420"/>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3" w:hRule="atLeast"/>
          <w:jc w:val="center"/>
        </w:trPr>
        <w:tc>
          <w:tcPr>
            <w:tcW w:w="1403" w:type="dxa"/>
            <w:vMerge w:val="continue"/>
            <w:vAlign w:val="center"/>
          </w:tcPr>
          <w:p>
            <w:pPr>
              <w:pStyle w:val="146"/>
              <w:spacing w:line="240" w:lineRule="auto"/>
              <w:ind w:firstLine="420"/>
              <w:jc w:val="center"/>
              <w:rPr>
                <w:color w:val="auto"/>
                <w:sz w:val="21"/>
                <w:szCs w:val="21"/>
              </w:rPr>
            </w:pPr>
          </w:p>
        </w:tc>
        <w:tc>
          <w:tcPr>
            <w:tcW w:w="1440" w:type="dxa"/>
            <w:vAlign w:val="center"/>
          </w:tcPr>
          <w:p>
            <w:pPr>
              <w:pStyle w:val="146"/>
              <w:spacing w:line="240" w:lineRule="auto"/>
              <w:ind w:firstLine="0" w:firstLineChars="0"/>
              <w:jc w:val="center"/>
              <w:rPr>
                <w:color w:val="auto"/>
                <w:sz w:val="21"/>
                <w:szCs w:val="21"/>
              </w:rPr>
            </w:pPr>
            <w:r>
              <w:rPr>
                <w:color w:val="auto"/>
                <w:sz w:val="21"/>
                <w:szCs w:val="21"/>
              </w:rPr>
              <w:t>强</w:t>
            </w:r>
          </w:p>
        </w:tc>
        <w:tc>
          <w:tcPr>
            <w:tcW w:w="1659" w:type="dxa"/>
            <w:vAlign w:val="center"/>
          </w:tcPr>
          <w:p>
            <w:pPr>
              <w:pStyle w:val="146"/>
              <w:spacing w:line="240" w:lineRule="auto"/>
              <w:ind w:firstLine="0" w:firstLineChars="0"/>
              <w:jc w:val="center"/>
              <w:rPr>
                <w:color w:val="auto"/>
                <w:sz w:val="21"/>
                <w:szCs w:val="21"/>
              </w:rPr>
            </w:pPr>
            <w:r>
              <w:rPr>
                <w:color w:val="auto"/>
                <w:sz w:val="21"/>
                <w:szCs w:val="21"/>
              </w:rPr>
              <w:t>易</w:t>
            </w:r>
          </w:p>
        </w:tc>
        <w:tc>
          <w:tcPr>
            <w:tcW w:w="1570" w:type="dxa"/>
            <w:vMerge w:val="continue"/>
            <w:vAlign w:val="center"/>
          </w:tcPr>
          <w:p>
            <w:pPr>
              <w:pStyle w:val="146"/>
              <w:spacing w:line="240" w:lineRule="auto"/>
              <w:ind w:firstLine="420"/>
              <w:jc w:val="center"/>
              <w:rPr>
                <w:color w:val="auto"/>
                <w:sz w:val="21"/>
                <w:szCs w:val="21"/>
              </w:rPr>
            </w:pPr>
          </w:p>
        </w:tc>
        <w:tc>
          <w:tcPr>
            <w:tcW w:w="2504" w:type="dxa"/>
            <w:vMerge w:val="continue"/>
            <w:vAlign w:val="center"/>
          </w:tcPr>
          <w:p>
            <w:pPr>
              <w:pStyle w:val="146"/>
              <w:spacing w:line="240" w:lineRule="auto"/>
              <w:ind w:firstLine="420"/>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1403" w:type="dxa"/>
            <w:vAlign w:val="center"/>
          </w:tcPr>
          <w:p>
            <w:pPr>
              <w:pStyle w:val="146"/>
              <w:spacing w:line="240" w:lineRule="auto"/>
              <w:ind w:firstLine="0" w:firstLineChars="0"/>
              <w:jc w:val="center"/>
              <w:rPr>
                <w:color w:val="auto"/>
                <w:sz w:val="21"/>
                <w:szCs w:val="21"/>
              </w:rPr>
            </w:pPr>
            <w:r>
              <w:rPr>
                <w:color w:val="auto"/>
                <w:sz w:val="21"/>
                <w:szCs w:val="21"/>
              </w:rPr>
              <w:t>简单防渗区</w:t>
            </w:r>
          </w:p>
        </w:tc>
        <w:tc>
          <w:tcPr>
            <w:tcW w:w="1440" w:type="dxa"/>
            <w:vAlign w:val="center"/>
          </w:tcPr>
          <w:p>
            <w:pPr>
              <w:pStyle w:val="146"/>
              <w:spacing w:line="240" w:lineRule="auto"/>
              <w:ind w:firstLine="0" w:firstLineChars="0"/>
              <w:jc w:val="center"/>
              <w:rPr>
                <w:color w:val="auto"/>
                <w:sz w:val="21"/>
                <w:szCs w:val="21"/>
              </w:rPr>
            </w:pPr>
            <w:r>
              <w:rPr>
                <w:color w:val="auto"/>
                <w:sz w:val="21"/>
                <w:szCs w:val="21"/>
              </w:rPr>
              <w:t>中-强</w:t>
            </w:r>
          </w:p>
        </w:tc>
        <w:tc>
          <w:tcPr>
            <w:tcW w:w="1659" w:type="dxa"/>
            <w:vAlign w:val="center"/>
          </w:tcPr>
          <w:p>
            <w:pPr>
              <w:pStyle w:val="146"/>
              <w:spacing w:line="240" w:lineRule="auto"/>
              <w:ind w:firstLine="0" w:firstLineChars="0"/>
              <w:jc w:val="center"/>
              <w:rPr>
                <w:color w:val="auto"/>
                <w:sz w:val="21"/>
                <w:szCs w:val="21"/>
              </w:rPr>
            </w:pPr>
            <w:r>
              <w:rPr>
                <w:color w:val="auto"/>
                <w:sz w:val="21"/>
                <w:szCs w:val="21"/>
              </w:rPr>
              <w:t>易</w:t>
            </w:r>
          </w:p>
        </w:tc>
        <w:tc>
          <w:tcPr>
            <w:tcW w:w="1570" w:type="dxa"/>
            <w:vAlign w:val="center"/>
          </w:tcPr>
          <w:p>
            <w:pPr>
              <w:pStyle w:val="146"/>
              <w:spacing w:line="240" w:lineRule="auto"/>
              <w:ind w:firstLine="0" w:firstLineChars="0"/>
              <w:jc w:val="center"/>
              <w:rPr>
                <w:color w:val="auto"/>
                <w:sz w:val="21"/>
                <w:szCs w:val="21"/>
              </w:rPr>
            </w:pPr>
            <w:r>
              <w:rPr>
                <w:color w:val="auto"/>
                <w:sz w:val="21"/>
                <w:szCs w:val="21"/>
              </w:rPr>
              <w:t>其他类型</w:t>
            </w:r>
          </w:p>
        </w:tc>
        <w:tc>
          <w:tcPr>
            <w:tcW w:w="2504" w:type="dxa"/>
            <w:vAlign w:val="center"/>
          </w:tcPr>
          <w:p>
            <w:pPr>
              <w:pStyle w:val="146"/>
              <w:spacing w:line="240" w:lineRule="auto"/>
              <w:ind w:firstLine="0" w:firstLineChars="0"/>
              <w:jc w:val="center"/>
              <w:rPr>
                <w:color w:val="auto"/>
                <w:sz w:val="21"/>
                <w:szCs w:val="21"/>
              </w:rPr>
            </w:pPr>
            <w:r>
              <w:rPr>
                <w:color w:val="auto"/>
                <w:sz w:val="21"/>
                <w:szCs w:val="21"/>
              </w:rPr>
              <w:t>一般地面硬化</w:t>
            </w:r>
          </w:p>
        </w:tc>
      </w:tr>
    </w:tbl>
    <w:p>
      <w:pPr>
        <w:pStyle w:val="146"/>
        <w:spacing w:line="520" w:lineRule="exact"/>
        <w:jc w:val="left"/>
        <w:rPr>
          <w:color w:val="auto"/>
        </w:rPr>
      </w:pPr>
      <w:r>
        <w:rPr>
          <w:color w:val="auto"/>
        </w:rPr>
        <w:t>根据各场区可能泄露至地面区域污染物的性质和生产单元的构筑方式，以及潜在的地下水污染源分类分析，将场区划分为重点防渗区和一般防渗区。</w:t>
      </w:r>
    </w:p>
    <w:p>
      <w:pPr>
        <w:pStyle w:val="146"/>
        <w:spacing w:line="520" w:lineRule="exact"/>
        <w:rPr>
          <w:color w:val="auto"/>
        </w:rPr>
      </w:pPr>
      <w:r>
        <w:rPr>
          <w:color w:val="auto"/>
        </w:rPr>
        <w:t>重点防渗区：主要包括危废暂存间</w:t>
      </w:r>
      <w:r>
        <w:rPr>
          <w:rFonts w:hint="eastAsia"/>
          <w:color w:val="auto"/>
          <w:lang w:eastAsia="zh-CN"/>
        </w:rPr>
        <w:t>、配胶间</w:t>
      </w:r>
      <w:r>
        <w:rPr>
          <w:color w:val="auto"/>
        </w:rPr>
        <w:t>。</w:t>
      </w:r>
    </w:p>
    <w:p>
      <w:pPr>
        <w:pStyle w:val="146"/>
        <w:spacing w:line="520" w:lineRule="exact"/>
        <w:jc w:val="left"/>
        <w:rPr>
          <w:color w:val="auto"/>
        </w:rPr>
      </w:pPr>
      <w:r>
        <w:rPr>
          <w:color w:val="auto"/>
        </w:rPr>
        <w:t>一般防渗区：主要指裸露地面的生产功能单元，污染地下水环境的物料泄露容易及时发现和处理的区域，或者污染虽然较难被发现但是污染物种类比较简单的区域，结合水文地质条件，对可能会产生一定程度的污染、但建筑物基础之下场地水文地质条件较好的工艺区域或部位，主要包括生产车间、仓库等。</w:t>
      </w:r>
    </w:p>
    <w:p>
      <w:pPr>
        <w:pStyle w:val="146"/>
        <w:spacing w:line="520" w:lineRule="exact"/>
        <w:jc w:val="left"/>
        <w:rPr>
          <w:color w:val="auto"/>
        </w:rPr>
      </w:pPr>
      <w:r>
        <w:rPr>
          <w:color w:val="auto"/>
        </w:rPr>
        <w:t>根据以上分区情况，对项目场区防渗分区情况进行统计。</w:t>
      </w:r>
    </w:p>
    <w:p>
      <w:pPr>
        <w:pStyle w:val="146"/>
        <w:spacing w:line="520" w:lineRule="exact"/>
        <w:ind w:firstLine="482"/>
        <w:jc w:val="center"/>
        <w:rPr>
          <w:b/>
          <w:bCs/>
          <w:color w:val="auto"/>
        </w:rPr>
      </w:pPr>
    </w:p>
    <w:p>
      <w:pPr>
        <w:pStyle w:val="146"/>
        <w:spacing w:line="520" w:lineRule="exact"/>
        <w:ind w:firstLine="482"/>
        <w:jc w:val="center"/>
        <w:rPr>
          <w:b/>
          <w:bCs/>
          <w:color w:val="auto"/>
        </w:rPr>
      </w:pPr>
    </w:p>
    <w:p>
      <w:pPr>
        <w:pStyle w:val="146"/>
        <w:spacing w:line="520" w:lineRule="exact"/>
        <w:ind w:firstLine="482"/>
        <w:jc w:val="center"/>
        <w:rPr>
          <w:b/>
          <w:bCs/>
          <w:color w:val="auto"/>
        </w:rPr>
      </w:pPr>
    </w:p>
    <w:p>
      <w:pPr>
        <w:pStyle w:val="146"/>
        <w:spacing w:line="520" w:lineRule="exact"/>
        <w:ind w:firstLine="482"/>
        <w:jc w:val="center"/>
        <w:rPr>
          <w:b/>
          <w:bCs/>
          <w:color w:val="auto"/>
        </w:rPr>
      </w:pPr>
    </w:p>
    <w:p>
      <w:pPr>
        <w:pStyle w:val="146"/>
        <w:spacing w:line="520" w:lineRule="exact"/>
        <w:ind w:firstLine="482"/>
        <w:jc w:val="center"/>
        <w:rPr>
          <w:b/>
          <w:bCs/>
          <w:color w:val="auto"/>
        </w:rPr>
      </w:pPr>
    </w:p>
    <w:p>
      <w:pPr>
        <w:pStyle w:val="146"/>
        <w:spacing w:line="520" w:lineRule="exact"/>
        <w:ind w:left="0" w:leftChars="0" w:firstLine="0" w:firstLineChars="0"/>
        <w:jc w:val="center"/>
        <w:rPr>
          <w:b/>
          <w:bCs/>
          <w:color w:val="auto"/>
        </w:rPr>
      </w:pPr>
      <w:r>
        <w:rPr>
          <w:b/>
          <w:bCs/>
          <w:color w:val="auto"/>
        </w:rPr>
        <w:t>表</w:t>
      </w:r>
      <w:r>
        <w:rPr>
          <w:rFonts w:hint="eastAsia"/>
          <w:b/>
          <w:bCs/>
          <w:color w:val="auto"/>
        </w:rPr>
        <w:t>7</w:t>
      </w:r>
      <w:r>
        <w:rPr>
          <w:b/>
          <w:bCs/>
          <w:color w:val="auto"/>
        </w:rPr>
        <w:t>-</w:t>
      </w:r>
      <w:r>
        <w:rPr>
          <w:rFonts w:hint="eastAsia"/>
          <w:b/>
          <w:bCs/>
          <w:color w:val="auto"/>
          <w:lang w:val="en-US" w:eastAsia="zh-CN"/>
        </w:rPr>
        <w:t xml:space="preserve">7  </w:t>
      </w:r>
      <w:r>
        <w:rPr>
          <w:b/>
          <w:bCs/>
          <w:color w:val="auto"/>
        </w:rPr>
        <w:t xml:space="preserve"> 地下水污染防渗分区参照表</w:t>
      </w:r>
    </w:p>
    <w:tbl>
      <w:tblPr>
        <w:tblStyle w:val="5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50"/>
        <w:gridCol w:w="1169"/>
        <w:gridCol w:w="1184"/>
        <w:gridCol w:w="1240"/>
        <w:gridCol w:w="926"/>
        <w:gridCol w:w="283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50" w:type="dxa"/>
            <w:vAlign w:val="center"/>
          </w:tcPr>
          <w:p>
            <w:pPr>
              <w:pStyle w:val="146"/>
              <w:spacing w:line="240" w:lineRule="auto"/>
              <w:ind w:firstLine="0" w:firstLineChars="0"/>
              <w:jc w:val="center"/>
              <w:rPr>
                <w:color w:val="auto"/>
                <w:sz w:val="21"/>
                <w:szCs w:val="21"/>
              </w:rPr>
            </w:pPr>
            <w:r>
              <w:rPr>
                <w:color w:val="auto"/>
                <w:sz w:val="21"/>
                <w:szCs w:val="21"/>
              </w:rPr>
              <w:t>场区内建构筑物</w:t>
            </w:r>
          </w:p>
        </w:tc>
        <w:tc>
          <w:tcPr>
            <w:tcW w:w="1169" w:type="dxa"/>
            <w:vAlign w:val="center"/>
          </w:tcPr>
          <w:p>
            <w:pPr>
              <w:pStyle w:val="146"/>
              <w:spacing w:line="240" w:lineRule="auto"/>
              <w:ind w:firstLine="0" w:firstLineChars="0"/>
              <w:jc w:val="center"/>
              <w:rPr>
                <w:color w:val="auto"/>
                <w:sz w:val="21"/>
                <w:szCs w:val="21"/>
              </w:rPr>
            </w:pPr>
            <w:r>
              <w:rPr>
                <w:color w:val="auto"/>
                <w:sz w:val="21"/>
                <w:szCs w:val="21"/>
              </w:rPr>
              <w:t>包气带防污性能</w:t>
            </w:r>
          </w:p>
        </w:tc>
        <w:tc>
          <w:tcPr>
            <w:tcW w:w="1184" w:type="dxa"/>
            <w:vAlign w:val="center"/>
          </w:tcPr>
          <w:p>
            <w:pPr>
              <w:pStyle w:val="146"/>
              <w:spacing w:line="240" w:lineRule="auto"/>
              <w:ind w:firstLine="0" w:firstLineChars="0"/>
              <w:jc w:val="center"/>
              <w:rPr>
                <w:color w:val="auto"/>
                <w:sz w:val="21"/>
                <w:szCs w:val="21"/>
              </w:rPr>
            </w:pPr>
            <w:r>
              <w:rPr>
                <w:color w:val="auto"/>
                <w:sz w:val="21"/>
                <w:szCs w:val="21"/>
              </w:rPr>
              <w:t>污染控制难易程度</w:t>
            </w:r>
          </w:p>
        </w:tc>
        <w:tc>
          <w:tcPr>
            <w:tcW w:w="1240" w:type="dxa"/>
            <w:vAlign w:val="center"/>
          </w:tcPr>
          <w:p>
            <w:pPr>
              <w:pStyle w:val="146"/>
              <w:spacing w:line="240" w:lineRule="auto"/>
              <w:ind w:firstLine="0" w:firstLineChars="0"/>
              <w:jc w:val="center"/>
              <w:rPr>
                <w:color w:val="auto"/>
                <w:sz w:val="21"/>
                <w:szCs w:val="21"/>
              </w:rPr>
            </w:pPr>
            <w:r>
              <w:rPr>
                <w:color w:val="auto"/>
                <w:sz w:val="21"/>
                <w:szCs w:val="21"/>
              </w:rPr>
              <w:t>污染物</w:t>
            </w:r>
          </w:p>
          <w:p>
            <w:pPr>
              <w:pStyle w:val="146"/>
              <w:spacing w:line="240" w:lineRule="auto"/>
              <w:ind w:firstLine="0" w:firstLineChars="0"/>
              <w:jc w:val="center"/>
              <w:rPr>
                <w:color w:val="auto"/>
                <w:sz w:val="21"/>
                <w:szCs w:val="21"/>
              </w:rPr>
            </w:pPr>
            <w:r>
              <w:rPr>
                <w:color w:val="auto"/>
                <w:sz w:val="21"/>
                <w:szCs w:val="21"/>
              </w:rPr>
              <w:t>类型</w:t>
            </w:r>
          </w:p>
        </w:tc>
        <w:tc>
          <w:tcPr>
            <w:tcW w:w="926" w:type="dxa"/>
            <w:vAlign w:val="center"/>
          </w:tcPr>
          <w:p>
            <w:pPr>
              <w:pStyle w:val="146"/>
              <w:spacing w:line="240" w:lineRule="auto"/>
              <w:ind w:firstLine="0" w:firstLineChars="0"/>
              <w:jc w:val="center"/>
              <w:rPr>
                <w:color w:val="auto"/>
                <w:sz w:val="21"/>
                <w:szCs w:val="21"/>
              </w:rPr>
            </w:pPr>
            <w:r>
              <w:rPr>
                <w:color w:val="auto"/>
                <w:sz w:val="21"/>
                <w:szCs w:val="21"/>
              </w:rPr>
              <w:t>防渗分区</w:t>
            </w:r>
          </w:p>
        </w:tc>
        <w:tc>
          <w:tcPr>
            <w:tcW w:w="2839" w:type="dxa"/>
            <w:vAlign w:val="center"/>
          </w:tcPr>
          <w:p>
            <w:pPr>
              <w:pStyle w:val="146"/>
              <w:spacing w:line="240" w:lineRule="auto"/>
              <w:ind w:firstLine="0" w:firstLineChars="0"/>
              <w:jc w:val="center"/>
              <w:rPr>
                <w:color w:val="auto"/>
                <w:sz w:val="21"/>
                <w:szCs w:val="21"/>
              </w:rPr>
            </w:pPr>
            <w:r>
              <w:rPr>
                <w:color w:val="auto"/>
                <w:sz w:val="21"/>
                <w:szCs w:val="21"/>
              </w:rPr>
              <w:t>防渗技术要求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50" w:type="dxa"/>
            <w:vAlign w:val="center"/>
          </w:tcPr>
          <w:p>
            <w:pPr>
              <w:pStyle w:val="146"/>
              <w:spacing w:line="240" w:lineRule="auto"/>
              <w:ind w:firstLine="0" w:firstLineChars="0"/>
              <w:jc w:val="center"/>
              <w:rPr>
                <w:color w:val="auto"/>
                <w:sz w:val="21"/>
                <w:szCs w:val="21"/>
              </w:rPr>
            </w:pPr>
            <w:r>
              <w:rPr>
                <w:color w:val="auto"/>
                <w:sz w:val="21"/>
                <w:szCs w:val="21"/>
              </w:rPr>
              <w:t>生产车间</w:t>
            </w:r>
          </w:p>
        </w:tc>
        <w:tc>
          <w:tcPr>
            <w:tcW w:w="1169" w:type="dxa"/>
            <w:vAlign w:val="center"/>
          </w:tcPr>
          <w:p>
            <w:pPr>
              <w:pStyle w:val="146"/>
              <w:spacing w:line="240" w:lineRule="auto"/>
              <w:ind w:firstLine="0" w:firstLineChars="0"/>
              <w:jc w:val="center"/>
              <w:rPr>
                <w:color w:val="auto"/>
                <w:sz w:val="21"/>
                <w:szCs w:val="21"/>
              </w:rPr>
            </w:pPr>
            <w:r>
              <w:rPr>
                <w:color w:val="auto"/>
                <w:sz w:val="21"/>
                <w:szCs w:val="21"/>
              </w:rPr>
              <w:t>中</w:t>
            </w:r>
          </w:p>
        </w:tc>
        <w:tc>
          <w:tcPr>
            <w:tcW w:w="1184" w:type="dxa"/>
            <w:vAlign w:val="center"/>
          </w:tcPr>
          <w:p>
            <w:pPr>
              <w:pStyle w:val="146"/>
              <w:spacing w:line="240" w:lineRule="auto"/>
              <w:ind w:firstLine="0" w:firstLineChars="0"/>
              <w:jc w:val="center"/>
              <w:rPr>
                <w:color w:val="auto"/>
                <w:sz w:val="21"/>
                <w:szCs w:val="21"/>
              </w:rPr>
            </w:pPr>
            <w:r>
              <w:rPr>
                <w:color w:val="auto"/>
                <w:sz w:val="21"/>
                <w:szCs w:val="21"/>
              </w:rPr>
              <w:t>难</w:t>
            </w:r>
          </w:p>
        </w:tc>
        <w:tc>
          <w:tcPr>
            <w:tcW w:w="1240" w:type="dxa"/>
            <w:vAlign w:val="center"/>
          </w:tcPr>
          <w:p>
            <w:pPr>
              <w:pStyle w:val="146"/>
              <w:spacing w:line="240" w:lineRule="auto"/>
              <w:ind w:firstLine="0" w:firstLineChars="0"/>
              <w:jc w:val="center"/>
              <w:rPr>
                <w:color w:val="auto"/>
                <w:sz w:val="21"/>
                <w:szCs w:val="21"/>
              </w:rPr>
            </w:pPr>
            <w:r>
              <w:rPr>
                <w:color w:val="auto"/>
                <w:sz w:val="21"/>
                <w:szCs w:val="21"/>
              </w:rPr>
              <w:t>其他类型</w:t>
            </w:r>
          </w:p>
        </w:tc>
        <w:tc>
          <w:tcPr>
            <w:tcW w:w="926" w:type="dxa"/>
            <w:vAlign w:val="center"/>
          </w:tcPr>
          <w:p>
            <w:pPr>
              <w:pStyle w:val="146"/>
              <w:spacing w:line="240" w:lineRule="auto"/>
              <w:ind w:firstLine="0" w:firstLineChars="0"/>
              <w:jc w:val="center"/>
              <w:rPr>
                <w:color w:val="auto"/>
                <w:sz w:val="21"/>
                <w:szCs w:val="21"/>
              </w:rPr>
            </w:pPr>
            <w:r>
              <w:rPr>
                <w:color w:val="auto"/>
                <w:sz w:val="21"/>
                <w:szCs w:val="21"/>
              </w:rPr>
              <w:t>一般防渗区</w:t>
            </w:r>
          </w:p>
        </w:tc>
        <w:tc>
          <w:tcPr>
            <w:tcW w:w="2839" w:type="dxa"/>
            <w:vAlign w:val="center"/>
          </w:tcPr>
          <w:p>
            <w:pPr>
              <w:pStyle w:val="146"/>
              <w:spacing w:line="240" w:lineRule="auto"/>
              <w:ind w:firstLine="0" w:firstLineChars="0"/>
              <w:rPr>
                <w:color w:val="auto"/>
                <w:sz w:val="21"/>
                <w:szCs w:val="21"/>
              </w:rPr>
            </w:pPr>
            <w:r>
              <w:rPr>
                <w:color w:val="auto"/>
                <w:sz w:val="21"/>
                <w:szCs w:val="21"/>
              </w:rPr>
              <w:t>通过在抗渗钢纤维混凝土面层中掺水泥基渗透结晶型防水剂，其下铺砌砂石基层，原土夯实达到防渗的目的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50" w:type="dxa"/>
            <w:vAlign w:val="center"/>
          </w:tcPr>
          <w:p>
            <w:pPr>
              <w:pStyle w:val="146"/>
              <w:spacing w:line="240" w:lineRule="auto"/>
              <w:ind w:firstLine="0" w:firstLineChars="0"/>
              <w:jc w:val="center"/>
              <w:rPr>
                <w:color w:val="auto"/>
                <w:sz w:val="21"/>
                <w:szCs w:val="21"/>
              </w:rPr>
            </w:pPr>
            <w:r>
              <w:rPr>
                <w:color w:val="auto"/>
                <w:sz w:val="21"/>
                <w:szCs w:val="21"/>
              </w:rPr>
              <w:t>危险化学品储存区</w:t>
            </w:r>
          </w:p>
        </w:tc>
        <w:tc>
          <w:tcPr>
            <w:tcW w:w="1169" w:type="dxa"/>
            <w:vAlign w:val="center"/>
          </w:tcPr>
          <w:p>
            <w:pPr>
              <w:pStyle w:val="146"/>
              <w:spacing w:line="240" w:lineRule="auto"/>
              <w:ind w:firstLine="0" w:firstLineChars="0"/>
              <w:jc w:val="center"/>
              <w:rPr>
                <w:color w:val="auto"/>
                <w:sz w:val="21"/>
                <w:szCs w:val="21"/>
              </w:rPr>
            </w:pPr>
            <w:r>
              <w:rPr>
                <w:color w:val="auto"/>
                <w:sz w:val="21"/>
                <w:szCs w:val="21"/>
              </w:rPr>
              <w:t>中</w:t>
            </w:r>
          </w:p>
        </w:tc>
        <w:tc>
          <w:tcPr>
            <w:tcW w:w="1184" w:type="dxa"/>
            <w:vAlign w:val="center"/>
          </w:tcPr>
          <w:p>
            <w:pPr>
              <w:pStyle w:val="146"/>
              <w:spacing w:line="240" w:lineRule="auto"/>
              <w:ind w:firstLine="0" w:firstLineChars="0"/>
              <w:jc w:val="center"/>
              <w:rPr>
                <w:color w:val="auto"/>
                <w:sz w:val="21"/>
                <w:szCs w:val="21"/>
              </w:rPr>
            </w:pPr>
            <w:r>
              <w:rPr>
                <w:color w:val="auto"/>
                <w:sz w:val="21"/>
                <w:szCs w:val="21"/>
              </w:rPr>
              <w:t>难</w:t>
            </w:r>
          </w:p>
        </w:tc>
        <w:tc>
          <w:tcPr>
            <w:tcW w:w="1240" w:type="dxa"/>
            <w:vAlign w:val="center"/>
          </w:tcPr>
          <w:p>
            <w:pPr>
              <w:pStyle w:val="146"/>
              <w:spacing w:line="240" w:lineRule="auto"/>
              <w:ind w:firstLine="0" w:firstLineChars="0"/>
              <w:jc w:val="center"/>
              <w:rPr>
                <w:color w:val="auto"/>
                <w:sz w:val="21"/>
                <w:szCs w:val="21"/>
              </w:rPr>
            </w:pPr>
            <w:r>
              <w:rPr>
                <w:color w:val="auto"/>
                <w:sz w:val="21"/>
                <w:szCs w:val="21"/>
              </w:rPr>
              <w:t>其他类型</w:t>
            </w:r>
          </w:p>
        </w:tc>
        <w:tc>
          <w:tcPr>
            <w:tcW w:w="926" w:type="dxa"/>
            <w:vAlign w:val="center"/>
          </w:tcPr>
          <w:p>
            <w:pPr>
              <w:pStyle w:val="146"/>
              <w:spacing w:line="240" w:lineRule="auto"/>
              <w:ind w:firstLine="0" w:firstLineChars="0"/>
              <w:jc w:val="center"/>
              <w:rPr>
                <w:color w:val="auto"/>
                <w:sz w:val="21"/>
                <w:szCs w:val="21"/>
              </w:rPr>
            </w:pPr>
            <w:r>
              <w:rPr>
                <w:color w:val="auto"/>
                <w:sz w:val="21"/>
                <w:szCs w:val="21"/>
              </w:rPr>
              <w:t>重点防渗区</w:t>
            </w:r>
          </w:p>
        </w:tc>
        <w:tc>
          <w:tcPr>
            <w:tcW w:w="2839" w:type="dxa"/>
            <w:vMerge w:val="restart"/>
            <w:vAlign w:val="center"/>
          </w:tcPr>
          <w:p>
            <w:pPr>
              <w:pStyle w:val="146"/>
              <w:spacing w:line="240" w:lineRule="auto"/>
              <w:ind w:firstLine="420"/>
              <w:jc w:val="center"/>
              <w:rPr>
                <w:color w:val="auto"/>
                <w:sz w:val="21"/>
                <w:szCs w:val="21"/>
              </w:rPr>
            </w:pPr>
            <w:r>
              <w:rPr>
                <w:color w:val="auto"/>
                <w:sz w:val="21"/>
                <w:szCs w:val="21"/>
              </w:rPr>
              <w:t>等效黏土防渗层Mb</w:t>
            </w:r>
            <w:r>
              <w:rPr>
                <w:color w:val="auto"/>
                <w:sz w:val="21"/>
                <w:szCs w:val="21"/>
                <w:shd w:val="clear" w:color="auto" w:fill="FFFFFF"/>
              </w:rPr>
              <w:t>≧6m，</w:t>
            </w:r>
            <w:r>
              <w:rPr>
                <w:color w:val="auto"/>
                <w:sz w:val="21"/>
                <w:szCs w:val="21"/>
              </w:rPr>
              <w:t>K≦1*10</w:t>
            </w:r>
            <w:r>
              <w:rPr>
                <w:color w:val="auto"/>
                <w:sz w:val="21"/>
                <w:szCs w:val="21"/>
                <w:vertAlign w:val="superscript"/>
              </w:rPr>
              <w:t>-7</w:t>
            </w:r>
            <w:r>
              <w:rPr>
                <w:color w:val="auto"/>
                <w:sz w:val="21"/>
                <w:szCs w:val="21"/>
              </w:rPr>
              <w:t>cm/s，或参照GB18598执行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50" w:type="dxa"/>
            <w:vAlign w:val="center"/>
          </w:tcPr>
          <w:p>
            <w:pPr>
              <w:pStyle w:val="146"/>
              <w:spacing w:line="240" w:lineRule="auto"/>
              <w:ind w:firstLine="0" w:firstLineChars="0"/>
              <w:jc w:val="center"/>
              <w:rPr>
                <w:color w:val="auto"/>
                <w:sz w:val="21"/>
                <w:szCs w:val="21"/>
              </w:rPr>
            </w:pPr>
            <w:r>
              <w:rPr>
                <w:color w:val="auto"/>
                <w:sz w:val="21"/>
                <w:szCs w:val="21"/>
              </w:rPr>
              <w:t>危废暂存间</w:t>
            </w:r>
          </w:p>
        </w:tc>
        <w:tc>
          <w:tcPr>
            <w:tcW w:w="1169" w:type="dxa"/>
            <w:vAlign w:val="center"/>
          </w:tcPr>
          <w:p>
            <w:pPr>
              <w:pStyle w:val="146"/>
              <w:spacing w:line="240" w:lineRule="auto"/>
              <w:ind w:firstLine="0" w:firstLineChars="0"/>
              <w:jc w:val="center"/>
              <w:rPr>
                <w:color w:val="auto"/>
                <w:sz w:val="21"/>
                <w:szCs w:val="21"/>
              </w:rPr>
            </w:pPr>
            <w:r>
              <w:rPr>
                <w:color w:val="auto"/>
                <w:sz w:val="21"/>
                <w:szCs w:val="21"/>
              </w:rPr>
              <w:t>中</w:t>
            </w:r>
          </w:p>
        </w:tc>
        <w:tc>
          <w:tcPr>
            <w:tcW w:w="1184" w:type="dxa"/>
            <w:vAlign w:val="center"/>
          </w:tcPr>
          <w:p>
            <w:pPr>
              <w:pStyle w:val="146"/>
              <w:spacing w:line="240" w:lineRule="auto"/>
              <w:ind w:firstLine="0" w:firstLineChars="0"/>
              <w:jc w:val="center"/>
              <w:rPr>
                <w:color w:val="auto"/>
                <w:sz w:val="21"/>
                <w:szCs w:val="21"/>
              </w:rPr>
            </w:pPr>
            <w:r>
              <w:rPr>
                <w:color w:val="auto"/>
                <w:sz w:val="21"/>
                <w:szCs w:val="21"/>
              </w:rPr>
              <w:t>难</w:t>
            </w:r>
          </w:p>
        </w:tc>
        <w:tc>
          <w:tcPr>
            <w:tcW w:w="1240" w:type="dxa"/>
            <w:vAlign w:val="center"/>
          </w:tcPr>
          <w:p>
            <w:pPr>
              <w:pStyle w:val="146"/>
              <w:spacing w:line="240" w:lineRule="auto"/>
              <w:ind w:firstLine="0" w:firstLineChars="0"/>
              <w:jc w:val="center"/>
              <w:rPr>
                <w:color w:val="auto"/>
                <w:sz w:val="21"/>
                <w:szCs w:val="21"/>
              </w:rPr>
            </w:pPr>
            <w:r>
              <w:rPr>
                <w:color w:val="auto"/>
                <w:sz w:val="21"/>
                <w:szCs w:val="21"/>
              </w:rPr>
              <w:t>其他类型</w:t>
            </w:r>
          </w:p>
        </w:tc>
        <w:tc>
          <w:tcPr>
            <w:tcW w:w="926" w:type="dxa"/>
            <w:vAlign w:val="center"/>
          </w:tcPr>
          <w:p>
            <w:pPr>
              <w:pStyle w:val="146"/>
              <w:spacing w:line="240" w:lineRule="auto"/>
              <w:ind w:firstLine="0" w:firstLineChars="0"/>
              <w:jc w:val="center"/>
              <w:rPr>
                <w:color w:val="auto"/>
                <w:sz w:val="21"/>
                <w:szCs w:val="21"/>
              </w:rPr>
            </w:pPr>
            <w:r>
              <w:rPr>
                <w:color w:val="auto"/>
                <w:sz w:val="21"/>
                <w:szCs w:val="21"/>
              </w:rPr>
              <w:t>重点防渗区</w:t>
            </w:r>
          </w:p>
        </w:tc>
        <w:tc>
          <w:tcPr>
            <w:tcW w:w="2839" w:type="dxa"/>
            <w:vMerge w:val="continue"/>
            <w:vAlign w:val="center"/>
          </w:tcPr>
          <w:p>
            <w:pPr>
              <w:pStyle w:val="146"/>
              <w:spacing w:line="240" w:lineRule="auto"/>
              <w:ind w:firstLine="0" w:firstLineChars="0"/>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50" w:type="dxa"/>
            <w:vAlign w:val="center"/>
          </w:tcPr>
          <w:p>
            <w:pPr>
              <w:pStyle w:val="146"/>
              <w:spacing w:line="240" w:lineRule="auto"/>
              <w:ind w:firstLine="0" w:firstLineChars="0"/>
              <w:jc w:val="center"/>
              <w:rPr>
                <w:rFonts w:hint="eastAsia" w:eastAsia="宋体"/>
                <w:color w:val="auto"/>
                <w:sz w:val="21"/>
                <w:szCs w:val="21"/>
                <w:lang w:eastAsia="zh-CN"/>
              </w:rPr>
            </w:pPr>
            <w:r>
              <w:rPr>
                <w:rFonts w:hint="eastAsia"/>
                <w:color w:val="auto"/>
                <w:sz w:val="21"/>
                <w:szCs w:val="21"/>
                <w:lang w:eastAsia="zh-CN"/>
              </w:rPr>
              <w:t>配胶间</w:t>
            </w:r>
          </w:p>
        </w:tc>
        <w:tc>
          <w:tcPr>
            <w:tcW w:w="1169" w:type="dxa"/>
            <w:vAlign w:val="center"/>
          </w:tcPr>
          <w:p>
            <w:pPr>
              <w:pStyle w:val="146"/>
              <w:spacing w:line="240" w:lineRule="auto"/>
              <w:ind w:firstLine="0" w:firstLineChars="0"/>
              <w:jc w:val="center"/>
              <w:rPr>
                <w:color w:val="auto"/>
                <w:sz w:val="21"/>
                <w:szCs w:val="21"/>
              </w:rPr>
            </w:pPr>
            <w:r>
              <w:rPr>
                <w:color w:val="auto"/>
                <w:sz w:val="21"/>
                <w:szCs w:val="21"/>
              </w:rPr>
              <w:t>中</w:t>
            </w:r>
          </w:p>
        </w:tc>
        <w:tc>
          <w:tcPr>
            <w:tcW w:w="1184" w:type="dxa"/>
            <w:vAlign w:val="center"/>
          </w:tcPr>
          <w:p>
            <w:pPr>
              <w:pStyle w:val="146"/>
              <w:spacing w:line="240" w:lineRule="auto"/>
              <w:ind w:firstLine="0" w:firstLineChars="0"/>
              <w:jc w:val="center"/>
              <w:rPr>
                <w:color w:val="auto"/>
                <w:sz w:val="21"/>
                <w:szCs w:val="21"/>
              </w:rPr>
            </w:pPr>
            <w:r>
              <w:rPr>
                <w:color w:val="auto"/>
                <w:sz w:val="21"/>
                <w:szCs w:val="21"/>
              </w:rPr>
              <w:t>难</w:t>
            </w:r>
          </w:p>
        </w:tc>
        <w:tc>
          <w:tcPr>
            <w:tcW w:w="1240" w:type="dxa"/>
            <w:vAlign w:val="center"/>
          </w:tcPr>
          <w:p>
            <w:pPr>
              <w:pStyle w:val="146"/>
              <w:spacing w:line="240" w:lineRule="auto"/>
              <w:ind w:firstLine="0" w:firstLineChars="0"/>
              <w:jc w:val="center"/>
              <w:rPr>
                <w:color w:val="auto"/>
                <w:sz w:val="21"/>
                <w:szCs w:val="21"/>
              </w:rPr>
            </w:pPr>
            <w:r>
              <w:rPr>
                <w:color w:val="auto"/>
                <w:sz w:val="21"/>
                <w:szCs w:val="21"/>
              </w:rPr>
              <w:t>其他类型</w:t>
            </w:r>
          </w:p>
        </w:tc>
        <w:tc>
          <w:tcPr>
            <w:tcW w:w="926" w:type="dxa"/>
            <w:vAlign w:val="center"/>
          </w:tcPr>
          <w:p>
            <w:pPr>
              <w:pStyle w:val="146"/>
              <w:spacing w:line="240" w:lineRule="auto"/>
              <w:ind w:firstLine="0" w:firstLineChars="0"/>
              <w:jc w:val="center"/>
              <w:rPr>
                <w:color w:val="auto"/>
                <w:sz w:val="21"/>
                <w:szCs w:val="21"/>
              </w:rPr>
            </w:pPr>
            <w:r>
              <w:rPr>
                <w:color w:val="auto"/>
                <w:sz w:val="21"/>
                <w:szCs w:val="21"/>
              </w:rPr>
              <w:t>重点防渗区</w:t>
            </w:r>
          </w:p>
        </w:tc>
        <w:tc>
          <w:tcPr>
            <w:tcW w:w="2839" w:type="dxa"/>
            <w:vMerge w:val="continue"/>
            <w:vAlign w:val="center"/>
          </w:tcPr>
          <w:p>
            <w:pPr>
              <w:pStyle w:val="146"/>
              <w:spacing w:line="240" w:lineRule="auto"/>
              <w:ind w:firstLine="0" w:firstLineChars="0"/>
              <w:jc w:val="center"/>
              <w:rPr>
                <w:color w:val="auto"/>
                <w:sz w:val="21"/>
                <w:szCs w:val="21"/>
              </w:rPr>
            </w:pPr>
          </w:p>
        </w:tc>
      </w:tr>
    </w:tbl>
    <w:p>
      <w:pPr>
        <w:pStyle w:val="146"/>
        <w:spacing w:line="520" w:lineRule="exact"/>
        <w:jc w:val="left"/>
        <w:rPr>
          <w:color w:val="auto"/>
        </w:rPr>
      </w:pPr>
      <w:r>
        <w:rPr>
          <w:color w:val="auto"/>
        </w:rPr>
        <w:t>地下水分区防渗措施评述：在项目采取防渗措施后，其各种状况下的污染物对地下水的影响能达到地下水环境的要求。更好的保护地下水环境，本项目环评提出地下水防渗措施的标准和要求。其中对场地内一般防渗区域提出的防渗要求要达到《一般工业固体废弃物贮存、处置场污染控制标准》（GB18599-2001）（2013年修订）的防渗标准，防渗目标及防渗分区明确，防渗要求严格，同时建设单位应编制地下水应急预案，以防止事故状态下污水对环境造成影响。在充分落实以上地下水防渗措施的前提下，项目建设能达到保护地下水环境的目的。</w:t>
      </w:r>
    </w:p>
    <w:p>
      <w:pPr>
        <w:pStyle w:val="146"/>
        <w:spacing w:line="520" w:lineRule="exact"/>
        <w:jc w:val="left"/>
        <w:rPr>
          <w:color w:val="auto"/>
        </w:rPr>
      </w:pPr>
    </w:p>
    <w:p>
      <w:pPr>
        <w:pStyle w:val="146"/>
        <w:spacing w:line="520" w:lineRule="exact"/>
        <w:jc w:val="left"/>
        <w:rPr>
          <w:color w:val="auto"/>
        </w:rPr>
      </w:pPr>
    </w:p>
    <w:p>
      <w:pPr>
        <w:pStyle w:val="146"/>
        <w:spacing w:line="520" w:lineRule="exact"/>
        <w:jc w:val="left"/>
        <w:rPr>
          <w:color w:val="auto"/>
        </w:rPr>
        <w:sectPr>
          <w:pgSz w:w="11911" w:h="16849"/>
          <w:pgMar w:top="1440" w:right="1587" w:bottom="1440" w:left="1587" w:header="680" w:footer="652" w:gutter="0"/>
          <w:pgBorders>
            <w:top w:val="none" w:sz="0" w:space="0"/>
            <w:left w:val="none" w:sz="0" w:space="0"/>
            <w:bottom w:val="none" w:sz="0" w:space="0"/>
            <w:right w:val="none" w:sz="0" w:space="0"/>
          </w:pgBorders>
          <w:cols w:space="720" w:num="1"/>
          <w:docGrid w:linePitch="322" w:charSpace="0"/>
        </w:sectPr>
      </w:pPr>
    </w:p>
    <w:p>
      <w:pPr>
        <w:pStyle w:val="146"/>
        <w:spacing w:line="520" w:lineRule="exact"/>
        <w:jc w:val="left"/>
        <w:rPr>
          <w:color w:val="auto"/>
        </w:rPr>
      </w:pPr>
      <w:r>
        <w:rPr>
          <w:color w:val="auto"/>
        </w:rPr>
        <w:pict>
          <v:shape id="_x0000_s1039" o:spid="_x0000_s1039" o:spt="75" type="#_x0000_t75" style="position:absolute;left:0pt;margin-left:30.75pt;margin-top:-0.2pt;height:397.5pt;width:592.5pt;z-index:-251493376;mso-width-relative:page;mso-height-relative:page;" o:ole="t" filled="f" o:preferrelative="t" stroked="f" coordsize="21600,21600">
            <v:path/>
            <v:fill on="f" focussize="0,0"/>
            <v:stroke on="f"/>
            <v:imagedata r:id="rId66" o:title=""/>
            <o:lock v:ext="edit" aspectratio="f"/>
          </v:shape>
          <o:OLEObject Type="Embed" ProgID="Visio.Drawing.11" ShapeID="_x0000_s1039" DrawAspect="Content" ObjectID="_1468075745" r:id="rId65">
            <o:LockedField>false</o:LockedField>
          </o:OLEObject>
        </w:pict>
      </w:r>
    </w:p>
    <w:p>
      <w:pPr>
        <w:pStyle w:val="5"/>
        <w:spacing w:before="0" w:after="0" w:line="520" w:lineRule="exact"/>
        <w:ind w:firstLine="480" w:firstLineChars="200"/>
        <w:rPr>
          <w:b w:val="0"/>
          <w:bCs w:val="0"/>
          <w:color w:val="auto"/>
          <w:sz w:val="24"/>
          <w:szCs w:val="24"/>
        </w:rPr>
      </w:pPr>
    </w:p>
    <w:p>
      <w:pPr>
        <w:pStyle w:val="5"/>
        <w:spacing w:before="0" w:after="0" w:line="520" w:lineRule="exact"/>
        <w:ind w:firstLine="480" w:firstLineChars="200"/>
        <w:rPr>
          <w:b w:val="0"/>
          <w:bCs w:val="0"/>
          <w:color w:val="auto"/>
          <w:sz w:val="24"/>
          <w:szCs w:val="24"/>
        </w:rPr>
      </w:pPr>
    </w:p>
    <w:p>
      <w:pPr>
        <w:pStyle w:val="5"/>
        <w:spacing w:before="0" w:after="0" w:line="520" w:lineRule="exact"/>
        <w:ind w:firstLine="480" w:firstLineChars="200"/>
        <w:rPr>
          <w:b w:val="0"/>
          <w:bCs w:val="0"/>
          <w:color w:val="auto"/>
          <w:sz w:val="24"/>
          <w:szCs w:val="24"/>
        </w:rPr>
      </w:pPr>
    </w:p>
    <w:p>
      <w:pPr>
        <w:pStyle w:val="5"/>
        <w:spacing w:before="0" w:after="0" w:line="520" w:lineRule="exact"/>
        <w:ind w:firstLine="480" w:firstLineChars="200"/>
        <w:rPr>
          <w:b w:val="0"/>
          <w:bCs w:val="0"/>
          <w:color w:val="auto"/>
          <w:sz w:val="24"/>
          <w:szCs w:val="24"/>
        </w:rPr>
      </w:pPr>
    </w:p>
    <w:p>
      <w:pPr>
        <w:pStyle w:val="5"/>
        <w:spacing w:before="0" w:after="0" w:line="520" w:lineRule="exact"/>
        <w:ind w:firstLine="480" w:firstLineChars="200"/>
        <w:rPr>
          <w:b w:val="0"/>
          <w:bCs w:val="0"/>
          <w:color w:val="auto"/>
          <w:sz w:val="24"/>
          <w:szCs w:val="24"/>
        </w:rPr>
      </w:pPr>
    </w:p>
    <w:p>
      <w:pPr>
        <w:rPr>
          <w:b w:val="0"/>
          <w:bCs w:val="0"/>
          <w:color w:val="auto"/>
          <w:sz w:val="24"/>
          <w:szCs w:val="24"/>
        </w:rPr>
      </w:pPr>
    </w:p>
    <w:p>
      <w:pPr>
        <w:pStyle w:val="2"/>
        <w:rPr>
          <w:b w:val="0"/>
          <w:bCs w:val="0"/>
          <w:color w:val="auto"/>
          <w:sz w:val="24"/>
          <w:szCs w:val="24"/>
        </w:rPr>
      </w:pPr>
    </w:p>
    <w:p>
      <w:pPr>
        <w:rPr>
          <w:b w:val="0"/>
          <w:bCs w:val="0"/>
          <w:color w:val="auto"/>
          <w:sz w:val="24"/>
          <w:szCs w:val="24"/>
        </w:rPr>
      </w:pPr>
    </w:p>
    <w:p>
      <w:pPr>
        <w:pStyle w:val="2"/>
        <w:rPr>
          <w:b w:val="0"/>
          <w:bCs w:val="0"/>
          <w:color w:val="auto"/>
          <w:sz w:val="24"/>
          <w:szCs w:val="24"/>
        </w:rPr>
      </w:pPr>
    </w:p>
    <w:p>
      <w:pPr>
        <w:rPr>
          <w:b w:val="0"/>
          <w:bCs w:val="0"/>
          <w:color w:val="auto"/>
          <w:sz w:val="24"/>
          <w:szCs w:val="24"/>
        </w:rPr>
      </w:pPr>
    </w:p>
    <w:p>
      <w:pPr>
        <w:pStyle w:val="2"/>
        <w:rPr>
          <w:b w:val="0"/>
          <w:bCs w:val="0"/>
          <w:color w:val="auto"/>
          <w:sz w:val="24"/>
          <w:szCs w:val="24"/>
        </w:rPr>
      </w:pPr>
    </w:p>
    <w:p>
      <w:pPr>
        <w:rPr>
          <w:b w:val="0"/>
          <w:bCs w:val="0"/>
          <w:color w:val="auto"/>
          <w:sz w:val="24"/>
          <w:szCs w:val="24"/>
        </w:rPr>
      </w:pPr>
    </w:p>
    <w:p>
      <w:pPr>
        <w:pStyle w:val="2"/>
        <w:rPr>
          <w:b w:val="0"/>
          <w:bCs w:val="0"/>
          <w:color w:val="auto"/>
          <w:sz w:val="24"/>
          <w:szCs w:val="24"/>
        </w:rPr>
      </w:pPr>
    </w:p>
    <w:p>
      <w:pPr>
        <w:rPr>
          <w:b w:val="0"/>
          <w:bCs w:val="0"/>
          <w:color w:val="auto"/>
          <w:sz w:val="24"/>
          <w:szCs w:val="24"/>
        </w:rPr>
      </w:pPr>
    </w:p>
    <w:p>
      <w:pPr>
        <w:pStyle w:val="2"/>
        <w:rPr>
          <w:b w:val="0"/>
          <w:bCs w:val="0"/>
          <w:color w:val="auto"/>
          <w:sz w:val="24"/>
          <w:szCs w:val="24"/>
        </w:rPr>
      </w:pPr>
    </w:p>
    <w:p>
      <w:pPr>
        <w:rPr>
          <w:b w:val="0"/>
          <w:bCs w:val="0"/>
          <w:color w:val="auto"/>
          <w:sz w:val="24"/>
          <w:szCs w:val="24"/>
        </w:rPr>
      </w:pPr>
    </w:p>
    <w:p>
      <w:pPr>
        <w:pStyle w:val="2"/>
        <w:rPr>
          <w:b w:val="0"/>
          <w:bCs w:val="0"/>
          <w:color w:val="auto"/>
          <w:sz w:val="24"/>
          <w:szCs w:val="24"/>
        </w:rPr>
      </w:pPr>
    </w:p>
    <w:p/>
    <w:p>
      <w:pPr>
        <w:pStyle w:val="2"/>
      </w:pPr>
    </w:p>
    <w:p/>
    <w:p>
      <w:pPr>
        <w:pStyle w:val="2"/>
        <w:jc w:val="center"/>
        <w:rPr>
          <w:rFonts w:hint="default" w:eastAsia="宋体"/>
          <w:b/>
          <w:bCs/>
          <w:sz w:val="24"/>
          <w:szCs w:val="24"/>
          <w:lang w:val="en-US" w:eastAsia="zh-CN"/>
        </w:rPr>
        <w:sectPr>
          <w:pgSz w:w="16849" w:h="11911" w:orient="landscape"/>
          <w:pgMar w:top="1587" w:right="1440" w:bottom="1587" w:left="1440" w:header="680" w:footer="652" w:gutter="0"/>
          <w:pgBorders>
            <w:top w:val="none" w:sz="0" w:space="0"/>
            <w:left w:val="none" w:sz="0" w:space="0"/>
            <w:bottom w:val="none" w:sz="0" w:space="0"/>
            <w:right w:val="none" w:sz="0" w:space="0"/>
          </w:pgBorders>
          <w:cols w:space="720" w:num="1"/>
          <w:docGrid w:linePitch="322" w:charSpace="0"/>
        </w:sectPr>
      </w:pPr>
      <w:r>
        <w:rPr>
          <w:rFonts w:hint="eastAsia"/>
          <w:b/>
          <w:bCs/>
          <w:sz w:val="24"/>
          <w:szCs w:val="24"/>
          <w:lang w:eastAsia="zh-CN"/>
        </w:rPr>
        <w:t>图</w:t>
      </w:r>
      <w:r>
        <w:rPr>
          <w:rFonts w:hint="eastAsia"/>
          <w:b/>
          <w:bCs/>
          <w:sz w:val="24"/>
          <w:szCs w:val="24"/>
          <w:lang w:val="en-US" w:eastAsia="zh-CN"/>
        </w:rPr>
        <w:t>7-5  项目分区防渗图</w:t>
      </w:r>
    </w:p>
    <w:p>
      <w:pPr>
        <w:pStyle w:val="5"/>
        <w:spacing w:before="0" w:after="0" w:line="520" w:lineRule="exact"/>
        <w:ind w:firstLine="480" w:firstLineChars="200"/>
        <w:rPr>
          <w:b w:val="0"/>
          <w:bCs w:val="0"/>
          <w:color w:val="auto"/>
          <w:sz w:val="24"/>
          <w:szCs w:val="24"/>
        </w:rPr>
      </w:pPr>
      <w:r>
        <w:rPr>
          <w:b w:val="0"/>
          <w:bCs w:val="0"/>
          <w:color w:val="auto"/>
          <w:sz w:val="24"/>
          <w:szCs w:val="24"/>
        </w:rPr>
        <w:t>（2）地下水环境监管计划</w:t>
      </w:r>
    </w:p>
    <w:p>
      <w:pPr>
        <w:spacing w:line="360" w:lineRule="auto"/>
        <w:ind w:firstLine="480" w:firstLineChars="200"/>
        <w:rPr>
          <w:color w:val="auto"/>
          <w:kern w:val="0"/>
          <w:sz w:val="24"/>
        </w:rPr>
      </w:pPr>
      <w:r>
        <w:rPr>
          <w:color w:val="auto"/>
          <w:kern w:val="0"/>
          <w:sz w:val="24"/>
        </w:rPr>
        <w:t>设立地下水动态监测小组，负责对地下水环境监测和管理，或者委托有资质的单位完成。建立有关规章制度和岗位责任制。</w:t>
      </w:r>
    </w:p>
    <w:p>
      <w:pPr>
        <w:spacing w:line="360" w:lineRule="auto"/>
        <w:ind w:firstLine="480" w:firstLineChars="200"/>
        <w:rPr>
          <w:color w:val="auto"/>
          <w:kern w:val="0"/>
          <w:sz w:val="24"/>
        </w:rPr>
      </w:pPr>
      <w:r>
        <w:rPr>
          <w:color w:val="auto"/>
          <w:sz w:val="24"/>
        </w:rPr>
        <w:t>①</w:t>
      </w:r>
      <w:r>
        <w:rPr>
          <w:color w:val="auto"/>
          <w:kern w:val="0"/>
          <w:sz w:val="24"/>
        </w:rPr>
        <w:t>地下水监测计划</w:t>
      </w:r>
    </w:p>
    <w:p>
      <w:pPr>
        <w:spacing w:line="360" w:lineRule="auto"/>
        <w:ind w:firstLine="480" w:firstLineChars="200"/>
        <w:rPr>
          <w:color w:val="auto"/>
          <w:kern w:val="0"/>
          <w:sz w:val="24"/>
        </w:rPr>
      </w:pPr>
      <w:r>
        <w:rPr>
          <w:color w:val="auto"/>
          <w:kern w:val="0"/>
          <w:sz w:val="24"/>
        </w:rPr>
        <w:t>为及时准备掌握厂区及下游地区地下水环境质量状况，应建立覆盖全场地下水长期监控系统，建立完善的监测制度，配备先进的检测仪器和设备。</w:t>
      </w:r>
    </w:p>
    <w:p>
      <w:pPr>
        <w:spacing w:line="360" w:lineRule="auto"/>
        <w:ind w:firstLine="480" w:firstLineChars="200"/>
        <w:rPr>
          <w:color w:val="auto"/>
          <w:kern w:val="0"/>
          <w:sz w:val="24"/>
        </w:rPr>
      </w:pPr>
      <w:r>
        <w:rPr>
          <w:color w:val="auto"/>
          <w:kern w:val="0"/>
          <w:sz w:val="24"/>
        </w:rPr>
        <w:t>目前针对建设项目地下水环境监测的法律法规和规范等尚不完善，为此本项目地下水环境监测主要参考《环境影响评价技术导则  地下水环境》（HJ 610-2016）、《地下水环境监测技术规范》（HJ/T164-2004），结合评价区地下水系统特征，考虑本项目污染特征等因素来布置地下水监测点位。</w:t>
      </w:r>
    </w:p>
    <w:p>
      <w:pPr>
        <w:spacing w:line="360" w:lineRule="auto"/>
        <w:ind w:firstLine="480" w:firstLineChars="200"/>
        <w:rPr>
          <w:color w:val="auto"/>
          <w:kern w:val="0"/>
          <w:sz w:val="24"/>
        </w:rPr>
      </w:pPr>
      <w:r>
        <w:rPr>
          <w:color w:val="auto"/>
          <w:kern w:val="0"/>
          <w:sz w:val="24"/>
        </w:rPr>
        <w:t>根据《环境影响评价技术导则  地下水环境》（HJ 610-2016），三级评价的建设项目跟踪监测点一般不少于1个，应至少在建设项目场地下游布置1个，因此本项目应在场地下游布置1个地下水跟踪监测点位。</w:t>
      </w:r>
    </w:p>
    <w:p>
      <w:pPr>
        <w:spacing w:line="360" w:lineRule="auto"/>
        <w:ind w:firstLine="480" w:firstLineChars="200"/>
        <w:rPr>
          <w:color w:val="auto"/>
          <w:kern w:val="0"/>
          <w:sz w:val="24"/>
        </w:rPr>
      </w:pPr>
      <w:r>
        <w:rPr>
          <w:color w:val="auto"/>
          <w:kern w:val="0"/>
          <w:sz w:val="24"/>
        </w:rPr>
        <w:t>建设单位在运营过程中应做好监测井的运行维护，以防因井口外漏、管壁破裂或者其他原因造成废水倒灌或渗入井内而造成地下水污染。</w:t>
      </w:r>
    </w:p>
    <w:p>
      <w:pPr>
        <w:spacing w:line="360" w:lineRule="auto"/>
        <w:ind w:firstLine="480" w:firstLineChars="200"/>
        <w:rPr>
          <w:color w:val="auto"/>
          <w:kern w:val="0"/>
          <w:sz w:val="24"/>
        </w:rPr>
      </w:pPr>
      <w:r>
        <w:rPr>
          <w:color w:val="auto"/>
          <w:sz w:val="24"/>
        </w:rPr>
        <w:t>②</w:t>
      </w:r>
      <w:r>
        <w:rPr>
          <w:color w:val="auto"/>
          <w:kern w:val="0"/>
          <w:sz w:val="24"/>
        </w:rPr>
        <w:t>监测因子和监测频率</w:t>
      </w:r>
    </w:p>
    <w:p>
      <w:pPr>
        <w:spacing w:line="360" w:lineRule="auto"/>
        <w:ind w:firstLine="480" w:firstLineChars="200"/>
        <w:rPr>
          <w:color w:val="auto"/>
          <w:kern w:val="0"/>
          <w:sz w:val="24"/>
        </w:rPr>
      </w:pPr>
      <w:r>
        <w:rPr>
          <w:color w:val="auto"/>
          <w:kern w:val="0"/>
          <w:sz w:val="24"/>
        </w:rPr>
        <w:t>水质监测项目参照《地下水质量标准》相关要求和污染源特征污染因子确定，监测井可依据监测项目的不同适当增加和减少监测项目。</w:t>
      </w:r>
    </w:p>
    <w:p>
      <w:pPr>
        <w:spacing w:line="360" w:lineRule="auto"/>
        <w:ind w:firstLine="480" w:firstLineChars="200"/>
        <w:rPr>
          <w:color w:val="auto"/>
          <w:kern w:val="0"/>
          <w:sz w:val="24"/>
        </w:rPr>
      </w:pPr>
      <w:r>
        <w:rPr>
          <w:color w:val="auto"/>
          <w:kern w:val="0"/>
          <w:sz w:val="24"/>
        </w:rPr>
        <w:t>依据场地的水文地质条件，结合场区内地下水污染源的位置，确定地下水监测井使用功能，力求以最低的采样频次，取得最有时间的代表性的样品，达到全面反应场区内地下水水质状况、污染原因和规律的目的。</w:t>
      </w:r>
    </w:p>
    <w:p>
      <w:pPr>
        <w:spacing w:line="360" w:lineRule="auto"/>
        <w:ind w:firstLine="480" w:firstLineChars="200"/>
        <w:rPr>
          <w:color w:val="auto"/>
          <w:kern w:val="0"/>
          <w:sz w:val="24"/>
        </w:rPr>
      </w:pPr>
      <w:r>
        <w:rPr>
          <w:color w:val="auto"/>
          <w:kern w:val="0"/>
          <w:sz w:val="24"/>
        </w:rPr>
        <w:t>监测频次：每年1次。</w:t>
      </w:r>
    </w:p>
    <w:p>
      <w:pPr>
        <w:spacing w:line="360" w:lineRule="auto"/>
        <w:ind w:firstLine="480" w:firstLineChars="200"/>
        <w:rPr>
          <w:b/>
          <w:color w:val="auto"/>
          <w:sz w:val="24"/>
        </w:rPr>
      </w:pPr>
      <w:r>
        <w:rPr>
          <w:color w:val="auto"/>
          <w:kern w:val="0"/>
          <w:sz w:val="24"/>
        </w:rPr>
        <w:t>监测因子：</w:t>
      </w:r>
      <w:r>
        <w:rPr>
          <w:color w:val="auto"/>
          <w:sz w:val="24"/>
        </w:rPr>
        <w:t>pH、氨氮、氟化物、高锰酸盐指数、硫酸盐、溶解性总固体、总硬度、总大肠菌群、石油类。</w:t>
      </w:r>
    </w:p>
    <w:p>
      <w:pPr>
        <w:adjustRightInd w:val="0"/>
        <w:snapToGrid w:val="0"/>
        <w:spacing w:line="520" w:lineRule="exact"/>
        <w:jc w:val="center"/>
        <w:rPr>
          <w:b/>
          <w:color w:val="auto"/>
          <w:sz w:val="24"/>
        </w:rPr>
      </w:pPr>
      <w:r>
        <w:rPr>
          <w:b/>
          <w:color w:val="auto"/>
          <w:sz w:val="24"/>
        </w:rPr>
        <w:t>表</w:t>
      </w:r>
      <w:r>
        <w:rPr>
          <w:rFonts w:hint="eastAsia"/>
          <w:b/>
          <w:color w:val="auto"/>
          <w:sz w:val="24"/>
        </w:rPr>
        <w:t>7</w:t>
      </w:r>
      <w:r>
        <w:rPr>
          <w:b/>
          <w:color w:val="auto"/>
          <w:sz w:val="24"/>
        </w:rPr>
        <w:t>-</w:t>
      </w:r>
      <w:r>
        <w:rPr>
          <w:rFonts w:hint="eastAsia"/>
          <w:b/>
          <w:color w:val="auto"/>
          <w:sz w:val="24"/>
          <w:lang w:val="en-US" w:eastAsia="zh-CN"/>
        </w:rPr>
        <w:t xml:space="preserve">8 </w:t>
      </w:r>
      <w:r>
        <w:rPr>
          <w:b/>
          <w:color w:val="auto"/>
          <w:sz w:val="24"/>
        </w:rPr>
        <w:t xml:space="preserve"> 地下水跟踪监测井内容一览表</w:t>
      </w:r>
    </w:p>
    <w:tbl>
      <w:tblPr>
        <w:tblStyle w:val="53"/>
        <w:tblW w:w="0" w:type="auto"/>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1116"/>
        <w:gridCol w:w="1258"/>
        <w:gridCol w:w="1438"/>
        <w:gridCol w:w="3595"/>
        <w:gridCol w:w="1400"/>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37" w:hRule="atLeast"/>
          <w:tblHeader/>
          <w:jc w:val="center"/>
        </w:trPr>
        <w:tc>
          <w:tcPr>
            <w:tcW w:w="1116" w:type="dxa"/>
            <w:vAlign w:val="center"/>
          </w:tcPr>
          <w:p>
            <w:pPr>
              <w:pStyle w:val="22"/>
              <w:spacing w:line="240" w:lineRule="auto"/>
              <w:ind w:firstLine="0"/>
              <w:jc w:val="center"/>
              <w:rPr>
                <w:b w:val="0"/>
                <w:bCs/>
                <w:color w:val="auto"/>
                <w:sz w:val="21"/>
                <w:szCs w:val="21"/>
              </w:rPr>
            </w:pPr>
            <w:r>
              <w:rPr>
                <w:b w:val="0"/>
                <w:bCs/>
                <w:color w:val="auto"/>
                <w:sz w:val="21"/>
                <w:szCs w:val="21"/>
              </w:rPr>
              <w:t>监测井编号</w:t>
            </w:r>
          </w:p>
        </w:tc>
        <w:tc>
          <w:tcPr>
            <w:tcW w:w="1258" w:type="dxa"/>
            <w:tcBorders>
              <w:right w:val="single" w:color="auto" w:sz="4" w:space="0"/>
            </w:tcBorders>
            <w:vAlign w:val="center"/>
          </w:tcPr>
          <w:p>
            <w:pPr>
              <w:pStyle w:val="22"/>
              <w:spacing w:line="240" w:lineRule="auto"/>
              <w:ind w:firstLine="0"/>
              <w:jc w:val="center"/>
              <w:rPr>
                <w:b w:val="0"/>
                <w:bCs/>
                <w:color w:val="auto"/>
                <w:sz w:val="21"/>
                <w:szCs w:val="21"/>
              </w:rPr>
            </w:pPr>
            <w:r>
              <w:rPr>
                <w:b w:val="0"/>
                <w:bCs/>
                <w:color w:val="auto"/>
                <w:sz w:val="21"/>
                <w:szCs w:val="21"/>
              </w:rPr>
              <w:t>点位</w:t>
            </w:r>
          </w:p>
        </w:tc>
        <w:tc>
          <w:tcPr>
            <w:tcW w:w="1438" w:type="dxa"/>
            <w:vAlign w:val="center"/>
          </w:tcPr>
          <w:p>
            <w:pPr>
              <w:pStyle w:val="22"/>
              <w:spacing w:line="240" w:lineRule="auto"/>
              <w:ind w:firstLine="0"/>
              <w:jc w:val="center"/>
              <w:rPr>
                <w:b w:val="0"/>
                <w:bCs/>
                <w:color w:val="auto"/>
                <w:sz w:val="21"/>
                <w:szCs w:val="21"/>
              </w:rPr>
            </w:pPr>
            <w:r>
              <w:rPr>
                <w:b w:val="0"/>
                <w:bCs/>
                <w:color w:val="auto"/>
                <w:sz w:val="21"/>
                <w:szCs w:val="21"/>
              </w:rPr>
              <w:t>监测层位</w:t>
            </w:r>
          </w:p>
        </w:tc>
        <w:tc>
          <w:tcPr>
            <w:tcW w:w="3595" w:type="dxa"/>
            <w:vAlign w:val="center"/>
          </w:tcPr>
          <w:p>
            <w:pPr>
              <w:pStyle w:val="22"/>
              <w:spacing w:line="240" w:lineRule="auto"/>
              <w:ind w:firstLine="0"/>
              <w:jc w:val="center"/>
              <w:rPr>
                <w:b w:val="0"/>
                <w:bCs/>
                <w:color w:val="auto"/>
                <w:sz w:val="21"/>
                <w:szCs w:val="21"/>
              </w:rPr>
            </w:pPr>
            <w:r>
              <w:rPr>
                <w:b w:val="0"/>
                <w:bCs/>
                <w:color w:val="auto"/>
                <w:sz w:val="21"/>
                <w:szCs w:val="21"/>
              </w:rPr>
              <w:t>监测因子</w:t>
            </w:r>
          </w:p>
        </w:tc>
        <w:tc>
          <w:tcPr>
            <w:tcW w:w="1400" w:type="dxa"/>
            <w:vAlign w:val="center"/>
          </w:tcPr>
          <w:p>
            <w:pPr>
              <w:pStyle w:val="22"/>
              <w:spacing w:line="240" w:lineRule="auto"/>
              <w:ind w:firstLine="0"/>
              <w:jc w:val="center"/>
              <w:rPr>
                <w:b w:val="0"/>
                <w:bCs/>
                <w:color w:val="auto"/>
                <w:sz w:val="21"/>
                <w:szCs w:val="21"/>
              </w:rPr>
            </w:pPr>
            <w:r>
              <w:rPr>
                <w:b w:val="0"/>
                <w:bCs/>
                <w:color w:val="auto"/>
                <w:sz w:val="21"/>
                <w:szCs w:val="21"/>
              </w:rPr>
              <w:t>监测频率</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37" w:hRule="atLeast"/>
          <w:jc w:val="center"/>
        </w:trPr>
        <w:tc>
          <w:tcPr>
            <w:tcW w:w="1116" w:type="dxa"/>
            <w:vAlign w:val="center"/>
          </w:tcPr>
          <w:p>
            <w:pPr>
              <w:pStyle w:val="22"/>
              <w:spacing w:line="240" w:lineRule="auto"/>
              <w:ind w:firstLine="0"/>
              <w:jc w:val="center"/>
              <w:rPr>
                <w:b w:val="0"/>
                <w:bCs/>
                <w:color w:val="auto"/>
                <w:sz w:val="21"/>
                <w:szCs w:val="21"/>
              </w:rPr>
            </w:pPr>
            <w:r>
              <w:rPr>
                <w:b w:val="0"/>
                <w:bCs/>
                <w:color w:val="auto"/>
                <w:sz w:val="21"/>
                <w:szCs w:val="21"/>
              </w:rPr>
              <w:t>1#监测井</w:t>
            </w:r>
          </w:p>
        </w:tc>
        <w:tc>
          <w:tcPr>
            <w:tcW w:w="1258" w:type="dxa"/>
            <w:tcBorders>
              <w:right w:val="single" w:color="auto" w:sz="4" w:space="0"/>
            </w:tcBorders>
            <w:vAlign w:val="center"/>
          </w:tcPr>
          <w:p>
            <w:pPr>
              <w:pStyle w:val="22"/>
              <w:spacing w:line="240" w:lineRule="auto"/>
              <w:ind w:firstLine="0"/>
              <w:jc w:val="center"/>
              <w:rPr>
                <w:b w:val="0"/>
                <w:bCs/>
                <w:color w:val="auto"/>
                <w:sz w:val="21"/>
                <w:szCs w:val="21"/>
              </w:rPr>
            </w:pPr>
            <w:r>
              <w:rPr>
                <w:b w:val="0"/>
                <w:bCs/>
                <w:color w:val="auto"/>
                <w:sz w:val="21"/>
                <w:szCs w:val="21"/>
              </w:rPr>
              <w:t>场地下游</w:t>
            </w:r>
          </w:p>
        </w:tc>
        <w:tc>
          <w:tcPr>
            <w:tcW w:w="1438" w:type="dxa"/>
            <w:vAlign w:val="center"/>
          </w:tcPr>
          <w:p>
            <w:pPr>
              <w:pStyle w:val="22"/>
              <w:spacing w:line="240" w:lineRule="auto"/>
              <w:ind w:firstLine="0"/>
              <w:jc w:val="center"/>
              <w:rPr>
                <w:b w:val="0"/>
                <w:bCs/>
                <w:color w:val="auto"/>
                <w:sz w:val="21"/>
                <w:szCs w:val="21"/>
              </w:rPr>
            </w:pPr>
            <w:r>
              <w:rPr>
                <w:b w:val="0"/>
                <w:bCs/>
                <w:color w:val="auto"/>
                <w:sz w:val="21"/>
                <w:szCs w:val="21"/>
              </w:rPr>
              <w:t>含水层</w:t>
            </w:r>
          </w:p>
        </w:tc>
        <w:tc>
          <w:tcPr>
            <w:tcW w:w="3595" w:type="dxa"/>
            <w:vAlign w:val="center"/>
          </w:tcPr>
          <w:p>
            <w:pPr>
              <w:pStyle w:val="22"/>
              <w:spacing w:line="240" w:lineRule="auto"/>
              <w:ind w:firstLine="0"/>
              <w:jc w:val="center"/>
              <w:rPr>
                <w:b w:val="0"/>
                <w:bCs/>
                <w:color w:val="auto"/>
                <w:sz w:val="21"/>
                <w:szCs w:val="21"/>
              </w:rPr>
            </w:pPr>
            <w:r>
              <w:rPr>
                <w:b w:val="0"/>
                <w:bCs/>
                <w:color w:val="auto"/>
                <w:sz w:val="21"/>
                <w:szCs w:val="21"/>
              </w:rPr>
              <w:t>pH、氨氮、氟化物、高锰酸盐指数、硫酸盐、溶解性总固体、总硬度、总大肠菌群、石油类</w:t>
            </w:r>
          </w:p>
        </w:tc>
        <w:tc>
          <w:tcPr>
            <w:tcW w:w="1400" w:type="dxa"/>
            <w:vAlign w:val="center"/>
          </w:tcPr>
          <w:p>
            <w:pPr>
              <w:pStyle w:val="22"/>
              <w:spacing w:line="240" w:lineRule="auto"/>
              <w:ind w:firstLine="0"/>
              <w:jc w:val="center"/>
              <w:rPr>
                <w:b w:val="0"/>
                <w:bCs/>
                <w:color w:val="auto"/>
                <w:sz w:val="21"/>
                <w:szCs w:val="21"/>
              </w:rPr>
            </w:pPr>
            <w:r>
              <w:rPr>
                <w:b w:val="0"/>
                <w:bCs/>
                <w:color w:val="auto"/>
                <w:sz w:val="21"/>
                <w:szCs w:val="21"/>
              </w:rPr>
              <w:t>每年1次</w:t>
            </w:r>
          </w:p>
        </w:tc>
      </w:tr>
    </w:tbl>
    <w:p>
      <w:pPr>
        <w:spacing w:line="520" w:lineRule="exact"/>
        <w:ind w:firstLine="360" w:firstLineChars="150"/>
        <w:rPr>
          <w:color w:val="auto"/>
          <w:kern w:val="0"/>
          <w:sz w:val="24"/>
        </w:rPr>
      </w:pPr>
      <w:r>
        <w:rPr>
          <w:color w:val="auto"/>
          <w:kern w:val="0"/>
          <w:sz w:val="24"/>
        </w:rPr>
        <w:t>地下水跟踪监测应聘请专业的采样人员采样，地下水水质监测采集瞬时水样。从井水中采集水样，必须在充分抽汲后进行，抽取的水量不得少于井内水体积的2倍，采样深度应在地下水水面1m以下，保证水样能代表地下水水质。</w:t>
      </w:r>
    </w:p>
    <w:p>
      <w:pPr>
        <w:pStyle w:val="5"/>
        <w:spacing w:before="0" w:after="0" w:line="520" w:lineRule="exact"/>
        <w:ind w:firstLine="480" w:firstLineChars="200"/>
        <w:rPr>
          <w:b w:val="0"/>
          <w:bCs w:val="0"/>
          <w:color w:val="auto"/>
          <w:sz w:val="24"/>
          <w:szCs w:val="24"/>
        </w:rPr>
      </w:pPr>
      <w:r>
        <w:rPr>
          <w:b w:val="0"/>
          <w:bCs w:val="0"/>
          <w:color w:val="auto"/>
          <w:sz w:val="24"/>
          <w:szCs w:val="24"/>
        </w:rPr>
        <w:t>（3）地下水跟踪监测与信息公开计划</w:t>
      </w:r>
    </w:p>
    <w:p>
      <w:pPr>
        <w:spacing w:line="520" w:lineRule="exact"/>
        <w:ind w:firstLine="360" w:firstLineChars="150"/>
        <w:rPr>
          <w:color w:val="auto"/>
          <w:kern w:val="0"/>
          <w:sz w:val="24"/>
        </w:rPr>
      </w:pPr>
      <w:r>
        <w:rPr>
          <w:color w:val="auto"/>
          <w:kern w:val="0"/>
          <w:sz w:val="24"/>
        </w:rPr>
        <w:t>厂方安全环保部门应设立地下水动态监测小组，专人负责监测，并编写地下水跟踪监测报告，监测报告的内容一般包括：</w:t>
      </w:r>
    </w:p>
    <w:p>
      <w:pPr>
        <w:spacing w:line="520" w:lineRule="exact"/>
        <w:ind w:firstLine="360" w:firstLineChars="150"/>
        <w:rPr>
          <w:color w:val="auto"/>
          <w:kern w:val="0"/>
          <w:sz w:val="24"/>
        </w:rPr>
      </w:pPr>
      <w:r>
        <w:rPr>
          <w:color w:val="auto"/>
          <w:sz w:val="24"/>
        </w:rPr>
        <w:t>①</w:t>
      </w:r>
      <w:r>
        <w:rPr>
          <w:color w:val="auto"/>
          <w:kern w:val="0"/>
          <w:sz w:val="24"/>
        </w:rPr>
        <w:t>建设项目所在场地的地下水环境跟踪监测数据，排放污染物的种类数量和浓度等；</w:t>
      </w:r>
    </w:p>
    <w:p>
      <w:pPr>
        <w:spacing w:line="520" w:lineRule="exact"/>
        <w:ind w:firstLine="360" w:firstLineChars="150"/>
        <w:rPr>
          <w:color w:val="auto"/>
          <w:kern w:val="0"/>
          <w:sz w:val="24"/>
        </w:rPr>
      </w:pPr>
      <w:r>
        <w:rPr>
          <w:color w:val="auto"/>
          <w:sz w:val="24"/>
        </w:rPr>
        <w:t>②</w:t>
      </w:r>
      <w:r>
        <w:rPr>
          <w:color w:val="auto"/>
          <w:kern w:val="0"/>
          <w:sz w:val="24"/>
        </w:rPr>
        <w:t>生产设备、管廊或管线、贮存与运输装置、污染物贮存与处理装置、事故应急装置等设施的运行状况、跑冒滴漏记录和维护记录。</w:t>
      </w:r>
    </w:p>
    <w:p>
      <w:pPr>
        <w:pStyle w:val="5"/>
        <w:spacing w:before="0" w:after="0" w:line="520" w:lineRule="exact"/>
        <w:ind w:firstLine="480" w:firstLineChars="200"/>
        <w:rPr>
          <w:b w:val="0"/>
          <w:bCs w:val="0"/>
          <w:color w:val="auto"/>
          <w:sz w:val="24"/>
          <w:szCs w:val="24"/>
        </w:rPr>
      </w:pPr>
      <w:r>
        <w:rPr>
          <w:b w:val="0"/>
          <w:bCs w:val="0"/>
          <w:color w:val="auto"/>
          <w:sz w:val="24"/>
          <w:szCs w:val="24"/>
        </w:rPr>
        <w:t>（4）地下水应急治理措施</w:t>
      </w:r>
    </w:p>
    <w:p>
      <w:pPr>
        <w:spacing w:line="520" w:lineRule="exact"/>
        <w:ind w:firstLine="360" w:firstLineChars="150"/>
        <w:rPr>
          <w:color w:val="auto"/>
          <w:kern w:val="0"/>
          <w:sz w:val="24"/>
        </w:rPr>
      </w:pPr>
      <w:r>
        <w:rPr>
          <w:color w:val="auto"/>
          <w:sz w:val="24"/>
        </w:rPr>
        <w:t>①</w:t>
      </w:r>
      <w:r>
        <w:rPr>
          <w:color w:val="auto"/>
          <w:kern w:val="0"/>
          <w:sz w:val="24"/>
        </w:rPr>
        <w:t>风险应急程序</w:t>
      </w:r>
    </w:p>
    <w:p>
      <w:pPr>
        <w:spacing w:line="520" w:lineRule="exact"/>
        <w:ind w:firstLine="360" w:firstLineChars="150"/>
        <w:rPr>
          <w:color w:val="auto"/>
          <w:kern w:val="0"/>
          <w:sz w:val="24"/>
        </w:rPr>
      </w:pPr>
      <w:r>
        <w:rPr>
          <w:color w:val="auto"/>
          <w:kern w:val="0"/>
          <w:sz w:val="24"/>
        </w:rPr>
        <w:t>针对应急工作需要，参照相关技术导则，结合地下水污染治理的技术特点，制定地下水污染应急治理程序。</w:t>
      </w:r>
    </w:p>
    <w:p>
      <w:pPr>
        <w:pStyle w:val="2"/>
        <w:rPr>
          <w:color w:val="auto"/>
          <w:kern w:val="0"/>
          <w:sz w:val="24"/>
        </w:rPr>
      </w:pPr>
    </w:p>
    <w:p>
      <w:pPr>
        <w:rPr>
          <w:color w:val="auto"/>
          <w:kern w:val="0"/>
          <w:sz w:val="24"/>
        </w:rPr>
      </w:pPr>
    </w:p>
    <w:p>
      <w:pPr>
        <w:pStyle w:val="2"/>
        <w:rPr>
          <w:color w:val="auto"/>
          <w:kern w:val="0"/>
          <w:sz w:val="24"/>
        </w:rPr>
      </w:pPr>
    </w:p>
    <w:p>
      <w:pPr>
        <w:rPr>
          <w:color w:val="auto"/>
          <w:kern w:val="0"/>
          <w:sz w:val="24"/>
        </w:rPr>
      </w:pPr>
    </w:p>
    <w:p>
      <w:pPr>
        <w:pStyle w:val="2"/>
        <w:rPr>
          <w:color w:val="auto"/>
          <w:kern w:val="0"/>
          <w:sz w:val="24"/>
        </w:rPr>
      </w:pPr>
    </w:p>
    <w:p>
      <w:pPr>
        <w:rPr>
          <w:color w:val="auto"/>
          <w:kern w:val="0"/>
          <w:sz w:val="24"/>
        </w:rPr>
      </w:pPr>
    </w:p>
    <w:p>
      <w:pPr>
        <w:pStyle w:val="2"/>
        <w:rPr>
          <w:color w:val="auto"/>
          <w:kern w:val="0"/>
          <w:sz w:val="24"/>
        </w:rPr>
      </w:pPr>
    </w:p>
    <w:p>
      <w:pPr>
        <w:rPr>
          <w:color w:val="auto"/>
          <w:kern w:val="0"/>
          <w:sz w:val="24"/>
        </w:rPr>
      </w:pPr>
    </w:p>
    <w:p>
      <w:pPr>
        <w:pStyle w:val="2"/>
        <w:rPr>
          <w:color w:val="auto"/>
          <w:kern w:val="0"/>
          <w:sz w:val="24"/>
        </w:rPr>
      </w:pPr>
    </w:p>
    <w:p>
      <w:pPr>
        <w:rPr>
          <w:color w:val="auto"/>
          <w:kern w:val="0"/>
          <w:sz w:val="24"/>
        </w:rPr>
      </w:pPr>
    </w:p>
    <w:p>
      <w:pPr>
        <w:pStyle w:val="2"/>
        <w:rPr>
          <w:color w:val="auto"/>
          <w:kern w:val="0"/>
          <w:sz w:val="24"/>
        </w:rPr>
      </w:pPr>
    </w:p>
    <w:p>
      <w:pPr>
        <w:rPr>
          <w:color w:val="auto"/>
          <w:kern w:val="0"/>
          <w:sz w:val="24"/>
        </w:rPr>
      </w:pPr>
    </w:p>
    <w:p>
      <w:pPr>
        <w:pStyle w:val="2"/>
        <w:rPr>
          <w:color w:val="auto"/>
          <w:kern w:val="0"/>
          <w:sz w:val="24"/>
        </w:rPr>
      </w:pPr>
    </w:p>
    <w:p>
      <w:pPr>
        <w:rPr>
          <w:color w:val="auto"/>
          <w:kern w:val="0"/>
          <w:sz w:val="24"/>
        </w:rPr>
      </w:pPr>
    </w:p>
    <w:p>
      <w:pPr>
        <w:pStyle w:val="2"/>
        <w:rPr>
          <w:color w:val="auto"/>
          <w:kern w:val="0"/>
          <w:sz w:val="24"/>
        </w:rPr>
      </w:pPr>
    </w:p>
    <w:p>
      <w:pPr>
        <w:rPr>
          <w:color w:val="auto"/>
          <w:kern w:val="0"/>
          <w:sz w:val="24"/>
        </w:rPr>
      </w:pPr>
    </w:p>
    <w:p>
      <w:pPr>
        <w:pStyle w:val="2"/>
        <w:rPr>
          <w:color w:val="auto"/>
          <w:kern w:val="0"/>
          <w:sz w:val="24"/>
        </w:rPr>
      </w:pPr>
    </w:p>
    <w:p>
      <w:pPr>
        <w:rPr>
          <w:color w:val="auto"/>
          <w:kern w:val="0"/>
          <w:sz w:val="24"/>
        </w:rPr>
      </w:pPr>
    </w:p>
    <w:p>
      <w:pPr>
        <w:pStyle w:val="2"/>
        <w:rPr>
          <w:color w:val="auto"/>
          <w:kern w:val="0"/>
          <w:sz w:val="24"/>
        </w:rPr>
      </w:pPr>
    </w:p>
    <w:p>
      <w:pPr>
        <w:rPr>
          <w:color w:val="auto"/>
          <w:kern w:val="0"/>
          <w:sz w:val="24"/>
        </w:rPr>
      </w:pPr>
    </w:p>
    <w:p/>
    <w:p>
      <w:pPr>
        <w:pStyle w:val="2"/>
        <w:rPr>
          <w:color w:val="auto"/>
          <w:kern w:val="0"/>
          <w:sz w:val="24"/>
        </w:rPr>
      </w:pPr>
    </w:p>
    <w:p>
      <w:pPr>
        <w:rPr>
          <w:color w:val="auto"/>
          <w:kern w:val="0"/>
          <w:sz w:val="24"/>
        </w:rPr>
      </w:pPr>
      <w:r>
        <w:rPr>
          <w:color w:val="auto"/>
        </w:rPr>
        <w:drawing>
          <wp:anchor distT="0" distB="0" distL="114300" distR="114300" simplePos="0" relativeHeight="251677696" behindDoc="0" locked="0" layoutInCell="1" allowOverlap="1">
            <wp:simplePos x="0" y="0"/>
            <wp:positionH relativeFrom="column">
              <wp:posOffset>315595</wp:posOffset>
            </wp:positionH>
            <wp:positionV relativeFrom="paragraph">
              <wp:posOffset>-76200</wp:posOffset>
            </wp:positionV>
            <wp:extent cx="5048250" cy="6237605"/>
            <wp:effectExtent l="0" t="0" r="11430" b="10795"/>
            <wp:wrapNone/>
            <wp:docPr id="5" name="图片 3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3500"/>
                    <pic:cNvPicPr>
                      <a:picLocks noChangeAspect="1"/>
                    </pic:cNvPicPr>
                  </pic:nvPicPr>
                  <pic:blipFill>
                    <a:blip r:embed="rId67"/>
                    <a:stretch>
                      <a:fillRect/>
                    </a:stretch>
                  </pic:blipFill>
                  <pic:spPr>
                    <a:xfrm>
                      <a:off x="0" y="0"/>
                      <a:ext cx="5048250" cy="6237605"/>
                    </a:xfrm>
                    <a:prstGeom prst="rect">
                      <a:avLst/>
                    </a:prstGeom>
                    <a:noFill/>
                    <a:ln>
                      <a:noFill/>
                    </a:ln>
                  </pic:spPr>
                </pic:pic>
              </a:graphicData>
            </a:graphic>
          </wp:anchor>
        </w:drawing>
      </w:r>
    </w:p>
    <w:p>
      <w:pPr>
        <w:pStyle w:val="2"/>
        <w:rPr>
          <w:color w:val="auto"/>
          <w:kern w:val="0"/>
          <w:sz w:val="24"/>
        </w:rPr>
      </w:pPr>
    </w:p>
    <w:p>
      <w:pPr>
        <w:rPr>
          <w:color w:val="auto"/>
          <w:kern w:val="0"/>
          <w:sz w:val="24"/>
        </w:rPr>
      </w:pPr>
    </w:p>
    <w:p>
      <w:pPr>
        <w:pStyle w:val="2"/>
        <w:rPr>
          <w:color w:val="auto"/>
          <w:kern w:val="0"/>
          <w:sz w:val="24"/>
        </w:rPr>
      </w:pPr>
    </w:p>
    <w:p>
      <w:pPr>
        <w:rPr>
          <w:color w:val="auto"/>
          <w:kern w:val="0"/>
          <w:sz w:val="24"/>
        </w:rPr>
      </w:pPr>
    </w:p>
    <w:p>
      <w:pPr>
        <w:pStyle w:val="2"/>
        <w:rPr>
          <w:color w:val="auto"/>
          <w:kern w:val="0"/>
          <w:sz w:val="24"/>
        </w:rPr>
      </w:pPr>
    </w:p>
    <w:p>
      <w:pPr>
        <w:rPr>
          <w:color w:val="auto"/>
        </w:rPr>
      </w:pPr>
    </w:p>
    <w:p>
      <w:pPr>
        <w:rPr>
          <w:color w:val="auto"/>
        </w:rPr>
      </w:pPr>
    </w:p>
    <w:p>
      <w:pPr>
        <w:spacing w:line="520" w:lineRule="exact"/>
        <w:ind w:firstLine="360" w:firstLineChars="150"/>
        <w:rPr>
          <w:color w:val="auto"/>
          <w:kern w:val="0"/>
          <w:sz w:val="24"/>
        </w:rPr>
      </w:pPr>
    </w:p>
    <w:p>
      <w:pPr>
        <w:spacing w:line="520" w:lineRule="exact"/>
        <w:ind w:firstLine="360" w:firstLineChars="150"/>
        <w:rPr>
          <w:color w:val="auto"/>
          <w:kern w:val="0"/>
          <w:sz w:val="24"/>
        </w:rPr>
      </w:pPr>
    </w:p>
    <w:p>
      <w:pPr>
        <w:spacing w:line="520" w:lineRule="exact"/>
        <w:ind w:firstLine="360" w:firstLineChars="150"/>
        <w:rPr>
          <w:color w:val="auto"/>
          <w:kern w:val="0"/>
          <w:sz w:val="24"/>
        </w:rPr>
      </w:pPr>
    </w:p>
    <w:p>
      <w:pPr>
        <w:spacing w:line="520" w:lineRule="exact"/>
        <w:ind w:firstLine="360" w:firstLineChars="150"/>
        <w:rPr>
          <w:color w:val="auto"/>
          <w:kern w:val="0"/>
          <w:sz w:val="24"/>
        </w:rPr>
      </w:pPr>
    </w:p>
    <w:p>
      <w:pPr>
        <w:pStyle w:val="2"/>
        <w:rPr>
          <w:color w:val="auto"/>
          <w:kern w:val="0"/>
          <w:sz w:val="24"/>
        </w:rPr>
      </w:pPr>
    </w:p>
    <w:p>
      <w:pPr>
        <w:rPr>
          <w:color w:val="auto"/>
          <w:kern w:val="0"/>
          <w:sz w:val="24"/>
        </w:rPr>
      </w:pPr>
    </w:p>
    <w:p>
      <w:pPr>
        <w:pStyle w:val="2"/>
        <w:rPr>
          <w:color w:val="auto"/>
        </w:rPr>
      </w:pPr>
    </w:p>
    <w:p>
      <w:pPr>
        <w:spacing w:line="520" w:lineRule="exact"/>
        <w:ind w:firstLine="360" w:firstLineChars="150"/>
        <w:rPr>
          <w:color w:val="auto"/>
          <w:kern w:val="0"/>
          <w:sz w:val="24"/>
        </w:rPr>
      </w:pPr>
    </w:p>
    <w:p>
      <w:pPr>
        <w:spacing w:line="520" w:lineRule="exact"/>
        <w:ind w:firstLine="360" w:firstLineChars="150"/>
        <w:rPr>
          <w:color w:val="auto"/>
          <w:kern w:val="0"/>
          <w:sz w:val="24"/>
        </w:rPr>
      </w:pPr>
    </w:p>
    <w:p>
      <w:pPr>
        <w:spacing w:line="520" w:lineRule="exact"/>
        <w:ind w:firstLine="360" w:firstLineChars="150"/>
        <w:rPr>
          <w:color w:val="auto"/>
          <w:kern w:val="0"/>
          <w:sz w:val="24"/>
        </w:rPr>
      </w:pPr>
    </w:p>
    <w:p>
      <w:pPr>
        <w:spacing w:line="520" w:lineRule="exact"/>
        <w:ind w:firstLine="360" w:firstLineChars="150"/>
        <w:rPr>
          <w:color w:val="auto"/>
          <w:kern w:val="0"/>
          <w:sz w:val="24"/>
        </w:rPr>
      </w:pPr>
    </w:p>
    <w:p>
      <w:pPr>
        <w:spacing w:line="520" w:lineRule="exact"/>
        <w:ind w:firstLine="360" w:firstLineChars="150"/>
        <w:rPr>
          <w:color w:val="auto"/>
          <w:kern w:val="0"/>
          <w:sz w:val="24"/>
        </w:rPr>
      </w:pPr>
    </w:p>
    <w:p>
      <w:pPr>
        <w:spacing w:line="520" w:lineRule="exact"/>
        <w:rPr>
          <w:color w:val="auto"/>
          <w:kern w:val="0"/>
          <w:sz w:val="24"/>
        </w:rPr>
      </w:pPr>
    </w:p>
    <w:p>
      <w:pPr>
        <w:pStyle w:val="2"/>
        <w:rPr>
          <w:color w:val="auto"/>
        </w:rPr>
      </w:pPr>
    </w:p>
    <w:p>
      <w:pPr>
        <w:adjustRightInd w:val="0"/>
        <w:snapToGrid w:val="0"/>
        <w:spacing w:line="520" w:lineRule="exact"/>
        <w:jc w:val="center"/>
        <w:rPr>
          <w:b/>
          <w:color w:val="auto"/>
          <w:sz w:val="24"/>
        </w:rPr>
      </w:pPr>
    </w:p>
    <w:p>
      <w:pPr>
        <w:adjustRightInd w:val="0"/>
        <w:snapToGrid w:val="0"/>
        <w:spacing w:line="520" w:lineRule="exact"/>
        <w:jc w:val="center"/>
        <w:rPr>
          <w:color w:val="auto"/>
        </w:rPr>
      </w:pPr>
      <w:r>
        <w:rPr>
          <w:b/>
          <w:color w:val="auto"/>
          <w:sz w:val="24"/>
        </w:rPr>
        <w:t>图</w:t>
      </w:r>
      <w:r>
        <w:rPr>
          <w:rFonts w:hint="eastAsia"/>
          <w:b/>
          <w:color w:val="auto"/>
          <w:sz w:val="24"/>
        </w:rPr>
        <w:t>7</w:t>
      </w:r>
      <w:r>
        <w:rPr>
          <w:b/>
          <w:color w:val="auto"/>
          <w:sz w:val="24"/>
        </w:rPr>
        <w:t>-</w:t>
      </w:r>
      <w:r>
        <w:rPr>
          <w:rFonts w:hint="eastAsia"/>
          <w:b/>
          <w:color w:val="auto"/>
          <w:sz w:val="24"/>
          <w:lang w:val="en-US" w:eastAsia="zh-CN"/>
        </w:rPr>
        <w:t>6</w:t>
      </w:r>
      <w:r>
        <w:rPr>
          <w:rFonts w:hint="eastAsia"/>
          <w:b/>
          <w:color w:val="auto"/>
          <w:sz w:val="24"/>
        </w:rPr>
        <w:t xml:space="preserve">  </w:t>
      </w:r>
      <w:r>
        <w:rPr>
          <w:b/>
          <w:color w:val="auto"/>
          <w:sz w:val="24"/>
        </w:rPr>
        <w:t>地下水污染应急治理程序</w:t>
      </w:r>
    </w:p>
    <w:p>
      <w:pPr>
        <w:spacing w:line="520" w:lineRule="exact"/>
        <w:ind w:firstLine="360" w:firstLineChars="150"/>
        <w:rPr>
          <w:color w:val="auto"/>
          <w:kern w:val="0"/>
          <w:sz w:val="24"/>
        </w:rPr>
      </w:pPr>
      <w:r>
        <w:rPr>
          <w:color w:val="auto"/>
          <w:sz w:val="24"/>
        </w:rPr>
        <w:t>②</w:t>
      </w:r>
      <w:r>
        <w:rPr>
          <w:color w:val="auto"/>
          <w:kern w:val="0"/>
          <w:sz w:val="24"/>
        </w:rPr>
        <w:t>应急措施</w:t>
      </w:r>
    </w:p>
    <w:p>
      <w:pPr>
        <w:spacing w:line="520" w:lineRule="exact"/>
        <w:ind w:firstLine="360" w:firstLineChars="150"/>
        <w:rPr>
          <w:color w:val="auto"/>
          <w:kern w:val="0"/>
          <w:sz w:val="24"/>
        </w:rPr>
      </w:pPr>
      <w:r>
        <w:rPr>
          <w:color w:val="auto"/>
          <w:sz w:val="24"/>
        </w:rPr>
        <w:t>A、</w:t>
      </w:r>
      <w:r>
        <w:rPr>
          <w:color w:val="auto"/>
          <w:kern w:val="0"/>
          <w:sz w:val="24"/>
        </w:rPr>
        <w:t>一旦发生地下水污染事故，应立即启动应急预案；</w:t>
      </w:r>
    </w:p>
    <w:p>
      <w:pPr>
        <w:spacing w:line="520" w:lineRule="exact"/>
        <w:ind w:firstLine="360" w:firstLineChars="150"/>
        <w:rPr>
          <w:color w:val="auto"/>
          <w:kern w:val="0"/>
          <w:sz w:val="24"/>
        </w:rPr>
      </w:pPr>
      <w:r>
        <w:rPr>
          <w:color w:val="auto"/>
          <w:sz w:val="24"/>
        </w:rPr>
        <w:t>B、</w:t>
      </w:r>
      <w:r>
        <w:rPr>
          <w:color w:val="auto"/>
          <w:kern w:val="0"/>
          <w:sz w:val="24"/>
        </w:rPr>
        <w:t>查明并切断污染源，估算泄漏量；</w:t>
      </w:r>
    </w:p>
    <w:p>
      <w:pPr>
        <w:spacing w:line="520" w:lineRule="exact"/>
        <w:ind w:firstLine="360" w:firstLineChars="150"/>
        <w:rPr>
          <w:color w:val="auto"/>
          <w:kern w:val="0"/>
          <w:sz w:val="24"/>
        </w:rPr>
      </w:pPr>
      <w:r>
        <w:rPr>
          <w:color w:val="auto"/>
          <w:sz w:val="24"/>
        </w:rPr>
        <w:t>C、</w:t>
      </w:r>
      <w:r>
        <w:rPr>
          <w:color w:val="auto"/>
          <w:kern w:val="0"/>
          <w:sz w:val="24"/>
        </w:rPr>
        <w:t>探明地下水污染深度、范围和污染程度；</w:t>
      </w:r>
    </w:p>
    <w:p>
      <w:pPr>
        <w:spacing w:line="520" w:lineRule="exact"/>
        <w:ind w:firstLine="360" w:firstLineChars="150"/>
        <w:rPr>
          <w:color w:val="auto"/>
          <w:kern w:val="0"/>
          <w:sz w:val="24"/>
        </w:rPr>
      </w:pPr>
      <w:r>
        <w:rPr>
          <w:color w:val="auto"/>
          <w:sz w:val="24"/>
        </w:rPr>
        <w:t>D、</w:t>
      </w:r>
      <w:r>
        <w:rPr>
          <w:color w:val="auto"/>
          <w:kern w:val="0"/>
          <w:sz w:val="24"/>
        </w:rPr>
        <w:t>探明地下水污染情况，在紧邻位置布置截渗井；</w:t>
      </w:r>
    </w:p>
    <w:p>
      <w:pPr>
        <w:spacing w:line="520" w:lineRule="exact"/>
        <w:ind w:firstLine="360" w:firstLineChars="150"/>
        <w:rPr>
          <w:color w:val="auto"/>
          <w:kern w:val="0"/>
          <w:sz w:val="24"/>
        </w:rPr>
      </w:pPr>
      <w:r>
        <w:rPr>
          <w:color w:val="auto"/>
          <w:sz w:val="24"/>
        </w:rPr>
        <w:t>E、</w:t>
      </w:r>
      <w:r>
        <w:rPr>
          <w:color w:val="auto"/>
          <w:kern w:val="0"/>
          <w:sz w:val="24"/>
        </w:rPr>
        <w:t>抽取被污染的地下水体，并依据出水情况进行调整，使地下水形成局部降落漏斗，以免对周围地下水产生影响。</w:t>
      </w:r>
    </w:p>
    <w:p>
      <w:pPr>
        <w:spacing w:line="520" w:lineRule="exact"/>
        <w:ind w:firstLine="360" w:firstLineChars="150"/>
        <w:rPr>
          <w:color w:val="auto"/>
          <w:kern w:val="0"/>
          <w:sz w:val="24"/>
        </w:rPr>
      </w:pPr>
      <w:r>
        <w:rPr>
          <w:color w:val="auto"/>
          <w:sz w:val="24"/>
        </w:rPr>
        <w:t>F、</w:t>
      </w:r>
      <w:r>
        <w:rPr>
          <w:color w:val="auto"/>
          <w:kern w:val="0"/>
          <w:sz w:val="24"/>
        </w:rPr>
        <w:t>抽取废水应送污水处理站处理达标。</w:t>
      </w:r>
    </w:p>
    <w:p>
      <w:pPr>
        <w:spacing w:line="520" w:lineRule="exact"/>
        <w:ind w:firstLine="360" w:firstLineChars="150"/>
        <w:rPr>
          <w:color w:val="auto"/>
          <w:kern w:val="0"/>
          <w:sz w:val="24"/>
        </w:rPr>
      </w:pPr>
      <w:r>
        <w:rPr>
          <w:color w:val="auto"/>
          <w:kern w:val="0"/>
          <w:sz w:val="24"/>
        </w:rPr>
        <w:t>项目土壤污染防治措施基本同地下水防治，上述地下水污染防治措施完善后，项目区域土壤污染较小。</w:t>
      </w:r>
    </w:p>
    <w:p>
      <w:pPr>
        <w:pStyle w:val="4"/>
        <w:spacing w:line="520" w:lineRule="exact"/>
        <w:rPr>
          <w:rFonts w:ascii="Times New Roman" w:hAnsi="Times New Roman"/>
          <w:b/>
          <w:color w:val="auto"/>
          <w:sz w:val="24"/>
        </w:rPr>
      </w:pPr>
      <w:bookmarkStart w:id="322" w:name="_Toc13168"/>
      <w:bookmarkStart w:id="323" w:name="_Toc366874127"/>
      <w:bookmarkStart w:id="324" w:name="_Toc367091886"/>
      <w:bookmarkStart w:id="325" w:name="_Toc4353"/>
      <w:r>
        <w:rPr>
          <w:rFonts w:hint="eastAsia" w:ascii="Times New Roman" w:hAnsi="Times New Roman"/>
          <w:b/>
          <w:color w:val="auto"/>
        </w:rPr>
        <w:t>7</w:t>
      </w:r>
      <w:r>
        <w:rPr>
          <w:rFonts w:ascii="Times New Roman" w:hAnsi="Times New Roman"/>
          <w:b/>
          <w:color w:val="auto"/>
        </w:rPr>
        <w:t>.3环保投资及主要环保设施</w:t>
      </w:r>
      <w:bookmarkEnd w:id="322"/>
      <w:bookmarkEnd w:id="323"/>
      <w:bookmarkEnd w:id="324"/>
      <w:bookmarkEnd w:id="325"/>
    </w:p>
    <w:p>
      <w:pPr>
        <w:adjustRightInd w:val="0"/>
        <w:snapToGrid w:val="0"/>
        <w:spacing w:line="520" w:lineRule="exact"/>
        <w:ind w:firstLine="482"/>
        <w:rPr>
          <w:b/>
          <w:color w:val="auto"/>
          <w:sz w:val="24"/>
        </w:rPr>
      </w:pPr>
      <w:r>
        <w:rPr>
          <w:b/>
          <w:color w:val="auto"/>
          <w:sz w:val="24"/>
        </w:rPr>
        <w:t>（1）环保投资估算</w:t>
      </w:r>
    </w:p>
    <w:p>
      <w:pPr>
        <w:adjustRightInd w:val="0"/>
        <w:snapToGrid w:val="0"/>
        <w:spacing w:line="520" w:lineRule="exact"/>
        <w:ind w:firstLine="482"/>
        <w:rPr>
          <w:color w:val="auto"/>
          <w:sz w:val="24"/>
        </w:rPr>
      </w:pPr>
      <w:r>
        <w:rPr>
          <w:color w:val="auto"/>
          <w:sz w:val="24"/>
        </w:rPr>
        <w:t>环保设施为废水处理、废气治理、降噪、固废收集处置和风险防范等，主要防治措施及一次性投资估算费用见下表。</w:t>
      </w:r>
    </w:p>
    <w:p>
      <w:pPr>
        <w:adjustRightInd w:val="0"/>
        <w:snapToGrid w:val="0"/>
        <w:spacing w:line="520" w:lineRule="exact"/>
        <w:jc w:val="center"/>
        <w:rPr>
          <w:b/>
          <w:color w:val="auto"/>
          <w:sz w:val="24"/>
        </w:rPr>
      </w:pPr>
      <w:r>
        <w:rPr>
          <w:b/>
          <w:color w:val="auto"/>
          <w:sz w:val="24"/>
        </w:rPr>
        <w:t>表</w:t>
      </w:r>
      <w:r>
        <w:rPr>
          <w:rFonts w:hint="eastAsia"/>
          <w:b/>
          <w:color w:val="auto"/>
          <w:sz w:val="24"/>
        </w:rPr>
        <w:t>7</w:t>
      </w:r>
      <w:r>
        <w:rPr>
          <w:b/>
          <w:color w:val="auto"/>
          <w:sz w:val="24"/>
        </w:rPr>
        <w:t>-</w:t>
      </w:r>
      <w:r>
        <w:rPr>
          <w:rFonts w:hint="eastAsia"/>
          <w:b/>
          <w:color w:val="auto"/>
          <w:sz w:val="24"/>
          <w:lang w:val="en-US" w:eastAsia="zh-CN"/>
        </w:rPr>
        <w:t>9</w:t>
      </w:r>
      <w:r>
        <w:rPr>
          <w:b/>
          <w:color w:val="auto"/>
          <w:sz w:val="24"/>
        </w:rPr>
        <w:t xml:space="preserve">  污染防治措施及投资估算一览表    单位：万元</w:t>
      </w:r>
    </w:p>
    <w:tbl>
      <w:tblPr>
        <w:tblStyle w:val="53"/>
        <w:tblW w:w="0" w:type="auto"/>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646"/>
        <w:gridCol w:w="638"/>
        <w:gridCol w:w="1446"/>
        <w:gridCol w:w="4076"/>
        <w:gridCol w:w="1639"/>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340" w:hRule="atLeast"/>
          <w:jc w:val="center"/>
        </w:trPr>
        <w:tc>
          <w:tcPr>
            <w:tcW w:w="646" w:type="dxa"/>
            <w:vAlign w:val="center"/>
          </w:tcPr>
          <w:p>
            <w:pPr>
              <w:adjustRightInd w:val="0"/>
              <w:snapToGrid w:val="0"/>
              <w:jc w:val="center"/>
              <w:rPr>
                <w:color w:val="auto"/>
              </w:rPr>
            </w:pPr>
            <w:r>
              <w:rPr>
                <w:color w:val="auto"/>
              </w:rPr>
              <w:t>序号</w:t>
            </w:r>
          </w:p>
        </w:tc>
        <w:tc>
          <w:tcPr>
            <w:tcW w:w="638" w:type="dxa"/>
            <w:vAlign w:val="center"/>
          </w:tcPr>
          <w:p>
            <w:pPr>
              <w:adjustRightInd w:val="0"/>
              <w:snapToGrid w:val="0"/>
              <w:jc w:val="center"/>
              <w:rPr>
                <w:color w:val="auto"/>
              </w:rPr>
            </w:pPr>
            <w:r>
              <w:rPr>
                <w:color w:val="auto"/>
              </w:rPr>
              <w:t>分类</w:t>
            </w:r>
          </w:p>
        </w:tc>
        <w:tc>
          <w:tcPr>
            <w:tcW w:w="1446" w:type="dxa"/>
            <w:vAlign w:val="center"/>
          </w:tcPr>
          <w:p>
            <w:pPr>
              <w:adjustRightInd w:val="0"/>
              <w:snapToGrid w:val="0"/>
              <w:jc w:val="center"/>
              <w:rPr>
                <w:color w:val="auto"/>
              </w:rPr>
            </w:pPr>
            <w:r>
              <w:rPr>
                <w:color w:val="auto"/>
              </w:rPr>
              <w:t>工程设施名称</w:t>
            </w:r>
          </w:p>
        </w:tc>
        <w:tc>
          <w:tcPr>
            <w:tcW w:w="4076" w:type="dxa"/>
            <w:vAlign w:val="center"/>
          </w:tcPr>
          <w:p>
            <w:pPr>
              <w:adjustRightInd w:val="0"/>
              <w:snapToGrid w:val="0"/>
              <w:jc w:val="center"/>
              <w:rPr>
                <w:color w:val="auto"/>
              </w:rPr>
            </w:pPr>
            <w:r>
              <w:rPr>
                <w:color w:val="auto"/>
              </w:rPr>
              <w:t>说明</w:t>
            </w:r>
          </w:p>
        </w:tc>
        <w:tc>
          <w:tcPr>
            <w:tcW w:w="1639" w:type="dxa"/>
            <w:vAlign w:val="center"/>
          </w:tcPr>
          <w:p>
            <w:pPr>
              <w:adjustRightInd w:val="0"/>
              <w:snapToGrid w:val="0"/>
              <w:jc w:val="center"/>
              <w:rPr>
                <w:color w:val="auto"/>
              </w:rPr>
            </w:pPr>
            <w:r>
              <w:rPr>
                <w:color w:val="auto"/>
                <w:szCs w:val="21"/>
              </w:rPr>
              <w:t>费用（万元）</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340" w:hRule="atLeast"/>
          <w:jc w:val="center"/>
        </w:trPr>
        <w:tc>
          <w:tcPr>
            <w:tcW w:w="646" w:type="dxa"/>
            <w:vAlign w:val="center"/>
          </w:tcPr>
          <w:p>
            <w:pPr>
              <w:adjustRightInd w:val="0"/>
              <w:snapToGrid w:val="0"/>
              <w:jc w:val="center"/>
              <w:rPr>
                <w:color w:val="auto"/>
              </w:rPr>
            </w:pPr>
            <w:r>
              <w:rPr>
                <w:color w:val="auto"/>
              </w:rPr>
              <w:t>1</w:t>
            </w:r>
          </w:p>
        </w:tc>
        <w:tc>
          <w:tcPr>
            <w:tcW w:w="638" w:type="dxa"/>
            <w:vAlign w:val="center"/>
          </w:tcPr>
          <w:p>
            <w:pPr>
              <w:adjustRightInd w:val="0"/>
              <w:snapToGrid w:val="0"/>
              <w:jc w:val="center"/>
              <w:rPr>
                <w:color w:val="auto"/>
              </w:rPr>
            </w:pPr>
            <w:r>
              <w:rPr>
                <w:color w:val="auto"/>
              </w:rPr>
              <w:t>废水</w:t>
            </w:r>
          </w:p>
        </w:tc>
        <w:tc>
          <w:tcPr>
            <w:tcW w:w="1446" w:type="dxa"/>
            <w:vAlign w:val="center"/>
          </w:tcPr>
          <w:p>
            <w:pPr>
              <w:adjustRightInd w:val="0"/>
              <w:snapToGrid w:val="0"/>
              <w:jc w:val="center"/>
              <w:rPr>
                <w:color w:val="auto"/>
              </w:rPr>
            </w:pPr>
            <w:r>
              <w:rPr>
                <w:color w:val="auto"/>
              </w:rPr>
              <w:t>废水处理</w:t>
            </w:r>
          </w:p>
        </w:tc>
        <w:tc>
          <w:tcPr>
            <w:tcW w:w="4076" w:type="dxa"/>
            <w:vAlign w:val="center"/>
          </w:tcPr>
          <w:p>
            <w:pPr>
              <w:tabs>
                <w:tab w:val="left" w:pos="210"/>
              </w:tabs>
              <w:jc w:val="center"/>
              <w:rPr>
                <w:color w:val="auto"/>
              </w:rPr>
            </w:pPr>
            <w:r>
              <w:rPr>
                <w:rFonts w:hint="eastAsia"/>
                <w:color w:val="auto"/>
              </w:rPr>
              <w:t>生活污水：</w:t>
            </w:r>
            <w:r>
              <w:rPr>
                <w:color w:val="auto"/>
              </w:rPr>
              <w:t>化粪池</w:t>
            </w:r>
          </w:p>
        </w:tc>
        <w:tc>
          <w:tcPr>
            <w:tcW w:w="1639" w:type="dxa"/>
            <w:vAlign w:val="center"/>
          </w:tcPr>
          <w:p>
            <w:pPr>
              <w:snapToGrid w:val="0"/>
              <w:jc w:val="center"/>
              <w:rPr>
                <w:color w:val="auto"/>
              </w:rPr>
            </w:pPr>
            <w:r>
              <w:rPr>
                <w:rFonts w:hint="eastAsia"/>
                <w:color w:val="auto"/>
              </w:rPr>
              <w:t>依托</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340" w:hRule="atLeast"/>
          <w:jc w:val="center"/>
        </w:trPr>
        <w:tc>
          <w:tcPr>
            <w:tcW w:w="646" w:type="dxa"/>
            <w:vMerge w:val="restart"/>
            <w:vAlign w:val="center"/>
          </w:tcPr>
          <w:p>
            <w:pPr>
              <w:adjustRightInd w:val="0"/>
              <w:snapToGrid w:val="0"/>
              <w:jc w:val="center"/>
              <w:rPr>
                <w:color w:val="auto"/>
              </w:rPr>
            </w:pPr>
            <w:r>
              <w:rPr>
                <w:color w:val="auto"/>
              </w:rPr>
              <w:t>2</w:t>
            </w:r>
          </w:p>
        </w:tc>
        <w:tc>
          <w:tcPr>
            <w:tcW w:w="638" w:type="dxa"/>
            <w:vMerge w:val="restart"/>
            <w:vAlign w:val="center"/>
          </w:tcPr>
          <w:p>
            <w:pPr>
              <w:adjustRightInd w:val="0"/>
              <w:snapToGrid w:val="0"/>
              <w:jc w:val="center"/>
              <w:rPr>
                <w:color w:val="auto"/>
              </w:rPr>
            </w:pPr>
            <w:r>
              <w:rPr>
                <w:color w:val="auto"/>
              </w:rPr>
              <w:t>废气</w:t>
            </w:r>
          </w:p>
        </w:tc>
        <w:tc>
          <w:tcPr>
            <w:tcW w:w="1446" w:type="dxa"/>
            <w:vMerge w:val="restart"/>
            <w:vAlign w:val="center"/>
          </w:tcPr>
          <w:p>
            <w:pPr>
              <w:adjustRightInd w:val="0"/>
              <w:snapToGrid w:val="0"/>
              <w:jc w:val="center"/>
              <w:rPr>
                <w:bCs/>
                <w:color w:val="auto"/>
              </w:rPr>
            </w:pPr>
            <w:r>
              <w:rPr>
                <w:bCs/>
                <w:color w:val="auto"/>
              </w:rPr>
              <w:t>生产车间</w:t>
            </w:r>
          </w:p>
        </w:tc>
        <w:tc>
          <w:tcPr>
            <w:tcW w:w="4076" w:type="dxa"/>
            <w:vAlign w:val="center"/>
          </w:tcPr>
          <w:p>
            <w:pPr>
              <w:pStyle w:val="109"/>
              <w:spacing w:line="260" w:lineRule="exact"/>
              <w:rPr>
                <w:rFonts w:ascii="Times New Roman" w:hAnsi="Times New Roman" w:eastAsia="宋体" w:cs="Times New Roman"/>
                <w:bCs/>
                <w:color w:val="auto"/>
                <w:kern w:val="2"/>
                <w:sz w:val="21"/>
                <w:szCs w:val="21"/>
                <w:lang w:val="en-US" w:eastAsia="zh-CN" w:bidi="ar-SA"/>
              </w:rPr>
            </w:pPr>
            <w:r>
              <w:rPr>
                <w:rFonts w:hint="eastAsia"/>
                <w:bCs/>
                <w:color w:val="auto"/>
                <w:szCs w:val="21"/>
                <w:lang w:eastAsia="zh-CN"/>
              </w:rPr>
              <w:t>配料粉尘</w:t>
            </w:r>
            <w:r>
              <w:rPr>
                <w:rFonts w:hint="eastAsia"/>
                <w:bCs/>
                <w:color w:val="auto"/>
                <w:szCs w:val="21"/>
              </w:rPr>
              <w:t>：</w:t>
            </w:r>
            <w:r>
              <w:rPr>
                <w:rFonts w:hint="eastAsia"/>
                <w:bCs/>
                <w:color w:val="auto"/>
                <w:szCs w:val="21"/>
                <w:lang w:eastAsia="zh-CN"/>
              </w:rPr>
              <w:t>布袋除尘器</w:t>
            </w:r>
            <w:r>
              <w:rPr>
                <w:color w:val="auto"/>
              </w:rPr>
              <w:t>（</w:t>
            </w:r>
            <w:r>
              <w:rPr>
                <w:rFonts w:hint="eastAsia"/>
                <w:color w:val="auto"/>
                <w:lang w:val="en-US" w:eastAsia="zh-CN"/>
              </w:rPr>
              <w:t>1</w:t>
            </w:r>
            <w:r>
              <w:rPr>
                <w:rFonts w:hint="eastAsia"/>
                <w:color w:val="auto"/>
                <w:lang w:eastAsia="zh-CN"/>
              </w:rPr>
              <w:t>#排气筒</w:t>
            </w:r>
            <w:r>
              <w:rPr>
                <w:color w:val="auto"/>
              </w:rPr>
              <w:t>）</w:t>
            </w:r>
          </w:p>
        </w:tc>
        <w:tc>
          <w:tcPr>
            <w:tcW w:w="1639" w:type="dxa"/>
            <w:vAlign w:val="center"/>
          </w:tcPr>
          <w:p>
            <w:pPr>
              <w:adjustRightInd w:val="0"/>
              <w:snapToGrid w:val="0"/>
              <w:jc w:val="center"/>
              <w:rPr>
                <w:rFonts w:hint="eastAsia" w:eastAsia="宋体"/>
                <w:color w:val="auto"/>
                <w:lang w:eastAsia="zh-CN"/>
              </w:rPr>
            </w:pPr>
            <w:r>
              <w:rPr>
                <w:rFonts w:hint="eastAsia"/>
                <w:color w:val="auto"/>
                <w:lang w:val="en-US" w:eastAsia="zh-CN"/>
              </w:rPr>
              <w:t>5</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340" w:hRule="atLeast"/>
          <w:jc w:val="center"/>
        </w:trPr>
        <w:tc>
          <w:tcPr>
            <w:tcW w:w="646" w:type="dxa"/>
            <w:vMerge w:val="continue"/>
            <w:vAlign w:val="center"/>
          </w:tcPr>
          <w:p>
            <w:pPr>
              <w:adjustRightInd w:val="0"/>
              <w:snapToGrid w:val="0"/>
              <w:jc w:val="center"/>
              <w:rPr>
                <w:color w:val="auto"/>
              </w:rPr>
            </w:pPr>
          </w:p>
        </w:tc>
        <w:tc>
          <w:tcPr>
            <w:tcW w:w="638" w:type="dxa"/>
            <w:vMerge w:val="continue"/>
            <w:vAlign w:val="center"/>
          </w:tcPr>
          <w:p>
            <w:pPr>
              <w:adjustRightInd w:val="0"/>
              <w:snapToGrid w:val="0"/>
              <w:jc w:val="center"/>
              <w:rPr>
                <w:color w:val="auto"/>
              </w:rPr>
            </w:pPr>
          </w:p>
        </w:tc>
        <w:tc>
          <w:tcPr>
            <w:tcW w:w="1446" w:type="dxa"/>
            <w:vMerge w:val="continue"/>
            <w:vAlign w:val="center"/>
          </w:tcPr>
          <w:p>
            <w:pPr>
              <w:adjustRightInd w:val="0"/>
              <w:snapToGrid w:val="0"/>
              <w:jc w:val="center"/>
              <w:rPr>
                <w:bCs/>
                <w:color w:val="auto"/>
              </w:rPr>
            </w:pPr>
          </w:p>
        </w:tc>
        <w:tc>
          <w:tcPr>
            <w:tcW w:w="4076" w:type="dxa"/>
            <w:vAlign w:val="center"/>
          </w:tcPr>
          <w:p>
            <w:pPr>
              <w:pStyle w:val="109"/>
              <w:spacing w:line="260" w:lineRule="exact"/>
              <w:rPr>
                <w:rFonts w:ascii="Times New Roman" w:hAnsi="Times New Roman" w:eastAsia="宋体" w:cs="Times New Roman"/>
                <w:bCs/>
                <w:color w:val="auto"/>
                <w:kern w:val="2"/>
                <w:sz w:val="21"/>
                <w:szCs w:val="21"/>
                <w:lang w:val="en-US" w:eastAsia="zh-CN" w:bidi="ar-SA"/>
              </w:rPr>
            </w:pPr>
            <w:r>
              <w:rPr>
                <w:rFonts w:hint="eastAsia" w:eastAsia="宋体"/>
                <w:bCs/>
                <w:color w:val="auto"/>
                <w:szCs w:val="21"/>
                <w:lang w:eastAsia="zh-CN"/>
              </w:rPr>
              <w:t>配胶、开</w:t>
            </w:r>
            <w:r>
              <w:rPr>
                <w:rFonts w:eastAsia="宋体"/>
                <w:bCs/>
                <w:color w:val="auto"/>
                <w:szCs w:val="21"/>
              </w:rPr>
              <w:t>炼、</w:t>
            </w:r>
            <w:r>
              <w:rPr>
                <w:rFonts w:hint="eastAsia" w:eastAsia="宋体"/>
                <w:bCs/>
                <w:color w:val="auto"/>
                <w:szCs w:val="21"/>
                <w:lang w:eastAsia="zh-CN"/>
              </w:rPr>
              <w:t>密炼</w:t>
            </w:r>
            <w:r>
              <w:rPr>
                <w:rFonts w:hint="eastAsia"/>
                <w:bCs/>
                <w:color w:val="auto"/>
                <w:szCs w:val="21"/>
                <w:lang w:eastAsia="zh-CN"/>
              </w:rPr>
              <w:t>：</w:t>
            </w:r>
            <w:r>
              <w:rPr>
                <w:color w:val="auto"/>
              </w:rPr>
              <w:t>集气装置+</w:t>
            </w:r>
            <w:r>
              <w:rPr>
                <w:rFonts w:hint="eastAsia"/>
                <w:color w:val="auto"/>
                <w:lang w:eastAsia="zh-CN"/>
              </w:rPr>
              <w:t>布袋除尘器（</w:t>
            </w:r>
            <w:r>
              <w:rPr>
                <w:rFonts w:hint="eastAsia"/>
                <w:color w:val="auto"/>
                <w:lang w:val="en-US" w:eastAsia="zh-CN"/>
              </w:rPr>
              <w:t>2套</w:t>
            </w:r>
            <w:r>
              <w:rPr>
                <w:rFonts w:hint="eastAsia"/>
                <w:color w:val="auto"/>
                <w:lang w:eastAsia="zh-CN"/>
              </w:rPr>
              <w:t>）</w:t>
            </w:r>
            <w:r>
              <w:rPr>
                <w:rFonts w:hint="eastAsia"/>
                <w:color w:val="auto"/>
                <w:lang w:val="en-US" w:eastAsia="zh-CN"/>
              </w:rPr>
              <w:t>+</w:t>
            </w:r>
            <w:r>
              <w:rPr>
                <w:bCs/>
                <w:color w:val="auto"/>
                <w:szCs w:val="21"/>
              </w:rPr>
              <w:t>二级活性炭</w:t>
            </w:r>
            <w:r>
              <w:rPr>
                <w:color w:val="auto"/>
              </w:rPr>
              <w:t>净化装置”+1根15m高排气筒（</w:t>
            </w:r>
            <w:r>
              <w:rPr>
                <w:rFonts w:hint="eastAsia"/>
                <w:color w:val="auto"/>
                <w:lang w:val="en-US" w:eastAsia="zh-CN"/>
              </w:rPr>
              <w:t>2</w:t>
            </w:r>
            <w:r>
              <w:rPr>
                <w:rFonts w:hint="eastAsia"/>
                <w:color w:val="auto"/>
                <w:lang w:eastAsia="zh-CN"/>
              </w:rPr>
              <w:t>#排气筒</w:t>
            </w:r>
            <w:r>
              <w:rPr>
                <w:color w:val="auto"/>
              </w:rPr>
              <w:t>）</w:t>
            </w:r>
          </w:p>
        </w:tc>
        <w:tc>
          <w:tcPr>
            <w:tcW w:w="1639" w:type="dxa"/>
            <w:vAlign w:val="center"/>
          </w:tcPr>
          <w:p>
            <w:pPr>
              <w:adjustRightInd w:val="0"/>
              <w:snapToGrid w:val="0"/>
              <w:jc w:val="center"/>
              <w:rPr>
                <w:rFonts w:hint="default" w:eastAsia="宋体"/>
                <w:color w:val="auto"/>
                <w:lang w:val="en-US" w:eastAsia="zh-CN"/>
              </w:rPr>
            </w:pPr>
            <w:r>
              <w:rPr>
                <w:rFonts w:hint="eastAsia"/>
                <w:color w:val="auto"/>
                <w:lang w:val="en-US" w:eastAsia="zh-CN"/>
              </w:rPr>
              <w:t>10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340" w:hRule="atLeast"/>
          <w:jc w:val="center"/>
        </w:trPr>
        <w:tc>
          <w:tcPr>
            <w:tcW w:w="646" w:type="dxa"/>
            <w:vMerge w:val="continue"/>
            <w:vAlign w:val="center"/>
          </w:tcPr>
          <w:p>
            <w:pPr>
              <w:adjustRightInd w:val="0"/>
              <w:snapToGrid w:val="0"/>
              <w:jc w:val="center"/>
              <w:rPr>
                <w:color w:val="auto"/>
              </w:rPr>
            </w:pPr>
          </w:p>
        </w:tc>
        <w:tc>
          <w:tcPr>
            <w:tcW w:w="638" w:type="dxa"/>
            <w:vMerge w:val="continue"/>
            <w:vAlign w:val="center"/>
          </w:tcPr>
          <w:p>
            <w:pPr>
              <w:adjustRightInd w:val="0"/>
              <w:snapToGrid w:val="0"/>
              <w:jc w:val="center"/>
              <w:rPr>
                <w:color w:val="auto"/>
              </w:rPr>
            </w:pPr>
          </w:p>
        </w:tc>
        <w:tc>
          <w:tcPr>
            <w:tcW w:w="1446" w:type="dxa"/>
            <w:vMerge w:val="continue"/>
            <w:vAlign w:val="center"/>
          </w:tcPr>
          <w:p>
            <w:pPr>
              <w:adjustRightInd w:val="0"/>
              <w:snapToGrid w:val="0"/>
              <w:jc w:val="center"/>
              <w:rPr>
                <w:bCs/>
                <w:color w:val="auto"/>
              </w:rPr>
            </w:pPr>
          </w:p>
        </w:tc>
        <w:tc>
          <w:tcPr>
            <w:tcW w:w="4076" w:type="dxa"/>
            <w:vAlign w:val="center"/>
          </w:tcPr>
          <w:p>
            <w:pPr>
              <w:pStyle w:val="109"/>
              <w:spacing w:line="260" w:lineRule="exact"/>
              <w:rPr>
                <w:rFonts w:ascii="Times New Roman" w:hAnsi="Times New Roman" w:eastAsia="宋体" w:cs="Times New Roman"/>
                <w:color w:val="auto"/>
                <w:kern w:val="2"/>
                <w:sz w:val="21"/>
                <w:szCs w:val="20"/>
                <w:lang w:val="en-US" w:eastAsia="zh-CN" w:bidi="ar-SA"/>
              </w:rPr>
            </w:pPr>
            <w:r>
              <w:rPr>
                <w:rFonts w:eastAsia="宋体"/>
                <w:bCs/>
                <w:color w:val="auto"/>
                <w:szCs w:val="21"/>
              </w:rPr>
              <w:t>涂胶、晾干</w:t>
            </w:r>
            <w:r>
              <w:rPr>
                <w:rFonts w:hint="eastAsia" w:eastAsia="宋体"/>
                <w:bCs/>
                <w:color w:val="auto"/>
                <w:szCs w:val="21"/>
                <w:lang w:eastAsia="zh-CN"/>
              </w:rPr>
              <w:t>、烘干</w:t>
            </w:r>
            <w:r>
              <w:rPr>
                <w:color w:val="auto"/>
              </w:rPr>
              <w:t>：集气装置+</w:t>
            </w:r>
            <w:r>
              <w:rPr>
                <w:rFonts w:hint="eastAsia"/>
                <w:color w:val="auto"/>
                <w:lang w:eastAsia="zh-CN"/>
              </w:rPr>
              <w:t>催化燃烧装置</w:t>
            </w:r>
            <w:r>
              <w:rPr>
                <w:color w:val="auto"/>
              </w:rPr>
              <w:t>+1根15m高排气筒（</w:t>
            </w:r>
            <w:r>
              <w:rPr>
                <w:rFonts w:hint="eastAsia"/>
                <w:color w:val="auto"/>
                <w:lang w:val="en-US" w:eastAsia="zh-CN"/>
              </w:rPr>
              <w:t>3</w:t>
            </w:r>
            <w:r>
              <w:rPr>
                <w:rFonts w:hint="eastAsia"/>
                <w:color w:val="auto"/>
                <w:lang w:eastAsia="zh-CN"/>
              </w:rPr>
              <w:t>#排气筒</w:t>
            </w:r>
            <w:r>
              <w:rPr>
                <w:color w:val="auto"/>
              </w:rPr>
              <w:t>）</w:t>
            </w:r>
          </w:p>
        </w:tc>
        <w:tc>
          <w:tcPr>
            <w:tcW w:w="1639" w:type="dxa"/>
            <w:vAlign w:val="center"/>
          </w:tcPr>
          <w:p>
            <w:pPr>
              <w:adjustRightInd w:val="0"/>
              <w:snapToGrid w:val="0"/>
              <w:jc w:val="center"/>
              <w:rPr>
                <w:rFonts w:hint="default" w:eastAsia="宋体"/>
                <w:color w:val="auto"/>
                <w:lang w:val="en-US" w:eastAsia="zh-CN"/>
              </w:rPr>
            </w:pPr>
            <w:r>
              <w:rPr>
                <w:rFonts w:hint="eastAsia"/>
                <w:color w:val="auto"/>
                <w:lang w:val="en-US" w:eastAsia="zh-CN"/>
              </w:rPr>
              <w:t>40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340" w:hRule="atLeast"/>
          <w:jc w:val="center"/>
        </w:trPr>
        <w:tc>
          <w:tcPr>
            <w:tcW w:w="646" w:type="dxa"/>
            <w:vAlign w:val="center"/>
          </w:tcPr>
          <w:p>
            <w:pPr>
              <w:adjustRightInd w:val="0"/>
              <w:snapToGrid w:val="0"/>
              <w:jc w:val="center"/>
              <w:rPr>
                <w:color w:val="auto"/>
              </w:rPr>
            </w:pPr>
            <w:r>
              <w:rPr>
                <w:color w:val="auto"/>
              </w:rPr>
              <w:t>3</w:t>
            </w:r>
          </w:p>
        </w:tc>
        <w:tc>
          <w:tcPr>
            <w:tcW w:w="638" w:type="dxa"/>
            <w:vAlign w:val="center"/>
          </w:tcPr>
          <w:p>
            <w:pPr>
              <w:adjustRightInd w:val="0"/>
              <w:snapToGrid w:val="0"/>
              <w:jc w:val="center"/>
              <w:rPr>
                <w:color w:val="auto"/>
              </w:rPr>
            </w:pPr>
            <w:r>
              <w:rPr>
                <w:color w:val="auto"/>
              </w:rPr>
              <w:t>噪声</w:t>
            </w:r>
          </w:p>
        </w:tc>
        <w:tc>
          <w:tcPr>
            <w:tcW w:w="1446" w:type="dxa"/>
            <w:vAlign w:val="center"/>
          </w:tcPr>
          <w:p>
            <w:pPr>
              <w:adjustRightInd w:val="0"/>
              <w:snapToGrid w:val="0"/>
              <w:jc w:val="center"/>
              <w:rPr>
                <w:color w:val="auto"/>
              </w:rPr>
            </w:pPr>
            <w:r>
              <w:rPr>
                <w:color w:val="auto"/>
              </w:rPr>
              <w:t>降噪设施</w:t>
            </w:r>
          </w:p>
        </w:tc>
        <w:tc>
          <w:tcPr>
            <w:tcW w:w="4076" w:type="dxa"/>
            <w:vAlign w:val="center"/>
          </w:tcPr>
          <w:p>
            <w:pPr>
              <w:adjustRightInd w:val="0"/>
              <w:snapToGrid w:val="0"/>
              <w:jc w:val="center"/>
              <w:rPr>
                <w:color w:val="auto"/>
              </w:rPr>
            </w:pPr>
            <w:r>
              <w:rPr>
                <w:color w:val="auto"/>
              </w:rPr>
              <w:t xml:space="preserve">安装减震垫等降噪措施 </w:t>
            </w:r>
          </w:p>
        </w:tc>
        <w:tc>
          <w:tcPr>
            <w:tcW w:w="1639" w:type="dxa"/>
            <w:vAlign w:val="center"/>
          </w:tcPr>
          <w:p>
            <w:pPr>
              <w:adjustRightInd w:val="0"/>
              <w:snapToGrid w:val="0"/>
              <w:jc w:val="center"/>
              <w:rPr>
                <w:color w:val="auto"/>
              </w:rPr>
            </w:pPr>
            <w:r>
              <w:rPr>
                <w:color w:val="auto"/>
              </w:rPr>
              <w:t>10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340" w:hRule="atLeast"/>
          <w:jc w:val="center"/>
        </w:trPr>
        <w:tc>
          <w:tcPr>
            <w:tcW w:w="646" w:type="dxa"/>
            <w:vMerge w:val="restart"/>
            <w:vAlign w:val="center"/>
          </w:tcPr>
          <w:p>
            <w:pPr>
              <w:adjustRightInd w:val="0"/>
              <w:snapToGrid w:val="0"/>
              <w:jc w:val="center"/>
              <w:rPr>
                <w:color w:val="auto"/>
              </w:rPr>
            </w:pPr>
            <w:r>
              <w:rPr>
                <w:color w:val="auto"/>
              </w:rPr>
              <w:t>4</w:t>
            </w:r>
          </w:p>
        </w:tc>
        <w:tc>
          <w:tcPr>
            <w:tcW w:w="638" w:type="dxa"/>
            <w:vMerge w:val="restart"/>
            <w:vAlign w:val="center"/>
          </w:tcPr>
          <w:p>
            <w:pPr>
              <w:adjustRightInd w:val="0"/>
              <w:snapToGrid w:val="0"/>
              <w:jc w:val="center"/>
              <w:rPr>
                <w:color w:val="auto"/>
              </w:rPr>
            </w:pPr>
            <w:r>
              <w:rPr>
                <w:color w:val="auto"/>
              </w:rPr>
              <w:t>固废</w:t>
            </w:r>
          </w:p>
        </w:tc>
        <w:tc>
          <w:tcPr>
            <w:tcW w:w="1446" w:type="dxa"/>
            <w:vMerge w:val="restart"/>
            <w:vAlign w:val="center"/>
          </w:tcPr>
          <w:p>
            <w:pPr>
              <w:adjustRightInd w:val="0"/>
              <w:snapToGrid w:val="0"/>
              <w:jc w:val="center"/>
              <w:rPr>
                <w:color w:val="auto"/>
              </w:rPr>
            </w:pPr>
            <w:r>
              <w:rPr>
                <w:color w:val="auto"/>
              </w:rPr>
              <w:t>固废收集与处置</w:t>
            </w:r>
          </w:p>
        </w:tc>
        <w:tc>
          <w:tcPr>
            <w:tcW w:w="4076" w:type="dxa"/>
            <w:vAlign w:val="center"/>
          </w:tcPr>
          <w:p>
            <w:pPr>
              <w:adjustRightInd w:val="0"/>
              <w:snapToGrid w:val="0"/>
              <w:jc w:val="center"/>
              <w:rPr>
                <w:rFonts w:hint="eastAsia" w:eastAsia="宋体"/>
                <w:color w:val="auto"/>
                <w:szCs w:val="21"/>
                <w:lang w:eastAsia="zh-CN"/>
              </w:rPr>
            </w:pPr>
            <w:r>
              <w:rPr>
                <w:color w:val="auto"/>
                <w:szCs w:val="21"/>
              </w:rPr>
              <w:t>生活垃圾</w:t>
            </w:r>
            <w:r>
              <w:rPr>
                <w:rFonts w:hint="eastAsia"/>
                <w:color w:val="auto"/>
                <w:szCs w:val="21"/>
                <w:lang w:eastAsia="zh-CN"/>
              </w:rPr>
              <w:t>：垃圾桶</w:t>
            </w:r>
          </w:p>
          <w:p>
            <w:pPr>
              <w:adjustRightInd w:val="0"/>
              <w:snapToGrid w:val="0"/>
              <w:jc w:val="center"/>
              <w:rPr>
                <w:rFonts w:hint="eastAsia" w:eastAsia="宋体"/>
                <w:color w:val="auto"/>
                <w:szCs w:val="21"/>
                <w:lang w:eastAsia="zh-CN"/>
              </w:rPr>
            </w:pPr>
            <w:r>
              <w:rPr>
                <w:color w:val="auto"/>
                <w:szCs w:val="21"/>
              </w:rPr>
              <w:t>一般固废</w:t>
            </w:r>
            <w:r>
              <w:rPr>
                <w:rFonts w:hint="eastAsia"/>
                <w:color w:val="auto"/>
                <w:szCs w:val="21"/>
                <w:lang w:eastAsia="zh-CN"/>
              </w:rPr>
              <w:t>：</w:t>
            </w:r>
            <w:r>
              <w:rPr>
                <w:color w:val="auto"/>
                <w:szCs w:val="21"/>
              </w:rPr>
              <w:t>一般固废</w:t>
            </w:r>
            <w:r>
              <w:rPr>
                <w:rFonts w:hint="eastAsia"/>
                <w:color w:val="auto"/>
                <w:szCs w:val="21"/>
                <w:lang w:eastAsia="zh-CN"/>
              </w:rPr>
              <w:t>暂存间</w:t>
            </w:r>
          </w:p>
        </w:tc>
        <w:tc>
          <w:tcPr>
            <w:tcW w:w="1639" w:type="dxa"/>
            <w:vAlign w:val="center"/>
          </w:tcPr>
          <w:p>
            <w:pPr>
              <w:adjustRightInd w:val="0"/>
              <w:snapToGrid w:val="0"/>
              <w:jc w:val="center"/>
              <w:rPr>
                <w:rFonts w:hint="eastAsia" w:eastAsia="宋体"/>
                <w:color w:val="auto"/>
                <w:lang w:eastAsia="zh-CN"/>
              </w:rPr>
            </w:pPr>
            <w:r>
              <w:rPr>
                <w:rFonts w:hint="eastAsia"/>
                <w:color w:val="auto"/>
                <w:lang w:val="en-US" w:eastAsia="zh-CN"/>
              </w:rPr>
              <w:t>2</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340" w:hRule="atLeast"/>
          <w:jc w:val="center"/>
        </w:trPr>
        <w:tc>
          <w:tcPr>
            <w:tcW w:w="646" w:type="dxa"/>
            <w:vMerge w:val="continue"/>
            <w:vAlign w:val="center"/>
          </w:tcPr>
          <w:p>
            <w:pPr>
              <w:adjustRightInd w:val="0"/>
              <w:snapToGrid w:val="0"/>
              <w:jc w:val="center"/>
              <w:rPr>
                <w:color w:val="auto"/>
              </w:rPr>
            </w:pPr>
          </w:p>
        </w:tc>
        <w:tc>
          <w:tcPr>
            <w:tcW w:w="638" w:type="dxa"/>
            <w:vMerge w:val="continue"/>
            <w:vAlign w:val="center"/>
          </w:tcPr>
          <w:p>
            <w:pPr>
              <w:adjustRightInd w:val="0"/>
              <w:snapToGrid w:val="0"/>
              <w:jc w:val="center"/>
              <w:rPr>
                <w:color w:val="auto"/>
              </w:rPr>
            </w:pPr>
          </w:p>
        </w:tc>
        <w:tc>
          <w:tcPr>
            <w:tcW w:w="1446" w:type="dxa"/>
            <w:vMerge w:val="continue"/>
            <w:vAlign w:val="center"/>
          </w:tcPr>
          <w:p>
            <w:pPr>
              <w:adjustRightInd w:val="0"/>
              <w:snapToGrid w:val="0"/>
              <w:jc w:val="center"/>
              <w:rPr>
                <w:color w:val="auto"/>
              </w:rPr>
            </w:pPr>
          </w:p>
        </w:tc>
        <w:tc>
          <w:tcPr>
            <w:tcW w:w="4076" w:type="dxa"/>
            <w:vAlign w:val="center"/>
          </w:tcPr>
          <w:p>
            <w:pPr>
              <w:adjustRightInd w:val="0"/>
              <w:snapToGrid w:val="0"/>
              <w:jc w:val="center"/>
              <w:rPr>
                <w:rFonts w:hint="eastAsia" w:eastAsia="宋体"/>
                <w:color w:val="auto"/>
                <w:szCs w:val="21"/>
                <w:lang w:eastAsia="zh-CN"/>
              </w:rPr>
            </w:pPr>
            <w:r>
              <w:rPr>
                <w:rFonts w:hint="eastAsia"/>
                <w:color w:val="auto"/>
                <w:szCs w:val="21"/>
                <w:lang w:eastAsia="zh-CN"/>
              </w:rPr>
              <w:t>危废：危废暂存间</w:t>
            </w:r>
          </w:p>
        </w:tc>
        <w:tc>
          <w:tcPr>
            <w:tcW w:w="1639" w:type="dxa"/>
            <w:vAlign w:val="center"/>
          </w:tcPr>
          <w:p>
            <w:pPr>
              <w:adjustRightInd w:val="0"/>
              <w:snapToGrid w:val="0"/>
              <w:jc w:val="center"/>
              <w:rPr>
                <w:rFonts w:hint="eastAsia" w:eastAsia="宋体"/>
                <w:color w:val="auto"/>
                <w:lang w:val="en-US" w:eastAsia="zh-CN"/>
              </w:rPr>
            </w:pPr>
            <w:r>
              <w:rPr>
                <w:rFonts w:hint="eastAsia"/>
                <w:color w:val="auto"/>
                <w:lang w:val="en-US" w:eastAsia="zh-CN"/>
              </w:rPr>
              <w:t>5</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340" w:hRule="atLeast"/>
          <w:jc w:val="center"/>
        </w:trPr>
        <w:tc>
          <w:tcPr>
            <w:tcW w:w="646" w:type="dxa"/>
            <w:vAlign w:val="center"/>
          </w:tcPr>
          <w:p>
            <w:pPr>
              <w:adjustRightInd w:val="0"/>
              <w:snapToGrid w:val="0"/>
              <w:jc w:val="center"/>
              <w:rPr>
                <w:color w:val="auto"/>
              </w:rPr>
            </w:pPr>
            <w:r>
              <w:rPr>
                <w:color w:val="auto"/>
              </w:rPr>
              <w:t>5</w:t>
            </w:r>
          </w:p>
        </w:tc>
        <w:tc>
          <w:tcPr>
            <w:tcW w:w="638" w:type="dxa"/>
            <w:vAlign w:val="center"/>
          </w:tcPr>
          <w:p>
            <w:pPr>
              <w:adjustRightInd w:val="0"/>
              <w:snapToGrid w:val="0"/>
              <w:jc w:val="center"/>
              <w:rPr>
                <w:color w:val="auto"/>
              </w:rPr>
            </w:pPr>
            <w:r>
              <w:rPr>
                <w:color w:val="auto"/>
              </w:rPr>
              <w:t>地下水</w:t>
            </w:r>
          </w:p>
        </w:tc>
        <w:tc>
          <w:tcPr>
            <w:tcW w:w="1446" w:type="dxa"/>
            <w:vAlign w:val="center"/>
          </w:tcPr>
          <w:p>
            <w:pPr>
              <w:adjustRightInd w:val="0"/>
              <w:snapToGrid w:val="0"/>
              <w:jc w:val="center"/>
              <w:rPr>
                <w:color w:val="auto"/>
              </w:rPr>
            </w:pPr>
            <w:r>
              <w:rPr>
                <w:color w:val="auto"/>
              </w:rPr>
              <w:t>分区防渗</w:t>
            </w:r>
          </w:p>
        </w:tc>
        <w:tc>
          <w:tcPr>
            <w:tcW w:w="4076" w:type="dxa"/>
            <w:vAlign w:val="center"/>
          </w:tcPr>
          <w:p>
            <w:pPr>
              <w:tabs>
                <w:tab w:val="left" w:pos="210"/>
              </w:tabs>
              <w:jc w:val="center"/>
              <w:rPr>
                <w:color w:val="auto"/>
                <w:szCs w:val="21"/>
              </w:rPr>
            </w:pPr>
            <w:r>
              <w:rPr>
                <w:color w:val="auto"/>
                <w:szCs w:val="21"/>
              </w:rPr>
              <w:t>地下水分区防渗（重点防渗区等效黏土防渗层Mb</w:t>
            </w:r>
            <w:r>
              <w:rPr>
                <w:color w:val="auto"/>
                <w:szCs w:val="21"/>
                <w:shd w:val="clear" w:color="auto" w:fill="FFFFFF"/>
              </w:rPr>
              <w:t>≧6m，</w:t>
            </w:r>
            <w:r>
              <w:rPr>
                <w:color w:val="auto"/>
                <w:szCs w:val="21"/>
              </w:rPr>
              <w:t>K≦1*10</w:t>
            </w:r>
            <w:r>
              <w:rPr>
                <w:color w:val="auto"/>
                <w:szCs w:val="21"/>
                <w:vertAlign w:val="superscript"/>
              </w:rPr>
              <w:t>-7</w:t>
            </w:r>
            <w:r>
              <w:rPr>
                <w:color w:val="auto"/>
                <w:szCs w:val="21"/>
              </w:rPr>
              <w:t>cm/s；一般防渗区等效黏土防渗层Mb</w:t>
            </w:r>
            <w:r>
              <w:rPr>
                <w:color w:val="auto"/>
                <w:szCs w:val="21"/>
                <w:shd w:val="clear" w:color="auto" w:fill="FFFFFF"/>
              </w:rPr>
              <w:t>≧1.5m，</w:t>
            </w:r>
            <w:r>
              <w:rPr>
                <w:color w:val="auto"/>
                <w:szCs w:val="21"/>
              </w:rPr>
              <w:t>K≦1*10</w:t>
            </w:r>
            <w:r>
              <w:rPr>
                <w:color w:val="auto"/>
                <w:szCs w:val="21"/>
                <w:vertAlign w:val="superscript"/>
              </w:rPr>
              <w:t>-7</w:t>
            </w:r>
            <w:r>
              <w:rPr>
                <w:color w:val="auto"/>
                <w:szCs w:val="21"/>
              </w:rPr>
              <w:t>cm/s）及环境监测</w:t>
            </w:r>
          </w:p>
        </w:tc>
        <w:tc>
          <w:tcPr>
            <w:tcW w:w="1639" w:type="dxa"/>
            <w:vAlign w:val="center"/>
          </w:tcPr>
          <w:p>
            <w:pPr>
              <w:adjustRightInd w:val="0"/>
              <w:snapToGrid w:val="0"/>
              <w:jc w:val="center"/>
              <w:rPr>
                <w:color w:val="auto"/>
              </w:rPr>
            </w:pPr>
            <w:r>
              <w:rPr>
                <w:color w:val="auto"/>
              </w:rPr>
              <w:t>15</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340" w:hRule="atLeast"/>
          <w:jc w:val="center"/>
        </w:trPr>
        <w:tc>
          <w:tcPr>
            <w:tcW w:w="646" w:type="dxa"/>
            <w:vAlign w:val="center"/>
          </w:tcPr>
          <w:p>
            <w:pPr>
              <w:adjustRightInd w:val="0"/>
              <w:snapToGrid w:val="0"/>
              <w:jc w:val="center"/>
              <w:rPr>
                <w:color w:val="auto"/>
              </w:rPr>
            </w:pPr>
            <w:r>
              <w:rPr>
                <w:color w:val="auto"/>
              </w:rPr>
              <w:t>6</w:t>
            </w:r>
          </w:p>
        </w:tc>
        <w:tc>
          <w:tcPr>
            <w:tcW w:w="2084" w:type="dxa"/>
            <w:gridSpan w:val="2"/>
            <w:vAlign w:val="center"/>
          </w:tcPr>
          <w:p>
            <w:pPr>
              <w:adjustRightInd w:val="0"/>
              <w:snapToGrid w:val="0"/>
              <w:jc w:val="center"/>
              <w:rPr>
                <w:color w:val="auto"/>
                <w:szCs w:val="21"/>
              </w:rPr>
            </w:pPr>
            <w:r>
              <w:rPr>
                <w:color w:val="auto"/>
                <w:szCs w:val="21"/>
              </w:rPr>
              <w:t>风险防范</w:t>
            </w:r>
          </w:p>
        </w:tc>
        <w:tc>
          <w:tcPr>
            <w:tcW w:w="4076" w:type="dxa"/>
            <w:vAlign w:val="center"/>
          </w:tcPr>
          <w:p>
            <w:pPr>
              <w:tabs>
                <w:tab w:val="left" w:pos="210"/>
              </w:tabs>
              <w:jc w:val="center"/>
              <w:rPr>
                <w:rFonts w:hint="eastAsia" w:eastAsia="宋体"/>
                <w:color w:val="auto"/>
                <w:szCs w:val="21"/>
                <w:lang w:eastAsia="zh-CN"/>
              </w:rPr>
            </w:pPr>
            <w:r>
              <w:rPr>
                <w:rFonts w:hint="eastAsia"/>
                <w:bCs/>
                <w:color w:val="auto"/>
                <w:szCs w:val="21"/>
                <w:lang w:eastAsia="zh-CN"/>
              </w:rPr>
              <w:t>设置导流系统，事故池（容积为</w:t>
            </w:r>
            <w:r>
              <w:rPr>
                <w:rFonts w:hint="eastAsia"/>
                <w:bCs/>
                <w:color w:val="auto"/>
                <w:szCs w:val="21"/>
                <w:lang w:val="en-US" w:eastAsia="zh-CN"/>
              </w:rPr>
              <w:t>30m</w:t>
            </w:r>
            <w:r>
              <w:rPr>
                <w:rFonts w:hint="eastAsia"/>
                <w:bCs/>
                <w:color w:val="auto"/>
                <w:szCs w:val="21"/>
                <w:vertAlign w:val="superscript"/>
                <w:lang w:val="en-US" w:eastAsia="zh-CN"/>
              </w:rPr>
              <w:t>3</w:t>
            </w:r>
            <w:r>
              <w:rPr>
                <w:rFonts w:hint="eastAsia"/>
                <w:bCs/>
                <w:color w:val="auto"/>
                <w:szCs w:val="21"/>
                <w:lang w:eastAsia="zh-CN"/>
              </w:rPr>
              <w:t>）</w:t>
            </w:r>
          </w:p>
        </w:tc>
        <w:tc>
          <w:tcPr>
            <w:tcW w:w="1639" w:type="dxa"/>
            <w:vAlign w:val="center"/>
          </w:tcPr>
          <w:p>
            <w:pPr>
              <w:adjustRightInd w:val="0"/>
              <w:snapToGrid w:val="0"/>
              <w:jc w:val="center"/>
              <w:rPr>
                <w:color w:val="auto"/>
                <w:szCs w:val="21"/>
              </w:rPr>
            </w:pPr>
            <w:r>
              <w:rPr>
                <w:color w:val="auto"/>
                <w:szCs w:val="21"/>
              </w:rPr>
              <w:t>依托</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340" w:hRule="atLeast"/>
          <w:jc w:val="center"/>
        </w:trPr>
        <w:tc>
          <w:tcPr>
            <w:tcW w:w="2730" w:type="dxa"/>
            <w:gridSpan w:val="3"/>
            <w:vAlign w:val="center"/>
          </w:tcPr>
          <w:p>
            <w:pPr>
              <w:adjustRightInd w:val="0"/>
              <w:snapToGrid w:val="0"/>
              <w:jc w:val="center"/>
              <w:rPr>
                <w:color w:val="auto"/>
              </w:rPr>
            </w:pPr>
            <w:r>
              <w:rPr>
                <w:color w:val="auto"/>
              </w:rPr>
              <w:t>合计</w:t>
            </w:r>
          </w:p>
        </w:tc>
        <w:tc>
          <w:tcPr>
            <w:tcW w:w="4076" w:type="dxa"/>
            <w:vAlign w:val="center"/>
          </w:tcPr>
          <w:p>
            <w:pPr>
              <w:adjustRightInd w:val="0"/>
              <w:snapToGrid w:val="0"/>
              <w:jc w:val="center"/>
              <w:rPr>
                <w:color w:val="auto"/>
              </w:rPr>
            </w:pPr>
            <w:r>
              <w:rPr>
                <w:color w:val="auto"/>
              </w:rPr>
              <w:t>/</w:t>
            </w:r>
          </w:p>
        </w:tc>
        <w:tc>
          <w:tcPr>
            <w:tcW w:w="1639" w:type="dxa"/>
            <w:vAlign w:val="center"/>
          </w:tcPr>
          <w:p>
            <w:pPr>
              <w:adjustRightInd w:val="0"/>
              <w:snapToGrid w:val="0"/>
              <w:jc w:val="center"/>
              <w:rPr>
                <w:rFonts w:hint="default" w:eastAsia="宋体"/>
                <w:color w:val="auto"/>
                <w:lang w:val="en-US" w:eastAsia="zh-CN"/>
              </w:rPr>
            </w:pPr>
            <w:r>
              <w:rPr>
                <w:rFonts w:hint="eastAsia"/>
                <w:color w:val="auto"/>
                <w:lang w:val="en-US" w:eastAsia="zh-CN"/>
              </w:rPr>
              <w:t>107</w:t>
            </w:r>
          </w:p>
        </w:tc>
      </w:tr>
    </w:tbl>
    <w:p>
      <w:pPr>
        <w:pStyle w:val="22"/>
        <w:adjustRightInd w:val="0"/>
        <w:snapToGrid w:val="0"/>
        <w:spacing w:line="520" w:lineRule="exact"/>
        <w:ind w:firstLine="120" w:firstLineChars="50"/>
        <w:rPr>
          <w:color w:val="auto"/>
          <w:sz w:val="24"/>
        </w:rPr>
      </w:pPr>
      <w:bookmarkStart w:id="326" w:name="_Hlt90199576"/>
      <w:r>
        <w:rPr>
          <w:color w:val="auto"/>
          <w:sz w:val="24"/>
        </w:rPr>
        <w:t>（2）经济可行性分析</w:t>
      </w:r>
    </w:p>
    <w:p>
      <w:pPr>
        <w:spacing w:line="520" w:lineRule="exact"/>
        <w:ind w:firstLine="480" w:firstLineChars="200"/>
        <w:rPr>
          <w:snapToGrid w:val="0"/>
          <w:color w:val="auto"/>
          <w:kern w:val="0"/>
          <w:sz w:val="24"/>
        </w:rPr>
      </w:pPr>
      <w:r>
        <w:rPr>
          <w:color w:val="auto"/>
          <w:sz w:val="24"/>
        </w:rPr>
        <w:t>本项目为了确保各项污染物能够达标排放，投入</w:t>
      </w:r>
      <w:r>
        <w:rPr>
          <w:rFonts w:hint="eastAsia"/>
          <w:color w:val="auto"/>
          <w:sz w:val="24"/>
          <w:lang w:val="en-US" w:eastAsia="zh-CN"/>
        </w:rPr>
        <w:t>107</w:t>
      </w:r>
      <w:r>
        <w:rPr>
          <w:color w:val="auto"/>
          <w:sz w:val="24"/>
        </w:rPr>
        <w:t>万作为污染防治措施建设资金，占工程总投资额的</w:t>
      </w:r>
      <w:r>
        <w:rPr>
          <w:rFonts w:hint="eastAsia"/>
          <w:color w:val="auto"/>
          <w:sz w:val="24"/>
          <w:lang w:eastAsia="zh-CN"/>
        </w:rPr>
        <w:t>0.97%</w:t>
      </w:r>
      <w:r>
        <w:rPr>
          <w:color w:val="auto"/>
          <w:sz w:val="24"/>
        </w:rPr>
        <w:t>，在本项目可接受范围之内，同时又能做到各项污染物长期稳定达标排放，因此，本项目环保投资是合理的，从经济上具有可行性。</w:t>
      </w:r>
    </w:p>
    <w:bookmarkEnd w:id="326"/>
    <w:p>
      <w:pPr>
        <w:pStyle w:val="3"/>
        <w:spacing w:before="120" w:after="0" w:line="360" w:lineRule="auto"/>
        <w:jc w:val="center"/>
        <w:rPr>
          <w:color w:val="auto"/>
          <w:kern w:val="2"/>
          <w:sz w:val="24"/>
        </w:rPr>
      </w:pPr>
      <w:r>
        <w:rPr>
          <w:snapToGrid w:val="0"/>
          <w:color w:val="auto"/>
          <w:kern w:val="0"/>
          <w:sz w:val="24"/>
        </w:rPr>
        <w:br w:type="page"/>
      </w:r>
      <w:bookmarkStart w:id="327" w:name="_Toc367091915"/>
      <w:bookmarkStart w:id="328" w:name="_Toc32015"/>
      <w:bookmarkStart w:id="329" w:name="_Toc366874156"/>
      <w:bookmarkStart w:id="330" w:name="_Toc1121"/>
      <w:r>
        <w:rPr>
          <w:color w:val="auto"/>
          <w:sz w:val="36"/>
          <w:szCs w:val="36"/>
        </w:rPr>
        <w:t>第</w:t>
      </w:r>
      <w:r>
        <w:rPr>
          <w:rFonts w:hint="eastAsia"/>
          <w:color w:val="auto"/>
          <w:sz w:val="36"/>
          <w:szCs w:val="36"/>
        </w:rPr>
        <w:t>八</w:t>
      </w:r>
      <w:r>
        <w:rPr>
          <w:color w:val="auto"/>
          <w:sz w:val="36"/>
          <w:szCs w:val="36"/>
        </w:rPr>
        <w:t>章 环境影响经济损益分析</w:t>
      </w:r>
      <w:bookmarkEnd w:id="327"/>
      <w:bookmarkEnd w:id="328"/>
      <w:bookmarkEnd w:id="329"/>
      <w:bookmarkEnd w:id="330"/>
    </w:p>
    <w:p>
      <w:pPr>
        <w:spacing w:line="520" w:lineRule="exact"/>
        <w:ind w:firstLine="480" w:firstLineChars="200"/>
        <w:rPr>
          <w:color w:val="auto"/>
          <w:sz w:val="24"/>
        </w:rPr>
      </w:pPr>
      <w:r>
        <w:rPr>
          <w:color w:val="auto"/>
          <w:sz w:val="24"/>
        </w:rPr>
        <w:t>环境经济损益分析是工程开发可行性研究的重要组成部分，是从环境经济的角度对项目的可行性进行评价，以货币的形式定量表述建设项目对环境的影响程度和相应的环境工程效益，从而为决策部门提供科学依据，使建设项目在营运后能更好地实现经济效益、环境效益和社会效益的统一。</w:t>
      </w:r>
    </w:p>
    <w:p>
      <w:pPr>
        <w:pStyle w:val="4"/>
        <w:spacing w:line="520" w:lineRule="exact"/>
        <w:rPr>
          <w:rFonts w:ascii="Times New Roman" w:hAnsi="Times New Roman"/>
          <w:b/>
          <w:color w:val="auto"/>
        </w:rPr>
      </w:pPr>
      <w:bookmarkStart w:id="331" w:name="_Toc13361"/>
      <w:bookmarkStart w:id="332" w:name="_Toc6326"/>
      <w:r>
        <w:rPr>
          <w:rFonts w:hint="eastAsia" w:ascii="Times New Roman" w:hAnsi="Times New Roman"/>
          <w:b/>
          <w:color w:val="auto"/>
        </w:rPr>
        <w:t>8</w:t>
      </w:r>
      <w:r>
        <w:rPr>
          <w:rFonts w:ascii="Times New Roman" w:hAnsi="Times New Roman"/>
          <w:b/>
          <w:color w:val="auto"/>
        </w:rPr>
        <w:t>.1经济效益分析</w:t>
      </w:r>
      <w:bookmarkEnd w:id="331"/>
      <w:bookmarkEnd w:id="332"/>
    </w:p>
    <w:p>
      <w:pPr>
        <w:spacing w:line="520" w:lineRule="exact"/>
        <w:ind w:firstLine="480" w:firstLineChars="200"/>
        <w:rPr>
          <w:color w:val="auto"/>
          <w:sz w:val="24"/>
        </w:rPr>
      </w:pPr>
      <w:r>
        <w:rPr>
          <w:color w:val="auto"/>
          <w:sz w:val="24"/>
        </w:rPr>
        <w:t>项目投产后年新增销售收入</w:t>
      </w:r>
      <w:r>
        <w:rPr>
          <w:rFonts w:hint="eastAsia"/>
          <w:color w:val="auto"/>
          <w:sz w:val="24"/>
        </w:rPr>
        <w:t>120</w:t>
      </w:r>
      <w:r>
        <w:rPr>
          <w:color w:val="auto"/>
          <w:sz w:val="24"/>
        </w:rPr>
        <w:t>00万元，利润</w:t>
      </w:r>
      <w:r>
        <w:rPr>
          <w:rFonts w:hint="eastAsia"/>
          <w:color w:val="auto"/>
          <w:sz w:val="24"/>
        </w:rPr>
        <w:t>10200</w:t>
      </w:r>
      <w:r>
        <w:rPr>
          <w:color w:val="auto"/>
          <w:sz w:val="24"/>
        </w:rPr>
        <w:t>万元，上缴税金约</w:t>
      </w:r>
      <w:r>
        <w:rPr>
          <w:rFonts w:hint="eastAsia"/>
          <w:color w:val="auto"/>
          <w:sz w:val="24"/>
        </w:rPr>
        <w:t>1800</w:t>
      </w:r>
      <w:r>
        <w:rPr>
          <w:color w:val="auto"/>
          <w:sz w:val="24"/>
        </w:rPr>
        <w:t>万元，项目投产后可获得较好的经济效益。本项目的经济指标均较好，在生产经营上具有较高的抗风险能力，对各因素变化具有较强的承受能力，从经济角度看，本项目是可行的。项目建成后能促进当地经济的发展，增加财政税源，壮大地方经济。</w:t>
      </w:r>
    </w:p>
    <w:p>
      <w:pPr>
        <w:pStyle w:val="4"/>
        <w:spacing w:line="520" w:lineRule="exact"/>
        <w:rPr>
          <w:rFonts w:ascii="Times New Roman" w:hAnsi="Times New Roman"/>
          <w:b/>
          <w:color w:val="auto"/>
        </w:rPr>
      </w:pPr>
      <w:bookmarkStart w:id="333" w:name="_Toc11653"/>
      <w:bookmarkStart w:id="334" w:name="_Toc19519"/>
      <w:r>
        <w:rPr>
          <w:rFonts w:hint="eastAsia" w:ascii="Times New Roman" w:hAnsi="Times New Roman"/>
          <w:b/>
          <w:color w:val="auto"/>
        </w:rPr>
        <w:t>8</w:t>
      </w:r>
      <w:r>
        <w:rPr>
          <w:rFonts w:ascii="Times New Roman" w:hAnsi="Times New Roman"/>
          <w:b/>
          <w:color w:val="auto"/>
        </w:rPr>
        <w:t>.2社会效益分析</w:t>
      </w:r>
      <w:bookmarkEnd w:id="333"/>
      <w:bookmarkEnd w:id="334"/>
    </w:p>
    <w:p>
      <w:pPr>
        <w:spacing w:line="520" w:lineRule="exact"/>
        <w:ind w:firstLine="480" w:firstLineChars="200"/>
        <w:rPr>
          <w:color w:val="auto"/>
          <w:sz w:val="24"/>
        </w:rPr>
      </w:pPr>
      <w:r>
        <w:rPr>
          <w:color w:val="auto"/>
          <w:sz w:val="24"/>
        </w:rPr>
        <w:t>本项目利用先进的管理、市场优势，结合当地优良的投资环境、交通优势及劳动力、土地等资源优势，本项目投产后，将为当地提供较多的就业机会，有利于提高当地居民的生活水平，有利于促进社会稳定，有利于加快开发区的建设和经济发展。因此本项目的建设具有良好的社会经济效益。</w:t>
      </w:r>
    </w:p>
    <w:p>
      <w:pPr>
        <w:pStyle w:val="4"/>
        <w:spacing w:line="520" w:lineRule="exact"/>
        <w:rPr>
          <w:rFonts w:ascii="Times New Roman" w:hAnsi="Times New Roman"/>
          <w:b/>
          <w:color w:val="auto"/>
        </w:rPr>
      </w:pPr>
      <w:bookmarkStart w:id="335" w:name="_Toc366874157"/>
      <w:bookmarkStart w:id="336" w:name="_Toc367091916"/>
      <w:bookmarkStart w:id="337" w:name="_Toc5424"/>
      <w:bookmarkStart w:id="338" w:name="_Toc27739"/>
      <w:r>
        <w:rPr>
          <w:rFonts w:hint="eastAsia" w:ascii="Times New Roman" w:hAnsi="Times New Roman"/>
          <w:b/>
          <w:color w:val="auto"/>
        </w:rPr>
        <w:t>8</w:t>
      </w:r>
      <w:r>
        <w:rPr>
          <w:rFonts w:ascii="Times New Roman" w:hAnsi="Times New Roman"/>
          <w:b/>
          <w:color w:val="auto"/>
        </w:rPr>
        <w:t>.</w:t>
      </w:r>
      <w:bookmarkEnd w:id="335"/>
      <w:bookmarkEnd w:id="336"/>
      <w:r>
        <w:rPr>
          <w:rFonts w:ascii="Times New Roman" w:hAnsi="Times New Roman"/>
          <w:b/>
          <w:color w:val="auto"/>
        </w:rPr>
        <w:t>3环境经济损益分析</w:t>
      </w:r>
      <w:bookmarkEnd w:id="337"/>
      <w:bookmarkEnd w:id="338"/>
    </w:p>
    <w:p>
      <w:pPr>
        <w:spacing w:line="520" w:lineRule="exact"/>
        <w:rPr>
          <w:b/>
          <w:color w:val="auto"/>
          <w:sz w:val="24"/>
        </w:rPr>
      </w:pPr>
      <w:r>
        <w:rPr>
          <w:rFonts w:hint="eastAsia"/>
          <w:b/>
          <w:color w:val="auto"/>
          <w:sz w:val="24"/>
        </w:rPr>
        <w:t>8.3</w:t>
      </w:r>
      <w:r>
        <w:rPr>
          <w:b/>
          <w:color w:val="auto"/>
          <w:sz w:val="24"/>
        </w:rPr>
        <w:t>.1分析方法</w:t>
      </w:r>
    </w:p>
    <w:p>
      <w:pPr>
        <w:spacing w:line="520" w:lineRule="exact"/>
        <w:ind w:firstLine="480" w:firstLineChars="200"/>
        <w:rPr>
          <w:color w:val="auto"/>
          <w:sz w:val="24"/>
        </w:rPr>
      </w:pPr>
      <w:r>
        <w:rPr>
          <w:color w:val="auto"/>
          <w:sz w:val="24"/>
        </w:rPr>
        <w:t>（1）目的和内容</w:t>
      </w:r>
    </w:p>
    <w:p>
      <w:pPr>
        <w:spacing w:line="520" w:lineRule="exact"/>
        <w:ind w:firstLine="480" w:firstLineChars="200"/>
        <w:rPr>
          <w:color w:val="auto"/>
          <w:sz w:val="24"/>
        </w:rPr>
      </w:pPr>
      <w:r>
        <w:rPr>
          <w:color w:val="auto"/>
          <w:sz w:val="24"/>
        </w:rPr>
        <w:t>将项目产生的直接和间接、定量和非定量的各种影响列于分析范围内，通过分析计算用于控制污染所需投资费用、环境经济指标，估算可能收到的环境与经济实效，全面衡量项目建设投资在环保经济上的合理水平，反映项目投资的环保经济效益和社会环境效益。</w:t>
      </w:r>
    </w:p>
    <w:p>
      <w:pPr>
        <w:spacing w:line="520" w:lineRule="exact"/>
        <w:ind w:firstLine="480" w:firstLineChars="200"/>
        <w:rPr>
          <w:color w:val="auto"/>
          <w:sz w:val="24"/>
        </w:rPr>
      </w:pPr>
      <w:r>
        <w:rPr>
          <w:color w:val="auto"/>
          <w:sz w:val="24"/>
        </w:rPr>
        <w:t>（2）分析方法</w:t>
      </w:r>
    </w:p>
    <w:p>
      <w:pPr>
        <w:spacing w:line="520" w:lineRule="exact"/>
        <w:ind w:firstLine="480" w:firstLineChars="200"/>
        <w:rPr>
          <w:color w:val="auto"/>
          <w:sz w:val="24"/>
        </w:rPr>
      </w:pPr>
      <w:r>
        <w:rPr>
          <w:color w:val="auto"/>
          <w:sz w:val="24"/>
        </w:rPr>
        <w:t>采用指标计算方法进行建设项目的环境经济损益分析。将项目对环境产生的损益分解成各项经济指标，包括环保费用指标、污染损失指标和环境效益，逐项计算。然后通过环境经济的静态分析，得出项目环保投资的年净效益、环保费用的经济效益，以及效益与费用比例等各项参数。</w:t>
      </w:r>
    </w:p>
    <w:p>
      <w:pPr>
        <w:spacing w:line="520" w:lineRule="exact"/>
        <w:ind w:firstLine="480" w:firstLineChars="200"/>
        <w:rPr>
          <w:color w:val="auto"/>
          <w:sz w:val="24"/>
        </w:rPr>
      </w:pPr>
      <w:r>
        <w:rPr>
          <w:color w:val="auto"/>
          <w:sz w:val="24"/>
        </w:rPr>
        <w:t>年净效益是指环保投资的直接经济效益，扣除污染控制费用。</w:t>
      </w:r>
    </w:p>
    <w:p>
      <w:pPr>
        <w:spacing w:line="520" w:lineRule="exact"/>
        <w:ind w:firstLine="480" w:firstLineChars="200"/>
        <w:rPr>
          <w:color w:val="auto"/>
          <w:sz w:val="24"/>
        </w:rPr>
      </w:pPr>
      <w:r>
        <w:rPr>
          <w:color w:val="auto"/>
          <w:sz w:val="24"/>
        </w:rPr>
        <w:t>环保污染治理费用的经济效益等于环保效益指标与污染控制费用之比，当比值大于等于1时，可以认为项目的环保治理方案在经济技术上是可行的，否则是不可行的。</w:t>
      </w:r>
    </w:p>
    <w:p>
      <w:pPr>
        <w:spacing w:line="520" w:lineRule="exact"/>
        <w:ind w:firstLine="480" w:firstLineChars="200"/>
        <w:rPr>
          <w:color w:val="auto"/>
          <w:sz w:val="24"/>
        </w:rPr>
      </w:pPr>
      <w:r>
        <w:rPr>
          <w:color w:val="auto"/>
          <w:sz w:val="24"/>
        </w:rPr>
        <w:t>环保效益与费用的比是在对项目污染控制投资进行分析，当比值大于等于1时，可以认为环保费用在环保经济效益上是可行的，否则就认为在经济方案上是不合理的。</w:t>
      </w:r>
    </w:p>
    <w:p>
      <w:pPr>
        <w:spacing w:line="360" w:lineRule="auto"/>
        <w:rPr>
          <w:b/>
          <w:color w:val="auto"/>
          <w:sz w:val="24"/>
          <w:lang w:val="zh-CN"/>
        </w:rPr>
      </w:pPr>
      <w:r>
        <w:rPr>
          <w:rFonts w:hint="eastAsia"/>
          <w:b/>
          <w:color w:val="auto"/>
          <w:sz w:val="24"/>
        </w:rPr>
        <w:t>8.3</w:t>
      </w:r>
      <w:r>
        <w:rPr>
          <w:b/>
          <w:color w:val="auto"/>
          <w:sz w:val="24"/>
        </w:rPr>
        <w:t>.2</w:t>
      </w:r>
      <w:r>
        <w:rPr>
          <w:b/>
          <w:color w:val="auto"/>
          <w:sz w:val="24"/>
          <w:lang w:val="zh-CN"/>
        </w:rPr>
        <w:t>环保投资与建设规模</w:t>
      </w:r>
    </w:p>
    <w:p>
      <w:pPr>
        <w:pStyle w:val="146"/>
        <w:spacing w:line="360" w:lineRule="auto"/>
        <w:rPr>
          <w:color w:val="auto"/>
        </w:rPr>
      </w:pPr>
      <w:r>
        <w:rPr>
          <w:color w:val="auto"/>
        </w:rPr>
        <w:t>为有效地控制本项目环境污染，对废水、废气、固废及高噪声设备等采取有效的治理措施，项目建设总投资为</w:t>
      </w:r>
      <w:r>
        <w:rPr>
          <w:rFonts w:hint="eastAsia"/>
          <w:color w:val="auto"/>
          <w:lang w:eastAsia="zh-CN"/>
        </w:rPr>
        <w:t>11000万元</w:t>
      </w:r>
      <w:r>
        <w:rPr>
          <w:color w:val="auto"/>
        </w:rPr>
        <w:t>，其中环保投资估算为</w:t>
      </w:r>
      <w:r>
        <w:rPr>
          <w:rFonts w:hint="eastAsia"/>
          <w:color w:val="auto"/>
          <w:lang w:val="en-US" w:eastAsia="zh-CN"/>
        </w:rPr>
        <w:t>107</w:t>
      </w:r>
      <w:r>
        <w:rPr>
          <w:color w:val="auto"/>
        </w:rPr>
        <w:t>万元，占总投资的</w:t>
      </w:r>
      <w:r>
        <w:rPr>
          <w:rFonts w:hint="eastAsia"/>
          <w:color w:val="auto"/>
          <w:lang w:eastAsia="zh-CN"/>
        </w:rPr>
        <w:t>0.97%</w:t>
      </w:r>
      <w:r>
        <w:rPr>
          <w:color w:val="auto"/>
        </w:rPr>
        <w:t>。</w:t>
      </w:r>
    </w:p>
    <w:p>
      <w:pPr>
        <w:spacing w:line="360" w:lineRule="auto"/>
        <w:rPr>
          <w:b/>
          <w:color w:val="auto"/>
          <w:sz w:val="24"/>
          <w:lang w:val="zh-CN"/>
        </w:rPr>
      </w:pPr>
      <w:r>
        <w:rPr>
          <w:rFonts w:hint="eastAsia"/>
          <w:b/>
          <w:color w:val="auto"/>
          <w:sz w:val="24"/>
        </w:rPr>
        <w:t>8.3</w:t>
      </w:r>
      <w:r>
        <w:rPr>
          <w:b/>
          <w:color w:val="auto"/>
          <w:sz w:val="24"/>
        </w:rPr>
        <w:t>.3</w:t>
      </w:r>
      <w:r>
        <w:rPr>
          <w:b/>
          <w:color w:val="auto"/>
          <w:sz w:val="24"/>
          <w:lang w:val="zh-CN"/>
        </w:rPr>
        <w:t>环保辅助费用</w:t>
      </w:r>
    </w:p>
    <w:p>
      <w:pPr>
        <w:spacing w:line="360" w:lineRule="auto"/>
        <w:ind w:firstLine="480" w:firstLineChars="200"/>
        <w:rPr>
          <w:color w:val="auto"/>
          <w:sz w:val="24"/>
          <w:szCs w:val="22"/>
        </w:rPr>
      </w:pPr>
      <w:r>
        <w:rPr>
          <w:color w:val="auto"/>
          <w:sz w:val="24"/>
          <w:szCs w:val="22"/>
        </w:rPr>
        <w:t>环保辅助费用主要包括相关管理部门的办公费、监测费、科研技术咨询、学习交流及增设环境机构需投入的资金、人员工资等，根据该项目的实际情况，环保辅助费用按环保投资的0.5%，保守估计约为0.</w:t>
      </w:r>
      <w:r>
        <w:rPr>
          <w:rFonts w:hint="eastAsia"/>
          <w:color w:val="auto"/>
          <w:sz w:val="24"/>
          <w:szCs w:val="22"/>
          <w:lang w:val="en-US" w:eastAsia="zh-CN"/>
        </w:rPr>
        <w:t>535</w:t>
      </w:r>
      <w:r>
        <w:rPr>
          <w:color w:val="auto"/>
          <w:sz w:val="24"/>
          <w:szCs w:val="22"/>
        </w:rPr>
        <w:t>万元。</w:t>
      </w:r>
    </w:p>
    <w:p>
      <w:pPr>
        <w:pStyle w:val="4"/>
        <w:spacing w:line="360" w:lineRule="auto"/>
        <w:rPr>
          <w:rFonts w:ascii="Times New Roman" w:hAnsi="Times New Roman"/>
          <w:b/>
          <w:color w:val="auto"/>
        </w:rPr>
      </w:pPr>
      <w:bookmarkStart w:id="339" w:name="_Toc12407"/>
      <w:bookmarkStart w:id="340" w:name="_Toc20098"/>
      <w:bookmarkStart w:id="341" w:name="_Toc21390"/>
      <w:bookmarkStart w:id="342" w:name="_Toc18492"/>
      <w:bookmarkStart w:id="343" w:name="_Toc12625"/>
      <w:r>
        <w:rPr>
          <w:rFonts w:hint="eastAsia" w:ascii="Times New Roman" w:hAnsi="Times New Roman"/>
          <w:b/>
          <w:color w:val="auto"/>
        </w:rPr>
        <w:t>8</w:t>
      </w:r>
      <w:r>
        <w:rPr>
          <w:rFonts w:ascii="Times New Roman" w:hAnsi="Times New Roman"/>
          <w:b/>
          <w:color w:val="auto"/>
        </w:rPr>
        <w:t>.4 环境经济效益分析</w:t>
      </w:r>
      <w:bookmarkEnd w:id="339"/>
      <w:bookmarkEnd w:id="340"/>
      <w:bookmarkEnd w:id="341"/>
      <w:bookmarkEnd w:id="342"/>
      <w:bookmarkEnd w:id="343"/>
    </w:p>
    <w:p>
      <w:pPr>
        <w:pStyle w:val="123"/>
        <w:spacing w:before="0" w:after="0" w:line="360" w:lineRule="auto"/>
        <w:jc w:val="left"/>
        <w:rPr>
          <w:rFonts w:ascii="Times New Roman" w:hAnsi="Times New Roman" w:eastAsia="宋体"/>
          <w:b/>
          <w:bCs/>
          <w:color w:val="auto"/>
          <w:sz w:val="24"/>
          <w:lang w:eastAsia="zh-CN"/>
        </w:rPr>
      </w:pPr>
      <w:r>
        <w:rPr>
          <w:rFonts w:hint="eastAsia" w:ascii="Times New Roman" w:hAnsi="Times New Roman" w:eastAsia="宋体"/>
          <w:b/>
          <w:bCs/>
          <w:color w:val="auto"/>
          <w:spacing w:val="-2"/>
          <w:sz w:val="24"/>
          <w:lang w:eastAsia="zh-CN"/>
        </w:rPr>
        <w:t>8</w:t>
      </w:r>
      <w:r>
        <w:rPr>
          <w:rFonts w:ascii="Times New Roman" w:hAnsi="Times New Roman" w:eastAsia="宋体"/>
          <w:b/>
          <w:bCs/>
          <w:color w:val="auto"/>
          <w:spacing w:val="-2"/>
          <w:sz w:val="24"/>
          <w:lang w:eastAsia="zh-CN"/>
        </w:rPr>
        <w:t>.4.1</w:t>
      </w:r>
      <w:r>
        <w:rPr>
          <w:rFonts w:ascii="Times New Roman" w:hAnsi="Times New Roman" w:eastAsia="宋体"/>
          <w:b/>
          <w:bCs/>
          <w:color w:val="auto"/>
          <w:spacing w:val="1"/>
          <w:sz w:val="24"/>
          <w:lang w:eastAsia="zh-CN"/>
        </w:rPr>
        <w:t>经济效益分析</w:t>
      </w:r>
    </w:p>
    <w:p>
      <w:pPr>
        <w:pStyle w:val="123"/>
        <w:spacing w:before="0" w:after="0" w:line="360" w:lineRule="auto"/>
        <w:ind w:firstLine="484" w:firstLineChars="200"/>
        <w:jc w:val="left"/>
        <w:rPr>
          <w:rFonts w:ascii="Times New Roman" w:hAnsi="Times New Roman" w:eastAsia="宋体"/>
          <w:color w:val="auto"/>
          <w:sz w:val="24"/>
          <w:lang w:eastAsia="zh-CN"/>
        </w:rPr>
      </w:pPr>
      <w:r>
        <w:rPr>
          <w:rFonts w:ascii="Times New Roman" w:hAnsi="Times New Roman" w:eastAsia="宋体"/>
          <w:color w:val="auto"/>
          <w:spacing w:val="1"/>
          <w:sz w:val="24"/>
          <w:lang w:eastAsia="zh-CN"/>
        </w:rPr>
        <w:t>由于能源的紧缺和不可在生，国家对物资回收利用也越来越重视，物资生</w:t>
      </w:r>
      <w:r>
        <w:rPr>
          <w:rFonts w:ascii="Times New Roman" w:hAnsi="Times New Roman" w:eastAsia="宋体"/>
          <w:color w:val="auto"/>
          <w:spacing w:val="-3"/>
          <w:sz w:val="24"/>
          <w:lang w:eastAsia="zh-CN"/>
        </w:rPr>
        <w:t>产对废旧物资的依赖越来越高，使废旧物资行业得到健康发展。具有一定的经济</w:t>
      </w:r>
      <w:r>
        <w:rPr>
          <w:rFonts w:ascii="Times New Roman" w:hAnsi="Times New Roman" w:eastAsia="宋体"/>
          <w:color w:val="auto"/>
          <w:sz w:val="24"/>
          <w:lang w:eastAsia="zh-CN"/>
        </w:rPr>
        <w:t>效益，主要体现在如下几方面：</w:t>
      </w:r>
    </w:p>
    <w:p>
      <w:pPr>
        <w:pStyle w:val="123"/>
        <w:spacing w:before="0" w:after="0" w:line="360" w:lineRule="auto"/>
        <w:ind w:firstLine="480" w:firstLineChars="200"/>
        <w:jc w:val="left"/>
        <w:rPr>
          <w:rFonts w:ascii="Times New Roman" w:hAnsi="Times New Roman" w:eastAsia="宋体"/>
          <w:color w:val="auto"/>
          <w:sz w:val="24"/>
          <w:lang w:eastAsia="zh-CN"/>
        </w:rPr>
      </w:pPr>
      <w:r>
        <w:rPr>
          <w:rFonts w:ascii="Times New Roman" w:hAnsi="Times New Roman" w:eastAsia="宋体"/>
          <w:color w:val="auto"/>
          <w:sz w:val="24"/>
          <w:lang w:eastAsia="zh-CN"/>
        </w:rPr>
        <w:t>（</w:t>
      </w:r>
      <w:r>
        <w:rPr>
          <w:rFonts w:ascii="Times New Roman" w:hAnsi="Times New Roman" w:eastAsia="宋体"/>
          <w:color w:val="auto"/>
          <w:spacing w:val="2"/>
          <w:sz w:val="24"/>
          <w:lang w:eastAsia="zh-CN"/>
        </w:rPr>
        <w:t>1</w:t>
      </w:r>
      <w:r>
        <w:rPr>
          <w:rFonts w:ascii="Times New Roman" w:hAnsi="Times New Roman" w:eastAsia="宋体"/>
          <w:color w:val="auto"/>
          <w:spacing w:val="1"/>
          <w:sz w:val="24"/>
          <w:lang w:eastAsia="zh-CN"/>
        </w:rPr>
        <w:t>）增加地方面税收。橡胶制品加工建设不仅可满足市场需求，而且</w:t>
      </w:r>
      <w:r>
        <w:rPr>
          <w:rFonts w:ascii="Times New Roman" w:hAnsi="Times New Roman" w:eastAsia="宋体"/>
          <w:color w:val="auto"/>
          <w:sz w:val="24"/>
          <w:lang w:eastAsia="zh-CN"/>
        </w:rPr>
        <w:t>可以带动当地相关产业的发展，具有很好的经济效益。</w:t>
      </w:r>
    </w:p>
    <w:p>
      <w:pPr>
        <w:pStyle w:val="123"/>
        <w:spacing w:before="0" w:after="0" w:line="360" w:lineRule="auto"/>
        <w:ind w:firstLine="480" w:firstLineChars="200"/>
        <w:jc w:val="left"/>
        <w:rPr>
          <w:rFonts w:ascii="Times New Roman" w:hAnsi="Times New Roman" w:eastAsia="宋体"/>
          <w:color w:val="auto"/>
          <w:sz w:val="24"/>
          <w:lang w:eastAsia="zh-CN"/>
        </w:rPr>
      </w:pPr>
      <w:r>
        <w:rPr>
          <w:rFonts w:ascii="Times New Roman" w:hAnsi="Times New Roman" w:eastAsia="宋体"/>
          <w:color w:val="auto"/>
          <w:sz w:val="24"/>
          <w:lang w:eastAsia="zh-CN"/>
        </w:rPr>
        <w:t>（</w:t>
      </w:r>
      <w:r>
        <w:rPr>
          <w:rFonts w:ascii="Times New Roman" w:hAnsi="Times New Roman" w:eastAsia="宋体"/>
          <w:color w:val="auto"/>
          <w:spacing w:val="2"/>
          <w:sz w:val="24"/>
          <w:lang w:eastAsia="zh-CN"/>
        </w:rPr>
        <w:t>2</w:t>
      </w:r>
      <w:r>
        <w:rPr>
          <w:rFonts w:ascii="Times New Roman" w:hAnsi="Times New Roman" w:eastAsia="宋体"/>
          <w:color w:val="auto"/>
          <w:spacing w:val="1"/>
          <w:sz w:val="24"/>
          <w:lang w:eastAsia="zh-CN"/>
        </w:rPr>
        <w:t>）就地消费，带旺地方面经济企业的员工，就地消费，增加地方的经济</w:t>
      </w:r>
      <w:r>
        <w:rPr>
          <w:rFonts w:ascii="Times New Roman" w:hAnsi="Times New Roman" w:eastAsia="宋体"/>
          <w:color w:val="auto"/>
          <w:spacing w:val="-3"/>
          <w:sz w:val="24"/>
          <w:lang w:eastAsia="zh-CN"/>
        </w:rPr>
        <w:t>消费，由于区域的消费能力增加，将带动一系列相关行业的发展，从而更进一步</w:t>
      </w:r>
      <w:r>
        <w:rPr>
          <w:rFonts w:ascii="Times New Roman" w:hAnsi="Times New Roman" w:eastAsia="宋体"/>
          <w:color w:val="auto"/>
          <w:sz w:val="24"/>
          <w:lang w:eastAsia="zh-CN"/>
        </w:rPr>
        <w:t>地促进地方经济的发展。</w:t>
      </w:r>
    </w:p>
    <w:p>
      <w:pPr>
        <w:pStyle w:val="123"/>
        <w:spacing w:before="0" w:after="0" w:line="360" w:lineRule="auto"/>
        <w:ind w:firstLine="480" w:firstLineChars="200"/>
        <w:jc w:val="left"/>
        <w:rPr>
          <w:rFonts w:ascii="Times New Roman" w:hAnsi="Times New Roman" w:eastAsia="宋体"/>
          <w:color w:val="auto"/>
          <w:sz w:val="24"/>
          <w:lang w:eastAsia="zh-CN"/>
        </w:rPr>
      </w:pPr>
      <w:r>
        <w:rPr>
          <w:rFonts w:ascii="Times New Roman" w:hAnsi="Times New Roman" w:eastAsia="宋体"/>
          <w:color w:val="auto"/>
          <w:sz w:val="24"/>
          <w:lang w:eastAsia="zh-CN"/>
        </w:rPr>
        <w:t>（</w:t>
      </w:r>
      <w:r>
        <w:rPr>
          <w:rFonts w:ascii="Times New Roman" w:hAnsi="Times New Roman" w:eastAsia="宋体"/>
          <w:color w:val="auto"/>
          <w:spacing w:val="2"/>
          <w:sz w:val="24"/>
          <w:lang w:eastAsia="zh-CN"/>
        </w:rPr>
        <w:t>3</w:t>
      </w:r>
      <w:r>
        <w:rPr>
          <w:rFonts w:ascii="Times New Roman" w:hAnsi="Times New Roman" w:eastAsia="宋体"/>
          <w:color w:val="auto"/>
          <w:spacing w:val="1"/>
          <w:sz w:val="24"/>
          <w:lang w:eastAsia="zh-CN"/>
        </w:rPr>
        <w:t>）产业带动，完善产业配套。企业的建设，将会带动相关产业的相应发</w:t>
      </w:r>
      <w:r>
        <w:rPr>
          <w:rFonts w:ascii="Times New Roman" w:hAnsi="Times New Roman" w:eastAsia="宋体"/>
          <w:color w:val="auto"/>
          <w:sz w:val="24"/>
          <w:lang w:eastAsia="zh-CN"/>
        </w:rPr>
        <w:t>展，完善了城镇的产业配套，更促进了相关镇区的经济总量以及税收。</w:t>
      </w:r>
    </w:p>
    <w:p>
      <w:pPr>
        <w:pStyle w:val="123"/>
        <w:spacing w:before="0" w:after="0" w:line="360" w:lineRule="auto"/>
        <w:ind w:firstLine="468" w:firstLineChars="200"/>
        <w:jc w:val="left"/>
        <w:rPr>
          <w:rFonts w:ascii="Times New Roman" w:hAnsi="Times New Roman" w:eastAsia="宋体"/>
          <w:color w:val="auto"/>
          <w:sz w:val="24"/>
          <w:lang w:eastAsia="zh-CN"/>
        </w:rPr>
      </w:pPr>
      <w:r>
        <w:rPr>
          <w:rFonts w:ascii="Times New Roman" w:hAnsi="Times New Roman" w:eastAsia="宋体"/>
          <w:color w:val="auto"/>
          <w:spacing w:val="-3"/>
          <w:sz w:val="24"/>
          <w:lang w:eastAsia="zh-CN"/>
        </w:rPr>
        <w:t>从以上分析可知，项目具有一定的经济效益，对于促进当地的经济发展起到</w:t>
      </w:r>
      <w:r>
        <w:rPr>
          <w:rFonts w:ascii="Times New Roman" w:hAnsi="Times New Roman" w:eastAsia="宋体"/>
          <w:color w:val="auto"/>
          <w:sz w:val="24"/>
          <w:lang w:eastAsia="zh-CN"/>
        </w:rPr>
        <w:t>有利的推动作用。</w:t>
      </w:r>
    </w:p>
    <w:p>
      <w:pPr>
        <w:pStyle w:val="288"/>
        <w:spacing w:before="0" w:after="0" w:line="360" w:lineRule="auto"/>
        <w:jc w:val="left"/>
        <w:rPr>
          <w:rFonts w:ascii="Times New Roman" w:hAnsi="Times New Roman" w:eastAsia="宋体"/>
          <w:b/>
          <w:bCs/>
          <w:color w:val="auto"/>
          <w:sz w:val="24"/>
          <w:lang w:eastAsia="zh-CN"/>
        </w:rPr>
      </w:pPr>
      <w:r>
        <w:rPr>
          <w:rFonts w:hint="eastAsia" w:ascii="Times New Roman" w:hAnsi="Times New Roman" w:eastAsia="宋体"/>
          <w:b/>
          <w:bCs/>
          <w:color w:val="auto"/>
          <w:spacing w:val="1"/>
          <w:sz w:val="24"/>
          <w:lang w:eastAsia="zh-CN"/>
        </w:rPr>
        <w:t>8</w:t>
      </w:r>
      <w:r>
        <w:rPr>
          <w:rFonts w:ascii="Times New Roman" w:hAnsi="Times New Roman" w:eastAsia="宋体"/>
          <w:b/>
          <w:bCs/>
          <w:color w:val="auto"/>
          <w:spacing w:val="1"/>
          <w:sz w:val="24"/>
          <w:lang w:eastAsia="zh-CN"/>
        </w:rPr>
        <w:t>.4.2社会效益分析</w:t>
      </w:r>
    </w:p>
    <w:p>
      <w:pPr>
        <w:pStyle w:val="288"/>
        <w:spacing w:before="0" w:after="0" w:line="360" w:lineRule="auto"/>
        <w:ind w:firstLine="480" w:firstLineChars="200"/>
        <w:jc w:val="left"/>
        <w:rPr>
          <w:rFonts w:ascii="Times New Roman" w:hAnsi="Times New Roman" w:eastAsia="宋体"/>
          <w:color w:val="auto"/>
          <w:sz w:val="24"/>
          <w:lang w:eastAsia="zh-CN"/>
        </w:rPr>
      </w:pPr>
      <w:r>
        <w:rPr>
          <w:rFonts w:ascii="Times New Roman" w:hAnsi="Times New Roman" w:eastAsia="宋体"/>
          <w:color w:val="auto"/>
          <w:sz w:val="24"/>
          <w:lang w:eastAsia="zh-CN"/>
        </w:rPr>
        <w:t>项目实施后的社会效益主要体现在以下几方面：</w:t>
      </w:r>
    </w:p>
    <w:p>
      <w:pPr>
        <w:pStyle w:val="288"/>
        <w:spacing w:before="0" w:after="0" w:line="360" w:lineRule="auto"/>
        <w:ind w:firstLine="480" w:firstLineChars="200"/>
        <w:jc w:val="left"/>
        <w:rPr>
          <w:rFonts w:ascii="Times New Roman" w:hAnsi="Times New Roman" w:eastAsia="宋体"/>
          <w:color w:val="auto"/>
          <w:sz w:val="24"/>
          <w:lang w:eastAsia="zh-CN"/>
        </w:rPr>
      </w:pPr>
      <w:r>
        <w:rPr>
          <w:rFonts w:ascii="Times New Roman" w:hAnsi="Times New Roman" w:eastAsia="宋体"/>
          <w:color w:val="auto"/>
          <w:sz w:val="24"/>
          <w:lang w:eastAsia="zh-CN"/>
        </w:rPr>
        <w:t>（1）项目建成后正常年份可上交税收，带动当地经济发展。</w:t>
      </w:r>
    </w:p>
    <w:p>
      <w:pPr>
        <w:pStyle w:val="288"/>
        <w:spacing w:before="0" w:after="0" w:line="360" w:lineRule="auto"/>
        <w:ind w:firstLine="480" w:firstLineChars="200"/>
        <w:jc w:val="left"/>
        <w:rPr>
          <w:rFonts w:ascii="Times New Roman" w:hAnsi="Times New Roman" w:eastAsia="宋体"/>
          <w:color w:val="auto"/>
          <w:sz w:val="24"/>
          <w:lang w:eastAsia="zh-CN"/>
        </w:rPr>
      </w:pPr>
      <w:r>
        <w:rPr>
          <w:rFonts w:ascii="Times New Roman" w:hAnsi="Times New Roman" w:eastAsia="宋体"/>
          <w:color w:val="auto"/>
          <w:sz w:val="24"/>
          <w:lang w:eastAsia="zh-CN"/>
        </w:rPr>
        <w:t>（</w:t>
      </w:r>
      <w:r>
        <w:rPr>
          <w:rFonts w:ascii="Times New Roman" w:hAnsi="Times New Roman" w:eastAsia="宋体"/>
          <w:color w:val="auto"/>
          <w:spacing w:val="2"/>
          <w:sz w:val="24"/>
          <w:lang w:eastAsia="zh-CN"/>
        </w:rPr>
        <w:t>2</w:t>
      </w:r>
      <w:r>
        <w:rPr>
          <w:rFonts w:ascii="Times New Roman" w:hAnsi="Times New Roman" w:eastAsia="宋体"/>
          <w:color w:val="auto"/>
          <w:spacing w:val="1"/>
          <w:sz w:val="24"/>
          <w:lang w:eastAsia="zh-CN"/>
        </w:rPr>
        <w:t>）项目的实施有利于加快我市橡胶行业产业化进程，生产过程中采用国</w:t>
      </w:r>
      <w:r>
        <w:rPr>
          <w:rFonts w:ascii="Times New Roman" w:hAnsi="Times New Roman" w:eastAsia="宋体"/>
          <w:color w:val="auto"/>
          <w:spacing w:val="-3"/>
          <w:sz w:val="24"/>
          <w:lang w:eastAsia="zh-CN"/>
        </w:rPr>
        <w:t>内外高新技术，尤其是针对关键生产环节，进行改造升级，从而减少原材料、动力及燃料的消耗，减少三废的排放，更好的满足广大消费者的需求。同时通过建立橡胶制品产业，有利于带动当地现代产业的发展，促进产业结构调整和广大人民</w:t>
      </w:r>
      <w:r>
        <w:rPr>
          <w:rFonts w:ascii="Times New Roman" w:hAnsi="Times New Roman" w:eastAsia="宋体"/>
          <w:color w:val="auto"/>
          <w:sz w:val="24"/>
          <w:lang w:eastAsia="zh-CN"/>
        </w:rPr>
        <w:t>群众的增收。</w:t>
      </w:r>
    </w:p>
    <w:p>
      <w:pPr>
        <w:pStyle w:val="288"/>
        <w:spacing w:before="0" w:after="0" w:line="360" w:lineRule="auto"/>
        <w:ind w:firstLine="480" w:firstLineChars="200"/>
        <w:jc w:val="left"/>
        <w:rPr>
          <w:rFonts w:ascii="Times New Roman" w:hAnsi="Times New Roman" w:eastAsia="宋体"/>
          <w:color w:val="auto"/>
          <w:sz w:val="24"/>
          <w:lang w:eastAsia="zh-CN"/>
        </w:rPr>
      </w:pPr>
      <w:r>
        <w:rPr>
          <w:rFonts w:ascii="Times New Roman" w:hAnsi="Times New Roman" w:eastAsia="宋体"/>
          <w:color w:val="auto"/>
          <w:sz w:val="24"/>
          <w:lang w:eastAsia="zh-CN"/>
        </w:rPr>
        <w:t>（</w:t>
      </w:r>
      <w:r>
        <w:rPr>
          <w:rFonts w:ascii="Times New Roman" w:hAnsi="Times New Roman" w:eastAsia="宋体"/>
          <w:color w:val="auto"/>
          <w:spacing w:val="2"/>
          <w:sz w:val="24"/>
          <w:lang w:eastAsia="zh-CN"/>
        </w:rPr>
        <w:t>3</w:t>
      </w:r>
      <w:r>
        <w:rPr>
          <w:rFonts w:ascii="Times New Roman" w:hAnsi="Times New Roman" w:eastAsia="宋体"/>
          <w:color w:val="auto"/>
          <w:spacing w:val="1"/>
          <w:sz w:val="24"/>
          <w:lang w:eastAsia="zh-CN"/>
        </w:rPr>
        <w:t>）与项目相关的物流、储运等也</w:t>
      </w:r>
      <w:r>
        <w:rPr>
          <w:rFonts w:ascii="Times New Roman" w:hAnsi="Times New Roman" w:eastAsia="宋体"/>
          <w:color w:val="auto"/>
          <w:spacing w:val="-3"/>
          <w:sz w:val="24"/>
          <w:lang w:eastAsia="zh-CN"/>
        </w:rPr>
        <w:t>会在一定程度繁荣当地经济，同时也将间接地促进厂区及周边地区的工业、服务</w:t>
      </w:r>
      <w:r>
        <w:rPr>
          <w:rFonts w:ascii="Times New Roman" w:hAnsi="Times New Roman" w:eastAsia="宋体"/>
          <w:color w:val="auto"/>
          <w:spacing w:val="-1"/>
          <w:sz w:val="24"/>
          <w:lang w:eastAsia="zh-CN"/>
        </w:rPr>
        <w:t>业、运输业等相关产业的发展，提高居民的整体收入水平</w:t>
      </w:r>
      <w:r>
        <w:rPr>
          <w:rFonts w:ascii="Times New Roman" w:hAnsi="Times New Roman" w:eastAsia="宋体"/>
          <w:color w:val="auto"/>
          <w:spacing w:val="-6"/>
          <w:sz w:val="24"/>
          <w:lang w:eastAsia="zh-CN"/>
        </w:rPr>
        <w:t>。</w:t>
      </w:r>
    </w:p>
    <w:p>
      <w:pPr>
        <w:pStyle w:val="4"/>
        <w:spacing w:line="360" w:lineRule="auto"/>
        <w:rPr>
          <w:rFonts w:ascii="Times New Roman" w:hAnsi="Times New Roman"/>
          <w:b/>
          <w:color w:val="auto"/>
        </w:rPr>
      </w:pPr>
      <w:bookmarkStart w:id="344" w:name="_Toc1803"/>
      <w:bookmarkStart w:id="345" w:name="_Toc2904"/>
      <w:bookmarkStart w:id="346" w:name="_Toc18741"/>
      <w:bookmarkStart w:id="347" w:name="_Toc26262"/>
      <w:bookmarkStart w:id="348" w:name="_Toc12858"/>
      <w:r>
        <w:rPr>
          <w:rFonts w:hint="eastAsia" w:ascii="Times New Roman" w:hAnsi="Times New Roman"/>
          <w:b/>
          <w:color w:val="auto"/>
        </w:rPr>
        <w:t>8</w:t>
      </w:r>
      <w:r>
        <w:rPr>
          <w:rFonts w:ascii="Times New Roman" w:hAnsi="Times New Roman"/>
          <w:b/>
          <w:color w:val="auto"/>
        </w:rPr>
        <w:t>.5 项目环境损益分析</w:t>
      </w:r>
      <w:bookmarkEnd w:id="344"/>
      <w:bookmarkEnd w:id="345"/>
      <w:bookmarkEnd w:id="346"/>
      <w:bookmarkEnd w:id="347"/>
      <w:bookmarkEnd w:id="348"/>
    </w:p>
    <w:p>
      <w:pPr>
        <w:pStyle w:val="288"/>
        <w:spacing w:before="0" w:after="0" w:line="360" w:lineRule="auto"/>
        <w:jc w:val="left"/>
        <w:rPr>
          <w:rFonts w:ascii="Times New Roman" w:hAnsi="Times New Roman" w:eastAsia="宋体"/>
          <w:b/>
          <w:bCs/>
          <w:color w:val="auto"/>
          <w:spacing w:val="1"/>
          <w:sz w:val="24"/>
          <w:lang w:eastAsia="zh-CN"/>
        </w:rPr>
      </w:pPr>
      <w:r>
        <w:rPr>
          <w:rFonts w:hint="eastAsia" w:ascii="Times New Roman" w:hAnsi="Times New Roman" w:eastAsia="宋体"/>
          <w:b/>
          <w:bCs/>
          <w:color w:val="auto"/>
          <w:spacing w:val="1"/>
          <w:sz w:val="24"/>
          <w:lang w:eastAsia="zh-CN"/>
        </w:rPr>
        <w:t>8</w:t>
      </w:r>
      <w:r>
        <w:rPr>
          <w:rFonts w:ascii="Times New Roman" w:hAnsi="Times New Roman" w:eastAsia="宋体"/>
          <w:b/>
          <w:bCs/>
          <w:color w:val="auto"/>
          <w:spacing w:val="1"/>
          <w:sz w:val="24"/>
          <w:lang w:eastAsia="zh-CN"/>
        </w:rPr>
        <w:t>.5.1 环保设施投资</w:t>
      </w:r>
    </w:p>
    <w:p>
      <w:pPr>
        <w:pStyle w:val="288"/>
        <w:spacing w:before="0" w:after="0" w:line="360" w:lineRule="auto"/>
        <w:ind w:firstLine="468" w:firstLineChars="200"/>
        <w:jc w:val="left"/>
        <w:rPr>
          <w:rFonts w:ascii="Times New Roman" w:hAnsi="Times New Roman" w:eastAsia="宋体"/>
          <w:color w:val="auto"/>
          <w:sz w:val="24"/>
          <w:lang w:eastAsia="zh-CN"/>
        </w:rPr>
      </w:pPr>
      <w:r>
        <w:rPr>
          <w:rFonts w:ascii="Times New Roman" w:hAnsi="Times New Roman" w:eastAsia="宋体"/>
          <w:color w:val="auto"/>
          <w:spacing w:val="-3"/>
          <w:sz w:val="24"/>
          <w:lang w:eastAsia="zh-CN"/>
        </w:rPr>
        <w:t>根据对该项目的工程分析，项目建成投产后，所产生的废水、废气、噪声和固体废物等污染物会对环境产生一定影响，因此必须采取相应的环保措施，以</w:t>
      </w:r>
      <w:r>
        <w:rPr>
          <w:rFonts w:ascii="Times New Roman" w:hAnsi="Times New Roman" w:eastAsia="宋体"/>
          <w:color w:val="auto"/>
          <w:spacing w:val="5"/>
          <w:sz w:val="24"/>
          <w:lang w:eastAsia="zh-CN"/>
        </w:rPr>
        <w:t>保证建设工程对环境的影响降低到最小程度，满足建设项目环境保护管理的要</w:t>
      </w:r>
      <w:r>
        <w:rPr>
          <w:rFonts w:ascii="Times New Roman" w:hAnsi="Times New Roman" w:eastAsia="宋体"/>
          <w:color w:val="auto"/>
          <w:sz w:val="24"/>
          <w:lang w:eastAsia="zh-CN"/>
        </w:rPr>
        <w:t>求。</w:t>
      </w:r>
    </w:p>
    <w:p>
      <w:pPr>
        <w:pStyle w:val="288"/>
        <w:spacing w:before="0" w:after="0" w:line="360" w:lineRule="auto"/>
        <w:ind w:firstLine="468" w:firstLineChars="200"/>
        <w:jc w:val="left"/>
        <w:rPr>
          <w:rFonts w:ascii="Times New Roman" w:hAnsi="Times New Roman" w:eastAsia="宋体"/>
          <w:color w:val="auto"/>
          <w:sz w:val="24"/>
          <w:lang w:eastAsia="zh-CN"/>
        </w:rPr>
      </w:pPr>
      <w:r>
        <w:rPr>
          <w:rFonts w:ascii="Times New Roman" w:hAnsi="Times New Roman" w:eastAsia="宋体"/>
          <w:color w:val="auto"/>
          <w:spacing w:val="-3"/>
          <w:sz w:val="24"/>
          <w:lang w:eastAsia="zh-CN"/>
        </w:rPr>
        <w:t>经对本次项目拟采取的环保措施进行估算，项目用于环境保护方面的投资约</w:t>
      </w:r>
      <w:r>
        <w:rPr>
          <w:rFonts w:ascii="Times New Roman" w:hAnsi="Times New Roman" w:eastAsia="宋体"/>
          <w:color w:val="auto"/>
          <w:sz w:val="24"/>
          <w:lang w:eastAsia="zh-CN"/>
        </w:rPr>
        <w:t>需</w:t>
      </w:r>
      <w:r>
        <w:rPr>
          <w:rFonts w:hint="eastAsia" w:ascii="Times New Roman" w:hAnsi="Times New Roman" w:eastAsia="宋体"/>
          <w:color w:val="auto"/>
          <w:sz w:val="24"/>
          <w:lang w:eastAsia="zh-CN"/>
        </w:rPr>
        <w:t>107</w:t>
      </w:r>
      <w:r>
        <w:rPr>
          <w:rFonts w:ascii="Times New Roman" w:hAnsi="Times New Roman" w:eastAsia="宋体"/>
          <w:color w:val="auto"/>
          <w:sz w:val="24"/>
          <w:lang w:eastAsia="zh-CN"/>
        </w:rPr>
        <w:t>万</w:t>
      </w:r>
      <w:r>
        <w:rPr>
          <w:rFonts w:ascii="Times New Roman" w:hAnsi="Times New Roman" w:eastAsia="宋体"/>
          <w:color w:val="auto"/>
          <w:spacing w:val="-11"/>
          <w:sz w:val="24"/>
          <w:lang w:eastAsia="zh-CN"/>
        </w:rPr>
        <w:t>元</w:t>
      </w:r>
      <w:r>
        <w:rPr>
          <w:rFonts w:ascii="Times New Roman" w:hAnsi="Times New Roman" w:eastAsia="宋体"/>
          <w:color w:val="auto"/>
          <w:spacing w:val="-4"/>
          <w:sz w:val="24"/>
          <w:lang w:eastAsia="zh-CN"/>
        </w:rPr>
        <w:t>，主要用于废气、废水处</w:t>
      </w:r>
      <w:r>
        <w:rPr>
          <w:rFonts w:ascii="Times New Roman" w:hAnsi="Times New Roman" w:eastAsia="宋体"/>
          <w:color w:val="auto"/>
          <w:spacing w:val="-3"/>
          <w:sz w:val="24"/>
          <w:lang w:eastAsia="zh-CN"/>
        </w:rPr>
        <w:t>理设施、固废暂存场地的建设和噪声减缓设备的使用，以及后期的运行维护。根</w:t>
      </w:r>
      <w:r>
        <w:rPr>
          <w:rFonts w:ascii="Times New Roman" w:hAnsi="Times New Roman" w:eastAsia="宋体"/>
          <w:color w:val="auto"/>
          <w:sz w:val="24"/>
          <w:lang w:eastAsia="zh-CN"/>
        </w:rPr>
        <w:t>据项目的环境影响评价及污染防治措施分析，上述环保设施的建成与投入运行，</w:t>
      </w:r>
      <w:r>
        <w:rPr>
          <w:rFonts w:ascii="Times New Roman" w:hAnsi="Times New Roman" w:eastAsia="宋体"/>
          <w:color w:val="auto"/>
          <w:spacing w:val="-3"/>
          <w:sz w:val="24"/>
          <w:lang w:eastAsia="zh-CN"/>
        </w:rPr>
        <w:t>可以满足项目废水、废气、噪声等达标排放、污染物总量控制及清洁生产的要求，并可以保证企业有良好的生产环境。上述情况表明本项目环保投资可以满足</w:t>
      </w:r>
      <w:r>
        <w:rPr>
          <w:rFonts w:ascii="Times New Roman" w:hAnsi="Times New Roman" w:eastAsia="宋体"/>
          <w:color w:val="auto"/>
          <w:sz w:val="24"/>
          <w:lang w:eastAsia="zh-CN"/>
        </w:rPr>
        <w:t>环保设施要求。</w:t>
      </w:r>
    </w:p>
    <w:p>
      <w:pPr>
        <w:pStyle w:val="288"/>
        <w:spacing w:before="0" w:after="0" w:line="360" w:lineRule="auto"/>
        <w:jc w:val="left"/>
        <w:rPr>
          <w:rFonts w:ascii="Times New Roman" w:hAnsi="Times New Roman" w:eastAsia="宋体"/>
          <w:b/>
          <w:bCs/>
          <w:color w:val="auto"/>
          <w:spacing w:val="1"/>
          <w:sz w:val="24"/>
          <w:lang w:eastAsia="zh-CN"/>
        </w:rPr>
      </w:pPr>
      <w:r>
        <w:rPr>
          <w:rFonts w:hint="eastAsia" w:ascii="Times New Roman" w:hAnsi="Times New Roman" w:eastAsia="宋体"/>
          <w:b/>
          <w:bCs/>
          <w:color w:val="auto"/>
          <w:spacing w:val="1"/>
          <w:sz w:val="24"/>
          <w:lang w:eastAsia="zh-CN"/>
        </w:rPr>
        <w:t>8</w:t>
      </w:r>
      <w:r>
        <w:rPr>
          <w:rFonts w:ascii="Times New Roman" w:hAnsi="Times New Roman" w:eastAsia="宋体"/>
          <w:b/>
          <w:bCs/>
          <w:color w:val="auto"/>
          <w:spacing w:val="1"/>
          <w:sz w:val="24"/>
          <w:lang w:eastAsia="zh-CN"/>
        </w:rPr>
        <w:t>.</w:t>
      </w:r>
      <w:r>
        <w:rPr>
          <w:rFonts w:hint="eastAsia" w:ascii="Times New Roman" w:hAnsi="Times New Roman" w:eastAsia="宋体"/>
          <w:b/>
          <w:bCs/>
          <w:color w:val="auto"/>
          <w:spacing w:val="1"/>
          <w:sz w:val="24"/>
          <w:lang w:eastAsia="zh-CN"/>
        </w:rPr>
        <w:t>5</w:t>
      </w:r>
      <w:r>
        <w:rPr>
          <w:rFonts w:ascii="Times New Roman" w:hAnsi="Times New Roman" w:eastAsia="宋体"/>
          <w:b/>
          <w:bCs/>
          <w:color w:val="auto"/>
          <w:spacing w:val="1"/>
          <w:sz w:val="24"/>
          <w:lang w:eastAsia="zh-CN"/>
        </w:rPr>
        <w:t>.2 环境代价分析</w:t>
      </w:r>
    </w:p>
    <w:p>
      <w:pPr>
        <w:pStyle w:val="288"/>
        <w:spacing w:before="0" w:after="0" w:line="360" w:lineRule="auto"/>
        <w:ind w:firstLine="480" w:firstLineChars="200"/>
        <w:jc w:val="left"/>
        <w:rPr>
          <w:rFonts w:ascii="Times New Roman" w:hAnsi="Times New Roman" w:eastAsia="宋体"/>
          <w:color w:val="auto"/>
          <w:sz w:val="24"/>
          <w:lang w:eastAsia="zh-CN"/>
        </w:rPr>
      </w:pPr>
      <w:r>
        <w:rPr>
          <w:rFonts w:ascii="Times New Roman" w:hAnsi="Times New Roman" w:eastAsia="宋体"/>
          <w:color w:val="auto"/>
          <w:sz w:val="24"/>
          <w:lang w:eastAsia="zh-CN"/>
        </w:rPr>
        <w:t>（1）环保设施的折旧费</w:t>
      </w:r>
    </w:p>
    <w:p>
      <w:pPr>
        <w:pStyle w:val="205"/>
        <w:spacing w:before="0" w:after="0" w:line="360" w:lineRule="auto"/>
        <w:ind w:firstLine="480" w:firstLineChars="200"/>
        <w:jc w:val="left"/>
        <w:rPr>
          <w:rFonts w:ascii="Times New Roman" w:hAnsi="Times New Roman" w:eastAsia="宋体"/>
          <w:color w:val="auto"/>
          <w:sz w:val="24"/>
          <w:lang w:eastAsia="zh-CN"/>
        </w:rPr>
      </w:pPr>
      <w:r>
        <w:rPr>
          <w:rFonts w:ascii="Times New Roman" w:hAnsi="Times New Roman" w:eastAsia="宋体"/>
          <w:color w:val="auto"/>
          <w:sz w:val="24"/>
          <w:lang w:eastAsia="zh-CN"/>
        </w:rPr>
        <w:t>环保设施（废气、废水、噪声、固体废物及环境监测）的固定资产形成率为100%，环保设施净残值按原值的5%计，平均按10年折旧计算，则环保设施的年折旧费为</w:t>
      </w:r>
      <w:r>
        <w:rPr>
          <w:rFonts w:hint="eastAsia" w:ascii="Times New Roman" w:hAnsi="Times New Roman" w:eastAsia="宋体"/>
          <w:color w:val="auto"/>
          <w:sz w:val="24"/>
          <w:lang w:val="en-US" w:eastAsia="zh-CN"/>
        </w:rPr>
        <w:t>10.16</w:t>
      </w:r>
      <w:r>
        <w:rPr>
          <w:rFonts w:hint="eastAsia" w:ascii="Times New Roman" w:hAnsi="Times New Roman" w:eastAsia="宋体"/>
          <w:color w:val="auto"/>
          <w:sz w:val="24"/>
          <w:lang w:eastAsia="zh-CN"/>
        </w:rPr>
        <w:t>5</w:t>
      </w:r>
      <w:r>
        <w:rPr>
          <w:rFonts w:ascii="Times New Roman" w:hAnsi="Times New Roman" w:eastAsia="宋体"/>
          <w:color w:val="auto"/>
          <w:sz w:val="24"/>
          <w:lang w:eastAsia="zh-CN"/>
        </w:rPr>
        <w:t>万元。</w:t>
      </w:r>
    </w:p>
    <w:p>
      <w:pPr>
        <w:pStyle w:val="205"/>
        <w:spacing w:before="0" w:after="0" w:line="360" w:lineRule="auto"/>
        <w:ind w:firstLine="480" w:firstLineChars="200"/>
        <w:jc w:val="left"/>
        <w:rPr>
          <w:rFonts w:ascii="Times New Roman" w:hAnsi="Times New Roman" w:eastAsia="宋体"/>
          <w:color w:val="auto"/>
          <w:sz w:val="24"/>
          <w:lang w:eastAsia="zh-CN"/>
        </w:rPr>
      </w:pPr>
      <w:r>
        <w:rPr>
          <w:rFonts w:ascii="Times New Roman" w:hAnsi="Times New Roman" w:eastAsia="宋体"/>
          <w:color w:val="auto"/>
          <w:sz w:val="24"/>
          <w:lang w:eastAsia="zh-CN"/>
        </w:rPr>
        <w:t>（2）环保设施的运行费</w:t>
      </w:r>
    </w:p>
    <w:p>
      <w:pPr>
        <w:pStyle w:val="205"/>
        <w:spacing w:before="0" w:after="0" w:line="360" w:lineRule="auto"/>
        <w:ind w:firstLine="480" w:firstLineChars="200"/>
        <w:jc w:val="left"/>
        <w:rPr>
          <w:rFonts w:ascii="Times New Roman" w:hAnsi="Times New Roman" w:eastAsia="宋体"/>
          <w:color w:val="auto"/>
          <w:sz w:val="24"/>
          <w:lang w:eastAsia="zh-CN"/>
        </w:rPr>
      </w:pPr>
      <w:r>
        <w:rPr>
          <w:rFonts w:ascii="Times New Roman" w:hAnsi="Times New Roman" w:eastAsia="宋体"/>
          <w:color w:val="auto"/>
          <w:sz w:val="24"/>
          <w:lang w:eastAsia="zh-CN"/>
        </w:rPr>
        <w:t>主要是设备的动力费、水费等，合计约4万元/年。此外，维修费按环保投资的1%计，即</w:t>
      </w:r>
      <w:r>
        <w:rPr>
          <w:rFonts w:hint="eastAsia" w:ascii="Times New Roman" w:hAnsi="Times New Roman" w:eastAsia="宋体"/>
          <w:color w:val="auto"/>
          <w:sz w:val="24"/>
          <w:lang w:val="en-US" w:eastAsia="zh-CN"/>
        </w:rPr>
        <w:t>1.07</w:t>
      </w:r>
      <w:r>
        <w:rPr>
          <w:rFonts w:ascii="Times New Roman" w:hAnsi="Times New Roman" w:eastAsia="宋体"/>
          <w:color w:val="auto"/>
          <w:sz w:val="24"/>
          <w:lang w:eastAsia="zh-CN"/>
        </w:rPr>
        <w:t>万元/年；从事环境保护工作人员的工资4万元/年·人；与环境保护有关的科研费、咨询费、学术交流费等预计2万元/年。</w:t>
      </w:r>
    </w:p>
    <w:p>
      <w:pPr>
        <w:pStyle w:val="205"/>
        <w:spacing w:before="0" w:after="0" w:line="360" w:lineRule="auto"/>
        <w:ind w:firstLine="480" w:firstLineChars="200"/>
        <w:jc w:val="left"/>
        <w:rPr>
          <w:rFonts w:ascii="Times New Roman" w:hAnsi="Times New Roman" w:eastAsia="宋体"/>
          <w:color w:val="auto"/>
          <w:sz w:val="24"/>
          <w:lang w:eastAsia="zh-CN"/>
        </w:rPr>
      </w:pPr>
      <w:r>
        <w:rPr>
          <w:rFonts w:ascii="Times New Roman" w:hAnsi="Times New Roman" w:eastAsia="宋体"/>
          <w:color w:val="auto"/>
          <w:sz w:val="24"/>
          <w:lang w:eastAsia="zh-CN"/>
        </w:rPr>
        <w:t>（3）排污费</w:t>
      </w:r>
    </w:p>
    <w:p>
      <w:pPr>
        <w:pStyle w:val="205"/>
        <w:spacing w:before="0" w:after="0" w:line="360" w:lineRule="auto"/>
        <w:ind w:firstLine="480" w:firstLineChars="200"/>
        <w:jc w:val="left"/>
        <w:rPr>
          <w:rFonts w:ascii="Times New Roman" w:hAnsi="Times New Roman" w:eastAsia="宋体"/>
          <w:color w:val="auto"/>
          <w:sz w:val="24"/>
          <w:lang w:eastAsia="zh-CN"/>
        </w:rPr>
      </w:pPr>
      <w:r>
        <w:rPr>
          <w:rFonts w:ascii="Times New Roman" w:hAnsi="Times New Roman" w:eastAsia="宋体"/>
          <w:color w:val="auto"/>
          <w:sz w:val="24"/>
          <w:lang w:eastAsia="zh-CN"/>
        </w:rPr>
        <w:t>达标排放后的一般固废处理费4万元/年。</w:t>
      </w:r>
    </w:p>
    <w:p>
      <w:pPr>
        <w:pStyle w:val="205"/>
        <w:spacing w:before="0" w:after="0" w:line="360" w:lineRule="auto"/>
        <w:ind w:firstLine="480" w:firstLineChars="200"/>
        <w:jc w:val="left"/>
        <w:rPr>
          <w:rFonts w:ascii="Times New Roman" w:hAnsi="Times New Roman" w:eastAsia="宋体"/>
          <w:color w:val="auto"/>
          <w:sz w:val="24"/>
          <w:lang w:eastAsia="zh-CN"/>
        </w:rPr>
      </w:pPr>
      <w:r>
        <w:rPr>
          <w:rFonts w:ascii="Times New Roman" w:hAnsi="Times New Roman" w:eastAsia="宋体"/>
          <w:color w:val="auto"/>
          <w:sz w:val="24"/>
          <w:lang w:eastAsia="zh-CN"/>
        </w:rPr>
        <w:t>由上述3项费用构成的环保运转成本为</w:t>
      </w:r>
      <w:r>
        <w:rPr>
          <w:rFonts w:hint="eastAsia" w:ascii="Times New Roman" w:hAnsi="Times New Roman" w:eastAsia="宋体"/>
          <w:color w:val="auto"/>
          <w:sz w:val="24"/>
          <w:lang w:val="en-US" w:eastAsia="zh-CN"/>
        </w:rPr>
        <w:t>25.77</w:t>
      </w:r>
      <w:r>
        <w:rPr>
          <w:rFonts w:ascii="Times New Roman" w:hAnsi="Times New Roman" w:eastAsia="宋体"/>
          <w:color w:val="auto"/>
          <w:sz w:val="24"/>
          <w:lang w:eastAsia="zh-CN"/>
        </w:rPr>
        <w:t>万元/年。</w:t>
      </w:r>
    </w:p>
    <w:p>
      <w:pPr>
        <w:pStyle w:val="288"/>
        <w:spacing w:before="0" w:after="0" w:line="360" w:lineRule="auto"/>
        <w:jc w:val="left"/>
        <w:rPr>
          <w:rFonts w:ascii="Times New Roman" w:hAnsi="Times New Roman" w:eastAsia="宋体"/>
          <w:b/>
          <w:bCs/>
          <w:color w:val="auto"/>
          <w:spacing w:val="1"/>
          <w:sz w:val="24"/>
          <w:lang w:eastAsia="zh-CN"/>
        </w:rPr>
      </w:pPr>
      <w:r>
        <w:rPr>
          <w:rFonts w:hint="eastAsia" w:ascii="Times New Roman" w:hAnsi="Times New Roman" w:eastAsia="宋体"/>
          <w:b/>
          <w:bCs/>
          <w:color w:val="auto"/>
          <w:spacing w:val="1"/>
          <w:sz w:val="24"/>
          <w:lang w:eastAsia="zh-CN"/>
        </w:rPr>
        <w:t>8.5</w:t>
      </w:r>
      <w:r>
        <w:rPr>
          <w:rFonts w:ascii="Times New Roman" w:hAnsi="Times New Roman" w:eastAsia="宋体"/>
          <w:b/>
          <w:bCs/>
          <w:color w:val="auto"/>
          <w:spacing w:val="1"/>
          <w:sz w:val="24"/>
          <w:lang w:eastAsia="zh-CN"/>
        </w:rPr>
        <w:t>.3 环境经济效益分析</w:t>
      </w:r>
    </w:p>
    <w:p>
      <w:pPr>
        <w:pStyle w:val="205"/>
        <w:spacing w:before="0" w:after="0" w:line="360" w:lineRule="auto"/>
        <w:ind w:firstLine="480" w:firstLineChars="200"/>
        <w:jc w:val="left"/>
        <w:rPr>
          <w:rFonts w:ascii="Times New Roman" w:hAnsi="Times New Roman" w:eastAsia="宋体"/>
          <w:color w:val="auto"/>
          <w:sz w:val="24"/>
          <w:lang w:eastAsia="zh-CN"/>
        </w:rPr>
      </w:pPr>
      <w:r>
        <w:rPr>
          <w:rFonts w:ascii="Times New Roman" w:hAnsi="Times New Roman" w:eastAsia="宋体"/>
          <w:color w:val="auto"/>
          <w:sz w:val="24"/>
          <w:lang w:eastAsia="zh-CN"/>
        </w:rPr>
        <w:t>（1）直接经济效益</w:t>
      </w:r>
    </w:p>
    <w:p>
      <w:pPr>
        <w:pStyle w:val="205"/>
        <w:spacing w:before="0" w:after="0" w:line="360" w:lineRule="auto"/>
        <w:ind w:firstLine="468" w:firstLineChars="200"/>
        <w:jc w:val="left"/>
        <w:rPr>
          <w:rFonts w:ascii="Times New Roman" w:hAnsi="Times New Roman" w:eastAsia="宋体"/>
          <w:color w:val="auto"/>
          <w:sz w:val="24"/>
          <w:lang w:eastAsia="zh-CN"/>
        </w:rPr>
      </w:pPr>
      <w:r>
        <w:rPr>
          <w:rFonts w:ascii="Times New Roman" w:hAnsi="Times New Roman" w:eastAsia="宋体"/>
          <w:color w:val="auto"/>
          <w:spacing w:val="-3"/>
          <w:sz w:val="24"/>
          <w:lang w:eastAsia="zh-CN"/>
        </w:rPr>
        <w:t>直接经济效益是指环境保护措施直接提供的产品价值。本工程的直接经济效</w:t>
      </w:r>
      <w:r>
        <w:rPr>
          <w:rFonts w:ascii="Times New Roman" w:hAnsi="Times New Roman" w:eastAsia="宋体"/>
          <w:color w:val="auto"/>
          <w:spacing w:val="-1"/>
          <w:sz w:val="24"/>
          <w:lang w:eastAsia="zh-CN"/>
        </w:rPr>
        <w:t>益主要为固废及废水回用所节约的资源费。固废综合利用产生的经济效益约为</w:t>
      </w:r>
      <w:r>
        <w:rPr>
          <w:rFonts w:ascii="Times New Roman" w:hAnsi="Times New Roman" w:eastAsia="宋体"/>
          <w:color w:val="auto"/>
          <w:sz w:val="24"/>
          <w:lang w:eastAsia="zh-CN"/>
        </w:rPr>
        <w:t>6万元</w:t>
      </w:r>
      <w:r>
        <w:rPr>
          <w:rFonts w:ascii="Times New Roman" w:hAnsi="Times New Roman" w:eastAsia="宋体"/>
          <w:color w:val="auto"/>
          <w:spacing w:val="-2"/>
          <w:sz w:val="24"/>
          <w:lang w:eastAsia="zh-CN"/>
        </w:rPr>
        <w:t>/</w:t>
      </w:r>
      <w:r>
        <w:rPr>
          <w:rFonts w:ascii="Times New Roman" w:hAnsi="Times New Roman" w:eastAsia="宋体"/>
          <w:color w:val="auto"/>
          <w:sz w:val="24"/>
          <w:lang w:eastAsia="zh-CN"/>
        </w:rPr>
        <w:t>年；循环水节约的水费约8万元</w:t>
      </w:r>
      <w:r>
        <w:rPr>
          <w:rFonts w:ascii="Times New Roman" w:hAnsi="Times New Roman" w:eastAsia="宋体"/>
          <w:color w:val="auto"/>
          <w:spacing w:val="1"/>
          <w:sz w:val="24"/>
          <w:lang w:eastAsia="zh-CN"/>
        </w:rPr>
        <w:t>/</w:t>
      </w:r>
      <w:r>
        <w:rPr>
          <w:rFonts w:ascii="Times New Roman" w:hAnsi="Times New Roman" w:eastAsia="宋体"/>
          <w:color w:val="auto"/>
          <w:sz w:val="24"/>
          <w:lang w:eastAsia="zh-CN"/>
        </w:rPr>
        <w:t>年。</w:t>
      </w:r>
    </w:p>
    <w:p>
      <w:pPr>
        <w:pStyle w:val="205"/>
        <w:spacing w:before="0" w:after="0" w:line="360" w:lineRule="auto"/>
        <w:ind w:firstLine="480" w:firstLineChars="200"/>
        <w:jc w:val="left"/>
        <w:rPr>
          <w:rFonts w:ascii="Times New Roman" w:hAnsi="Times New Roman" w:eastAsia="宋体"/>
          <w:color w:val="auto"/>
          <w:sz w:val="24"/>
          <w:lang w:eastAsia="zh-CN"/>
        </w:rPr>
      </w:pPr>
      <w:r>
        <w:rPr>
          <w:rFonts w:ascii="Times New Roman" w:hAnsi="Times New Roman" w:eastAsia="宋体"/>
          <w:color w:val="auto"/>
          <w:sz w:val="24"/>
          <w:lang w:eastAsia="zh-CN"/>
        </w:rPr>
        <w:t>（2）间接经济效益</w:t>
      </w:r>
    </w:p>
    <w:p>
      <w:pPr>
        <w:pStyle w:val="205"/>
        <w:spacing w:before="0" w:after="0" w:line="360" w:lineRule="auto"/>
        <w:ind w:firstLine="480" w:firstLineChars="200"/>
        <w:jc w:val="left"/>
        <w:rPr>
          <w:rFonts w:ascii="Times New Roman" w:hAnsi="Times New Roman" w:eastAsia="宋体"/>
          <w:color w:val="auto"/>
          <w:sz w:val="24"/>
          <w:lang w:eastAsia="zh-CN"/>
        </w:rPr>
      </w:pPr>
      <w:r>
        <w:rPr>
          <w:rFonts w:ascii="Times New Roman" w:hAnsi="Times New Roman" w:eastAsia="宋体"/>
          <w:color w:val="auto"/>
          <w:sz w:val="24"/>
          <w:lang w:eastAsia="zh-CN"/>
        </w:rPr>
        <w:t>减少污染损失：环保措施的实施减轻了废气、废水、噪声对周边环境污染造成的损失</w:t>
      </w:r>
      <w:r>
        <w:rPr>
          <w:rFonts w:hint="eastAsia" w:ascii="Times New Roman" w:hAnsi="Times New Roman" w:eastAsia="宋体"/>
          <w:color w:val="auto"/>
          <w:sz w:val="24"/>
          <w:lang w:eastAsia="zh-CN"/>
        </w:rPr>
        <w:t>3</w:t>
      </w:r>
      <w:r>
        <w:rPr>
          <w:rFonts w:ascii="Times New Roman" w:hAnsi="Times New Roman" w:eastAsia="宋体"/>
          <w:color w:val="auto"/>
          <w:sz w:val="24"/>
          <w:lang w:eastAsia="zh-CN"/>
        </w:rPr>
        <w:t>0万元/年。</w:t>
      </w:r>
    </w:p>
    <w:p>
      <w:pPr>
        <w:pStyle w:val="205"/>
        <w:spacing w:before="0" w:after="0" w:line="360" w:lineRule="auto"/>
        <w:ind w:firstLine="480" w:firstLineChars="200"/>
        <w:jc w:val="left"/>
        <w:rPr>
          <w:rFonts w:ascii="Times New Roman" w:hAnsi="Times New Roman" w:eastAsia="宋体"/>
          <w:color w:val="auto"/>
          <w:sz w:val="24"/>
          <w:lang w:eastAsia="zh-CN"/>
        </w:rPr>
      </w:pPr>
      <w:r>
        <w:rPr>
          <w:rFonts w:ascii="Times New Roman" w:hAnsi="Times New Roman" w:eastAsia="宋体"/>
          <w:color w:val="auto"/>
          <w:sz w:val="24"/>
          <w:lang w:eastAsia="zh-CN"/>
        </w:rPr>
        <w:t>减少排污费：工程减少的排污费主要考虑废水、废气治理和固体废弃物处置带来的排污费减少量。项目“三废”处理后达标排放可免交超标排污费和罚款约25万元/年。</w:t>
      </w:r>
    </w:p>
    <w:p>
      <w:pPr>
        <w:pStyle w:val="205"/>
        <w:spacing w:before="0" w:after="0" w:line="360" w:lineRule="auto"/>
        <w:ind w:firstLine="480" w:firstLineChars="200"/>
        <w:jc w:val="left"/>
        <w:rPr>
          <w:rFonts w:ascii="Times New Roman" w:hAnsi="Times New Roman" w:eastAsia="宋体"/>
          <w:color w:val="auto"/>
          <w:sz w:val="24"/>
          <w:lang w:eastAsia="zh-CN"/>
        </w:rPr>
      </w:pPr>
      <w:r>
        <w:rPr>
          <w:rFonts w:ascii="Times New Roman" w:hAnsi="Times New Roman" w:eastAsia="宋体"/>
          <w:color w:val="auto"/>
          <w:sz w:val="24"/>
          <w:lang w:eastAsia="zh-CN"/>
        </w:rPr>
        <w:t>其他效益：环保措施的实施避免了噪声和废气污染引发的职业病，从而避免了工人的医疗保健费用而获得的收益3万元/年。</w:t>
      </w:r>
    </w:p>
    <w:p>
      <w:pPr>
        <w:pStyle w:val="205"/>
        <w:spacing w:before="0" w:after="0" w:line="360" w:lineRule="auto"/>
        <w:ind w:firstLine="480" w:firstLineChars="200"/>
        <w:jc w:val="left"/>
        <w:rPr>
          <w:rFonts w:ascii="Times New Roman" w:hAnsi="Times New Roman" w:eastAsia="宋体"/>
          <w:color w:val="auto"/>
          <w:sz w:val="24"/>
          <w:lang w:eastAsia="zh-CN"/>
        </w:rPr>
      </w:pPr>
      <w:r>
        <w:rPr>
          <w:rFonts w:ascii="Times New Roman" w:hAnsi="Times New Roman" w:eastAsia="宋体"/>
          <w:color w:val="auto"/>
          <w:sz w:val="24"/>
          <w:lang w:eastAsia="zh-CN"/>
        </w:rPr>
        <w:t>综上所述，本项目环境经济效益合计</w:t>
      </w:r>
      <w:r>
        <w:rPr>
          <w:rFonts w:hint="eastAsia" w:ascii="Times New Roman" w:hAnsi="Times New Roman" w:eastAsia="宋体"/>
          <w:color w:val="auto"/>
          <w:sz w:val="24"/>
          <w:lang w:eastAsia="zh-CN"/>
        </w:rPr>
        <w:t>7</w:t>
      </w:r>
      <w:r>
        <w:rPr>
          <w:rFonts w:ascii="Times New Roman" w:hAnsi="Times New Roman" w:eastAsia="宋体"/>
          <w:color w:val="auto"/>
          <w:sz w:val="24"/>
          <w:lang w:eastAsia="zh-CN"/>
        </w:rPr>
        <w:t>2万元/年。另外，本项目的建设可带动地方第三产业和其它相关产业的发展，繁荣地方经济、增进贸易，加快园区的开发建设步伐。产业园的建设步伐加快反过来可加快园内配套的环保设施建设，改善区域环境质量，实现区域可持续发展。</w:t>
      </w:r>
    </w:p>
    <w:p>
      <w:pPr>
        <w:pStyle w:val="4"/>
        <w:spacing w:line="360" w:lineRule="auto"/>
        <w:rPr>
          <w:rFonts w:ascii="Times New Roman" w:hAnsi="Times New Roman"/>
          <w:b/>
          <w:color w:val="auto"/>
        </w:rPr>
      </w:pPr>
      <w:bookmarkStart w:id="349" w:name="_Toc2348"/>
      <w:bookmarkStart w:id="350" w:name="_Toc26025"/>
      <w:bookmarkStart w:id="351" w:name="_Toc22980"/>
      <w:bookmarkStart w:id="352" w:name="_Toc19814"/>
      <w:bookmarkStart w:id="353" w:name="_Toc16653"/>
      <w:r>
        <w:rPr>
          <w:rFonts w:hint="eastAsia" w:ascii="Times New Roman" w:hAnsi="Times New Roman"/>
          <w:b/>
          <w:color w:val="auto"/>
        </w:rPr>
        <w:t>8</w:t>
      </w:r>
      <w:r>
        <w:rPr>
          <w:rFonts w:ascii="Times New Roman" w:hAnsi="Times New Roman"/>
          <w:b/>
          <w:color w:val="auto"/>
        </w:rPr>
        <w:t>.6 环境经济损益综合分析</w:t>
      </w:r>
      <w:bookmarkEnd w:id="349"/>
      <w:bookmarkEnd w:id="350"/>
      <w:bookmarkEnd w:id="351"/>
      <w:bookmarkEnd w:id="352"/>
      <w:bookmarkEnd w:id="353"/>
    </w:p>
    <w:p>
      <w:pPr>
        <w:pStyle w:val="205"/>
        <w:spacing w:before="0" w:after="0" w:line="360" w:lineRule="auto"/>
        <w:ind w:firstLine="476" w:firstLineChars="200"/>
        <w:jc w:val="left"/>
        <w:rPr>
          <w:rFonts w:ascii="Times New Roman" w:hAnsi="Times New Roman" w:eastAsia="宋体"/>
          <w:color w:val="auto"/>
          <w:sz w:val="24"/>
          <w:lang w:eastAsia="zh-CN"/>
        </w:rPr>
      </w:pPr>
      <w:r>
        <w:rPr>
          <w:rFonts w:ascii="Times New Roman" w:hAnsi="Times New Roman" w:eastAsia="宋体"/>
          <w:color w:val="auto"/>
          <w:spacing w:val="-1"/>
          <w:sz w:val="24"/>
          <w:lang w:eastAsia="zh-CN"/>
        </w:rPr>
        <w:t>通过以上环境经济损益分析可知，本工程环境代价为</w:t>
      </w:r>
      <w:r>
        <w:rPr>
          <w:rFonts w:hint="eastAsia" w:ascii="Times New Roman" w:hAnsi="Times New Roman" w:eastAsia="宋体"/>
          <w:color w:val="auto"/>
          <w:sz w:val="24"/>
          <w:lang w:eastAsia="zh-CN"/>
        </w:rPr>
        <w:t>19.005</w:t>
      </w:r>
      <w:r>
        <w:rPr>
          <w:rFonts w:ascii="Times New Roman" w:hAnsi="Times New Roman" w:eastAsia="宋体"/>
          <w:color w:val="auto"/>
          <w:sz w:val="24"/>
          <w:lang w:eastAsia="zh-CN"/>
        </w:rPr>
        <w:t>万元</w:t>
      </w:r>
      <w:r>
        <w:rPr>
          <w:rFonts w:ascii="Times New Roman" w:hAnsi="Times New Roman" w:eastAsia="宋体"/>
          <w:color w:val="auto"/>
          <w:spacing w:val="1"/>
          <w:sz w:val="24"/>
          <w:lang w:eastAsia="zh-CN"/>
        </w:rPr>
        <w:t>/</w:t>
      </w:r>
      <w:r>
        <w:rPr>
          <w:rFonts w:ascii="Times New Roman" w:hAnsi="Times New Roman" w:eastAsia="宋体"/>
          <w:color w:val="auto"/>
          <w:spacing w:val="-4"/>
          <w:sz w:val="24"/>
          <w:lang w:eastAsia="zh-CN"/>
        </w:rPr>
        <w:t>年，环境经济</w:t>
      </w:r>
      <w:r>
        <w:rPr>
          <w:rFonts w:ascii="Times New Roman" w:hAnsi="Times New Roman" w:eastAsia="宋体"/>
          <w:color w:val="auto"/>
          <w:sz w:val="24"/>
          <w:lang w:eastAsia="zh-CN"/>
        </w:rPr>
        <w:t>效益为</w:t>
      </w:r>
      <w:r>
        <w:rPr>
          <w:rFonts w:hint="eastAsia" w:ascii="Times New Roman" w:hAnsi="Times New Roman" w:eastAsia="宋体"/>
          <w:color w:val="auto"/>
          <w:sz w:val="24"/>
          <w:lang w:eastAsia="zh-CN"/>
        </w:rPr>
        <w:t>7</w:t>
      </w:r>
      <w:r>
        <w:rPr>
          <w:rFonts w:ascii="Times New Roman" w:hAnsi="Times New Roman" w:eastAsia="宋体"/>
          <w:color w:val="auto"/>
          <w:sz w:val="24"/>
          <w:lang w:eastAsia="zh-CN"/>
        </w:rPr>
        <w:t>2万元</w:t>
      </w:r>
      <w:r>
        <w:rPr>
          <w:rFonts w:ascii="Times New Roman" w:hAnsi="Times New Roman" w:eastAsia="宋体"/>
          <w:color w:val="auto"/>
          <w:spacing w:val="-2"/>
          <w:sz w:val="24"/>
          <w:lang w:eastAsia="zh-CN"/>
        </w:rPr>
        <w:t>/</w:t>
      </w:r>
      <w:r>
        <w:rPr>
          <w:rFonts w:ascii="Times New Roman" w:hAnsi="Times New Roman" w:eastAsia="宋体"/>
          <w:color w:val="auto"/>
          <w:sz w:val="24"/>
          <w:lang w:eastAsia="zh-CN"/>
        </w:rPr>
        <w:t>年，费用效益比采用下列公式进行计算：</w:t>
      </w:r>
    </w:p>
    <w:p>
      <w:pPr>
        <w:pStyle w:val="283"/>
        <w:spacing w:before="0" w:after="0" w:line="360" w:lineRule="auto"/>
        <w:jc w:val="center"/>
        <w:rPr>
          <w:rFonts w:ascii="Times New Roman" w:hAnsi="Times New Roman" w:eastAsia="宋体"/>
          <w:color w:val="auto"/>
          <w:sz w:val="24"/>
          <w:lang w:eastAsia="zh-CN"/>
        </w:rPr>
      </w:pPr>
      <w:r>
        <w:rPr>
          <w:rFonts w:ascii="Times New Roman" w:hAnsi="Times New Roman" w:eastAsia="宋体"/>
          <w:color w:val="auto"/>
          <w:position w:val="-24"/>
          <w:sz w:val="24"/>
          <w:lang w:eastAsia="zh-CN"/>
        </w:rPr>
        <w:object>
          <v:shape id="_x0000_i1034" o:spt="75" type="#_x0000_t75" style="height:49.8pt;width:53.4pt;" o:ole="t" filled="f" o:preferrelative="t" stroked="f" coordsize="21600,21600">
            <v:path/>
            <v:fill on="f" focussize="0,0"/>
            <v:stroke on="f" joinstyle="miter"/>
            <v:imagedata r:id="rId69" o:title=""/>
            <o:lock v:ext="edit" aspectratio="t"/>
            <w10:wrap type="none"/>
            <w10:anchorlock/>
          </v:shape>
          <o:OLEObject Type="Embed" ProgID="Equation.KSEE3" ShapeID="_x0000_i1034" DrawAspect="Content" ObjectID="_1468075746" r:id="rId68">
            <o:LockedField>false</o:LockedField>
          </o:OLEObject>
        </w:object>
      </w:r>
    </w:p>
    <w:p>
      <w:pPr>
        <w:pStyle w:val="283"/>
        <w:spacing w:before="0" w:after="0" w:line="360" w:lineRule="auto"/>
        <w:ind w:firstLine="480" w:firstLineChars="200"/>
        <w:jc w:val="left"/>
        <w:rPr>
          <w:rFonts w:ascii="Times New Roman" w:hAnsi="Times New Roman" w:eastAsia="宋体"/>
          <w:color w:val="auto"/>
          <w:sz w:val="24"/>
          <w:lang w:eastAsia="zh-CN"/>
        </w:rPr>
      </w:pPr>
      <w:r>
        <w:rPr>
          <w:rFonts w:ascii="Times New Roman" w:hAnsi="Times New Roman" w:eastAsia="宋体"/>
          <w:color w:val="auto"/>
          <w:position w:val="-28"/>
          <w:sz w:val="24"/>
          <w:lang w:eastAsia="zh-CN"/>
        </w:rPr>
        <w:object>
          <v:shape id="_x0000_i1035" o:spt="75" type="#_x0000_t75" style="height:33.6pt;width:27.6pt;" o:ole="t" filled="f" o:preferrelative="t" stroked="f" coordsize="21600,21600">
            <v:path/>
            <v:fill on="f" focussize="0,0"/>
            <v:stroke on="f" joinstyle="miter"/>
            <v:imagedata r:id="rId71" o:title=""/>
            <o:lock v:ext="edit" aspectratio="t"/>
            <w10:wrap type="none"/>
            <w10:anchorlock/>
          </v:shape>
          <o:OLEObject Type="Embed" ProgID="Equation.KSEE3" ShapeID="_x0000_i1035" DrawAspect="Content" ObjectID="_1468075747" r:id="rId70">
            <o:LockedField>false</o:LockedField>
          </o:OLEObject>
        </w:object>
      </w:r>
      <w:r>
        <w:rPr>
          <w:rFonts w:ascii="Times New Roman" w:hAnsi="Times New Roman" w:eastAsia="宋体"/>
          <w:color w:val="auto"/>
          <w:sz w:val="24"/>
          <w:lang w:eastAsia="zh-CN"/>
        </w:rPr>
        <w:t>——由于防治污染而挽回的经济价值；</w:t>
      </w:r>
    </w:p>
    <w:p>
      <w:pPr>
        <w:pStyle w:val="283"/>
        <w:spacing w:before="0" w:after="0" w:line="360" w:lineRule="auto"/>
        <w:ind w:firstLine="708" w:firstLineChars="300"/>
        <w:jc w:val="left"/>
        <w:rPr>
          <w:rFonts w:ascii="Times New Roman" w:hAnsi="Times New Roman" w:eastAsia="宋体"/>
          <w:color w:val="auto"/>
          <w:sz w:val="24"/>
          <w:lang w:eastAsia="zh-CN"/>
        </w:rPr>
      </w:pPr>
      <w:r>
        <w:rPr>
          <w:rFonts w:ascii="Times New Roman" w:hAnsi="Times New Roman" w:eastAsia="宋体"/>
          <w:color w:val="auto"/>
          <w:spacing w:val="-2"/>
          <w:sz w:val="24"/>
          <w:lang w:eastAsia="zh-CN"/>
        </w:rPr>
        <w:t>HF</w:t>
      </w:r>
      <w:r>
        <w:rPr>
          <w:rFonts w:ascii="Times New Roman" w:hAnsi="Times New Roman" w:eastAsia="宋体"/>
          <w:color w:val="auto"/>
          <w:sz w:val="24"/>
          <w:lang w:eastAsia="zh-CN"/>
        </w:rPr>
        <w:t>——年环保费用；</w:t>
      </w:r>
    </w:p>
    <w:p>
      <w:pPr>
        <w:pStyle w:val="283"/>
        <w:spacing w:before="0" w:after="0" w:line="360" w:lineRule="auto"/>
        <w:ind w:firstLine="732" w:firstLineChars="300"/>
        <w:jc w:val="left"/>
        <w:rPr>
          <w:rFonts w:ascii="Times New Roman" w:hAnsi="Times New Roman" w:eastAsia="宋体"/>
          <w:color w:val="auto"/>
          <w:sz w:val="24"/>
          <w:lang w:eastAsia="zh-CN"/>
        </w:rPr>
      </w:pPr>
      <w:r>
        <w:rPr>
          <w:rFonts w:ascii="Times New Roman" w:hAnsi="Times New Roman" w:eastAsia="宋体"/>
          <w:color w:val="auto"/>
          <w:spacing w:val="2"/>
          <w:sz w:val="24"/>
          <w:lang w:eastAsia="zh-CN"/>
        </w:rPr>
        <w:t>ZJ</w:t>
      </w:r>
      <w:r>
        <w:rPr>
          <w:rFonts w:ascii="Times New Roman" w:hAnsi="Times New Roman" w:eastAsia="宋体"/>
          <w:color w:val="auto"/>
          <w:sz w:val="24"/>
          <w:lang w:eastAsia="zh-CN"/>
        </w:rPr>
        <w:t>——费用效益比。</w:t>
      </w:r>
    </w:p>
    <w:p>
      <w:pPr>
        <w:pStyle w:val="283"/>
        <w:spacing w:before="0" w:after="0" w:line="360" w:lineRule="auto"/>
        <w:ind w:firstLine="480" w:firstLineChars="200"/>
        <w:jc w:val="left"/>
        <w:rPr>
          <w:rFonts w:ascii="Times New Roman" w:hAnsi="Times New Roman" w:eastAsia="宋体"/>
          <w:color w:val="auto"/>
          <w:sz w:val="24"/>
          <w:lang w:eastAsia="zh-CN"/>
        </w:rPr>
      </w:pPr>
      <w:r>
        <w:rPr>
          <w:rFonts w:ascii="Times New Roman" w:hAnsi="Times New Roman" w:eastAsia="宋体"/>
          <w:color w:val="auto"/>
          <w:sz w:val="24"/>
          <w:lang w:eastAsia="zh-CN"/>
        </w:rPr>
        <w:t>通过上述公式计算可得，ZJ=</w:t>
      </w:r>
      <w:r>
        <w:rPr>
          <w:rFonts w:hint="eastAsia" w:ascii="Times New Roman" w:hAnsi="Times New Roman" w:eastAsia="宋体"/>
          <w:color w:val="auto"/>
          <w:sz w:val="24"/>
          <w:lang w:val="en-US" w:eastAsia="zh-CN"/>
        </w:rPr>
        <w:t>2.79</w:t>
      </w:r>
      <w:r>
        <w:rPr>
          <w:rFonts w:ascii="Times New Roman" w:hAnsi="Times New Roman" w:eastAsia="宋体"/>
          <w:color w:val="auto"/>
          <w:sz w:val="24"/>
          <w:lang w:eastAsia="zh-CN"/>
        </w:rPr>
        <w:t>，大于1。</w:t>
      </w:r>
    </w:p>
    <w:p>
      <w:pPr>
        <w:pStyle w:val="283"/>
        <w:spacing w:before="0" w:after="0" w:line="360" w:lineRule="auto"/>
        <w:ind w:firstLine="480" w:firstLineChars="200"/>
        <w:jc w:val="left"/>
        <w:rPr>
          <w:rFonts w:ascii="Times New Roman" w:hAnsi="Times New Roman" w:eastAsia="宋体"/>
          <w:color w:val="auto"/>
          <w:sz w:val="24"/>
          <w:lang w:eastAsia="zh-CN"/>
        </w:rPr>
      </w:pPr>
      <w:r>
        <w:rPr>
          <w:rFonts w:ascii="Times New Roman" w:hAnsi="Times New Roman" w:eastAsia="宋体"/>
          <w:color w:val="auto"/>
          <w:sz w:val="24"/>
          <w:lang w:eastAsia="zh-CN"/>
        </w:rPr>
        <w:t>综上所述，企业采取环保措施不仅获得了较大的直接经济效益，而且从周围人群身上获得了较大的间接社会效益，并使企业职工和周边人群的身心健康、区内环境质量得到了很好地保护，对于维持企业的正常生产和可持续发展起到了积极作用。但环保设施获得的经济效益是不平衡的，直接经济效益主要集中在有价固废的回收利用及循环水方面，而废水、废气、降噪等环保措施的效益主要集中在间接效益上，在这种环保设施投资收益状况下，各级环保行政管理部门仍应加强企业的环境保护监督管理工作，尤其应加强企业无直接经济效益的环保设施的监督，促使各项环保设施的正常运行，实现区域环境的可持续发展。</w:t>
      </w:r>
    </w:p>
    <w:p>
      <w:pPr>
        <w:pStyle w:val="4"/>
        <w:spacing w:line="360" w:lineRule="auto"/>
        <w:rPr>
          <w:rFonts w:ascii="Times New Roman" w:hAnsi="Times New Roman"/>
          <w:b/>
          <w:color w:val="auto"/>
        </w:rPr>
      </w:pPr>
      <w:bookmarkStart w:id="354" w:name="_Toc22888"/>
      <w:bookmarkStart w:id="355" w:name="_Toc7453"/>
      <w:r>
        <w:rPr>
          <w:rFonts w:hint="eastAsia" w:ascii="Times New Roman" w:hAnsi="Times New Roman"/>
          <w:b/>
          <w:color w:val="auto"/>
        </w:rPr>
        <w:t>8</w:t>
      </w:r>
      <w:r>
        <w:rPr>
          <w:rFonts w:ascii="Times New Roman" w:hAnsi="Times New Roman"/>
          <w:b/>
          <w:color w:val="auto"/>
        </w:rPr>
        <w:t>.7小结</w:t>
      </w:r>
      <w:bookmarkEnd w:id="354"/>
      <w:bookmarkEnd w:id="355"/>
    </w:p>
    <w:p>
      <w:pPr>
        <w:pStyle w:val="283"/>
        <w:spacing w:before="0" w:after="0" w:line="360" w:lineRule="auto"/>
        <w:ind w:firstLine="480" w:firstLineChars="200"/>
        <w:jc w:val="left"/>
        <w:rPr>
          <w:rFonts w:ascii="Times New Roman" w:hAnsi="Times New Roman" w:eastAsia="宋体"/>
          <w:color w:val="auto"/>
          <w:sz w:val="24"/>
          <w:lang w:eastAsia="zh-CN"/>
        </w:rPr>
        <w:sectPr>
          <w:pgSz w:w="11911" w:h="16849"/>
          <w:pgMar w:top="1440" w:right="1587" w:bottom="1440" w:left="1587" w:header="680" w:footer="652" w:gutter="0"/>
          <w:pgBorders>
            <w:top w:val="none" w:sz="0" w:space="0"/>
            <w:left w:val="none" w:sz="0" w:space="0"/>
            <w:bottom w:val="none" w:sz="0" w:space="0"/>
            <w:right w:val="none" w:sz="0" w:space="0"/>
          </w:pgBorders>
          <w:cols w:space="720" w:num="1"/>
          <w:docGrid w:linePitch="322" w:charSpace="0"/>
        </w:sectPr>
      </w:pPr>
      <w:r>
        <w:rPr>
          <w:rFonts w:ascii="Times New Roman" w:hAnsi="Times New Roman" w:eastAsia="宋体"/>
          <w:color w:val="auto"/>
          <w:sz w:val="24"/>
          <w:lang w:eastAsia="zh-CN"/>
        </w:rPr>
        <w:t>结合本工程的社会经济效益、环保投入和环境效益进行综合分析得出，项目在创造良好经济效益和社会效益的同时，经采取污染防治措施后，对环境的影响较小，能够将工程带来的环境损失降到可接受程度。因此，本项目可以实现经济效益与环</w:t>
      </w:r>
      <w:r>
        <w:rPr>
          <w:rFonts w:ascii="Times New Roman" w:hAnsi="Times New Roman"/>
          <w:color w:val="auto"/>
          <w:sz w:val="24"/>
          <w:lang w:eastAsia="zh-CN"/>
        </w:rPr>
        <w:t>保效益的相统一。</w:t>
      </w:r>
    </w:p>
    <w:bookmarkEnd w:id="311"/>
    <w:bookmarkEnd w:id="317"/>
    <w:bookmarkEnd w:id="318"/>
    <w:p>
      <w:pPr>
        <w:pStyle w:val="3"/>
        <w:spacing w:before="120" w:after="0" w:line="360" w:lineRule="auto"/>
        <w:jc w:val="center"/>
        <w:rPr>
          <w:color w:val="auto"/>
          <w:sz w:val="36"/>
          <w:szCs w:val="36"/>
        </w:rPr>
      </w:pPr>
      <w:bookmarkStart w:id="356" w:name="_Toc335291789"/>
      <w:bookmarkStart w:id="357" w:name="_Toc366874165"/>
      <w:bookmarkStart w:id="358" w:name="_Toc367091924"/>
      <w:bookmarkStart w:id="359" w:name="_Toc30854"/>
      <w:bookmarkStart w:id="360" w:name="_Toc333388629"/>
      <w:bookmarkStart w:id="361" w:name="_Toc287813425"/>
      <w:bookmarkStart w:id="362" w:name="_Toc333178586"/>
      <w:bookmarkStart w:id="363" w:name="_Toc333178505"/>
      <w:bookmarkStart w:id="364" w:name="_Toc30662"/>
      <w:bookmarkStart w:id="365" w:name="_Toc121720667"/>
      <w:bookmarkStart w:id="366" w:name="_Toc121720659"/>
      <w:r>
        <w:rPr>
          <w:color w:val="auto"/>
          <w:sz w:val="36"/>
          <w:szCs w:val="36"/>
        </w:rPr>
        <w:t>第</w:t>
      </w:r>
      <w:r>
        <w:rPr>
          <w:rFonts w:hint="eastAsia"/>
          <w:color w:val="auto"/>
          <w:sz w:val="36"/>
          <w:szCs w:val="36"/>
        </w:rPr>
        <w:t>九</w:t>
      </w:r>
      <w:r>
        <w:rPr>
          <w:color w:val="auto"/>
          <w:sz w:val="36"/>
          <w:szCs w:val="36"/>
        </w:rPr>
        <w:t>章 环境管理与监测计划</w:t>
      </w:r>
      <w:bookmarkEnd w:id="356"/>
      <w:bookmarkEnd w:id="357"/>
      <w:bookmarkEnd w:id="358"/>
      <w:bookmarkEnd w:id="359"/>
      <w:bookmarkEnd w:id="360"/>
      <w:bookmarkEnd w:id="361"/>
      <w:bookmarkEnd w:id="362"/>
      <w:bookmarkEnd w:id="363"/>
      <w:bookmarkEnd w:id="364"/>
    </w:p>
    <w:p>
      <w:pPr>
        <w:pStyle w:val="4"/>
        <w:spacing w:line="520" w:lineRule="exact"/>
        <w:rPr>
          <w:rFonts w:ascii="Times New Roman" w:hAnsi="Times New Roman"/>
          <w:b/>
          <w:color w:val="auto"/>
        </w:rPr>
      </w:pPr>
      <w:bookmarkStart w:id="367" w:name="_Toc333178506"/>
      <w:bookmarkStart w:id="368" w:name="_Toc333178587"/>
      <w:bookmarkStart w:id="369" w:name="_Toc287813426"/>
      <w:bookmarkStart w:id="370" w:name="_Toc333388630"/>
      <w:bookmarkStart w:id="371" w:name="_Toc335291790"/>
      <w:bookmarkStart w:id="372" w:name="_Toc366874166"/>
      <w:bookmarkStart w:id="373" w:name="_Toc367091925"/>
      <w:bookmarkStart w:id="374" w:name="_Toc32649"/>
      <w:bookmarkStart w:id="375" w:name="_Toc16877"/>
      <w:r>
        <w:rPr>
          <w:rFonts w:hint="eastAsia" w:ascii="Times New Roman" w:hAnsi="Times New Roman"/>
          <w:b/>
          <w:color w:val="auto"/>
        </w:rPr>
        <w:t>9</w:t>
      </w:r>
      <w:r>
        <w:rPr>
          <w:rFonts w:ascii="Times New Roman" w:hAnsi="Times New Roman"/>
          <w:b/>
          <w:color w:val="auto"/>
        </w:rPr>
        <w:t>.1</w:t>
      </w:r>
      <w:bookmarkEnd w:id="367"/>
      <w:bookmarkEnd w:id="368"/>
      <w:bookmarkEnd w:id="369"/>
      <w:bookmarkEnd w:id="370"/>
      <w:bookmarkEnd w:id="371"/>
      <w:r>
        <w:rPr>
          <w:rFonts w:ascii="Times New Roman" w:hAnsi="Times New Roman"/>
          <w:b/>
          <w:color w:val="auto"/>
        </w:rPr>
        <w:t>环境管理目的</w:t>
      </w:r>
      <w:bookmarkEnd w:id="372"/>
      <w:bookmarkEnd w:id="373"/>
      <w:bookmarkEnd w:id="374"/>
      <w:bookmarkEnd w:id="375"/>
    </w:p>
    <w:p>
      <w:pPr>
        <w:pStyle w:val="15"/>
        <w:adjustRightInd w:val="0"/>
        <w:snapToGrid w:val="0"/>
        <w:spacing w:line="520" w:lineRule="exact"/>
        <w:ind w:firstLine="480"/>
        <w:rPr>
          <w:color w:val="auto"/>
        </w:rPr>
      </w:pPr>
      <w:r>
        <w:rPr>
          <w:color w:val="auto"/>
        </w:rPr>
        <w:t>联合国环境规划署（UNEP）对环境管理的概念是全人类的一切基本需要应得到满足，要发展以满足需要但不能超过生物圈的耐度的外部极限，协调上述两方面的方法即环境管理。环境管理的目的就是为了通过环境保护措施的实施，把建设项目运行期给环境带来的不利影响减至最小，使项目建设的经济效益和环境效益协调持续发展，使项目的建设符合国家经济建设和环境建设同步规划、同步发展和同步实施的方针，使环保措施得以切实实施。</w:t>
      </w:r>
    </w:p>
    <w:p>
      <w:pPr>
        <w:pStyle w:val="15"/>
        <w:snapToGrid w:val="0"/>
        <w:spacing w:line="520" w:lineRule="exact"/>
        <w:ind w:firstLine="480"/>
        <w:rPr>
          <w:color w:val="auto"/>
        </w:rPr>
      </w:pPr>
      <w:r>
        <w:rPr>
          <w:color w:val="auto"/>
        </w:rPr>
        <w:t>项目在营运期间对周围环境产生一定影响，因此，必须采取一定措施将不利影响减轻或消除，建设单位为此需加强环境保护机构的建设和管理，根据本项目的污染特点和生产布局，合理制订环境监测计划，及时掌握该项目的运行所造成的环境影响程度，了解环境保护措施所获取的效益，以便进行必要的调整与补充。根据监测结果，可以验证环境影响评价的科学性以及为环境影响回顾性评价提供系统性资料，准确地把握项目建设产生的环境效益。同时，通过监测可以掌握某些突发性事故对环境的影响程度及范围，以便采取应急措施，减轻其危害。</w:t>
      </w:r>
    </w:p>
    <w:p>
      <w:pPr>
        <w:pStyle w:val="4"/>
        <w:spacing w:line="520" w:lineRule="exact"/>
        <w:rPr>
          <w:rFonts w:ascii="Times New Roman" w:hAnsi="Times New Roman"/>
          <w:b/>
          <w:color w:val="auto"/>
        </w:rPr>
      </w:pPr>
      <w:bookmarkStart w:id="376" w:name="_Toc367091926"/>
      <w:bookmarkStart w:id="377" w:name="_Toc1624"/>
      <w:bookmarkStart w:id="378" w:name="_Toc366874167"/>
      <w:bookmarkStart w:id="379" w:name="_Toc8451"/>
      <w:r>
        <w:rPr>
          <w:rFonts w:hint="eastAsia" w:ascii="Times New Roman" w:hAnsi="Times New Roman"/>
          <w:b/>
          <w:color w:val="auto"/>
        </w:rPr>
        <w:t>9</w:t>
      </w:r>
      <w:r>
        <w:rPr>
          <w:rFonts w:ascii="Times New Roman" w:hAnsi="Times New Roman"/>
          <w:b/>
          <w:color w:val="auto"/>
        </w:rPr>
        <w:t>.2环境管理机构设置及主要职责</w:t>
      </w:r>
      <w:bookmarkEnd w:id="376"/>
      <w:bookmarkEnd w:id="377"/>
      <w:bookmarkEnd w:id="378"/>
      <w:bookmarkEnd w:id="379"/>
    </w:p>
    <w:p>
      <w:pPr>
        <w:pStyle w:val="2"/>
        <w:adjustRightInd w:val="0"/>
        <w:snapToGrid w:val="0"/>
        <w:spacing w:after="0" w:line="520" w:lineRule="exact"/>
        <w:ind w:firstLine="480" w:firstLineChars="200"/>
        <w:rPr>
          <w:color w:val="auto"/>
          <w:sz w:val="24"/>
        </w:rPr>
      </w:pPr>
      <w:r>
        <w:rPr>
          <w:color w:val="auto"/>
          <w:sz w:val="24"/>
        </w:rPr>
        <w:t>根据《建设项目环境保护设计规定》的要求，拟建工程应在“三同时”的原则下配套建设相应的污染治理设施，一方面为有效保护区域环境提供良好的技术基础，另一方面科学地管理、监督这些环保设施的运行又是保证治理效果的必要手段。环保设计要由有资质的环保设计单位设计。项目运营后，建设单位设立专门的环保和安全机构，具有专门的监测仪器和专职环保人员，负责环境管理、环境监测和事故应急处理，其主要职责为：</w:t>
      </w:r>
    </w:p>
    <w:p>
      <w:pPr>
        <w:pStyle w:val="2"/>
        <w:adjustRightInd w:val="0"/>
        <w:snapToGrid w:val="0"/>
        <w:spacing w:after="0" w:line="520" w:lineRule="exact"/>
        <w:ind w:firstLine="480" w:firstLineChars="200"/>
        <w:rPr>
          <w:color w:val="auto"/>
          <w:sz w:val="24"/>
        </w:rPr>
      </w:pPr>
      <w:r>
        <w:rPr>
          <w:color w:val="auto"/>
          <w:sz w:val="24"/>
        </w:rPr>
        <w:t>（1）执行国家、省、市环保主管部门制定的有关环保政策和法律法规，协调项目生产和环境保护的关系，并结合项目具体情况，制定全厂环境管理条例和章程。</w:t>
      </w:r>
    </w:p>
    <w:p>
      <w:pPr>
        <w:pStyle w:val="2"/>
        <w:adjustRightInd w:val="0"/>
        <w:snapToGrid w:val="0"/>
        <w:spacing w:after="0" w:line="520" w:lineRule="exact"/>
        <w:ind w:firstLine="480" w:firstLineChars="200"/>
        <w:rPr>
          <w:color w:val="auto"/>
          <w:sz w:val="24"/>
        </w:rPr>
      </w:pPr>
      <w:r>
        <w:rPr>
          <w:color w:val="auto"/>
          <w:sz w:val="24"/>
        </w:rPr>
        <w:t>（2）负责全厂的环保计划和规划，负责开展日常环境监测工作，完成上级主管部门规定的监测任务，统计整理有关环境监测资料并上报地方环保部门；“三废”排放状况的监督检查及不定期总结上报等工作。下设污水处理站和化验室，专门负责废水、废气等的监测。</w:t>
      </w:r>
    </w:p>
    <w:p>
      <w:pPr>
        <w:pStyle w:val="2"/>
        <w:adjustRightInd w:val="0"/>
        <w:snapToGrid w:val="0"/>
        <w:spacing w:after="0" w:line="520" w:lineRule="exact"/>
        <w:ind w:firstLine="480" w:firstLineChars="200"/>
        <w:rPr>
          <w:color w:val="auto"/>
          <w:sz w:val="24"/>
        </w:rPr>
      </w:pPr>
      <w:r>
        <w:rPr>
          <w:color w:val="auto"/>
          <w:sz w:val="24"/>
        </w:rPr>
        <w:t>（3）配合上级环保主管部门检查、监督工程配套建设的污水、废气、噪声、固废等治理措施的落实情况；检查、监督环保设备等的运行、维修和管理情况，监督本厂各排放口污染物的排放状态。</w:t>
      </w:r>
    </w:p>
    <w:p>
      <w:pPr>
        <w:pStyle w:val="2"/>
        <w:adjustRightInd w:val="0"/>
        <w:snapToGrid w:val="0"/>
        <w:spacing w:after="0" w:line="520" w:lineRule="exact"/>
        <w:ind w:firstLine="480" w:firstLineChars="200"/>
        <w:rPr>
          <w:color w:val="auto"/>
          <w:sz w:val="24"/>
        </w:rPr>
      </w:pPr>
      <w:r>
        <w:rPr>
          <w:color w:val="auto"/>
          <w:sz w:val="24"/>
        </w:rPr>
        <w:t>（4）检查落实安全消防措施，开展环保安全管理教育和培训。</w:t>
      </w:r>
    </w:p>
    <w:p>
      <w:pPr>
        <w:pStyle w:val="2"/>
        <w:adjustRightInd w:val="0"/>
        <w:snapToGrid w:val="0"/>
        <w:spacing w:after="0" w:line="520" w:lineRule="exact"/>
        <w:ind w:firstLine="480" w:firstLineChars="200"/>
        <w:rPr>
          <w:color w:val="auto"/>
          <w:sz w:val="24"/>
        </w:rPr>
      </w:pPr>
      <w:r>
        <w:rPr>
          <w:color w:val="auto"/>
          <w:sz w:val="24"/>
        </w:rPr>
        <w:t>（5）加强环境监测仪器、设备的维护保养，确保监测工作正常运行。</w:t>
      </w:r>
    </w:p>
    <w:p>
      <w:pPr>
        <w:pStyle w:val="2"/>
        <w:adjustRightInd w:val="0"/>
        <w:snapToGrid w:val="0"/>
        <w:spacing w:after="0" w:line="520" w:lineRule="exact"/>
        <w:ind w:firstLine="480" w:firstLineChars="200"/>
        <w:rPr>
          <w:color w:val="auto"/>
          <w:sz w:val="24"/>
        </w:rPr>
      </w:pPr>
      <w:r>
        <w:rPr>
          <w:color w:val="auto"/>
          <w:sz w:val="24"/>
        </w:rPr>
        <w:t>（6）参加本厂环境事件的调查、处理、协调工作。</w:t>
      </w:r>
    </w:p>
    <w:p>
      <w:pPr>
        <w:pStyle w:val="2"/>
        <w:adjustRightInd w:val="0"/>
        <w:snapToGrid w:val="0"/>
        <w:spacing w:after="0" w:line="520" w:lineRule="exact"/>
        <w:ind w:firstLine="480" w:firstLineChars="200"/>
        <w:rPr>
          <w:color w:val="auto"/>
          <w:sz w:val="24"/>
        </w:rPr>
      </w:pPr>
      <w:r>
        <w:rPr>
          <w:color w:val="auto"/>
          <w:sz w:val="24"/>
        </w:rPr>
        <w:t>（7）参与本厂的环境科研工作。</w:t>
      </w:r>
    </w:p>
    <w:p>
      <w:pPr>
        <w:pStyle w:val="2"/>
        <w:adjustRightInd w:val="0"/>
        <w:snapToGrid w:val="0"/>
        <w:spacing w:after="0" w:line="520" w:lineRule="exact"/>
        <w:ind w:firstLine="480" w:firstLineChars="200"/>
        <w:rPr>
          <w:color w:val="auto"/>
          <w:sz w:val="24"/>
        </w:rPr>
      </w:pPr>
      <w:r>
        <w:rPr>
          <w:color w:val="auto"/>
          <w:sz w:val="24"/>
        </w:rPr>
        <w:t>（8）参加本厂的环境质量评价工作。</w:t>
      </w:r>
    </w:p>
    <w:p>
      <w:pPr>
        <w:pStyle w:val="2"/>
        <w:adjustRightInd w:val="0"/>
        <w:snapToGrid w:val="0"/>
        <w:spacing w:after="0" w:line="520" w:lineRule="exact"/>
        <w:ind w:firstLine="480" w:firstLineChars="200"/>
        <w:rPr>
          <w:color w:val="auto"/>
          <w:sz w:val="24"/>
        </w:rPr>
      </w:pPr>
      <w:r>
        <w:rPr>
          <w:color w:val="auto"/>
          <w:sz w:val="24"/>
        </w:rPr>
        <w:t>建议项目在该机构设管理人员2-3人，从事污染设施的运行、管理和环境监测。按有关环境保护监测工作规定，利用监测仪器、分析仪器，进行日常环境监测，监测人员应接受培训合格后方可上岗。</w:t>
      </w:r>
    </w:p>
    <w:p>
      <w:pPr>
        <w:pStyle w:val="2"/>
        <w:adjustRightInd w:val="0"/>
        <w:snapToGrid w:val="0"/>
        <w:spacing w:after="0" w:line="520" w:lineRule="exact"/>
        <w:ind w:firstLine="480" w:firstLineChars="200"/>
        <w:rPr>
          <w:color w:val="auto"/>
          <w:sz w:val="24"/>
        </w:rPr>
      </w:pPr>
      <w:r>
        <w:rPr>
          <w:color w:val="auto"/>
          <w:sz w:val="24"/>
        </w:rPr>
        <w:t>根据本项目具体情况，本次评价对建设项目的环境保护管理计划和主要环境管理方案提出以下建议。</w:t>
      </w:r>
    </w:p>
    <w:p>
      <w:pPr>
        <w:spacing w:line="520" w:lineRule="exact"/>
        <w:ind w:firstLine="482" w:firstLineChars="200"/>
        <w:jc w:val="center"/>
        <w:rPr>
          <w:b/>
          <w:color w:val="auto"/>
          <w:sz w:val="24"/>
        </w:rPr>
      </w:pPr>
      <w:r>
        <w:rPr>
          <w:b/>
          <w:color w:val="auto"/>
          <w:sz w:val="24"/>
        </w:rPr>
        <w:t>表</w:t>
      </w:r>
      <w:r>
        <w:rPr>
          <w:rFonts w:hint="eastAsia"/>
          <w:b/>
          <w:color w:val="auto"/>
          <w:sz w:val="24"/>
        </w:rPr>
        <w:t>9</w:t>
      </w:r>
      <w:r>
        <w:rPr>
          <w:b/>
          <w:color w:val="auto"/>
          <w:sz w:val="24"/>
        </w:rPr>
        <w:t>-1 主要环境管理方案表</w:t>
      </w:r>
    </w:p>
    <w:tbl>
      <w:tblPr>
        <w:tblStyle w:val="5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67"/>
        <w:gridCol w:w="6820"/>
        <w:gridCol w:w="10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4" w:hRule="atLeast"/>
          <w:jc w:val="center"/>
        </w:trPr>
        <w:tc>
          <w:tcPr>
            <w:tcW w:w="1067" w:type="dxa"/>
            <w:vAlign w:val="center"/>
          </w:tcPr>
          <w:p>
            <w:pPr>
              <w:spacing w:line="276" w:lineRule="auto"/>
              <w:jc w:val="center"/>
              <w:rPr>
                <w:color w:val="auto"/>
                <w:szCs w:val="21"/>
              </w:rPr>
            </w:pPr>
            <w:r>
              <w:rPr>
                <w:color w:val="auto"/>
                <w:szCs w:val="21"/>
              </w:rPr>
              <w:t>主要环境问题</w:t>
            </w:r>
          </w:p>
        </w:tc>
        <w:tc>
          <w:tcPr>
            <w:tcW w:w="6820" w:type="dxa"/>
            <w:vAlign w:val="center"/>
          </w:tcPr>
          <w:p>
            <w:pPr>
              <w:spacing w:line="276" w:lineRule="auto"/>
              <w:jc w:val="center"/>
              <w:rPr>
                <w:color w:val="auto"/>
                <w:szCs w:val="21"/>
              </w:rPr>
            </w:pPr>
            <w:r>
              <w:rPr>
                <w:color w:val="auto"/>
                <w:szCs w:val="21"/>
              </w:rPr>
              <w:t>防治措施</w:t>
            </w:r>
          </w:p>
        </w:tc>
        <w:tc>
          <w:tcPr>
            <w:tcW w:w="1065" w:type="dxa"/>
            <w:vAlign w:val="center"/>
          </w:tcPr>
          <w:p>
            <w:pPr>
              <w:spacing w:line="276" w:lineRule="auto"/>
              <w:jc w:val="center"/>
              <w:rPr>
                <w:color w:val="auto"/>
                <w:szCs w:val="21"/>
              </w:rPr>
            </w:pPr>
            <w:r>
              <w:rPr>
                <w:color w:val="auto"/>
                <w:szCs w:val="21"/>
              </w:rPr>
              <w:t>经费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6" w:hRule="atLeast"/>
          <w:jc w:val="center"/>
        </w:trPr>
        <w:tc>
          <w:tcPr>
            <w:tcW w:w="1067" w:type="dxa"/>
            <w:vMerge w:val="restart"/>
            <w:vAlign w:val="center"/>
          </w:tcPr>
          <w:p>
            <w:pPr>
              <w:spacing w:line="276" w:lineRule="auto"/>
              <w:jc w:val="center"/>
              <w:rPr>
                <w:color w:val="auto"/>
                <w:szCs w:val="21"/>
              </w:rPr>
            </w:pPr>
            <w:r>
              <w:rPr>
                <w:color w:val="auto"/>
                <w:szCs w:val="21"/>
              </w:rPr>
              <w:t>废气排放</w:t>
            </w:r>
          </w:p>
        </w:tc>
        <w:tc>
          <w:tcPr>
            <w:tcW w:w="6820" w:type="dxa"/>
            <w:vAlign w:val="center"/>
          </w:tcPr>
          <w:p>
            <w:pPr>
              <w:spacing w:line="276" w:lineRule="auto"/>
              <w:jc w:val="center"/>
              <w:rPr>
                <w:color w:val="auto"/>
                <w:szCs w:val="21"/>
              </w:rPr>
            </w:pPr>
            <w:r>
              <w:rPr>
                <w:color w:val="auto"/>
                <w:szCs w:val="21"/>
              </w:rPr>
              <w:t>严格按照国家和行业标准控制污染物的排放，选用高效处理设备。</w:t>
            </w:r>
          </w:p>
        </w:tc>
        <w:tc>
          <w:tcPr>
            <w:tcW w:w="1065" w:type="dxa"/>
            <w:vMerge w:val="restart"/>
            <w:vAlign w:val="center"/>
          </w:tcPr>
          <w:p>
            <w:pPr>
              <w:spacing w:line="276" w:lineRule="auto"/>
              <w:jc w:val="center"/>
              <w:rPr>
                <w:color w:val="auto"/>
                <w:szCs w:val="21"/>
              </w:rPr>
            </w:pPr>
            <w:r>
              <w:rPr>
                <w:color w:val="auto"/>
                <w:szCs w:val="21"/>
              </w:rPr>
              <w:t>列入环保经费中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9" w:hRule="atLeast"/>
          <w:jc w:val="center"/>
        </w:trPr>
        <w:tc>
          <w:tcPr>
            <w:tcW w:w="1067" w:type="dxa"/>
            <w:vMerge w:val="continue"/>
            <w:vAlign w:val="center"/>
          </w:tcPr>
          <w:p>
            <w:pPr>
              <w:spacing w:line="276" w:lineRule="auto"/>
              <w:jc w:val="center"/>
              <w:rPr>
                <w:color w:val="auto"/>
                <w:szCs w:val="21"/>
              </w:rPr>
            </w:pPr>
          </w:p>
        </w:tc>
        <w:tc>
          <w:tcPr>
            <w:tcW w:w="6820" w:type="dxa"/>
            <w:vAlign w:val="center"/>
          </w:tcPr>
          <w:p>
            <w:pPr>
              <w:spacing w:line="276" w:lineRule="auto"/>
              <w:jc w:val="center"/>
              <w:rPr>
                <w:color w:val="auto"/>
                <w:szCs w:val="21"/>
              </w:rPr>
            </w:pPr>
            <w:r>
              <w:rPr>
                <w:color w:val="auto"/>
                <w:szCs w:val="21"/>
              </w:rPr>
              <w:t>对操作人员定期培训，岗位到人，持证上岗，提高操作人员素质及环保意识。</w:t>
            </w:r>
          </w:p>
        </w:tc>
        <w:tc>
          <w:tcPr>
            <w:tcW w:w="1065" w:type="dxa"/>
            <w:vMerge w:val="continue"/>
            <w:vAlign w:val="center"/>
          </w:tcPr>
          <w:p>
            <w:pPr>
              <w:spacing w:line="276" w:lineRule="auto"/>
              <w:jc w:val="center"/>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6" w:hRule="atLeast"/>
          <w:jc w:val="center"/>
        </w:trPr>
        <w:tc>
          <w:tcPr>
            <w:tcW w:w="1067" w:type="dxa"/>
            <w:vMerge w:val="restart"/>
            <w:vAlign w:val="center"/>
          </w:tcPr>
          <w:p>
            <w:pPr>
              <w:spacing w:line="276" w:lineRule="auto"/>
              <w:jc w:val="center"/>
              <w:rPr>
                <w:color w:val="auto"/>
                <w:szCs w:val="21"/>
              </w:rPr>
            </w:pPr>
            <w:r>
              <w:rPr>
                <w:color w:val="auto"/>
                <w:szCs w:val="21"/>
              </w:rPr>
              <w:t>废水排放</w:t>
            </w:r>
          </w:p>
        </w:tc>
        <w:tc>
          <w:tcPr>
            <w:tcW w:w="6820" w:type="dxa"/>
            <w:vAlign w:val="center"/>
          </w:tcPr>
          <w:p>
            <w:pPr>
              <w:spacing w:line="276" w:lineRule="auto"/>
              <w:jc w:val="center"/>
              <w:rPr>
                <w:color w:val="auto"/>
                <w:szCs w:val="21"/>
              </w:rPr>
            </w:pPr>
            <w:r>
              <w:rPr>
                <w:color w:val="auto"/>
                <w:szCs w:val="21"/>
              </w:rPr>
              <w:t>严格清污分流管理，保证未处理生产废水不外排。</w:t>
            </w:r>
          </w:p>
        </w:tc>
        <w:tc>
          <w:tcPr>
            <w:tcW w:w="1065" w:type="dxa"/>
            <w:vMerge w:val="restart"/>
            <w:vAlign w:val="center"/>
          </w:tcPr>
          <w:p>
            <w:pPr>
              <w:spacing w:line="276" w:lineRule="auto"/>
              <w:jc w:val="center"/>
              <w:rPr>
                <w:color w:val="auto"/>
                <w:szCs w:val="21"/>
              </w:rPr>
            </w:pPr>
            <w:r>
              <w:rPr>
                <w:color w:val="auto"/>
                <w:szCs w:val="21"/>
              </w:rPr>
              <w:t>基建资金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6" w:hRule="atLeast"/>
          <w:jc w:val="center"/>
        </w:trPr>
        <w:tc>
          <w:tcPr>
            <w:tcW w:w="1067" w:type="dxa"/>
            <w:vMerge w:val="continue"/>
            <w:vAlign w:val="center"/>
          </w:tcPr>
          <w:p>
            <w:pPr>
              <w:spacing w:line="276" w:lineRule="auto"/>
              <w:jc w:val="center"/>
              <w:rPr>
                <w:color w:val="auto"/>
                <w:szCs w:val="21"/>
              </w:rPr>
            </w:pPr>
          </w:p>
        </w:tc>
        <w:tc>
          <w:tcPr>
            <w:tcW w:w="6820" w:type="dxa"/>
            <w:vAlign w:val="center"/>
          </w:tcPr>
          <w:p>
            <w:pPr>
              <w:spacing w:line="276" w:lineRule="auto"/>
              <w:jc w:val="center"/>
              <w:rPr>
                <w:color w:val="auto"/>
                <w:szCs w:val="21"/>
              </w:rPr>
            </w:pPr>
            <w:r>
              <w:rPr>
                <w:color w:val="auto"/>
                <w:szCs w:val="21"/>
              </w:rPr>
              <w:t>保证废污水排放管道铺设质量，避免污水泄露对周围水环境造成的影响。</w:t>
            </w:r>
          </w:p>
        </w:tc>
        <w:tc>
          <w:tcPr>
            <w:tcW w:w="1065" w:type="dxa"/>
            <w:vMerge w:val="continue"/>
            <w:vAlign w:val="center"/>
          </w:tcPr>
          <w:p>
            <w:pPr>
              <w:spacing w:line="276" w:lineRule="auto"/>
              <w:jc w:val="center"/>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9" w:hRule="atLeast"/>
          <w:jc w:val="center"/>
        </w:trPr>
        <w:tc>
          <w:tcPr>
            <w:tcW w:w="1067" w:type="dxa"/>
            <w:vAlign w:val="center"/>
          </w:tcPr>
          <w:p>
            <w:pPr>
              <w:spacing w:line="276" w:lineRule="auto"/>
              <w:jc w:val="center"/>
              <w:rPr>
                <w:color w:val="auto"/>
                <w:szCs w:val="21"/>
              </w:rPr>
            </w:pPr>
            <w:r>
              <w:rPr>
                <w:color w:val="auto"/>
                <w:szCs w:val="21"/>
              </w:rPr>
              <w:t>噪声控制</w:t>
            </w:r>
          </w:p>
        </w:tc>
        <w:tc>
          <w:tcPr>
            <w:tcW w:w="6820" w:type="dxa"/>
            <w:vAlign w:val="center"/>
          </w:tcPr>
          <w:p>
            <w:pPr>
              <w:spacing w:line="276" w:lineRule="auto"/>
              <w:jc w:val="center"/>
              <w:rPr>
                <w:color w:val="auto"/>
                <w:szCs w:val="21"/>
              </w:rPr>
            </w:pPr>
            <w:r>
              <w:rPr>
                <w:color w:val="auto"/>
                <w:szCs w:val="21"/>
              </w:rPr>
              <w:t>对机械设备、 泵类等主要噪声源要严格按环境评价要求安装隔声、 减振设施，对主要噪声源需设置隔音操作室。</w:t>
            </w:r>
          </w:p>
        </w:tc>
        <w:tc>
          <w:tcPr>
            <w:tcW w:w="1065" w:type="dxa"/>
            <w:vAlign w:val="center"/>
          </w:tcPr>
          <w:p>
            <w:pPr>
              <w:spacing w:line="276" w:lineRule="auto"/>
              <w:jc w:val="center"/>
              <w:rPr>
                <w:color w:val="auto"/>
                <w:szCs w:val="21"/>
              </w:rPr>
            </w:pPr>
            <w:r>
              <w:rPr>
                <w:color w:val="auto"/>
                <w:szCs w:val="21"/>
              </w:rPr>
              <w:t>基建资金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2" w:hRule="atLeast"/>
          <w:jc w:val="center"/>
        </w:trPr>
        <w:tc>
          <w:tcPr>
            <w:tcW w:w="1067" w:type="dxa"/>
            <w:vAlign w:val="center"/>
          </w:tcPr>
          <w:p>
            <w:pPr>
              <w:spacing w:line="276" w:lineRule="auto"/>
              <w:jc w:val="center"/>
              <w:rPr>
                <w:color w:val="auto"/>
                <w:szCs w:val="21"/>
              </w:rPr>
            </w:pPr>
            <w:r>
              <w:rPr>
                <w:color w:val="auto"/>
                <w:szCs w:val="21"/>
              </w:rPr>
              <w:t>固体废物排放</w:t>
            </w:r>
          </w:p>
        </w:tc>
        <w:tc>
          <w:tcPr>
            <w:tcW w:w="6820" w:type="dxa"/>
            <w:vAlign w:val="center"/>
          </w:tcPr>
          <w:p>
            <w:pPr>
              <w:spacing w:line="276" w:lineRule="auto"/>
              <w:jc w:val="center"/>
              <w:rPr>
                <w:color w:val="auto"/>
                <w:szCs w:val="21"/>
              </w:rPr>
            </w:pPr>
            <w:r>
              <w:rPr>
                <w:color w:val="auto"/>
                <w:szCs w:val="21"/>
              </w:rPr>
              <w:t>对生活垃圾设垃圾桶，定期运往指定垃圾场，其他固体废物定期落实处理处置。</w:t>
            </w:r>
          </w:p>
        </w:tc>
        <w:tc>
          <w:tcPr>
            <w:tcW w:w="1065" w:type="dxa"/>
            <w:vAlign w:val="center"/>
          </w:tcPr>
          <w:p>
            <w:pPr>
              <w:spacing w:line="276" w:lineRule="auto"/>
              <w:jc w:val="center"/>
              <w:rPr>
                <w:color w:val="auto"/>
                <w:szCs w:val="21"/>
              </w:rPr>
            </w:pPr>
            <w:r>
              <w:rPr>
                <w:color w:val="auto"/>
                <w:szCs w:val="21"/>
              </w:rPr>
              <w:t>基建资金</w:t>
            </w:r>
          </w:p>
        </w:tc>
      </w:tr>
    </w:tbl>
    <w:p>
      <w:pPr>
        <w:spacing w:line="520" w:lineRule="exact"/>
        <w:rPr>
          <w:b/>
          <w:color w:val="auto"/>
          <w:szCs w:val="21"/>
        </w:rPr>
      </w:pPr>
      <w:r>
        <w:rPr>
          <w:b/>
          <w:color w:val="auto"/>
          <w:szCs w:val="21"/>
        </w:rPr>
        <w:t xml:space="preserve">                       </w:t>
      </w:r>
    </w:p>
    <w:p>
      <w:pPr>
        <w:spacing w:line="520" w:lineRule="exact"/>
        <w:rPr>
          <w:b/>
          <w:color w:val="auto"/>
          <w:szCs w:val="21"/>
        </w:rPr>
      </w:pPr>
    </w:p>
    <w:p>
      <w:pPr>
        <w:spacing w:line="520" w:lineRule="exact"/>
        <w:ind w:firstLine="482" w:firstLineChars="200"/>
        <w:jc w:val="center"/>
        <w:rPr>
          <w:b/>
          <w:color w:val="auto"/>
          <w:sz w:val="24"/>
        </w:rPr>
      </w:pPr>
      <w:r>
        <w:rPr>
          <w:b/>
          <w:color w:val="auto"/>
          <w:sz w:val="24"/>
        </w:rPr>
        <w:t>表</w:t>
      </w:r>
      <w:r>
        <w:rPr>
          <w:rFonts w:hint="eastAsia"/>
          <w:b/>
          <w:color w:val="auto"/>
          <w:sz w:val="24"/>
        </w:rPr>
        <w:t>9</w:t>
      </w:r>
      <w:r>
        <w:rPr>
          <w:b/>
          <w:color w:val="auto"/>
          <w:sz w:val="24"/>
        </w:rPr>
        <w:t>-2 环境管理工作计划一览表</w:t>
      </w:r>
    </w:p>
    <w:tbl>
      <w:tblPr>
        <w:tblStyle w:val="5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53"/>
        <w:gridCol w:w="749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53" w:type="dxa"/>
            <w:vMerge w:val="restart"/>
            <w:vAlign w:val="center"/>
          </w:tcPr>
          <w:p>
            <w:pPr>
              <w:spacing w:line="276" w:lineRule="auto"/>
              <w:jc w:val="center"/>
              <w:rPr>
                <w:color w:val="auto"/>
                <w:szCs w:val="21"/>
              </w:rPr>
            </w:pPr>
            <w:r>
              <w:rPr>
                <w:color w:val="auto"/>
                <w:szCs w:val="21"/>
              </w:rPr>
              <w:t>企业环境管理总要求</w:t>
            </w:r>
          </w:p>
        </w:tc>
        <w:tc>
          <w:tcPr>
            <w:tcW w:w="7499" w:type="dxa"/>
            <w:vAlign w:val="center"/>
          </w:tcPr>
          <w:p>
            <w:pPr>
              <w:spacing w:line="276" w:lineRule="auto"/>
              <w:jc w:val="center"/>
              <w:rPr>
                <w:color w:val="auto"/>
                <w:szCs w:val="21"/>
              </w:rPr>
            </w:pPr>
            <w:r>
              <w:rPr>
                <w:color w:val="auto"/>
                <w:szCs w:val="21"/>
              </w:rPr>
              <w:t>根据国家建设项目环境保护管理规定，认真落实各项环保手续。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53" w:type="dxa"/>
            <w:vMerge w:val="continue"/>
            <w:vAlign w:val="center"/>
          </w:tcPr>
          <w:p>
            <w:pPr>
              <w:spacing w:line="276" w:lineRule="auto"/>
              <w:jc w:val="center"/>
              <w:rPr>
                <w:color w:val="auto"/>
                <w:szCs w:val="21"/>
              </w:rPr>
            </w:pPr>
          </w:p>
        </w:tc>
        <w:tc>
          <w:tcPr>
            <w:tcW w:w="7499" w:type="dxa"/>
            <w:vAlign w:val="center"/>
          </w:tcPr>
          <w:p>
            <w:pPr>
              <w:spacing w:line="276" w:lineRule="auto"/>
              <w:jc w:val="center"/>
              <w:rPr>
                <w:color w:val="auto"/>
                <w:szCs w:val="21"/>
              </w:rPr>
            </w:pPr>
            <w:r>
              <w:rPr>
                <w:color w:val="auto"/>
                <w:szCs w:val="21"/>
              </w:rPr>
              <w:t>（1）可研阶段，委托评价单位进行环境影响评价；</w:t>
            </w:r>
          </w:p>
          <w:p>
            <w:pPr>
              <w:spacing w:line="276" w:lineRule="auto"/>
              <w:jc w:val="center"/>
              <w:rPr>
                <w:color w:val="auto"/>
                <w:szCs w:val="21"/>
              </w:rPr>
            </w:pPr>
            <w:r>
              <w:rPr>
                <w:color w:val="auto"/>
                <w:szCs w:val="21"/>
              </w:rPr>
              <w:t>（2）开工前，履行“三同时”手续；</w:t>
            </w:r>
          </w:p>
          <w:p>
            <w:pPr>
              <w:spacing w:line="276" w:lineRule="auto"/>
              <w:jc w:val="center"/>
              <w:rPr>
                <w:color w:val="auto"/>
                <w:szCs w:val="21"/>
              </w:rPr>
            </w:pPr>
            <w:r>
              <w:rPr>
                <w:color w:val="auto"/>
                <w:szCs w:val="21"/>
              </w:rPr>
              <w:t>（3）严把施工质量关，严格按照设计要求和施工验收规范质量要求执行；</w:t>
            </w:r>
          </w:p>
          <w:p>
            <w:pPr>
              <w:spacing w:line="276" w:lineRule="auto"/>
              <w:jc w:val="center"/>
              <w:rPr>
                <w:color w:val="auto"/>
                <w:szCs w:val="21"/>
              </w:rPr>
            </w:pPr>
            <w:r>
              <w:rPr>
                <w:color w:val="auto"/>
                <w:szCs w:val="21"/>
              </w:rPr>
              <w:t>（4）生产运行中，定期进行例行监测工作，同时请当地环保部门监督、检查、协助主管部门做好环境管理工作，对不达标装置及时整顿；</w:t>
            </w:r>
          </w:p>
          <w:p>
            <w:pPr>
              <w:spacing w:line="276" w:lineRule="auto"/>
              <w:jc w:val="center"/>
              <w:rPr>
                <w:color w:val="auto"/>
                <w:szCs w:val="21"/>
              </w:rPr>
            </w:pPr>
            <w:r>
              <w:rPr>
                <w:color w:val="auto"/>
                <w:szCs w:val="21"/>
              </w:rPr>
              <w:t>（5）配合环境监测站做好例行监测工作，及时交纳排污费。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53" w:type="dxa"/>
            <w:vMerge w:val="restart"/>
            <w:vAlign w:val="center"/>
          </w:tcPr>
          <w:p>
            <w:pPr>
              <w:spacing w:line="276" w:lineRule="auto"/>
              <w:jc w:val="center"/>
              <w:rPr>
                <w:color w:val="auto"/>
                <w:szCs w:val="21"/>
              </w:rPr>
            </w:pPr>
            <w:r>
              <w:rPr>
                <w:color w:val="auto"/>
                <w:szCs w:val="21"/>
              </w:rPr>
              <w:t>试生产阶段环境管理</w:t>
            </w:r>
          </w:p>
        </w:tc>
        <w:tc>
          <w:tcPr>
            <w:tcW w:w="7499" w:type="dxa"/>
            <w:vAlign w:val="center"/>
          </w:tcPr>
          <w:p>
            <w:pPr>
              <w:spacing w:line="276" w:lineRule="auto"/>
              <w:jc w:val="center"/>
              <w:rPr>
                <w:color w:val="auto"/>
                <w:szCs w:val="21"/>
              </w:rPr>
            </w:pPr>
            <w:r>
              <w:rPr>
                <w:color w:val="auto"/>
                <w:szCs w:val="21"/>
              </w:rPr>
              <w:t>完善准备、最大限度减少事故发生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53" w:type="dxa"/>
            <w:vMerge w:val="continue"/>
            <w:vAlign w:val="center"/>
          </w:tcPr>
          <w:p>
            <w:pPr>
              <w:spacing w:line="276" w:lineRule="auto"/>
              <w:jc w:val="center"/>
              <w:rPr>
                <w:color w:val="auto"/>
                <w:szCs w:val="21"/>
              </w:rPr>
            </w:pPr>
          </w:p>
        </w:tc>
        <w:tc>
          <w:tcPr>
            <w:tcW w:w="7499" w:type="dxa"/>
            <w:vAlign w:val="center"/>
          </w:tcPr>
          <w:p>
            <w:pPr>
              <w:spacing w:line="276" w:lineRule="auto"/>
              <w:jc w:val="center"/>
              <w:rPr>
                <w:color w:val="auto"/>
                <w:szCs w:val="21"/>
              </w:rPr>
            </w:pPr>
            <w:r>
              <w:rPr>
                <w:color w:val="auto"/>
                <w:szCs w:val="21"/>
              </w:rPr>
              <w:t>（1）多方技术论证，完善工艺方案；</w:t>
            </w:r>
          </w:p>
          <w:p>
            <w:pPr>
              <w:spacing w:line="276" w:lineRule="auto"/>
              <w:jc w:val="center"/>
              <w:rPr>
                <w:color w:val="auto"/>
                <w:szCs w:val="21"/>
              </w:rPr>
            </w:pPr>
            <w:r>
              <w:rPr>
                <w:color w:val="auto"/>
                <w:szCs w:val="21"/>
              </w:rPr>
              <w:t>（2）严格施工设计监理，保证工程质量；</w:t>
            </w:r>
          </w:p>
          <w:p>
            <w:pPr>
              <w:spacing w:line="276" w:lineRule="auto"/>
              <w:jc w:val="center"/>
              <w:rPr>
                <w:color w:val="auto"/>
                <w:szCs w:val="21"/>
              </w:rPr>
            </w:pPr>
            <w:r>
              <w:rPr>
                <w:color w:val="auto"/>
                <w:szCs w:val="21"/>
              </w:rPr>
              <w:t>（3）建立试生产工序管理和生产情况记录卡；</w:t>
            </w:r>
          </w:p>
          <w:p>
            <w:pPr>
              <w:spacing w:line="276" w:lineRule="auto"/>
              <w:jc w:val="center"/>
              <w:rPr>
                <w:color w:val="auto"/>
                <w:szCs w:val="21"/>
              </w:rPr>
            </w:pPr>
            <w:r>
              <w:rPr>
                <w:color w:val="auto"/>
                <w:szCs w:val="21"/>
              </w:rPr>
              <w:t>（4）请环保部门协助试生产阶段环境管理工作，确保试车时环保设施同步运行；</w:t>
            </w:r>
          </w:p>
          <w:p>
            <w:pPr>
              <w:spacing w:line="276" w:lineRule="auto"/>
              <w:jc w:val="center"/>
              <w:rPr>
                <w:color w:val="auto"/>
                <w:szCs w:val="21"/>
              </w:rPr>
            </w:pPr>
            <w:r>
              <w:rPr>
                <w:color w:val="auto"/>
                <w:szCs w:val="21"/>
              </w:rPr>
              <w:t>（5）监测环保装置及周围污染物排放情况。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53" w:type="dxa"/>
            <w:vMerge w:val="restart"/>
            <w:vAlign w:val="center"/>
          </w:tcPr>
          <w:p>
            <w:pPr>
              <w:spacing w:line="276" w:lineRule="auto"/>
              <w:jc w:val="center"/>
              <w:rPr>
                <w:color w:val="auto"/>
                <w:szCs w:val="21"/>
              </w:rPr>
            </w:pPr>
            <w:r>
              <w:rPr>
                <w:color w:val="auto"/>
                <w:szCs w:val="21"/>
              </w:rPr>
              <w:t>生产阶段环境管理</w:t>
            </w:r>
          </w:p>
        </w:tc>
        <w:tc>
          <w:tcPr>
            <w:tcW w:w="7499" w:type="dxa"/>
            <w:vAlign w:val="center"/>
          </w:tcPr>
          <w:p>
            <w:pPr>
              <w:spacing w:line="276" w:lineRule="auto"/>
              <w:jc w:val="center"/>
              <w:rPr>
                <w:color w:val="auto"/>
                <w:szCs w:val="21"/>
              </w:rPr>
            </w:pPr>
            <w:r>
              <w:rPr>
                <w:color w:val="auto"/>
                <w:szCs w:val="21"/>
              </w:rPr>
              <w:t>加强环保设备运行检查，确保达产达标、力求降低排污水平。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53" w:type="dxa"/>
            <w:vMerge w:val="continue"/>
            <w:vAlign w:val="center"/>
          </w:tcPr>
          <w:p>
            <w:pPr>
              <w:spacing w:line="276" w:lineRule="auto"/>
              <w:jc w:val="center"/>
              <w:rPr>
                <w:color w:val="auto"/>
                <w:szCs w:val="21"/>
              </w:rPr>
            </w:pPr>
          </w:p>
        </w:tc>
        <w:tc>
          <w:tcPr>
            <w:tcW w:w="7499" w:type="dxa"/>
            <w:vAlign w:val="center"/>
          </w:tcPr>
          <w:p>
            <w:pPr>
              <w:spacing w:line="276" w:lineRule="auto"/>
              <w:jc w:val="center"/>
              <w:rPr>
                <w:color w:val="auto"/>
                <w:szCs w:val="21"/>
              </w:rPr>
            </w:pPr>
            <w:r>
              <w:rPr>
                <w:color w:val="auto"/>
                <w:szCs w:val="21"/>
              </w:rPr>
              <w:t>（1）明确专人负责厂内环保设施的管理；</w:t>
            </w:r>
          </w:p>
          <w:p>
            <w:pPr>
              <w:spacing w:line="276" w:lineRule="auto"/>
              <w:jc w:val="center"/>
              <w:rPr>
                <w:color w:val="auto"/>
                <w:szCs w:val="21"/>
              </w:rPr>
            </w:pPr>
            <w:r>
              <w:rPr>
                <w:color w:val="auto"/>
                <w:szCs w:val="21"/>
              </w:rPr>
              <w:t>（2）对各项环保设施操作、维护定量考核，建立环保设施运行档案；</w:t>
            </w:r>
          </w:p>
          <w:p>
            <w:pPr>
              <w:spacing w:line="276" w:lineRule="auto"/>
              <w:jc w:val="center"/>
              <w:rPr>
                <w:color w:val="auto"/>
                <w:szCs w:val="21"/>
              </w:rPr>
            </w:pPr>
            <w:r>
              <w:rPr>
                <w:color w:val="auto"/>
                <w:szCs w:val="21"/>
              </w:rPr>
              <w:t>（3）合理利用能源、资源、节水、节能；</w:t>
            </w:r>
          </w:p>
          <w:p>
            <w:pPr>
              <w:spacing w:line="276" w:lineRule="auto"/>
              <w:jc w:val="center"/>
              <w:rPr>
                <w:color w:val="auto"/>
                <w:szCs w:val="21"/>
              </w:rPr>
            </w:pPr>
            <w:r>
              <w:rPr>
                <w:color w:val="auto"/>
                <w:szCs w:val="21"/>
              </w:rPr>
              <w:t>（4）监督物料运输和堆存过程中的环境保护工作；</w:t>
            </w:r>
          </w:p>
          <w:p>
            <w:pPr>
              <w:spacing w:line="276" w:lineRule="auto"/>
              <w:jc w:val="center"/>
              <w:rPr>
                <w:color w:val="auto"/>
                <w:szCs w:val="21"/>
              </w:rPr>
            </w:pPr>
            <w:r>
              <w:rPr>
                <w:color w:val="auto"/>
                <w:szCs w:val="21"/>
              </w:rPr>
              <w:t>（5）定期组织污染源和厂区环境监测。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53" w:type="dxa"/>
            <w:vMerge w:val="restart"/>
            <w:vAlign w:val="center"/>
          </w:tcPr>
          <w:p>
            <w:pPr>
              <w:spacing w:line="276" w:lineRule="auto"/>
              <w:jc w:val="center"/>
              <w:rPr>
                <w:color w:val="auto"/>
                <w:szCs w:val="21"/>
              </w:rPr>
            </w:pPr>
            <w:r>
              <w:rPr>
                <w:color w:val="auto"/>
                <w:szCs w:val="21"/>
              </w:rPr>
              <w:t>信息反馈和群众监督</w:t>
            </w:r>
          </w:p>
        </w:tc>
        <w:tc>
          <w:tcPr>
            <w:tcW w:w="7499" w:type="dxa"/>
            <w:vAlign w:val="center"/>
          </w:tcPr>
          <w:p>
            <w:pPr>
              <w:spacing w:line="276" w:lineRule="auto"/>
              <w:jc w:val="center"/>
              <w:rPr>
                <w:color w:val="auto"/>
                <w:szCs w:val="21"/>
              </w:rPr>
            </w:pPr>
            <w:r>
              <w:rPr>
                <w:color w:val="auto"/>
                <w:szCs w:val="21"/>
              </w:rPr>
              <w:t>反馈监督数据，加强群众监督，改进污染治理工作。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53" w:type="dxa"/>
            <w:vMerge w:val="continue"/>
            <w:vAlign w:val="center"/>
          </w:tcPr>
          <w:p>
            <w:pPr>
              <w:spacing w:line="276" w:lineRule="auto"/>
              <w:jc w:val="center"/>
              <w:rPr>
                <w:color w:val="auto"/>
                <w:szCs w:val="21"/>
              </w:rPr>
            </w:pPr>
          </w:p>
        </w:tc>
        <w:tc>
          <w:tcPr>
            <w:tcW w:w="7499" w:type="dxa"/>
            <w:vAlign w:val="center"/>
          </w:tcPr>
          <w:p>
            <w:pPr>
              <w:spacing w:line="276" w:lineRule="auto"/>
              <w:jc w:val="center"/>
              <w:rPr>
                <w:color w:val="auto"/>
                <w:szCs w:val="21"/>
              </w:rPr>
            </w:pPr>
            <w:r>
              <w:rPr>
                <w:color w:val="auto"/>
                <w:szCs w:val="21"/>
              </w:rPr>
              <w:t>（1）建立奖惩制度，保证环保设施正常运转；</w:t>
            </w:r>
          </w:p>
          <w:p>
            <w:pPr>
              <w:spacing w:line="276" w:lineRule="auto"/>
              <w:jc w:val="center"/>
              <w:rPr>
                <w:color w:val="auto"/>
                <w:szCs w:val="21"/>
              </w:rPr>
            </w:pPr>
            <w:r>
              <w:rPr>
                <w:color w:val="auto"/>
                <w:szCs w:val="21"/>
              </w:rPr>
              <w:t>（2）归纳整理监督数据，技术部门配合进行工艺改进；</w:t>
            </w:r>
          </w:p>
          <w:p>
            <w:pPr>
              <w:spacing w:line="276" w:lineRule="auto"/>
              <w:jc w:val="center"/>
              <w:rPr>
                <w:color w:val="auto"/>
                <w:szCs w:val="21"/>
              </w:rPr>
            </w:pPr>
            <w:r>
              <w:rPr>
                <w:color w:val="auto"/>
                <w:szCs w:val="21"/>
              </w:rPr>
              <w:t>（3）聘请附近居民和职工为监督员，收集附近居民和职工的意见；</w:t>
            </w:r>
          </w:p>
          <w:p>
            <w:pPr>
              <w:spacing w:line="276" w:lineRule="auto"/>
              <w:jc w:val="center"/>
              <w:rPr>
                <w:color w:val="auto"/>
                <w:szCs w:val="21"/>
              </w:rPr>
            </w:pPr>
            <w:r>
              <w:rPr>
                <w:color w:val="auto"/>
                <w:szCs w:val="21"/>
              </w:rPr>
              <w:t>（4）配合环保部门的检查验收。</w:t>
            </w:r>
          </w:p>
        </w:tc>
      </w:tr>
    </w:tbl>
    <w:p>
      <w:pPr>
        <w:pStyle w:val="4"/>
        <w:spacing w:line="520" w:lineRule="exact"/>
        <w:rPr>
          <w:rFonts w:ascii="Times New Roman" w:hAnsi="Times New Roman"/>
          <w:b/>
          <w:color w:val="auto"/>
        </w:rPr>
      </w:pPr>
      <w:bookmarkStart w:id="380" w:name="_Toc366874168"/>
      <w:bookmarkStart w:id="381" w:name="_Toc918"/>
      <w:bookmarkStart w:id="382" w:name="_Toc10068"/>
      <w:bookmarkStart w:id="383" w:name="_Toc367091927"/>
      <w:r>
        <w:rPr>
          <w:rFonts w:hint="eastAsia" w:ascii="Times New Roman" w:hAnsi="Times New Roman"/>
          <w:b/>
          <w:color w:val="auto"/>
        </w:rPr>
        <w:t>9</w:t>
      </w:r>
      <w:r>
        <w:rPr>
          <w:rFonts w:ascii="Times New Roman" w:hAnsi="Times New Roman"/>
          <w:b/>
          <w:color w:val="auto"/>
        </w:rPr>
        <w:t>.3环境监测计划</w:t>
      </w:r>
      <w:bookmarkEnd w:id="380"/>
      <w:bookmarkEnd w:id="381"/>
      <w:bookmarkEnd w:id="382"/>
      <w:bookmarkEnd w:id="383"/>
    </w:p>
    <w:p>
      <w:pPr>
        <w:spacing w:line="520" w:lineRule="exact"/>
        <w:rPr>
          <w:b/>
          <w:color w:val="auto"/>
          <w:sz w:val="24"/>
        </w:rPr>
      </w:pPr>
      <w:r>
        <w:rPr>
          <w:rFonts w:hint="eastAsia"/>
          <w:b/>
          <w:color w:val="auto"/>
          <w:sz w:val="24"/>
        </w:rPr>
        <w:t>9</w:t>
      </w:r>
      <w:r>
        <w:rPr>
          <w:b/>
          <w:color w:val="auto"/>
          <w:sz w:val="24"/>
        </w:rPr>
        <w:t>.3.1环境监测机构及职责</w:t>
      </w:r>
    </w:p>
    <w:p>
      <w:pPr>
        <w:adjustRightInd w:val="0"/>
        <w:snapToGrid w:val="0"/>
        <w:spacing w:line="520" w:lineRule="exact"/>
        <w:ind w:firstLine="480" w:firstLineChars="200"/>
        <w:rPr>
          <w:color w:val="auto"/>
          <w:sz w:val="24"/>
        </w:rPr>
      </w:pPr>
      <w:r>
        <w:rPr>
          <w:color w:val="auto"/>
          <w:sz w:val="24"/>
        </w:rPr>
        <w:t>环境监测机构应是国家明文规定的有资质监测机构，按就近、方便的原则，应委托有资质的环境检测机构。对于该项目，环境监测的职责主要有：</w:t>
      </w:r>
    </w:p>
    <w:p>
      <w:pPr>
        <w:adjustRightInd w:val="0"/>
        <w:snapToGrid w:val="0"/>
        <w:spacing w:line="520" w:lineRule="exact"/>
        <w:ind w:firstLine="480" w:firstLineChars="200"/>
        <w:rPr>
          <w:color w:val="auto"/>
          <w:sz w:val="24"/>
        </w:rPr>
      </w:pPr>
      <w:r>
        <w:rPr>
          <w:color w:val="auto"/>
          <w:sz w:val="24"/>
        </w:rPr>
        <w:t>(1)测试、收集环境状况基本资料；</w:t>
      </w:r>
    </w:p>
    <w:p>
      <w:pPr>
        <w:adjustRightInd w:val="0"/>
        <w:snapToGrid w:val="0"/>
        <w:spacing w:line="520" w:lineRule="exact"/>
        <w:ind w:firstLine="480" w:firstLineChars="200"/>
        <w:rPr>
          <w:color w:val="auto"/>
          <w:sz w:val="24"/>
        </w:rPr>
      </w:pPr>
      <w:r>
        <w:rPr>
          <w:color w:val="auto"/>
          <w:sz w:val="24"/>
        </w:rPr>
        <w:t>(2)对环保设施运行状况进行监测；</w:t>
      </w:r>
    </w:p>
    <w:p>
      <w:pPr>
        <w:adjustRightInd w:val="0"/>
        <w:snapToGrid w:val="0"/>
        <w:spacing w:line="520" w:lineRule="exact"/>
        <w:ind w:firstLine="480" w:firstLineChars="200"/>
        <w:rPr>
          <w:color w:val="auto"/>
          <w:sz w:val="24"/>
        </w:rPr>
      </w:pPr>
      <w:r>
        <w:rPr>
          <w:color w:val="auto"/>
          <w:sz w:val="24"/>
        </w:rPr>
        <w:t>(3)整理、统计分析监测结果，上报当地环保部门，归口管理。</w:t>
      </w:r>
    </w:p>
    <w:p>
      <w:pPr>
        <w:spacing w:line="520" w:lineRule="exact"/>
        <w:rPr>
          <w:b/>
          <w:color w:val="auto"/>
          <w:sz w:val="24"/>
        </w:rPr>
      </w:pPr>
      <w:r>
        <w:rPr>
          <w:rFonts w:hint="eastAsia"/>
          <w:b/>
          <w:color w:val="auto"/>
          <w:sz w:val="24"/>
        </w:rPr>
        <w:t>9</w:t>
      </w:r>
      <w:r>
        <w:rPr>
          <w:b/>
          <w:color w:val="auto"/>
          <w:sz w:val="24"/>
        </w:rPr>
        <w:t>.3.2监测计划</w:t>
      </w:r>
    </w:p>
    <w:p>
      <w:pPr>
        <w:spacing w:line="360" w:lineRule="auto"/>
        <w:ind w:firstLine="480" w:firstLineChars="200"/>
        <w:rPr>
          <w:color w:val="auto"/>
          <w:kern w:val="0"/>
          <w:sz w:val="24"/>
        </w:rPr>
      </w:pPr>
      <w:r>
        <w:rPr>
          <w:rFonts w:hint="eastAsia"/>
          <w:color w:val="auto"/>
          <w:kern w:val="0"/>
          <w:sz w:val="24"/>
        </w:rPr>
        <w:t>建设项目应设环境管理机构，运营期要确保环保设施的运行，并定期检查其效果，了解建设项目的污染因子的变化情况，建立健全环保档案，为保护和改善区域环境质量作好组织和监督工作，环境管理具体内容如下：</w:t>
      </w:r>
    </w:p>
    <w:p>
      <w:pPr>
        <w:spacing w:line="360" w:lineRule="auto"/>
        <w:ind w:firstLine="480" w:firstLineChars="200"/>
        <w:rPr>
          <w:color w:val="auto"/>
          <w:kern w:val="0"/>
          <w:sz w:val="24"/>
        </w:rPr>
      </w:pPr>
      <w:r>
        <w:rPr>
          <w:rFonts w:hint="eastAsia"/>
          <w:color w:val="auto"/>
          <w:kern w:val="0"/>
          <w:sz w:val="24"/>
        </w:rPr>
        <w:t>（</w:t>
      </w:r>
      <w:r>
        <w:rPr>
          <w:color w:val="auto"/>
          <w:kern w:val="0"/>
          <w:sz w:val="24"/>
        </w:rPr>
        <w:t>1</w:t>
      </w:r>
      <w:r>
        <w:rPr>
          <w:rFonts w:hint="eastAsia"/>
          <w:color w:val="auto"/>
          <w:kern w:val="0"/>
          <w:sz w:val="24"/>
        </w:rPr>
        <w:t>）严格执行国家环境保护有关政策和法规，项目建成后及时协助有关环保部门进行建设工程项目环境保护设施的验收工作。</w:t>
      </w:r>
    </w:p>
    <w:p>
      <w:pPr>
        <w:spacing w:line="360" w:lineRule="auto"/>
        <w:ind w:firstLine="480" w:firstLineChars="200"/>
        <w:rPr>
          <w:color w:val="auto"/>
          <w:kern w:val="0"/>
          <w:sz w:val="24"/>
        </w:rPr>
      </w:pPr>
      <w:r>
        <w:rPr>
          <w:rFonts w:hint="eastAsia"/>
          <w:color w:val="auto"/>
          <w:kern w:val="0"/>
          <w:sz w:val="24"/>
        </w:rPr>
        <w:t>（</w:t>
      </w:r>
      <w:r>
        <w:rPr>
          <w:color w:val="auto"/>
          <w:kern w:val="0"/>
          <w:sz w:val="24"/>
        </w:rPr>
        <w:t>2</w:t>
      </w:r>
      <w:r>
        <w:rPr>
          <w:rFonts w:hint="eastAsia"/>
          <w:color w:val="auto"/>
          <w:kern w:val="0"/>
          <w:sz w:val="24"/>
        </w:rPr>
        <w:t>）建立健全环境管理制度，设置专职或兼职环保人员，负责日常环保安全，定期检查环保管理。</w:t>
      </w:r>
    </w:p>
    <w:p>
      <w:pPr>
        <w:spacing w:line="360" w:lineRule="auto"/>
        <w:ind w:firstLine="480" w:firstLineChars="200"/>
        <w:rPr>
          <w:b/>
          <w:color w:val="auto"/>
          <w:kern w:val="0"/>
          <w:sz w:val="24"/>
        </w:rPr>
      </w:pPr>
      <w:r>
        <w:rPr>
          <w:rFonts w:hint="eastAsia"/>
          <w:color w:val="auto"/>
          <w:kern w:val="0"/>
          <w:sz w:val="24"/>
        </w:rPr>
        <w:t>（</w:t>
      </w:r>
      <w:r>
        <w:rPr>
          <w:color w:val="auto"/>
          <w:kern w:val="0"/>
          <w:sz w:val="24"/>
        </w:rPr>
        <w:t>3</w:t>
      </w:r>
      <w:r>
        <w:rPr>
          <w:rFonts w:hint="eastAsia"/>
          <w:color w:val="auto"/>
          <w:kern w:val="0"/>
          <w:sz w:val="24"/>
        </w:rPr>
        <w:t>）运营期环境监测计划</w:t>
      </w:r>
    </w:p>
    <w:p>
      <w:pPr>
        <w:spacing w:line="360" w:lineRule="auto"/>
        <w:ind w:firstLine="482" w:firstLineChars="200"/>
        <w:rPr>
          <w:b/>
          <w:color w:val="auto"/>
          <w:kern w:val="0"/>
          <w:sz w:val="24"/>
        </w:rPr>
      </w:pPr>
      <w:r>
        <w:rPr>
          <w:b/>
          <w:color w:val="auto"/>
          <w:kern w:val="0"/>
          <w:sz w:val="24"/>
        </w:rPr>
        <w:t>废水污染物自行监测计划</w:t>
      </w:r>
    </w:p>
    <w:p>
      <w:pPr>
        <w:spacing w:line="360" w:lineRule="auto"/>
        <w:ind w:firstLine="480" w:firstLineChars="200"/>
        <w:rPr>
          <w:color w:val="auto"/>
          <w:kern w:val="0"/>
          <w:sz w:val="24"/>
        </w:rPr>
      </w:pPr>
      <w:r>
        <w:rPr>
          <w:color w:val="auto"/>
          <w:kern w:val="0"/>
          <w:sz w:val="24"/>
        </w:rPr>
        <w:t>根据《排污单位自行监测技术指南 总则》（HJ819-2017），结合《环境影响评价技术导则  地表水环境》（HJ2.3-2018）附录G.4，项目环境监测计划及记录信息表如下：</w:t>
      </w:r>
    </w:p>
    <w:p>
      <w:pPr>
        <w:spacing w:line="360" w:lineRule="auto"/>
        <w:jc w:val="center"/>
        <w:rPr>
          <w:b/>
          <w:color w:val="auto"/>
          <w:kern w:val="0"/>
          <w:sz w:val="24"/>
        </w:rPr>
      </w:pPr>
      <w:r>
        <w:rPr>
          <w:b/>
          <w:color w:val="auto"/>
          <w:kern w:val="0"/>
          <w:sz w:val="24"/>
        </w:rPr>
        <w:t>表</w:t>
      </w:r>
      <w:r>
        <w:rPr>
          <w:rFonts w:hint="eastAsia"/>
          <w:b/>
          <w:color w:val="auto"/>
          <w:kern w:val="0"/>
          <w:sz w:val="24"/>
        </w:rPr>
        <w:t>9</w:t>
      </w:r>
      <w:r>
        <w:rPr>
          <w:b/>
          <w:color w:val="auto"/>
          <w:kern w:val="0"/>
          <w:sz w:val="24"/>
        </w:rPr>
        <w:t>-</w:t>
      </w:r>
      <w:r>
        <w:rPr>
          <w:rFonts w:hint="eastAsia"/>
          <w:b/>
          <w:color w:val="auto"/>
          <w:kern w:val="0"/>
          <w:sz w:val="24"/>
          <w:lang w:val="en-US" w:eastAsia="zh-CN"/>
        </w:rPr>
        <w:t>3</w:t>
      </w:r>
      <w:r>
        <w:rPr>
          <w:b/>
          <w:color w:val="auto"/>
          <w:kern w:val="0"/>
          <w:sz w:val="24"/>
        </w:rPr>
        <w:t xml:space="preserve">  水污染物排放环境监测计划及记录信息表</w:t>
      </w:r>
    </w:p>
    <w:tbl>
      <w:tblPr>
        <w:tblStyle w:val="54"/>
        <w:tblW w:w="4998"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442"/>
        <w:gridCol w:w="881"/>
        <w:gridCol w:w="1083"/>
        <w:gridCol w:w="714"/>
        <w:gridCol w:w="1385"/>
        <w:gridCol w:w="900"/>
        <w:gridCol w:w="354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248" w:type="pct"/>
            <w:vAlign w:val="center"/>
          </w:tcPr>
          <w:p>
            <w:pPr>
              <w:spacing w:line="320" w:lineRule="exact"/>
              <w:ind w:left="-63" w:leftChars="-30" w:right="-63" w:rightChars="-30"/>
              <w:jc w:val="center"/>
              <w:rPr>
                <w:b/>
                <w:color w:val="auto"/>
                <w:kern w:val="0"/>
                <w:szCs w:val="21"/>
              </w:rPr>
            </w:pPr>
            <w:r>
              <w:rPr>
                <w:b/>
                <w:color w:val="auto"/>
                <w:kern w:val="0"/>
                <w:szCs w:val="21"/>
              </w:rPr>
              <w:t>序号</w:t>
            </w:r>
          </w:p>
        </w:tc>
        <w:tc>
          <w:tcPr>
            <w:tcW w:w="487" w:type="pct"/>
            <w:vAlign w:val="center"/>
          </w:tcPr>
          <w:p>
            <w:pPr>
              <w:spacing w:line="320" w:lineRule="exact"/>
              <w:ind w:left="-63" w:leftChars="-30" w:right="-63" w:rightChars="-30"/>
              <w:jc w:val="center"/>
              <w:rPr>
                <w:b/>
                <w:color w:val="auto"/>
                <w:kern w:val="0"/>
                <w:szCs w:val="21"/>
              </w:rPr>
            </w:pPr>
            <w:r>
              <w:rPr>
                <w:b/>
                <w:color w:val="auto"/>
                <w:kern w:val="0"/>
                <w:szCs w:val="21"/>
              </w:rPr>
              <w:t>排放口编号</w:t>
            </w:r>
          </w:p>
        </w:tc>
        <w:tc>
          <w:tcPr>
            <w:tcW w:w="606" w:type="pct"/>
            <w:vAlign w:val="center"/>
          </w:tcPr>
          <w:p>
            <w:pPr>
              <w:spacing w:line="320" w:lineRule="exact"/>
              <w:ind w:left="-63" w:leftChars="-30" w:right="-63" w:rightChars="-30"/>
              <w:jc w:val="center"/>
              <w:rPr>
                <w:b/>
                <w:color w:val="auto"/>
                <w:kern w:val="0"/>
                <w:szCs w:val="21"/>
              </w:rPr>
            </w:pPr>
            <w:r>
              <w:rPr>
                <w:b/>
                <w:color w:val="auto"/>
                <w:kern w:val="0"/>
                <w:szCs w:val="21"/>
              </w:rPr>
              <w:t>污染物</w:t>
            </w:r>
          </w:p>
          <w:p>
            <w:pPr>
              <w:spacing w:line="320" w:lineRule="exact"/>
              <w:ind w:left="-63" w:leftChars="-30" w:right="-63" w:rightChars="-30"/>
              <w:jc w:val="center"/>
              <w:rPr>
                <w:b/>
                <w:color w:val="auto"/>
                <w:kern w:val="0"/>
                <w:szCs w:val="21"/>
              </w:rPr>
            </w:pPr>
            <w:r>
              <w:rPr>
                <w:b/>
                <w:color w:val="auto"/>
                <w:kern w:val="0"/>
                <w:szCs w:val="21"/>
              </w:rPr>
              <w:t>名称</w:t>
            </w:r>
          </w:p>
        </w:tc>
        <w:tc>
          <w:tcPr>
            <w:tcW w:w="399" w:type="pct"/>
            <w:vAlign w:val="center"/>
          </w:tcPr>
          <w:p>
            <w:pPr>
              <w:spacing w:line="320" w:lineRule="exact"/>
              <w:ind w:left="-63" w:leftChars="-30" w:right="-63" w:rightChars="-30"/>
              <w:jc w:val="center"/>
              <w:rPr>
                <w:b/>
                <w:color w:val="auto"/>
                <w:kern w:val="0"/>
                <w:szCs w:val="21"/>
              </w:rPr>
            </w:pPr>
            <w:r>
              <w:rPr>
                <w:b/>
                <w:color w:val="auto"/>
                <w:kern w:val="0"/>
                <w:szCs w:val="21"/>
              </w:rPr>
              <w:t>监测</w:t>
            </w:r>
          </w:p>
          <w:p>
            <w:pPr>
              <w:spacing w:line="320" w:lineRule="exact"/>
              <w:ind w:left="-63" w:leftChars="-30" w:right="-63" w:rightChars="-30"/>
              <w:jc w:val="center"/>
              <w:rPr>
                <w:b/>
                <w:color w:val="auto"/>
                <w:kern w:val="0"/>
                <w:szCs w:val="21"/>
              </w:rPr>
            </w:pPr>
            <w:r>
              <w:rPr>
                <w:b/>
                <w:color w:val="auto"/>
                <w:kern w:val="0"/>
                <w:szCs w:val="21"/>
              </w:rPr>
              <w:t>设施</w:t>
            </w:r>
          </w:p>
        </w:tc>
        <w:tc>
          <w:tcPr>
            <w:tcW w:w="774" w:type="pct"/>
            <w:vAlign w:val="center"/>
          </w:tcPr>
          <w:p>
            <w:pPr>
              <w:spacing w:line="320" w:lineRule="exact"/>
              <w:ind w:left="-63" w:leftChars="-30" w:right="-63" w:rightChars="-30"/>
              <w:jc w:val="center"/>
              <w:rPr>
                <w:b/>
                <w:color w:val="auto"/>
                <w:kern w:val="0"/>
                <w:szCs w:val="21"/>
                <w:vertAlign w:val="superscript"/>
              </w:rPr>
            </w:pPr>
            <w:r>
              <w:rPr>
                <w:b/>
                <w:color w:val="auto"/>
                <w:kern w:val="0"/>
                <w:szCs w:val="21"/>
              </w:rPr>
              <w:t>手工监测采样方法及个数</w:t>
            </w:r>
            <w:r>
              <w:rPr>
                <w:b/>
                <w:color w:val="auto"/>
                <w:kern w:val="0"/>
                <w:szCs w:val="21"/>
                <w:vertAlign w:val="superscript"/>
              </w:rPr>
              <w:t>（a）</w:t>
            </w:r>
          </w:p>
        </w:tc>
        <w:tc>
          <w:tcPr>
            <w:tcW w:w="503" w:type="pct"/>
            <w:vAlign w:val="center"/>
          </w:tcPr>
          <w:p>
            <w:pPr>
              <w:spacing w:line="320" w:lineRule="exact"/>
              <w:ind w:left="-63" w:leftChars="-30" w:right="-63" w:rightChars="-30"/>
              <w:jc w:val="center"/>
              <w:rPr>
                <w:b/>
                <w:color w:val="auto"/>
                <w:kern w:val="0"/>
                <w:szCs w:val="21"/>
              </w:rPr>
            </w:pPr>
            <w:r>
              <w:rPr>
                <w:b/>
                <w:color w:val="auto"/>
                <w:kern w:val="0"/>
                <w:szCs w:val="21"/>
              </w:rPr>
              <w:t>手工监测频次</w:t>
            </w:r>
            <w:r>
              <w:rPr>
                <w:b/>
                <w:color w:val="auto"/>
                <w:kern w:val="0"/>
                <w:szCs w:val="21"/>
                <w:vertAlign w:val="superscript"/>
              </w:rPr>
              <w:t>（b）</w:t>
            </w:r>
          </w:p>
        </w:tc>
        <w:tc>
          <w:tcPr>
            <w:tcW w:w="1979" w:type="pct"/>
            <w:vAlign w:val="center"/>
          </w:tcPr>
          <w:p>
            <w:pPr>
              <w:spacing w:line="320" w:lineRule="exact"/>
              <w:ind w:left="-63" w:leftChars="-30" w:right="-63" w:rightChars="-30"/>
              <w:jc w:val="center"/>
              <w:rPr>
                <w:b/>
                <w:color w:val="auto"/>
                <w:kern w:val="0"/>
                <w:szCs w:val="21"/>
              </w:rPr>
            </w:pPr>
            <w:r>
              <w:rPr>
                <w:b/>
                <w:color w:val="auto"/>
                <w:kern w:val="0"/>
                <w:szCs w:val="21"/>
              </w:rPr>
              <w:t>手工测定方法</w:t>
            </w:r>
            <w:r>
              <w:rPr>
                <w:b/>
                <w:color w:val="auto"/>
                <w:kern w:val="0"/>
                <w:szCs w:val="21"/>
                <w:vertAlign w:val="superscript"/>
              </w:rPr>
              <w:t>（c）</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248" w:type="pct"/>
            <w:vAlign w:val="center"/>
          </w:tcPr>
          <w:p>
            <w:pPr>
              <w:spacing w:line="320" w:lineRule="exact"/>
              <w:jc w:val="center"/>
              <w:rPr>
                <w:color w:val="auto"/>
                <w:kern w:val="0"/>
                <w:szCs w:val="21"/>
              </w:rPr>
            </w:pPr>
            <w:r>
              <w:rPr>
                <w:color w:val="auto"/>
                <w:kern w:val="0"/>
                <w:szCs w:val="21"/>
              </w:rPr>
              <w:t>1</w:t>
            </w:r>
          </w:p>
        </w:tc>
        <w:tc>
          <w:tcPr>
            <w:tcW w:w="487" w:type="pct"/>
            <w:vAlign w:val="center"/>
          </w:tcPr>
          <w:p>
            <w:pPr>
              <w:spacing w:line="320" w:lineRule="exact"/>
              <w:jc w:val="center"/>
              <w:rPr>
                <w:color w:val="auto"/>
                <w:kern w:val="0"/>
                <w:szCs w:val="21"/>
              </w:rPr>
            </w:pPr>
            <w:r>
              <w:rPr>
                <w:rFonts w:hint="eastAsia"/>
                <w:color w:val="auto"/>
                <w:kern w:val="0"/>
                <w:szCs w:val="21"/>
              </w:rPr>
              <w:t>DW</w:t>
            </w:r>
            <w:r>
              <w:rPr>
                <w:color w:val="auto"/>
                <w:kern w:val="0"/>
                <w:szCs w:val="21"/>
              </w:rPr>
              <w:t>001</w:t>
            </w:r>
          </w:p>
        </w:tc>
        <w:tc>
          <w:tcPr>
            <w:tcW w:w="606" w:type="pct"/>
            <w:vAlign w:val="center"/>
          </w:tcPr>
          <w:p>
            <w:pPr>
              <w:spacing w:line="320" w:lineRule="exact"/>
              <w:ind w:left="-63" w:leftChars="-30" w:right="-63" w:rightChars="-30"/>
              <w:jc w:val="center"/>
              <w:rPr>
                <w:bCs/>
                <w:color w:val="auto"/>
                <w:szCs w:val="21"/>
              </w:rPr>
            </w:pPr>
            <w:r>
              <w:rPr>
                <w:bCs/>
                <w:color w:val="auto"/>
                <w:szCs w:val="21"/>
              </w:rPr>
              <w:t>pH、COD、BOD</w:t>
            </w:r>
            <w:r>
              <w:rPr>
                <w:bCs/>
                <w:color w:val="auto"/>
                <w:szCs w:val="21"/>
                <w:vertAlign w:val="subscript"/>
              </w:rPr>
              <w:t>5</w:t>
            </w:r>
            <w:r>
              <w:rPr>
                <w:bCs/>
                <w:color w:val="auto"/>
                <w:szCs w:val="21"/>
              </w:rPr>
              <w:t>、SS、</w:t>
            </w:r>
          </w:p>
          <w:p>
            <w:pPr>
              <w:spacing w:line="320" w:lineRule="exact"/>
              <w:ind w:left="-63" w:leftChars="-30" w:right="-63" w:rightChars="-30"/>
              <w:jc w:val="center"/>
              <w:rPr>
                <w:color w:val="auto"/>
                <w:kern w:val="0"/>
                <w:szCs w:val="21"/>
              </w:rPr>
            </w:pPr>
            <w:r>
              <w:rPr>
                <w:bCs/>
                <w:color w:val="auto"/>
                <w:szCs w:val="21"/>
              </w:rPr>
              <w:t>氨氮</w:t>
            </w:r>
          </w:p>
        </w:tc>
        <w:tc>
          <w:tcPr>
            <w:tcW w:w="399" w:type="pct"/>
            <w:vAlign w:val="center"/>
          </w:tcPr>
          <w:p>
            <w:pPr>
              <w:spacing w:line="320" w:lineRule="exact"/>
              <w:ind w:left="-63" w:leftChars="-30" w:right="-63" w:rightChars="-30"/>
              <w:jc w:val="center"/>
              <w:rPr>
                <w:color w:val="auto"/>
                <w:kern w:val="0"/>
                <w:szCs w:val="21"/>
              </w:rPr>
            </w:pPr>
            <w:r>
              <w:rPr>
                <w:color w:val="auto"/>
                <w:kern w:val="0"/>
                <w:szCs w:val="21"/>
              </w:rPr>
              <w:t>手动</w:t>
            </w:r>
          </w:p>
        </w:tc>
        <w:tc>
          <w:tcPr>
            <w:tcW w:w="774" w:type="pct"/>
            <w:vAlign w:val="center"/>
          </w:tcPr>
          <w:p>
            <w:pPr>
              <w:spacing w:line="320" w:lineRule="exact"/>
              <w:jc w:val="center"/>
              <w:rPr>
                <w:color w:val="auto"/>
                <w:kern w:val="0"/>
                <w:szCs w:val="21"/>
              </w:rPr>
            </w:pPr>
            <w:r>
              <w:rPr>
                <w:color w:val="auto"/>
                <w:kern w:val="0"/>
                <w:szCs w:val="21"/>
              </w:rPr>
              <w:t>混合采样4个</w:t>
            </w:r>
          </w:p>
        </w:tc>
        <w:tc>
          <w:tcPr>
            <w:tcW w:w="503" w:type="pct"/>
            <w:vAlign w:val="center"/>
          </w:tcPr>
          <w:p>
            <w:pPr>
              <w:spacing w:line="320" w:lineRule="exact"/>
              <w:jc w:val="center"/>
              <w:rPr>
                <w:color w:val="auto"/>
                <w:kern w:val="0"/>
                <w:szCs w:val="21"/>
              </w:rPr>
            </w:pPr>
            <w:r>
              <w:rPr>
                <w:color w:val="auto"/>
                <w:kern w:val="0"/>
                <w:szCs w:val="21"/>
              </w:rPr>
              <w:t>1次/年</w:t>
            </w:r>
          </w:p>
        </w:tc>
        <w:tc>
          <w:tcPr>
            <w:tcW w:w="1979" w:type="pct"/>
            <w:vAlign w:val="center"/>
          </w:tcPr>
          <w:p>
            <w:pPr>
              <w:spacing w:line="320" w:lineRule="exact"/>
              <w:ind w:left="-63" w:leftChars="-30" w:right="-63" w:rightChars="-30"/>
              <w:jc w:val="center"/>
              <w:rPr>
                <w:color w:val="auto"/>
                <w:kern w:val="0"/>
                <w:szCs w:val="21"/>
              </w:rPr>
            </w:pPr>
            <w:r>
              <w:rPr>
                <w:color w:val="auto"/>
                <w:szCs w:val="21"/>
              </w:rPr>
              <w:t>pH：</w:t>
            </w:r>
            <w:r>
              <w:rPr>
                <w:color w:val="auto"/>
                <w:kern w:val="0"/>
                <w:szCs w:val="21"/>
              </w:rPr>
              <w:t>玻璃电极法</w:t>
            </w:r>
            <w:r>
              <w:rPr>
                <w:color w:val="auto"/>
                <w:szCs w:val="21"/>
              </w:rPr>
              <w:t>COD：重铬酸钾法；BOD：快速测定法。SS：重量法；氨氮：纳氏试剂分光光度法；动植物油：红外测油仪</w:t>
            </w:r>
          </w:p>
        </w:tc>
      </w:tr>
    </w:tbl>
    <w:p>
      <w:pPr>
        <w:spacing w:line="360" w:lineRule="auto"/>
        <w:ind w:firstLine="482" w:firstLineChars="200"/>
        <w:rPr>
          <w:rFonts w:hint="eastAsia"/>
          <w:b/>
          <w:color w:val="auto"/>
          <w:kern w:val="0"/>
          <w:sz w:val="24"/>
        </w:rPr>
      </w:pPr>
    </w:p>
    <w:p>
      <w:pPr>
        <w:spacing w:line="360" w:lineRule="auto"/>
        <w:ind w:firstLine="482" w:firstLineChars="200"/>
        <w:rPr>
          <w:b/>
          <w:color w:val="auto"/>
          <w:kern w:val="0"/>
          <w:sz w:val="24"/>
        </w:rPr>
      </w:pPr>
      <w:r>
        <w:rPr>
          <w:rFonts w:hint="eastAsia"/>
          <w:b/>
          <w:color w:val="auto"/>
          <w:kern w:val="0"/>
          <w:sz w:val="24"/>
        </w:rPr>
        <w:t>废气污染物自行监测计划</w:t>
      </w:r>
    </w:p>
    <w:p>
      <w:pPr>
        <w:spacing w:line="360" w:lineRule="auto"/>
        <w:ind w:firstLine="480" w:firstLineChars="200"/>
        <w:rPr>
          <w:color w:val="auto"/>
          <w:kern w:val="0"/>
          <w:sz w:val="24"/>
        </w:rPr>
      </w:pPr>
      <w:r>
        <w:rPr>
          <w:rFonts w:hint="eastAsia"/>
          <w:color w:val="auto"/>
          <w:kern w:val="0"/>
          <w:sz w:val="24"/>
        </w:rPr>
        <w:t>根据《排污单位自行监测技术指南</w:t>
      </w:r>
      <w:r>
        <w:rPr>
          <w:color w:val="auto"/>
          <w:kern w:val="0"/>
          <w:sz w:val="24"/>
        </w:rPr>
        <w:t xml:space="preserve"> </w:t>
      </w:r>
      <w:r>
        <w:rPr>
          <w:rFonts w:hint="eastAsia"/>
          <w:color w:val="auto"/>
          <w:kern w:val="0"/>
          <w:sz w:val="24"/>
        </w:rPr>
        <w:t>总则》（</w:t>
      </w:r>
      <w:r>
        <w:rPr>
          <w:color w:val="auto"/>
          <w:kern w:val="0"/>
          <w:sz w:val="24"/>
        </w:rPr>
        <w:t>HJ819-2017</w:t>
      </w:r>
      <w:r>
        <w:rPr>
          <w:rFonts w:hint="eastAsia"/>
          <w:color w:val="auto"/>
          <w:kern w:val="0"/>
          <w:sz w:val="24"/>
        </w:rPr>
        <w:t>），结合《环境影响评价技术导则  大气环境》（HJ2.2-2018）附录C.7自行监测计划，废气自行监测计划如下：</w:t>
      </w:r>
    </w:p>
    <w:p>
      <w:pPr>
        <w:spacing w:line="360" w:lineRule="auto"/>
        <w:jc w:val="center"/>
        <w:rPr>
          <w:b/>
          <w:color w:val="auto"/>
          <w:kern w:val="0"/>
          <w:sz w:val="24"/>
        </w:rPr>
      </w:pPr>
      <w:r>
        <w:rPr>
          <w:rFonts w:hint="eastAsia"/>
          <w:b/>
          <w:color w:val="auto"/>
          <w:kern w:val="0"/>
          <w:sz w:val="24"/>
        </w:rPr>
        <w:t>表9-</w:t>
      </w:r>
      <w:r>
        <w:rPr>
          <w:rFonts w:hint="eastAsia"/>
          <w:b/>
          <w:color w:val="auto"/>
          <w:kern w:val="0"/>
          <w:sz w:val="24"/>
          <w:lang w:val="en-US" w:eastAsia="zh-CN"/>
        </w:rPr>
        <w:t>4</w:t>
      </w:r>
      <w:r>
        <w:rPr>
          <w:rFonts w:hint="eastAsia"/>
          <w:b/>
          <w:color w:val="auto"/>
          <w:kern w:val="0"/>
          <w:sz w:val="24"/>
        </w:rPr>
        <w:t xml:space="preserve">  有组织废气监测方案</w:t>
      </w:r>
    </w:p>
    <w:tbl>
      <w:tblPr>
        <w:tblStyle w:val="53"/>
        <w:tblW w:w="4997"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743"/>
        <w:gridCol w:w="1696"/>
        <w:gridCol w:w="1099"/>
        <w:gridCol w:w="1468"/>
        <w:gridCol w:w="3942"/>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23" w:hRule="atLeast"/>
          <w:jc w:val="center"/>
        </w:trPr>
        <w:tc>
          <w:tcPr>
            <w:tcW w:w="415" w:type="pct"/>
            <w:vAlign w:val="center"/>
          </w:tcPr>
          <w:p>
            <w:pPr>
              <w:spacing w:line="360" w:lineRule="exact"/>
              <w:jc w:val="center"/>
              <w:rPr>
                <w:b/>
                <w:color w:val="auto"/>
                <w:szCs w:val="21"/>
              </w:rPr>
            </w:pPr>
            <w:r>
              <w:rPr>
                <w:b/>
                <w:color w:val="auto"/>
                <w:szCs w:val="21"/>
              </w:rPr>
              <w:t>序号</w:t>
            </w:r>
          </w:p>
        </w:tc>
        <w:tc>
          <w:tcPr>
            <w:tcW w:w="947" w:type="pct"/>
            <w:vAlign w:val="center"/>
          </w:tcPr>
          <w:p>
            <w:pPr>
              <w:spacing w:line="360" w:lineRule="exact"/>
              <w:jc w:val="center"/>
              <w:rPr>
                <w:b/>
                <w:color w:val="auto"/>
                <w:szCs w:val="21"/>
              </w:rPr>
            </w:pPr>
            <w:r>
              <w:rPr>
                <w:b/>
                <w:color w:val="auto"/>
                <w:szCs w:val="21"/>
              </w:rPr>
              <w:t>监测点位</w:t>
            </w:r>
          </w:p>
        </w:tc>
        <w:tc>
          <w:tcPr>
            <w:tcW w:w="614" w:type="pct"/>
            <w:vAlign w:val="center"/>
          </w:tcPr>
          <w:p>
            <w:pPr>
              <w:spacing w:line="360" w:lineRule="exact"/>
              <w:jc w:val="center"/>
              <w:rPr>
                <w:b/>
                <w:color w:val="auto"/>
                <w:szCs w:val="21"/>
              </w:rPr>
            </w:pPr>
            <w:r>
              <w:rPr>
                <w:b/>
                <w:color w:val="auto"/>
                <w:szCs w:val="21"/>
              </w:rPr>
              <w:t>监测</w:t>
            </w:r>
            <w:r>
              <w:rPr>
                <w:rFonts w:hint="eastAsia"/>
                <w:b/>
                <w:color w:val="auto"/>
                <w:szCs w:val="21"/>
              </w:rPr>
              <w:t>指标</w:t>
            </w:r>
          </w:p>
        </w:tc>
        <w:tc>
          <w:tcPr>
            <w:tcW w:w="820" w:type="pct"/>
            <w:vAlign w:val="center"/>
          </w:tcPr>
          <w:p>
            <w:pPr>
              <w:spacing w:line="360" w:lineRule="exact"/>
              <w:jc w:val="center"/>
              <w:rPr>
                <w:b/>
                <w:color w:val="auto"/>
                <w:szCs w:val="21"/>
              </w:rPr>
            </w:pPr>
            <w:r>
              <w:rPr>
                <w:rFonts w:hint="eastAsia"/>
                <w:b/>
                <w:color w:val="auto"/>
                <w:szCs w:val="21"/>
              </w:rPr>
              <w:t>监测</w:t>
            </w:r>
            <w:r>
              <w:rPr>
                <w:b/>
                <w:color w:val="auto"/>
                <w:szCs w:val="21"/>
              </w:rPr>
              <w:t>频率</w:t>
            </w:r>
          </w:p>
        </w:tc>
        <w:tc>
          <w:tcPr>
            <w:tcW w:w="2202" w:type="pct"/>
            <w:vAlign w:val="center"/>
          </w:tcPr>
          <w:p>
            <w:pPr>
              <w:spacing w:line="360" w:lineRule="exact"/>
              <w:ind w:left="-105" w:leftChars="-50" w:right="-105" w:rightChars="-50"/>
              <w:jc w:val="center"/>
              <w:rPr>
                <w:b/>
                <w:color w:val="auto"/>
                <w:szCs w:val="21"/>
              </w:rPr>
            </w:pPr>
            <w:r>
              <w:rPr>
                <w:b/>
                <w:color w:val="auto"/>
                <w:szCs w:val="21"/>
              </w:rPr>
              <w:t>执行</w:t>
            </w:r>
            <w:r>
              <w:rPr>
                <w:rFonts w:hint="eastAsia"/>
                <w:b/>
                <w:color w:val="auto"/>
                <w:szCs w:val="21"/>
              </w:rPr>
              <w:t>排放</w:t>
            </w:r>
            <w:r>
              <w:rPr>
                <w:b/>
                <w:color w:val="auto"/>
                <w:szCs w:val="21"/>
              </w:rPr>
              <w:t>标准</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23" w:hRule="atLeast"/>
          <w:jc w:val="center"/>
        </w:trPr>
        <w:tc>
          <w:tcPr>
            <w:tcW w:w="415" w:type="pct"/>
            <w:vAlign w:val="center"/>
          </w:tcPr>
          <w:p>
            <w:pPr>
              <w:spacing w:line="360" w:lineRule="exact"/>
              <w:jc w:val="center"/>
              <w:rPr>
                <w:color w:val="auto"/>
                <w:szCs w:val="21"/>
              </w:rPr>
            </w:pPr>
            <w:r>
              <w:rPr>
                <w:rFonts w:hint="eastAsia"/>
                <w:color w:val="auto"/>
                <w:szCs w:val="21"/>
              </w:rPr>
              <w:t>1</w:t>
            </w:r>
          </w:p>
        </w:tc>
        <w:tc>
          <w:tcPr>
            <w:tcW w:w="947" w:type="pct"/>
            <w:vAlign w:val="center"/>
          </w:tcPr>
          <w:p>
            <w:pPr>
              <w:widowControl/>
              <w:jc w:val="center"/>
              <w:rPr>
                <w:rStyle w:val="62"/>
                <w:color w:val="auto"/>
              </w:rPr>
            </w:pPr>
            <w:r>
              <w:rPr>
                <w:rFonts w:hint="eastAsia"/>
                <w:color w:val="auto"/>
                <w:szCs w:val="21"/>
              </w:rPr>
              <w:t>厂界</w:t>
            </w:r>
          </w:p>
        </w:tc>
        <w:tc>
          <w:tcPr>
            <w:tcW w:w="614" w:type="pct"/>
            <w:vAlign w:val="center"/>
          </w:tcPr>
          <w:p>
            <w:pPr>
              <w:widowControl/>
              <w:jc w:val="center"/>
              <w:rPr>
                <w:rFonts w:hint="eastAsia" w:eastAsia="宋体"/>
                <w:color w:val="auto"/>
                <w:szCs w:val="21"/>
                <w:lang w:eastAsia="zh-CN"/>
              </w:rPr>
            </w:pPr>
            <w:r>
              <w:rPr>
                <w:color w:val="auto"/>
                <w:szCs w:val="21"/>
              </w:rPr>
              <w:t>颗粒物</w:t>
            </w:r>
            <w:r>
              <w:rPr>
                <w:rFonts w:hint="eastAsia"/>
                <w:color w:val="auto"/>
                <w:szCs w:val="21"/>
                <w:lang w:eastAsia="zh-CN"/>
              </w:rPr>
              <w:t>、</w:t>
            </w:r>
            <w:r>
              <w:rPr>
                <w:color w:val="auto"/>
                <w:szCs w:val="21"/>
              </w:rPr>
              <w:t>非甲烷总烃、H</w:t>
            </w:r>
            <w:r>
              <w:rPr>
                <w:color w:val="auto"/>
                <w:szCs w:val="21"/>
                <w:vertAlign w:val="subscript"/>
              </w:rPr>
              <w:t>2</w:t>
            </w:r>
            <w:r>
              <w:rPr>
                <w:color w:val="auto"/>
                <w:szCs w:val="21"/>
              </w:rPr>
              <w:t>S</w:t>
            </w:r>
          </w:p>
        </w:tc>
        <w:tc>
          <w:tcPr>
            <w:tcW w:w="820" w:type="pct"/>
            <w:vMerge w:val="restart"/>
            <w:vAlign w:val="center"/>
          </w:tcPr>
          <w:p>
            <w:pPr>
              <w:spacing w:line="360" w:lineRule="exact"/>
              <w:jc w:val="center"/>
              <w:rPr>
                <w:bCs/>
                <w:color w:val="auto"/>
                <w:szCs w:val="21"/>
              </w:rPr>
            </w:pPr>
            <w:r>
              <w:rPr>
                <w:rFonts w:hint="eastAsia"/>
                <w:color w:val="auto"/>
                <w:kern w:val="0"/>
                <w:szCs w:val="21"/>
              </w:rPr>
              <w:t>1次/半年</w:t>
            </w:r>
          </w:p>
        </w:tc>
        <w:tc>
          <w:tcPr>
            <w:tcW w:w="2202" w:type="pct"/>
            <w:vAlign w:val="center"/>
          </w:tcPr>
          <w:p>
            <w:pPr>
              <w:widowControl/>
              <w:jc w:val="center"/>
              <w:rPr>
                <w:rFonts w:hint="eastAsia" w:eastAsia="宋体"/>
                <w:bCs/>
                <w:color w:val="auto"/>
                <w:szCs w:val="21"/>
                <w:lang w:eastAsia="zh-CN"/>
              </w:rPr>
            </w:pPr>
            <w:r>
              <w:rPr>
                <w:color w:val="auto"/>
                <w:szCs w:val="21"/>
              </w:rPr>
              <w:t>颗粒物</w:t>
            </w:r>
            <w:r>
              <w:rPr>
                <w:rFonts w:hint="eastAsia"/>
                <w:color w:val="auto"/>
                <w:szCs w:val="21"/>
                <w:lang w:eastAsia="zh-CN"/>
              </w:rPr>
              <w:t>、</w:t>
            </w:r>
            <w:r>
              <w:rPr>
                <w:bCs/>
                <w:color w:val="auto"/>
                <w:szCs w:val="21"/>
              </w:rPr>
              <w:t>非甲烷总烃排放执行《橡胶制品工业污染物排放标准》（GB27632-2011）和《工业企业挥发性有机物排放控制标准》（DB12/524-2014）</w:t>
            </w:r>
            <w:r>
              <w:rPr>
                <w:rFonts w:hint="eastAsia"/>
                <w:bCs/>
                <w:color w:val="auto"/>
                <w:szCs w:val="21"/>
                <w:lang w:eastAsia="zh-CN"/>
              </w:rPr>
              <w:t>；</w:t>
            </w:r>
          </w:p>
          <w:p>
            <w:pPr>
              <w:spacing w:line="360" w:lineRule="exact"/>
              <w:ind w:left="-63" w:leftChars="-30" w:right="-63" w:rightChars="-30"/>
              <w:jc w:val="center"/>
              <w:rPr>
                <w:color w:val="auto"/>
                <w:szCs w:val="21"/>
              </w:rPr>
            </w:pPr>
            <w:r>
              <w:rPr>
                <w:color w:val="auto"/>
                <w:szCs w:val="21"/>
              </w:rPr>
              <w:t>H</w:t>
            </w:r>
            <w:r>
              <w:rPr>
                <w:color w:val="auto"/>
                <w:szCs w:val="21"/>
                <w:vertAlign w:val="subscript"/>
              </w:rPr>
              <w:t>2</w:t>
            </w:r>
            <w:r>
              <w:rPr>
                <w:color w:val="auto"/>
                <w:szCs w:val="21"/>
              </w:rPr>
              <w:t>S</w:t>
            </w:r>
            <w:r>
              <w:rPr>
                <w:bCs/>
                <w:color w:val="auto"/>
                <w:szCs w:val="21"/>
              </w:rPr>
              <w:t>排放执行《恶臭污染物排放标准》（GB14554-93）</w:t>
            </w:r>
            <w:r>
              <w:rPr>
                <w:rFonts w:hint="eastAsia"/>
                <w:bCs/>
                <w:color w:val="auto"/>
                <w:szCs w:val="21"/>
              </w:rPr>
              <w:t>标准</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23" w:hRule="atLeast"/>
          <w:jc w:val="center"/>
        </w:trPr>
        <w:tc>
          <w:tcPr>
            <w:tcW w:w="415" w:type="pct"/>
            <w:vAlign w:val="center"/>
          </w:tcPr>
          <w:p>
            <w:pPr>
              <w:spacing w:line="360" w:lineRule="exact"/>
              <w:jc w:val="center"/>
              <w:rPr>
                <w:rFonts w:hint="eastAsia" w:eastAsia="宋体"/>
                <w:color w:val="auto"/>
                <w:szCs w:val="21"/>
                <w:lang w:val="en-US" w:eastAsia="zh-CN"/>
              </w:rPr>
            </w:pPr>
            <w:r>
              <w:rPr>
                <w:rFonts w:hint="eastAsia"/>
                <w:color w:val="auto"/>
                <w:szCs w:val="21"/>
                <w:lang w:val="en-US" w:eastAsia="zh-CN"/>
              </w:rPr>
              <w:t>2</w:t>
            </w:r>
          </w:p>
        </w:tc>
        <w:tc>
          <w:tcPr>
            <w:tcW w:w="947" w:type="pct"/>
            <w:vAlign w:val="center"/>
          </w:tcPr>
          <w:p>
            <w:pPr>
              <w:widowControl/>
              <w:jc w:val="center"/>
              <w:rPr>
                <w:rFonts w:hint="eastAsia"/>
                <w:color w:val="auto"/>
                <w:szCs w:val="21"/>
              </w:rPr>
            </w:pPr>
            <w:r>
              <w:rPr>
                <w:rStyle w:val="62"/>
                <w:rFonts w:hint="eastAsia"/>
                <w:color w:val="auto"/>
              </w:rPr>
              <w:t>排气筒出口</w:t>
            </w:r>
            <w:r>
              <w:rPr>
                <w:rFonts w:hint="eastAsia"/>
                <w:color w:val="auto"/>
                <w:szCs w:val="21"/>
              </w:rPr>
              <w:t>（</w:t>
            </w:r>
            <w:r>
              <w:rPr>
                <w:rFonts w:hint="eastAsia"/>
                <w:color w:val="auto"/>
                <w:szCs w:val="21"/>
                <w:lang w:eastAsia="zh-CN"/>
              </w:rPr>
              <w:t>1#排气筒</w:t>
            </w:r>
            <w:r>
              <w:rPr>
                <w:rFonts w:hint="eastAsia"/>
                <w:color w:val="auto"/>
                <w:szCs w:val="21"/>
              </w:rPr>
              <w:t>）</w:t>
            </w:r>
          </w:p>
        </w:tc>
        <w:tc>
          <w:tcPr>
            <w:tcW w:w="614" w:type="pct"/>
            <w:vAlign w:val="center"/>
          </w:tcPr>
          <w:p>
            <w:pPr>
              <w:widowControl/>
              <w:jc w:val="center"/>
              <w:rPr>
                <w:color w:val="auto"/>
                <w:szCs w:val="21"/>
              </w:rPr>
            </w:pPr>
            <w:r>
              <w:rPr>
                <w:color w:val="auto"/>
                <w:szCs w:val="21"/>
              </w:rPr>
              <w:t>颗粒物</w:t>
            </w:r>
          </w:p>
        </w:tc>
        <w:tc>
          <w:tcPr>
            <w:tcW w:w="820" w:type="pct"/>
            <w:vMerge w:val="continue"/>
            <w:vAlign w:val="center"/>
          </w:tcPr>
          <w:p>
            <w:pPr>
              <w:spacing w:line="360" w:lineRule="exact"/>
              <w:jc w:val="center"/>
              <w:rPr>
                <w:rFonts w:hint="eastAsia"/>
                <w:color w:val="auto"/>
                <w:kern w:val="0"/>
                <w:szCs w:val="21"/>
              </w:rPr>
            </w:pPr>
          </w:p>
        </w:tc>
        <w:tc>
          <w:tcPr>
            <w:tcW w:w="2202" w:type="pct"/>
            <w:vAlign w:val="center"/>
          </w:tcPr>
          <w:p>
            <w:pPr>
              <w:spacing w:line="360" w:lineRule="exact"/>
              <w:ind w:left="-63" w:leftChars="-30" w:right="-63" w:rightChars="-30"/>
              <w:jc w:val="center"/>
              <w:rPr>
                <w:bCs/>
                <w:color w:val="auto"/>
                <w:szCs w:val="21"/>
              </w:rPr>
            </w:pPr>
            <w:r>
              <w:rPr>
                <w:color w:val="auto"/>
                <w:szCs w:val="21"/>
              </w:rPr>
              <w:t>颗粒物</w:t>
            </w:r>
            <w:r>
              <w:rPr>
                <w:bCs/>
                <w:color w:val="auto"/>
                <w:szCs w:val="21"/>
              </w:rPr>
              <w:t>排放执行《橡胶制品工业污染物排放标准》（GB27632-2011）</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23" w:hRule="atLeast"/>
          <w:jc w:val="center"/>
        </w:trPr>
        <w:tc>
          <w:tcPr>
            <w:tcW w:w="415" w:type="pct"/>
            <w:vAlign w:val="center"/>
          </w:tcPr>
          <w:p>
            <w:pPr>
              <w:spacing w:line="360" w:lineRule="exact"/>
              <w:jc w:val="center"/>
              <w:rPr>
                <w:rFonts w:hint="eastAsia" w:eastAsia="宋体"/>
                <w:color w:val="auto"/>
                <w:szCs w:val="21"/>
                <w:lang w:val="en-US" w:eastAsia="zh-CN"/>
              </w:rPr>
            </w:pPr>
            <w:r>
              <w:rPr>
                <w:rFonts w:hint="eastAsia"/>
                <w:color w:val="auto"/>
                <w:szCs w:val="21"/>
                <w:lang w:val="en-US" w:eastAsia="zh-CN"/>
              </w:rPr>
              <w:t>3</w:t>
            </w:r>
          </w:p>
        </w:tc>
        <w:tc>
          <w:tcPr>
            <w:tcW w:w="947" w:type="pct"/>
            <w:vAlign w:val="center"/>
          </w:tcPr>
          <w:p>
            <w:pPr>
              <w:widowControl/>
              <w:jc w:val="center"/>
              <w:rPr>
                <w:rFonts w:hint="eastAsia"/>
                <w:color w:val="auto"/>
                <w:szCs w:val="21"/>
              </w:rPr>
            </w:pPr>
            <w:r>
              <w:rPr>
                <w:rStyle w:val="62"/>
                <w:rFonts w:hint="eastAsia"/>
                <w:color w:val="auto"/>
              </w:rPr>
              <w:t>排气筒出口</w:t>
            </w:r>
            <w:r>
              <w:rPr>
                <w:rFonts w:hint="eastAsia"/>
                <w:color w:val="auto"/>
                <w:szCs w:val="21"/>
              </w:rPr>
              <w:t>（</w:t>
            </w:r>
            <w:r>
              <w:rPr>
                <w:rFonts w:hint="eastAsia"/>
                <w:color w:val="auto"/>
                <w:szCs w:val="21"/>
                <w:lang w:val="en-US" w:eastAsia="zh-CN"/>
              </w:rPr>
              <w:t>2</w:t>
            </w:r>
            <w:r>
              <w:rPr>
                <w:rFonts w:hint="eastAsia"/>
                <w:color w:val="auto"/>
                <w:szCs w:val="21"/>
                <w:lang w:eastAsia="zh-CN"/>
              </w:rPr>
              <w:t>#排气筒</w:t>
            </w:r>
            <w:r>
              <w:rPr>
                <w:rFonts w:hint="eastAsia"/>
                <w:color w:val="auto"/>
                <w:szCs w:val="21"/>
              </w:rPr>
              <w:t>）</w:t>
            </w:r>
          </w:p>
        </w:tc>
        <w:tc>
          <w:tcPr>
            <w:tcW w:w="614" w:type="pct"/>
            <w:vAlign w:val="center"/>
          </w:tcPr>
          <w:p>
            <w:pPr>
              <w:widowControl/>
              <w:jc w:val="center"/>
              <w:rPr>
                <w:color w:val="auto"/>
                <w:szCs w:val="21"/>
              </w:rPr>
            </w:pPr>
            <w:r>
              <w:rPr>
                <w:color w:val="auto"/>
                <w:szCs w:val="21"/>
              </w:rPr>
              <w:t>颗粒物</w:t>
            </w:r>
            <w:r>
              <w:rPr>
                <w:rFonts w:hint="eastAsia"/>
                <w:color w:val="auto"/>
                <w:szCs w:val="21"/>
                <w:lang w:eastAsia="zh-CN"/>
              </w:rPr>
              <w:t>、</w:t>
            </w:r>
            <w:r>
              <w:rPr>
                <w:color w:val="auto"/>
                <w:szCs w:val="21"/>
              </w:rPr>
              <w:t>非甲烷总烃、H</w:t>
            </w:r>
            <w:r>
              <w:rPr>
                <w:color w:val="auto"/>
                <w:szCs w:val="21"/>
                <w:vertAlign w:val="subscript"/>
              </w:rPr>
              <w:t>2</w:t>
            </w:r>
            <w:r>
              <w:rPr>
                <w:color w:val="auto"/>
                <w:szCs w:val="21"/>
              </w:rPr>
              <w:t>S</w:t>
            </w:r>
          </w:p>
        </w:tc>
        <w:tc>
          <w:tcPr>
            <w:tcW w:w="820" w:type="pct"/>
            <w:vMerge w:val="continue"/>
            <w:vAlign w:val="center"/>
          </w:tcPr>
          <w:p>
            <w:pPr>
              <w:spacing w:line="360" w:lineRule="exact"/>
              <w:jc w:val="center"/>
              <w:rPr>
                <w:rFonts w:hint="eastAsia"/>
                <w:color w:val="auto"/>
                <w:kern w:val="0"/>
                <w:szCs w:val="21"/>
              </w:rPr>
            </w:pPr>
          </w:p>
        </w:tc>
        <w:tc>
          <w:tcPr>
            <w:tcW w:w="2202" w:type="pct"/>
            <w:vAlign w:val="center"/>
          </w:tcPr>
          <w:p>
            <w:pPr>
              <w:widowControl/>
              <w:jc w:val="center"/>
              <w:rPr>
                <w:rFonts w:hint="eastAsia" w:eastAsia="宋体"/>
                <w:bCs/>
                <w:color w:val="auto"/>
                <w:szCs w:val="21"/>
                <w:lang w:eastAsia="zh-CN"/>
              </w:rPr>
            </w:pPr>
            <w:r>
              <w:rPr>
                <w:color w:val="auto"/>
                <w:szCs w:val="21"/>
              </w:rPr>
              <w:t>颗粒物</w:t>
            </w:r>
            <w:r>
              <w:rPr>
                <w:rFonts w:hint="eastAsia"/>
                <w:color w:val="auto"/>
                <w:szCs w:val="21"/>
                <w:lang w:eastAsia="zh-CN"/>
              </w:rPr>
              <w:t>、</w:t>
            </w:r>
            <w:r>
              <w:rPr>
                <w:bCs/>
                <w:color w:val="auto"/>
                <w:szCs w:val="21"/>
              </w:rPr>
              <w:t>非甲烷总烃排放执行《橡胶制品工业污染物排放标准》（GB27632-2011）和《工业企业挥发性有机物排放控制标准》（DB12/524-2014）</w:t>
            </w:r>
            <w:r>
              <w:rPr>
                <w:rFonts w:hint="eastAsia"/>
                <w:bCs/>
                <w:color w:val="auto"/>
                <w:szCs w:val="21"/>
                <w:lang w:eastAsia="zh-CN"/>
              </w:rPr>
              <w:t>；</w:t>
            </w:r>
          </w:p>
          <w:p>
            <w:pPr>
              <w:spacing w:line="360" w:lineRule="exact"/>
              <w:ind w:left="-63" w:leftChars="-30" w:right="-63" w:rightChars="-30"/>
              <w:jc w:val="center"/>
              <w:rPr>
                <w:bCs/>
                <w:color w:val="auto"/>
                <w:szCs w:val="21"/>
              </w:rPr>
            </w:pPr>
            <w:r>
              <w:rPr>
                <w:color w:val="auto"/>
                <w:szCs w:val="21"/>
              </w:rPr>
              <w:t>H</w:t>
            </w:r>
            <w:r>
              <w:rPr>
                <w:color w:val="auto"/>
                <w:szCs w:val="21"/>
                <w:vertAlign w:val="subscript"/>
              </w:rPr>
              <w:t>2</w:t>
            </w:r>
            <w:r>
              <w:rPr>
                <w:color w:val="auto"/>
                <w:szCs w:val="21"/>
              </w:rPr>
              <w:t>S</w:t>
            </w:r>
            <w:r>
              <w:rPr>
                <w:bCs/>
                <w:color w:val="auto"/>
                <w:szCs w:val="21"/>
              </w:rPr>
              <w:t>排放执行《恶臭污染物排放标准》（GB14554-93）</w:t>
            </w:r>
            <w:r>
              <w:rPr>
                <w:rFonts w:hint="eastAsia"/>
                <w:bCs/>
                <w:color w:val="auto"/>
                <w:szCs w:val="21"/>
              </w:rPr>
              <w:t>标准</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23" w:hRule="atLeast"/>
          <w:jc w:val="center"/>
        </w:trPr>
        <w:tc>
          <w:tcPr>
            <w:tcW w:w="415" w:type="pct"/>
            <w:vAlign w:val="center"/>
          </w:tcPr>
          <w:p>
            <w:pPr>
              <w:spacing w:line="360" w:lineRule="exact"/>
              <w:jc w:val="center"/>
              <w:rPr>
                <w:rFonts w:hint="default" w:eastAsia="宋体"/>
                <w:color w:val="auto"/>
                <w:szCs w:val="21"/>
                <w:lang w:val="en-US" w:eastAsia="zh-CN"/>
              </w:rPr>
            </w:pPr>
            <w:r>
              <w:rPr>
                <w:rFonts w:hint="eastAsia"/>
                <w:color w:val="auto"/>
                <w:szCs w:val="21"/>
                <w:lang w:val="en-US" w:eastAsia="zh-CN"/>
              </w:rPr>
              <w:t>4</w:t>
            </w:r>
          </w:p>
        </w:tc>
        <w:tc>
          <w:tcPr>
            <w:tcW w:w="947" w:type="pct"/>
            <w:vAlign w:val="center"/>
          </w:tcPr>
          <w:p>
            <w:pPr>
              <w:widowControl/>
              <w:jc w:val="center"/>
              <w:rPr>
                <w:rStyle w:val="62"/>
                <w:color w:val="auto"/>
              </w:rPr>
            </w:pPr>
            <w:r>
              <w:rPr>
                <w:rStyle w:val="62"/>
                <w:rFonts w:hint="eastAsia"/>
                <w:color w:val="auto"/>
              </w:rPr>
              <w:t>排气筒出口</w:t>
            </w:r>
            <w:r>
              <w:rPr>
                <w:rFonts w:hint="eastAsia"/>
                <w:color w:val="auto"/>
                <w:szCs w:val="21"/>
              </w:rPr>
              <w:t>（</w:t>
            </w:r>
            <w:r>
              <w:rPr>
                <w:rFonts w:hint="eastAsia"/>
                <w:color w:val="auto"/>
                <w:szCs w:val="21"/>
                <w:lang w:val="en-US" w:eastAsia="zh-CN"/>
              </w:rPr>
              <w:t>3</w:t>
            </w:r>
            <w:r>
              <w:rPr>
                <w:rFonts w:hint="eastAsia"/>
                <w:color w:val="auto"/>
                <w:szCs w:val="21"/>
                <w:lang w:eastAsia="zh-CN"/>
              </w:rPr>
              <w:t>#排气筒</w:t>
            </w:r>
            <w:r>
              <w:rPr>
                <w:rFonts w:hint="eastAsia"/>
                <w:color w:val="auto"/>
                <w:szCs w:val="21"/>
              </w:rPr>
              <w:t>）</w:t>
            </w:r>
          </w:p>
        </w:tc>
        <w:tc>
          <w:tcPr>
            <w:tcW w:w="614" w:type="pct"/>
            <w:vAlign w:val="center"/>
          </w:tcPr>
          <w:p>
            <w:pPr>
              <w:widowControl/>
              <w:jc w:val="center"/>
              <w:rPr>
                <w:color w:val="auto"/>
                <w:szCs w:val="21"/>
              </w:rPr>
            </w:pPr>
            <w:r>
              <w:rPr>
                <w:color w:val="auto"/>
                <w:szCs w:val="21"/>
              </w:rPr>
              <w:t>非甲烷总烃</w:t>
            </w:r>
          </w:p>
        </w:tc>
        <w:tc>
          <w:tcPr>
            <w:tcW w:w="820" w:type="pct"/>
            <w:vMerge w:val="continue"/>
            <w:vAlign w:val="center"/>
          </w:tcPr>
          <w:p>
            <w:pPr>
              <w:spacing w:line="360" w:lineRule="exact"/>
              <w:jc w:val="center"/>
              <w:rPr>
                <w:color w:val="auto"/>
                <w:kern w:val="0"/>
                <w:szCs w:val="21"/>
              </w:rPr>
            </w:pPr>
          </w:p>
        </w:tc>
        <w:tc>
          <w:tcPr>
            <w:tcW w:w="2202" w:type="pct"/>
            <w:vAlign w:val="center"/>
          </w:tcPr>
          <w:p>
            <w:pPr>
              <w:widowControl/>
              <w:jc w:val="center"/>
              <w:rPr>
                <w:bCs/>
                <w:color w:val="auto"/>
                <w:szCs w:val="21"/>
              </w:rPr>
            </w:pPr>
            <w:r>
              <w:rPr>
                <w:bCs/>
                <w:color w:val="auto"/>
                <w:szCs w:val="21"/>
              </w:rPr>
              <w:t>非甲烷总烃排放执行《工业企业挥发性有机物排放控制标准》（DB12/524-2014）</w:t>
            </w:r>
          </w:p>
        </w:tc>
      </w:tr>
    </w:tbl>
    <w:p>
      <w:pPr>
        <w:spacing w:line="360" w:lineRule="auto"/>
        <w:ind w:firstLine="482" w:firstLineChars="200"/>
        <w:rPr>
          <w:rFonts w:ascii="宋体" w:hAnsi="宋体"/>
          <w:b/>
          <w:color w:val="auto"/>
          <w:kern w:val="0"/>
          <w:sz w:val="24"/>
        </w:rPr>
      </w:pPr>
    </w:p>
    <w:p>
      <w:pPr>
        <w:spacing w:line="360" w:lineRule="auto"/>
        <w:ind w:firstLine="482" w:firstLineChars="200"/>
        <w:rPr>
          <w:rFonts w:ascii="宋体" w:hAnsi="宋体"/>
          <w:b/>
          <w:color w:val="auto"/>
          <w:kern w:val="0"/>
          <w:sz w:val="24"/>
        </w:rPr>
      </w:pPr>
      <w:r>
        <w:rPr>
          <w:rFonts w:hint="eastAsia" w:ascii="宋体" w:hAnsi="宋体"/>
          <w:b/>
          <w:color w:val="auto"/>
          <w:kern w:val="0"/>
          <w:sz w:val="24"/>
        </w:rPr>
        <w:t>声环境监测计划</w:t>
      </w:r>
    </w:p>
    <w:p>
      <w:pPr>
        <w:spacing w:line="360" w:lineRule="auto"/>
        <w:ind w:firstLine="482" w:firstLineChars="200"/>
        <w:jc w:val="center"/>
        <w:rPr>
          <w:b/>
          <w:bCs/>
          <w:color w:val="auto"/>
          <w:sz w:val="24"/>
        </w:rPr>
      </w:pPr>
      <w:r>
        <w:rPr>
          <w:rFonts w:hint="eastAsia"/>
          <w:b/>
          <w:bCs/>
          <w:color w:val="auto"/>
          <w:sz w:val="24"/>
        </w:rPr>
        <w:t>表9-</w:t>
      </w:r>
      <w:r>
        <w:rPr>
          <w:rFonts w:hint="eastAsia"/>
          <w:b/>
          <w:bCs/>
          <w:color w:val="auto"/>
          <w:sz w:val="24"/>
          <w:lang w:val="en-US" w:eastAsia="zh-CN"/>
        </w:rPr>
        <w:t>5</w:t>
      </w:r>
      <w:r>
        <w:rPr>
          <w:rFonts w:hint="eastAsia"/>
          <w:b/>
          <w:bCs/>
          <w:color w:val="auto"/>
          <w:sz w:val="24"/>
        </w:rPr>
        <w:t xml:space="preserve">   声环境监测计划一览表</w:t>
      </w:r>
    </w:p>
    <w:tbl>
      <w:tblPr>
        <w:tblStyle w:val="53"/>
        <w:tblW w:w="4998"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650"/>
        <w:gridCol w:w="1914"/>
        <w:gridCol w:w="1099"/>
        <w:gridCol w:w="1185"/>
        <w:gridCol w:w="1099"/>
        <w:gridCol w:w="3002"/>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345" w:hRule="atLeast"/>
          <w:jc w:val="center"/>
        </w:trPr>
        <w:tc>
          <w:tcPr>
            <w:tcW w:w="363" w:type="pct"/>
            <w:vAlign w:val="center"/>
          </w:tcPr>
          <w:p>
            <w:pPr>
              <w:spacing w:line="320" w:lineRule="exact"/>
              <w:jc w:val="center"/>
              <w:rPr>
                <w:b/>
                <w:color w:val="auto"/>
                <w:szCs w:val="21"/>
              </w:rPr>
            </w:pPr>
            <w:r>
              <w:rPr>
                <w:b/>
                <w:color w:val="auto"/>
                <w:szCs w:val="21"/>
              </w:rPr>
              <w:t>序号</w:t>
            </w:r>
          </w:p>
        </w:tc>
        <w:tc>
          <w:tcPr>
            <w:tcW w:w="1069" w:type="pct"/>
            <w:vAlign w:val="center"/>
          </w:tcPr>
          <w:p>
            <w:pPr>
              <w:spacing w:line="320" w:lineRule="exact"/>
              <w:jc w:val="center"/>
              <w:rPr>
                <w:b/>
                <w:color w:val="auto"/>
                <w:szCs w:val="21"/>
              </w:rPr>
            </w:pPr>
            <w:r>
              <w:rPr>
                <w:b/>
                <w:color w:val="auto"/>
                <w:szCs w:val="21"/>
              </w:rPr>
              <w:t>监测点位</w:t>
            </w:r>
          </w:p>
        </w:tc>
        <w:tc>
          <w:tcPr>
            <w:tcW w:w="614" w:type="pct"/>
            <w:vAlign w:val="center"/>
          </w:tcPr>
          <w:p>
            <w:pPr>
              <w:spacing w:line="320" w:lineRule="exact"/>
              <w:jc w:val="center"/>
              <w:rPr>
                <w:b/>
                <w:color w:val="auto"/>
                <w:szCs w:val="21"/>
              </w:rPr>
            </w:pPr>
            <w:r>
              <w:rPr>
                <w:b/>
                <w:color w:val="auto"/>
                <w:szCs w:val="21"/>
              </w:rPr>
              <w:t>监测项目</w:t>
            </w:r>
          </w:p>
        </w:tc>
        <w:tc>
          <w:tcPr>
            <w:tcW w:w="662" w:type="pct"/>
            <w:vAlign w:val="center"/>
          </w:tcPr>
          <w:p>
            <w:pPr>
              <w:spacing w:line="320" w:lineRule="exact"/>
              <w:jc w:val="center"/>
              <w:rPr>
                <w:b/>
                <w:color w:val="auto"/>
                <w:szCs w:val="21"/>
              </w:rPr>
            </w:pPr>
            <w:r>
              <w:rPr>
                <w:b/>
                <w:color w:val="auto"/>
                <w:szCs w:val="21"/>
              </w:rPr>
              <w:t>频率</w:t>
            </w:r>
          </w:p>
        </w:tc>
        <w:tc>
          <w:tcPr>
            <w:tcW w:w="614" w:type="pct"/>
            <w:tcBorders>
              <w:bottom w:val="single" w:color="auto" w:sz="4" w:space="0"/>
            </w:tcBorders>
            <w:vAlign w:val="center"/>
          </w:tcPr>
          <w:p>
            <w:pPr>
              <w:spacing w:line="320" w:lineRule="exact"/>
              <w:ind w:left="-105" w:leftChars="-50" w:right="-105" w:rightChars="-50"/>
              <w:jc w:val="center"/>
              <w:rPr>
                <w:b/>
                <w:color w:val="auto"/>
                <w:szCs w:val="21"/>
              </w:rPr>
            </w:pPr>
            <w:r>
              <w:rPr>
                <w:b/>
                <w:color w:val="auto"/>
                <w:szCs w:val="21"/>
              </w:rPr>
              <w:t>实施单位</w:t>
            </w:r>
          </w:p>
        </w:tc>
        <w:tc>
          <w:tcPr>
            <w:tcW w:w="1676" w:type="pct"/>
            <w:tcBorders>
              <w:bottom w:val="single" w:color="auto" w:sz="4" w:space="0"/>
            </w:tcBorders>
            <w:vAlign w:val="center"/>
          </w:tcPr>
          <w:p>
            <w:pPr>
              <w:spacing w:line="320" w:lineRule="exact"/>
              <w:jc w:val="center"/>
              <w:rPr>
                <w:b/>
                <w:color w:val="auto"/>
                <w:szCs w:val="21"/>
              </w:rPr>
            </w:pPr>
            <w:r>
              <w:rPr>
                <w:b/>
                <w:color w:val="auto"/>
                <w:szCs w:val="21"/>
              </w:rPr>
              <w:t>执行标准</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774" w:hRule="atLeast"/>
          <w:jc w:val="center"/>
        </w:trPr>
        <w:tc>
          <w:tcPr>
            <w:tcW w:w="363" w:type="pct"/>
            <w:vAlign w:val="center"/>
          </w:tcPr>
          <w:p>
            <w:pPr>
              <w:spacing w:line="320" w:lineRule="exact"/>
              <w:jc w:val="center"/>
              <w:rPr>
                <w:bCs/>
                <w:color w:val="auto"/>
                <w:szCs w:val="21"/>
              </w:rPr>
            </w:pPr>
            <w:r>
              <w:rPr>
                <w:rFonts w:hint="eastAsia"/>
                <w:bCs/>
                <w:color w:val="auto"/>
                <w:szCs w:val="21"/>
              </w:rPr>
              <w:t>1</w:t>
            </w:r>
          </w:p>
        </w:tc>
        <w:tc>
          <w:tcPr>
            <w:tcW w:w="1069" w:type="pct"/>
            <w:vAlign w:val="center"/>
          </w:tcPr>
          <w:p>
            <w:pPr>
              <w:spacing w:line="320" w:lineRule="exact"/>
              <w:jc w:val="center"/>
              <w:rPr>
                <w:rStyle w:val="62"/>
                <w:color w:val="auto"/>
              </w:rPr>
            </w:pPr>
            <w:r>
              <w:rPr>
                <w:rStyle w:val="62"/>
                <w:color w:val="auto"/>
              </w:rPr>
              <w:t>项目四周，东南西北各一个监测点</w:t>
            </w:r>
          </w:p>
        </w:tc>
        <w:tc>
          <w:tcPr>
            <w:tcW w:w="614" w:type="pct"/>
            <w:vAlign w:val="center"/>
          </w:tcPr>
          <w:p>
            <w:pPr>
              <w:adjustRightInd w:val="0"/>
              <w:spacing w:line="320" w:lineRule="exact"/>
              <w:jc w:val="center"/>
              <w:rPr>
                <w:bCs/>
                <w:color w:val="auto"/>
                <w:szCs w:val="21"/>
              </w:rPr>
            </w:pPr>
            <w:r>
              <w:rPr>
                <w:bCs/>
                <w:color w:val="auto"/>
                <w:szCs w:val="21"/>
              </w:rPr>
              <w:t>噪声</w:t>
            </w:r>
          </w:p>
        </w:tc>
        <w:tc>
          <w:tcPr>
            <w:tcW w:w="662" w:type="pct"/>
            <w:vAlign w:val="center"/>
          </w:tcPr>
          <w:p>
            <w:pPr>
              <w:spacing w:line="320" w:lineRule="exact"/>
              <w:jc w:val="center"/>
              <w:rPr>
                <w:bCs/>
                <w:color w:val="auto"/>
                <w:szCs w:val="21"/>
              </w:rPr>
            </w:pPr>
            <w:r>
              <w:rPr>
                <w:bCs/>
                <w:color w:val="auto"/>
                <w:szCs w:val="21"/>
              </w:rPr>
              <w:t>1次</w:t>
            </w:r>
            <w:r>
              <w:rPr>
                <w:rFonts w:hint="eastAsia"/>
                <w:bCs/>
                <w:color w:val="auto"/>
                <w:szCs w:val="21"/>
              </w:rPr>
              <w:t>/年</w:t>
            </w:r>
          </w:p>
        </w:tc>
        <w:tc>
          <w:tcPr>
            <w:tcW w:w="614" w:type="pct"/>
            <w:vAlign w:val="center"/>
          </w:tcPr>
          <w:p>
            <w:pPr>
              <w:spacing w:line="320" w:lineRule="exact"/>
              <w:ind w:left="-105" w:leftChars="-50" w:right="-105" w:rightChars="-50"/>
              <w:jc w:val="center"/>
              <w:rPr>
                <w:bCs/>
                <w:color w:val="auto"/>
                <w:szCs w:val="21"/>
              </w:rPr>
            </w:pPr>
            <w:r>
              <w:rPr>
                <w:bCs/>
                <w:color w:val="auto"/>
                <w:szCs w:val="21"/>
              </w:rPr>
              <w:t>有资质的监测单位</w:t>
            </w:r>
          </w:p>
        </w:tc>
        <w:tc>
          <w:tcPr>
            <w:tcW w:w="1676" w:type="pct"/>
            <w:vAlign w:val="center"/>
          </w:tcPr>
          <w:p>
            <w:pPr>
              <w:spacing w:line="320" w:lineRule="exact"/>
              <w:jc w:val="center"/>
              <w:rPr>
                <w:bCs/>
                <w:color w:val="auto"/>
                <w:szCs w:val="21"/>
              </w:rPr>
            </w:pPr>
            <w:r>
              <w:rPr>
                <w:color w:val="auto"/>
                <w:szCs w:val="21"/>
              </w:rPr>
              <w:t>《工业企业厂界环境噪声排放标准》（GB12348-2008）</w:t>
            </w:r>
            <w:r>
              <w:rPr>
                <w:rFonts w:hint="eastAsia"/>
                <w:color w:val="auto"/>
                <w:szCs w:val="21"/>
              </w:rPr>
              <w:t>2</w:t>
            </w:r>
            <w:r>
              <w:rPr>
                <w:color w:val="auto"/>
                <w:szCs w:val="21"/>
              </w:rPr>
              <w:t>类标准要求</w:t>
            </w:r>
          </w:p>
        </w:tc>
      </w:tr>
    </w:tbl>
    <w:p>
      <w:pPr>
        <w:spacing w:line="520" w:lineRule="exact"/>
        <w:rPr>
          <w:b/>
          <w:color w:val="auto"/>
          <w:sz w:val="24"/>
        </w:rPr>
      </w:pPr>
    </w:p>
    <w:p>
      <w:pPr>
        <w:pStyle w:val="4"/>
        <w:spacing w:line="360" w:lineRule="auto"/>
        <w:rPr>
          <w:rFonts w:ascii="Times New Roman" w:hAnsi="Times New Roman"/>
          <w:b/>
          <w:color w:val="auto"/>
        </w:rPr>
      </w:pPr>
      <w:bookmarkStart w:id="384" w:name="_Toc21780"/>
      <w:bookmarkStart w:id="385" w:name="_Toc18289"/>
      <w:bookmarkStart w:id="386" w:name="_Toc15463"/>
      <w:bookmarkStart w:id="387" w:name="_Toc386556427"/>
      <w:bookmarkStart w:id="388" w:name="_Toc457199201"/>
      <w:bookmarkStart w:id="389" w:name="_Toc26066"/>
      <w:bookmarkStart w:id="390" w:name="_Toc13238"/>
      <w:bookmarkStart w:id="391" w:name="_Toc385316811"/>
      <w:r>
        <w:rPr>
          <w:rFonts w:hint="eastAsia" w:ascii="Times New Roman" w:hAnsi="Times New Roman"/>
          <w:b/>
          <w:color w:val="auto"/>
        </w:rPr>
        <w:t>9</w:t>
      </w:r>
      <w:r>
        <w:rPr>
          <w:rFonts w:ascii="Times New Roman" w:hAnsi="Times New Roman"/>
          <w:b/>
          <w:color w:val="auto"/>
        </w:rPr>
        <w:t>.4 排污口规范化</w:t>
      </w:r>
      <w:bookmarkEnd w:id="384"/>
      <w:bookmarkEnd w:id="385"/>
      <w:bookmarkEnd w:id="386"/>
      <w:bookmarkEnd w:id="387"/>
      <w:bookmarkEnd w:id="388"/>
      <w:bookmarkEnd w:id="389"/>
      <w:bookmarkEnd w:id="390"/>
      <w:bookmarkEnd w:id="391"/>
    </w:p>
    <w:p>
      <w:pPr>
        <w:spacing w:line="360" w:lineRule="auto"/>
        <w:ind w:firstLine="480" w:firstLineChars="200"/>
        <w:rPr>
          <w:color w:val="auto"/>
          <w:sz w:val="24"/>
        </w:rPr>
      </w:pPr>
      <w:r>
        <w:rPr>
          <w:color w:val="auto"/>
          <w:sz w:val="24"/>
        </w:rPr>
        <w:t>根据相关环境保护主管部门的有关文件精神，本项目工程废物排放口必须实行排污口规范化整治，该项工作是实施污染物总量控制的基础性工作之一。通过对排污口规范化整治，能够促进企业加强环境管理和污染治理；有利于加强对污染源的监督管理，逐步实现污染物排放的科学化、定量化管理；提高人们的环境意识，保护和改善环境质量。</w:t>
      </w:r>
    </w:p>
    <w:p>
      <w:pPr>
        <w:spacing w:line="360" w:lineRule="auto"/>
        <w:rPr>
          <w:b/>
          <w:color w:val="auto"/>
          <w:sz w:val="24"/>
        </w:rPr>
      </w:pPr>
      <w:r>
        <w:rPr>
          <w:rFonts w:hint="eastAsia"/>
          <w:b/>
          <w:color w:val="auto"/>
          <w:sz w:val="24"/>
        </w:rPr>
        <w:t>9</w:t>
      </w:r>
      <w:r>
        <w:rPr>
          <w:b/>
          <w:color w:val="auto"/>
          <w:sz w:val="24"/>
        </w:rPr>
        <w:t>.4.1排污口规范化管理的基本原则</w:t>
      </w:r>
    </w:p>
    <w:p>
      <w:pPr>
        <w:spacing w:line="360" w:lineRule="auto"/>
        <w:ind w:firstLine="480" w:firstLineChars="200"/>
        <w:rPr>
          <w:color w:val="auto"/>
          <w:sz w:val="24"/>
        </w:rPr>
      </w:pPr>
      <w:r>
        <w:rPr>
          <w:color w:val="auto"/>
          <w:sz w:val="24"/>
        </w:rPr>
        <w:t>（1）向环境排放污染物的排污口必须规范化；</w:t>
      </w:r>
    </w:p>
    <w:p>
      <w:pPr>
        <w:spacing w:line="360" w:lineRule="auto"/>
        <w:ind w:firstLine="480" w:firstLineChars="200"/>
        <w:rPr>
          <w:color w:val="auto"/>
          <w:sz w:val="24"/>
        </w:rPr>
      </w:pPr>
      <w:r>
        <w:rPr>
          <w:color w:val="auto"/>
          <w:sz w:val="24"/>
        </w:rPr>
        <w:t>（2）根据项目特点和国家列入的总量控制指标，确定全厂废水、废气排放口作为管理的重点；</w:t>
      </w:r>
    </w:p>
    <w:p>
      <w:pPr>
        <w:spacing w:line="360" w:lineRule="auto"/>
        <w:ind w:firstLine="480" w:firstLineChars="200"/>
        <w:rPr>
          <w:color w:val="auto"/>
          <w:sz w:val="24"/>
        </w:rPr>
      </w:pPr>
      <w:r>
        <w:rPr>
          <w:color w:val="auto"/>
          <w:sz w:val="24"/>
        </w:rPr>
        <w:t>（3）排污口应便于采样与计量检测，便于日常现场监督检查。</w:t>
      </w:r>
    </w:p>
    <w:p>
      <w:pPr>
        <w:spacing w:line="360" w:lineRule="auto"/>
        <w:rPr>
          <w:b/>
          <w:color w:val="auto"/>
          <w:sz w:val="24"/>
        </w:rPr>
      </w:pPr>
      <w:r>
        <w:rPr>
          <w:rFonts w:hint="eastAsia"/>
          <w:b/>
          <w:color w:val="auto"/>
          <w:sz w:val="24"/>
        </w:rPr>
        <w:t>9</w:t>
      </w:r>
      <w:r>
        <w:rPr>
          <w:b/>
          <w:color w:val="auto"/>
          <w:sz w:val="24"/>
        </w:rPr>
        <w:t>.4.2排污口的技术要求</w:t>
      </w:r>
    </w:p>
    <w:p>
      <w:pPr>
        <w:spacing w:line="360" w:lineRule="auto"/>
        <w:ind w:firstLine="480" w:firstLineChars="200"/>
        <w:rPr>
          <w:color w:val="auto"/>
          <w:sz w:val="24"/>
        </w:rPr>
      </w:pPr>
      <w:r>
        <w:rPr>
          <w:color w:val="auto"/>
          <w:sz w:val="24"/>
        </w:rPr>
        <w:t>（1）排污口的设置必须合理确定，按照环监（96）470号文件要求，进行规范化管理。</w:t>
      </w:r>
    </w:p>
    <w:p>
      <w:pPr>
        <w:spacing w:line="360" w:lineRule="auto"/>
        <w:ind w:firstLine="480" w:firstLineChars="200"/>
        <w:rPr>
          <w:color w:val="auto"/>
          <w:sz w:val="24"/>
        </w:rPr>
      </w:pPr>
      <w:r>
        <w:rPr>
          <w:color w:val="auto"/>
          <w:sz w:val="24"/>
        </w:rPr>
        <w:t>（2）污水排放的采样点设置应按《污染源监测技术规范》要求，设置在厂区总排口、污水处理设施的进水和出水口等处。</w:t>
      </w:r>
    </w:p>
    <w:p>
      <w:pPr>
        <w:spacing w:line="360" w:lineRule="auto"/>
        <w:ind w:firstLine="480" w:firstLineChars="200"/>
        <w:rPr>
          <w:color w:val="auto"/>
          <w:sz w:val="24"/>
        </w:rPr>
      </w:pPr>
      <w:r>
        <w:rPr>
          <w:color w:val="auto"/>
          <w:sz w:val="24"/>
        </w:rPr>
        <w:t>（3）设置规范的、便于测量流量、流速的测速段。</w:t>
      </w:r>
    </w:p>
    <w:p>
      <w:pPr>
        <w:spacing w:line="360" w:lineRule="auto"/>
        <w:rPr>
          <w:b/>
          <w:color w:val="auto"/>
          <w:sz w:val="24"/>
        </w:rPr>
      </w:pPr>
      <w:r>
        <w:rPr>
          <w:rFonts w:hint="eastAsia"/>
          <w:b/>
          <w:color w:val="auto"/>
          <w:sz w:val="24"/>
        </w:rPr>
        <w:t>9</w:t>
      </w:r>
      <w:r>
        <w:rPr>
          <w:b/>
          <w:color w:val="auto"/>
          <w:sz w:val="24"/>
        </w:rPr>
        <w:t>.4.3排污口立标管理</w:t>
      </w:r>
    </w:p>
    <w:p>
      <w:pPr>
        <w:spacing w:line="360" w:lineRule="auto"/>
        <w:ind w:firstLine="480" w:firstLineChars="200"/>
        <w:rPr>
          <w:bCs/>
          <w:color w:val="auto"/>
          <w:sz w:val="24"/>
        </w:rPr>
      </w:pPr>
      <w:r>
        <w:rPr>
          <w:bCs/>
          <w:color w:val="auto"/>
          <w:sz w:val="24"/>
        </w:rPr>
        <w:t>按照国家环境保护部、安徽省环保厅关于对排放口规范化整治的统一要求，规范排污口，便于环境管理及监测部门的日常监督、检查和监测。首先排污口要立标管理，设立国家标准规定的标志牌，根据排污口污染物的排放特点，设置提示性或警告性环境保护图形标志牌，一般污染源设置提示性标志牌，毒性污染物设置警示性标志牌。</w:t>
      </w:r>
    </w:p>
    <w:p>
      <w:pPr>
        <w:numPr>
          <w:ilvl w:val="0"/>
          <w:numId w:val="4"/>
        </w:numPr>
        <w:adjustRightInd w:val="0"/>
        <w:spacing w:line="460" w:lineRule="exact"/>
        <w:ind w:firstLine="480" w:firstLineChars="200"/>
        <w:rPr>
          <w:color w:val="auto"/>
          <w:sz w:val="24"/>
        </w:rPr>
      </w:pPr>
      <w:bookmarkStart w:id="392" w:name="_Toc26446"/>
      <w:r>
        <w:rPr>
          <w:rFonts w:hint="eastAsia"/>
          <w:color w:val="auto"/>
          <w:sz w:val="24"/>
        </w:rPr>
        <w:t>合理设置排污口位置，排污口应按规范设计，并按《污染源监测技术规范》设置采样点；本项目共设置2根排气筒（</w:t>
      </w:r>
      <w:r>
        <w:rPr>
          <w:rFonts w:hint="eastAsia"/>
          <w:color w:val="auto"/>
          <w:sz w:val="24"/>
          <w:lang w:eastAsia="zh-CN"/>
        </w:rPr>
        <w:t>1#排气筒</w:t>
      </w:r>
      <w:r>
        <w:rPr>
          <w:rFonts w:hint="eastAsia"/>
          <w:color w:val="auto"/>
          <w:sz w:val="24"/>
        </w:rPr>
        <w:t>、</w:t>
      </w:r>
      <w:r>
        <w:rPr>
          <w:rFonts w:hint="eastAsia"/>
          <w:color w:val="auto"/>
          <w:sz w:val="24"/>
          <w:lang w:eastAsia="zh-CN"/>
        </w:rPr>
        <w:t>2#排气筒</w:t>
      </w:r>
      <w:r>
        <w:rPr>
          <w:rFonts w:hint="eastAsia"/>
          <w:color w:val="auto"/>
          <w:sz w:val="24"/>
        </w:rPr>
        <w:t>）。</w:t>
      </w:r>
    </w:p>
    <w:p>
      <w:pPr>
        <w:adjustRightInd w:val="0"/>
        <w:spacing w:line="460" w:lineRule="exact"/>
        <w:ind w:firstLine="480" w:firstLineChars="200"/>
        <w:rPr>
          <w:color w:val="auto"/>
          <w:sz w:val="24"/>
        </w:rPr>
      </w:pPr>
      <w:r>
        <w:rPr>
          <w:rFonts w:hint="eastAsia"/>
          <w:color w:val="auto"/>
          <w:sz w:val="24"/>
        </w:rPr>
        <w:t>（2）按照GB15562.1-1995及GB15562.2-1995</w:t>
      </w:r>
      <w:r>
        <w:rPr>
          <w:color w:val="auto"/>
          <w:sz w:val="24"/>
        </w:rPr>
        <w:t>《环境保护图形标志》</w:t>
      </w:r>
      <w:r>
        <w:rPr>
          <w:rFonts w:hint="eastAsia"/>
          <w:color w:val="auto"/>
          <w:sz w:val="24"/>
        </w:rPr>
        <w:t>的规定，规范化设置</w:t>
      </w:r>
      <w:r>
        <w:rPr>
          <w:rFonts w:hint="eastAsia"/>
          <w:color w:val="auto"/>
          <w:sz w:val="24"/>
          <w:lang w:val="en-US" w:eastAsia="zh-CN"/>
        </w:rPr>
        <w:t>3</w:t>
      </w:r>
      <w:r>
        <w:rPr>
          <w:rFonts w:hint="eastAsia"/>
          <w:color w:val="auto"/>
          <w:sz w:val="24"/>
        </w:rPr>
        <w:t>根废气排气筒、1个污水排放口（依托公司污水总排口）、噪声排放口、一般固废堆场间等。</w:t>
      </w:r>
    </w:p>
    <w:p>
      <w:pPr>
        <w:adjustRightInd w:val="0"/>
        <w:snapToGrid w:val="0"/>
        <w:spacing w:line="360" w:lineRule="auto"/>
        <w:ind w:firstLine="480" w:firstLineChars="200"/>
        <w:rPr>
          <w:color w:val="auto"/>
          <w:sz w:val="24"/>
        </w:rPr>
      </w:pPr>
      <w:r>
        <w:rPr>
          <w:color w:val="auto"/>
          <w:sz w:val="24"/>
        </w:rPr>
        <w:t>对企业</w:t>
      </w:r>
      <w:r>
        <w:rPr>
          <w:rFonts w:hint="eastAsia"/>
          <w:color w:val="auto"/>
          <w:sz w:val="24"/>
        </w:rPr>
        <w:t>车间废气</w:t>
      </w:r>
      <w:r>
        <w:rPr>
          <w:color w:val="auto"/>
          <w:sz w:val="24"/>
        </w:rPr>
        <w:t>处理装置的排口分别设置平面固定式提示标志牌或树立式固定式提示标志牌，平面固定式标志牌为0.48cm×0.3cm的长方形冷轧钢板，树立式提示标志牌为0.42cm×0.42cm的正方形冷轧钢板，提示牌的背景和立柱为绿色，图案、边框、支架和铺助标志的文字为白色，文字字型为黑体，标志牌辅助标志内容包括排污单位名称、标志牌名称、排污口编号和主要污染物名称，并交付当地环保部门注明。</w:t>
      </w:r>
    </w:p>
    <w:p>
      <w:pPr>
        <w:adjustRightInd w:val="0"/>
        <w:spacing w:line="460" w:lineRule="exact"/>
        <w:ind w:firstLine="480" w:firstLineChars="200"/>
        <w:rPr>
          <w:color w:val="auto"/>
          <w:sz w:val="24"/>
        </w:rPr>
      </w:pPr>
      <w:r>
        <w:rPr>
          <w:rFonts w:hint="eastAsia"/>
          <w:color w:val="auto"/>
          <w:sz w:val="24"/>
        </w:rPr>
        <w:t>（3）按照要求填写由原国家环保部统一印制的《中华人民共和国规范化排污口标志登记证》。</w:t>
      </w:r>
    </w:p>
    <w:p>
      <w:pPr>
        <w:adjustRightInd w:val="0"/>
        <w:spacing w:line="460" w:lineRule="exact"/>
        <w:ind w:firstLine="480" w:firstLineChars="200"/>
        <w:rPr>
          <w:color w:val="auto"/>
          <w:sz w:val="24"/>
        </w:rPr>
      </w:pPr>
      <w:r>
        <w:rPr>
          <w:rFonts w:hint="eastAsia"/>
          <w:color w:val="auto"/>
          <w:sz w:val="24"/>
        </w:rPr>
        <w:t>（4）规范化设置的排污口有关设置属于环境保护设施，应将其纳入本单位设备管理，并选派具有专业知识的专职或兼职人员对排污口进行管理。</w:t>
      </w:r>
    </w:p>
    <w:p>
      <w:pPr>
        <w:adjustRightInd w:val="0"/>
        <w:spacing w:line="460" w:lineRule="exact"/>
        <w:ind w:firstLine="480" w:firstLineChars="200"/>
        <w:rPr>
          <w:color w:val="auto"/>
          <w:sz w:val="24"/>
        </w:rPr>
      </w:pPr>
      <w:r>
        <w:rPr>
          <w:rFonts w:hint="eastAsia"/>
          <w:color w:val="auto"/>
          <w:sz w:val="24"/>
        </w:rPr>
        <w:t>另外，项目建成投入运行后，应向环保主管部门进行排污申报。</w:t>
      </w:r>
    </w:p>
    <w:p>
      <w:pPr>
        <w:spacing w:line="360" w:lineRule="auto"/>
        <w:ind w:firstLine="480" w:firstLineChars="200"/>
        <w:rPr>
          <w:color w:val="auto"/>
        </w:rPr>
      </w:pPr>
      <w:r>
        <w:rPr>
          <w:color w:val="auto"/>
          <w:sz w:val="24"/>
        </w:rPr>
        <w:t>图形标志的形状及颜色见</w:t>
      </w:r>
      <w:r>
        <w:rPr>
          <w:color w:val="auto"/>
          <w:sz w:val="24"/>
          <w:lang w:val="zh-CN"/>
        </w:rPr>
        <w:t>下表</w:t>
      </w:r>
      <w:r>
        <w:rPr>
          <w:color w:val="auto"/>
          <w:sz w:val="24"/>
        </w:rPr>
        <w:t>，环境保护图形符号见</w:t>
      </w:r>
      <w:r>
        <w:rPr>
          <w:color w:val="auto"/>
          <w:sz w:val="24"/>
          <w:lang w:val="zh-CN"/>
        </w:rPr>
        <w:t>下图</w:t>
      </w:r>
      <w:r>
        <w:rPr>
          <w:color w:val="auto"/>
          <w:sz w:val="24"/>
        </w:rPr>
        <w:t>。</w:t>
      </w:r>
    </w:p>
    <w:p>
      <w:pPr>
        <w:spacing w:line="520" w:lineRule="exact"/>
        <w:ind w:firstLine="482" w:firstLineChars="200"/>
        <w:jc w:val="center"/>
        <w:rPr>
          <w:b/>
          <w:color w:val="auto"/>
          <w:sz w:val="24"/>
        </w:rPr>
      </w:pPr>
      <w:r>
        <w:rPr>
          <w:b/>
          <w:color w:val="auto"/>
          <w:sz w:val="24"/>
        </w:rPr>
        <w:t>表</w:t>
      </w:r>
      <w:r>
        <w:rPr>
          <w:rFonts w:hint="eastAsia"/>
          <w:b/>
          <w:color w:val="auto"/>
          <w:sz w:val="24"/>
        </w:rPr>
        <w:t>9-</w:t>
      </w:r>
      <w:r>
        <w:rPr>
          <w:rFonts w:hint="eastAsia"/>
          <w:b/>
          <w:color w:val="auto"/>
          <w:sz w:val="24"/>
          <w:lang w:val="en-US" w:eastAsia="zh-CN"/>
        </w:rPr>
        <w:t>6</w:t>
      </w:r>
      <w:r>
        <w:rPr>
          <w:b/>
          <w:color w:val="auto"/>
          <w:sz w:val="24"/>
        </w:rPr>
        <w:t xml:space="preserve">  环境保护图形标志的形状及颜色表</w:t>
      </w:r>
    </w:p>
    <w:tbl>
      <w:tblPr>
        <w:tblStyle w:val="5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39"/>
        <w:gridCol w:w="2237"/>
        <w:gridCol w:w="2239"/>
        <w:gridCol w:w="22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4" w:hRule="atLeast"/>
          <w:jc w:val="center"/>
        </w:trPr>
        <w:tc>
          <w:tcPr>
            <w:tcW w:w="2295" w:type="dxa"/>
            <w:vAlign w:val="center"/>
          </w:tcPr>
          <w:p>
            <w:pPr>
              <w:spacing w:line="360" w:lineRule="auto"/>
              <w:jc w:val="center"/>
              <w:rPr>
                <w:color w:val="auto"/>
                <w:szCs w:val="21"/>
              </w:rPr>
            </w:pPr>
            <w:r>
              <w:rPr>
                <w:color w:val="auto"/>
                <w:szCs w:val="21"/>
              </w:rPr>
              <w:t>标志名称</w:t>
            </w:r>
          </w:p>
        </w:tc>
        <w:tc>
          <w:tcPr>
            <w:tcW w:w="2293" w:type="dxa"/>
            <w:vAlign w:val="center"/>
          </w:tcPr>
          <w:p>
            <w:pPr>
              <w:spacing w:line="360" w:lineRule="auto"/>
              <w:jc w:val="center"/>
              <w:rPr>
                <w:color w:val="auto"/>
                <w:szCs w:val="21"/>
              </w:rPr>
            </w:pPr>
            <w:r>
              <w:rPr>
                <w:color w:val="auto"/>
                <w:szCs w:val="21"/>
              </w:rPr>
              <w:t>形状</w:t>
            </w:r>
          </w:p>
        </w:tc>
        <w:tc>
          <w:tcPr>
            <w:tcW w:w="2295" w:type="dxa"/>
            <w:vAlign w:val="center"/>
          </w:tcPr>
          <w:p>
            <w:pPr>
              <w:spacing w:line="360" w:lineRule="auto"/>
              <w:jc w:val="center"/>
              <w:rPr>
                <w:color w:val="auto"/>
                <w:szCs w:val="21"/>
              </w:rPr>
            </w:pPr>
            <w:r>
              <w:rPr>
                <w:color w:val="auto"/>
                <w:szCs w:val="21"/>
              </w:rPr>
              <w:t>背景颜色</w:t>
            </w:r>
          </w:p>
        </w:tc>
        <w:tc>
          <w:tcPr>
            <w:tcW w:w="2293" w:type="dxa"/>
            <w:vAlign w:val="center"/>
          </w:tcPr>
          <w:p>
            <w:pPr>
              <w:spacing w:line="360" w:lineRule="auto"/>
              <w:jc w:val="center"/>
              <w:rPr>
                <w:color w:val="auto"/>
                <w:szCs w:val="21"/>
              </w:rPr>
            </w:pPr>
            <w:r>
              <w:rPr>
                <w:color w:val="auto"/>
                <w:szCs w:val="21"/>
              </w:rPr>
              <w:t>图形颜色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4" w:hRule="atLeast"/>
          <w:jc w:val="center"/>
        </w:trPr>
        <w:tc>
          <w:tcPr>
            <w:tcW w:w="2295" w:type="dxa"/>
            <w:vAlign w:val="center"/>
          </w:tcPr>
          <w:p>
            <w:pPr>
              <w:spacing w:line="360" w:lineRule="auto"/>
              <w:jc w:val="center"/>
              <w:rPr>
                <w:color w:val="auto"/>
                <w:szCs w:val="21"/>
              </w:rPr>
            </w:pPr>
            <w:r>
              <w:rPr>
                <w:color w:val="auto"/>
                <w:szCs w:val="21"/>
              </w:rPr>
              <w:t>警告标志</w:t>
            </w:r>
          </w:p>
        </w:tc>
        <w:tc>
          <w:tcPr>
            <w:tcW w:w="2293" w:type="dxa"/>
            <w:vAlign w:val="center"/>
          </w:tcPr>
          <w:p>
            <w:pPr>
              <w:spacing w:line="360" w:lineRule="auto"/>
              <w:jc w:val="center"/>
              <w:rPr>
                <w:color w:val="auto"/>
                <w:szCs w:val="21"/>
              </w:rPr>
            </w:pPr>
            <w:r>
              <w:rPr>
                <w:color w:val="auto"/>
                <w:szCs w:val="21"/>
              </w:rPr>
              <w:t>三角形边框</w:t>
            </w:r>
          </w:p>
        </w:tc>
        <w:tc>
          <w:tcPr>
            <w:tcW w:w="2295" w:type="dxa"/>
            <w:vAlign w:val="center"/>
          </w:tcPr>
          <w:p>
            <w:pPr>
              <w:spacing w:line="360" w:lineRule="auto"/>
              <w:jc w:val="center"/>
              <w:rPr>
                <w:color w:val="auto"/>
                <w:szCs w:val="21"/>
              </w:rPr>
            </w:pPr>
            <w:r>
              <w:rPr>
                <w:color w:val="auto"/>
                <w:szCs w:val="21"/>
              </w:rPr>
              <w:t>黄色</w:t>
            </w:r>
          </w:p>
        </w:tc>
        <w:tc>
          <w:tcPr>
            <w:tcW w:w="2293" w:type="dxa"/>
            <w:vAlign w:val="center"/>
          </w:tcPr>
          <w:p>
            <w:pPr>
              <w:spacing w:line="360" w:lineRule="auto"/>
              <w:jc w:val="center"/>
              <w:rPr>
                <w:color w:val="auto"/>
                <w:szCs w:val="21"/>
              </w:rPr>
            </w:pPr>
            <w:r>
              <w:rPr>
                <w:color w:val="auto"/>
                <w:szCs w:val="21"/>
              </w:rPr>
              <w:t>黑色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4" w:hRule="atLeast"/>
          <w:jc w:val="center"/>
        </w:trPr>
        <w:tc>
          <w:tcPr>
            <w:tcW w:w="2295" w:type="dxa"/>
            <w:vAlign w:val="center"/>
          </w:tcPr>
          <w:p>
            <w:pPr>
              <w:spacing w:line="360" w:lineRule="auto"/>
              <w:jc w:val="center"/>
              <w:rPr>
                <w:color w:val="auto"/>
                <w:szCs w:val="21"/>
              </w:rPr>
            </w:pPr>
            <w:r>
              <w:rPr>
                <w:color w:val="auto"/>
                <w:szCs w:val="21"/>
              </w:rPr>
              <w:t>提示标志</w:t>
            </w:r>
          </w:p>
        </w:tc>
        <w:tc>
          <w:tcPr>
            <w:tcW w:w="2293" w:type="dxa"/>
            <w:vAlign w:val="center"/>
          </w:tcPr>
          <w:p>
            <w:pPr>
              <w:spacing w:line="360" w:lineRule="auto"/>
              <w:jc w:val="center"/>
              <w:rPr>
                <w:color w:val="auto"/>
                <w:szCs w:val="21"/>
              </w:rPr>
            </w:pPr>
            <w:r>
              <w:rPr>
                <w:color w:val="auto"/>
                <w:szCs w:val="21"/>
              </w:rPr>
              <w:t>正方形边框</w:t>
            </w:r>
          </w:p>
        </w:tc>
        <w:tc>
          <w:tcPr>
            <w:tcW w:w="2295" w:type="dxa"/>
            <w:vAlign w:val="center"/>
          </w:tcPr>
          <w:p>
            <w:pPr>
              <w:spacing w:line="360" w:lineRule="auto"/>
              <w:jc w:val="center"/>
              <w:rPr>
                <w:color w:val="auto"/>
                <w:szCs w:val="21"/>
              </w:rPr>
            </w:pPr>
            <w:r>
              <w:rPr>
                <w:color w:val="auto"/>
                <w:szCs w:val="21"/>
              </w:rPr>
              <w:t>绿色</w:t>
            </w:r>
          </w:p>
        </w:tc>
        <w:tc>
          <w:tcPr>
            <w:tcW w:w="2293" w:type="dxa"/>
            <w:vAlign w:val="center"/>
          </w:tcPr>
          <w:p>
            <w:pPr>
              <w:spacing w:line="360" w:lineRule="auto"/>
              <w:jc w:val="center"/>
              <w:rPr>
                <w:color w:val="auto"/>
                <w:szCs w:val="21"/>
              </w:rPr>
            </w:pPr>
            <w:r>
              <w:rPr>
                <w:color w:val="auto"/>
                <w:szCs w:val="21"/>
              </w:rPr>
              <w:t>白色</w:t>
            </w:r>
          </w:p>
        </w:tc>
      </w:tr>
    </w:tbl>
    <w:p>
      <w:pPr>
        <w:spacing w:line="520" w:lineRule="exact"/>
        <w:ind w:firstLine="482" w:firstLineChars="200"/>
        <w:jc w:val="center"/>
        <w:rPr>
          <w:b/>
          <w:color w:val="auto"/>
          <w:sz w:val="24"/>
        </w:rPr>
      </w:pPr>
    </w:p>
    <w:p>
      <w:pPr>
        <w:spacing w:line="520" w:lineRule="exact"/>
        <w:ind w:firstLine="482" w:firstLineChars="200"/>
        <w:jc w:val="center"/>
        <w:rPr>
          <w:b/>
          <w:color w:val="auto"/>
          <w:sz w:val="24"/>
        </w:rPr>
      </w:pPr>
    </w:p>
    <w:p>
      <w:pPr>
        <w:spacing w:line="520" w:lineRule="exact"/>
        <w:ind w:firstLine="482" w:firstLineChars="200"/>
        <w:jc w:val="center"/>
        <w:rPr>
          <w:b/>
          <w:color w:val="auto"/>
          <w:sz w:val="24"/>
        </w:rPr>
      </w:pPr>
      <w:r>
        <w:rPr>
          <w:b/>
          <w:color w:val="auto"/>
          <w:sz w:val="24"/>
        </w:rPr>
        <w:t>表</w:t>
      </w:r>
      <w:r>
        <w:rPr>
          <w:rFonts w:hint="eastAsia"/>
          <w:b/>
          <w:color w:val="auto"/>
          <w:sz w:val="24"/>
        </w:rPr>
        <w:t>9-</w:t>
      </w:r>
      <w:r>
        <w:rPr>
          <w:rFonts w:hint="eastAsia"/>
          <w:b/>
          <w:color w:val="auto"/>
          <w:sz w:val="24"/>
          <w:lang w:val="en-US" w:eastAsia="zh-CN"/>
        </w:rPr>
        <w:t>7</w:t>
      </w:r>
      <w:r>
        <w:rPr>
          <w:b/>
          <w:color w:val="auto"/>
          <w:sz w:val="24"/>
        </w:rPr>
        <w:t xml:space="preserve">    排污口图形标志牌</w:t>
      </w:r>
    </w:p>
    <w:tbl>
      <w:tblPr>
        <w:tblStyle w:val="5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24"/>
        <w:gridCol w:w="2438"/>
        <w:gridCol w:w="2572"/>
        <w:gridCol w:w="26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exact"/>
          <w:jc w:val="center"/>
        </w:trPr>
        <w:tc>
          <w:tcPr>
            <w:tcW w:w="1361" w:type="dxa"/>
            <w:vAlign w:val="center"/>
          </w:tcPr>
          <w:p>
            <w:pPr>
              <w:spacing w:line="360" w:lineRule="auto"/>
              <w:jc w:val="center"/>
              <w:rPr>
                <w:b/>
                <w:bCs/>
                <w:color w:val="auto"/>
                <w:szCs w:val="21"/>
              </w:rPr>
            </w:pPr>
            <w:r>
              <w:rPr>
                <w:b/>
                <w:bCs/>
                <w:color w:val="auto"/>
                <w:szCs w:val="21"/>
              </w:rPr>
              <w:t>序号</w:t>
            </w:r>
          </w:p>
        </w:tc>
        <w:tc>
          <w:tcPr>
            <w:tcW w:w="2490" w:type="dxa"/>
            <w:vAlign w:val="center"/>
          </w:tcPr>
          <w:p>
            <w:pPr>
              <w:spacing w:line="360" w:lineRule="auto"/>
              <w:jc w:val="center"/>
              <w:rPr>
                <w:b/>
                <w:bCs/>
                <w:color w:val="auto"/>
                <w:szCs w:val="21"/>
              </w:rPr>
            </w:pPr>
            <w:r>
              <w:rPr>
                <w:b/>
                <w:bCs/>
                <w:color w:val="auto"/>
                <w:szCs w:val="21"/>
              </w:rPr>
              <w:t>提示性图形符号</w:t>
            </w:r>
          </w:p>
        </w:tc>
        <w:tc>
          <w:tcPr>
            <w:tcW w:w="2621" w:type="dxa"/>
            <w:vAlign w:val="center"/>
          </w:tcPr>
          <w:p>
            <w:pPr>
              <w:spacing w:line="360" w:lineRule="auto"/>
              <w:jc w:val="center"/>
              <w:rPr>
                <w:b/>
                <w:bCs/>
                <w:color w:val="auto"/>
                <w:szCs w:val="21"/>
              </w:rPr>
            </w:pPr>
            <w:r>
              <w:rPr>
                <w:b/>
                <w:bCs/>
                <w:color w:val="auto"/>
                <w:szCs w:val="21"/>
              </w:rPr>
              <w:t>警告图形符号</w:t>
            </w:r>
          </w:p>
        </w:tc>
        <w:tc>
          <w:tcPr>
            <w:tcW w:w="2702" w:type="dxa"/>
            <w:vAlign w:val="center"/>
          </w:tcPr>
          <w:p>
            <w:pPr>
              <w:spacing w:line="360" w:lineRule="auto"/>
              <w:jc w:val="center"/>
              <w:rPr>
                <w:b/>
                <w:bCs/>
                <w:color w:val="auto"/>
                <w:szCs w:val="21"/>
              </w:rPr>
            </w:pPr>
            <w:r>
              <w:rPr>
                <w:b/>
                <w:bCs/>
                <w:color w:val="auto"/>
                <w:szCs w:val="21"/>
              </w:rPr>
              <w:t>排放口及堆场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52" w:hRule="exact"/>
          <w:jc w:val="center"/>
        </w:trPr>
        <w:tc>
          <w:tcPr>
            <w:tcW w:w="1361" w:type="dxa"/>
            <w:vAlign w:val="center"/>
          </w:tcPr>
          <w:p>
            <w:pPr>
              <w:spacing w:line="360" w:lineRule="auto"/>
              <w:jc w:val="center"/>
              <w:rPr>
                <w:color w:val="auto"/>
                <w:szCs w:val="21"/>
              </w:rPr>
            </w:pPr>
            <w:r>
              <w:rPr>
                <w:color w:val="auto"/>
                <w:szCs w:val="21"/>
              </w:rPr>
              <w:t>1</w:t>
            </w:r>
          </w:p>
        </w:tc>
        <w:tc>
          <w:tcPr>
            <w:tcW w:w="2490" w:type="dxa"/>
            <w:vAlign w:val="center"/>
          </w:tcPr>
          <w:p>
            <w:pPr>
              <w:spacing w:line="360" w:lineRule="auto"/>
              <w:jc w:val="center"/>
              <w:rPr>
                <w:color w:val="auto"/>
                <w:szCs w:val="21"/>
              </w:rPr>
            </w:pPr>
            <w:r>
              <w:rPr>
                <w:color w:val="auto"/>
                <w:szCs w:val="21"/>
              </w:rPr>
              <w:drawing>
                <wp:inline distT="0" distB="0" distL="114300" distR="114300">
                  <wp:extent cx="619125" cy="485775"/>
                  <wp:effectExtent l="0" t="0" r="5715" b="1905"/>
                  <wp:docPr id="25" name="图片 7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77" descr="IMG_256"/>
                          <pic:cNvPicPr>
                            <a:picLocks noChangeAspect="1"/>
                          </pic:cNvPicPr>
                        </pic:nvPicPr>
                        <pic:blipFill>
                          <a:blip r:embed="rId72"/>
                          <a:stretch>
                            <a:fillRect/>
                          </a:stretch>
                        </pic:blipFill>
                        <pic:spPr>
                          <a:xfrm>
                            <a:off x="0" y="0"/>
                            <a:ext cx="619125" cy="485775"/>
                          </a:xfrm>
                          <a:prstGeom prst="rect">
                            <a:avLst/>
                          </a:prstGeom>
                          <a:noFill/>
                          <a:ln>
                            <a:noFill/>
                          </a:ln>
                        </pic:spPr>
                      </pic:pic>
                    </a:graphicData>
                  </a:graphic>
                </wp:inline>
              </w:drawing>
            </w:r>
          </w:p>
        </w:tc>
        <w:tc>
          <w:tcPr>
            <w:tcW w:w="2621" w:type="dxa"/>
            <w:vAlign w:val="center"/>
          </w:tcPr>
          <w:p>
            <w:pPr>
              <w:spacing w:line="360" w:lineRule="auto"/>
              <w:jc w:val="center"/>
              <w:rPr>
                <w:color w:val="auto"/>
                <w:szCs w:val="21"/>
              </w:rPr>
            </w:pPr>
            <w:r>
              <w:rPr>
                <w:color w:val="auto"/>
                <w:szCs w:val="21"/>
              </w:rPr>
              <w:drawing>
                <wp:inline distT="0" distB="0" distL="114300" distR="114300">
                  <wp:extent cx="733425" cy="485775"/>
                  <wp:effectExtent l="0" t="0" r="13335" b="1905"/>
                  <wp:docPr id="26" name="图片 7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78" descr="IMG_256"/>
                          <pic:cNvPicPr>
                            <a:picLocks noChangeAspect="1"/>
                          </pic:cNvPicPr>
                        </pic:nvPicPr>
                        <pic:blipFill>
                          <a:blip r:embed="rId73"/>
                          <a:stretch>
                            <a:fillRect/>
                          </a:stretch>
                        </pic:blipFill>
                        <pic:spPr>
                          <a:xfrm>
                            <a:off x="0" y="0"/>
                            <a:ext cx="733425" cy="485775"/>
                          </a:xfrm>
                          <a:prstGeom prst="rect">
                            <a:avLst/>
                          </a:prstGeom>
                          <a:noFill/>
                          <a:ln>
                            <a:noFill/>
                          </a:ln>
                        </pic:spPr>
                      </pic:pic>
                    </a:graphicData>
                  </a:graphic>
                </wp:inline>
              </w:drawing>
            </w:r>
          </w:p>
        </w:tc>
        <w:tc>
          <w:tcPr>
            <w:tcW w:w="2702" w:type="dxa"/>
            <w:vAlign w:val="center"/>
          </w:tcPr>
          <w:p>
            <w:pPr>
              <w:spacing w:line="360" w:lineRule="auto"/>
              <w:jc w:val="center"/>
              <w:rPr>
                <w:color w:val="auto"/>
                <w:szCs w:val="21"/>
              </w:rPr>
            </w:pPr>
            <w:r>
              <w:rPr>
                <w:color w:val="auto"/>
                <w:szCs w:val="21"/>
              </w:rPr>
              <w:t>污水排放口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5" w:hRule="exact"/>
          <w:jc w:val="center"/>
        </w:trPr>
        <w:tc>
          <w:tcPr>
            <w:tcW w:w="1361" w:type="dxa"/>
            <w:vAlign w:val="center"/>
          </w:tcPr>
          <w:p>
            <w:pPr>
              <w:spacing w:line="360" w:lineRule="auto"/>
              <w:jc w:val="center"/>
              <w:rPr>
                <w:color w:val="auto"/>
                <w:szCs w:val="21"/>
              </w:rPr>
            </w:pPr>
            <w:r>
              <w:rPr>
                <w:color w:val="auto"/>
                <w:szCs w:val="21"/>
              </w:rPr>
              <w:t>2</w:t>
            </w:r>
          </w:p>
        </w:tc>
        <w:tc>
          <w:tcPr>
            <w:tcW w:w="2490" w:type="dxa"/>
            <w:vAlign w:val="center"/>
          </w:tcPr>
          <w:p>
            <w:pPr>
              <w:spacing w:line="360" w:lineRule="auto"/>
              <w:jc w:val="center"/>
              <w:rPr>
                <w:color w:val="auto"/>
                <w:szCs w:val="21"/>
              </w:rPr>
            </w:pPr>
            <w:r>
              <w:rPr>
                <w:color w:val="auto"/>
                <w:szCs w:val="21"/>
              </w:rPr>
              <w:drawing>
                <wp:inline distT="0" distB="0" distL="114300" distR="114300">
                  <wp:extent cx="514985" cy="504825"/>
                  <wp:effectExtent l="0" t="0" r="3175" b="13335"/>
                  <wp:docPr id="27" name="图片 7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79" descr="IMG_256"/>
                          <pic:cNvPicPr>
                            <a:picLocks noChangeAspect="1"/>
                          </pic:cNvPicPr>
                        </pic:nvPicPr>
                        <pic:blipFill>
                          <a:blip r:embed="rId74"/>
                          <a:stretch>
                            <a:fillRect/>
                          </a:stretch>
                        </pic:blipFill>
                        <pic:spPr>
                          <a:xfrm>
                            <a:off x="0" y="0"/>
                            <a:ext cx="514985" cy="504825"/>
                          </a:xfrm>
                          <a:prstGeom prst="rect">
                            <a:avLst/>
                          </a:prstGeom>
                          <a:noFill/>
                          <a:ln>
                            <a:noFill/>
                          </a:ln>
                        </pic:spPr>
                      </pic:pic>
                    </a:graphicData>
                  </a:graphic>
                </wp:inline>
              </w:drawing>
            </w:r>
          </w:p>
        </w:tc>
        <w:tc>
          <w:tcPr>
            <w:tcW w:w="2621" w:type="dxa"/>
            <w:vAlign w:val="center"/>
          </w:tcPr>
          <w:p>
            <w:pPr>
              <w:spacing w:line="360" w:lineRule="auto"/>
              <w:jc w:val="center"/>
              <w:rPr>
                <w:color w:val="auto"/>
                <w:szCs w:val="21"/>
              </w:rPr>
            </w:pPr>
            <w:r>
              <w:rPr>
                <w:color w:val="auto"/>
                <w:szCs w:val="21"/>
              </w:rPr>
              <w:drawing>
                <wp:inline distT="0" distB="0" distL="114300" distR="114300">
                  <wp:extent cx="648335" cy="466725"/>
                  <wp:effectExtent l="0" t="0" r="6985" b="5715"/>
                  <wp:docPr id="28" name="图片 8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80" descr="IMG_256"/>
                          <pic:cNvPicPr>
                            <a:picLocks noChangeAspect="1"/>
                          </pic:cNvPicPr>
                        </pic:nvPicPr>
                        <pic:blipFill>
                          <a:blip r:embed="rId75"/>
                          <a:stretch>
                            <a:fillRect/>
                          </a:stretch>
                        </pic:blipFill>
                        <pic:spPr>
                          <a:xfrm>
                            <a:off x="0" y="0"/>
                            <a:ext cx="648335" cy="466725"/>
                          </a:xfrm>
                          <a:prstGeom prst="rect">
                            <a:avLst/>
                          </a:prstGeom>
                          <a:noFill/>
                          <a:ln>
                            <a:noFill/>
                          </a:ln>
                        </pic:spPr>
                      </pic:pic>
                    </a:graphicData>
                  </a:graphic>
                </wp:inline>
              </w:drawing>
            </w:r>
          </w:p>
        </w:tc>
        <w:tc>
          <w:tcPr>
            <w:tcW w:w="2702" w:type="dxa"/>
            <w:vAlign w:val="center"/>
          </w:tcPr>
          <w:p>
            <w:pPr>
              <w:spacing w:line="360" w:lineRule="auto"/>
              <w:jc w:val="center"/>
              <w:rPr>
                <w:color w:val="auto"/>
                <w:szCs w:val="21"/>
              </w:rPr>
            </w:pPr>
            <w:r>
              <w:rPr>
                <w:color w:val="auto"/>
                <w:szCs w:val="21"/>
              </w:rPr>
              <w:t>废气排放（表示废气向大气环境排放）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8" w:hRule="exact"/>
          <w:jc w:val="center"/>
        </w:trPr>
        <w:tc>
          <w:tcPr>
            <w:tcW w:w="1361" w:type="dxa"/>
            <w:vAlign w:val="center"/>
          </w:tcPr>
          <w:p>
            <w:pPr>
              <w:spacing w:line="360" w:lineRule="auto"/>
              <w:jc w:val="center"/>
              <w:rPr>
                <w:color w:val="auto"/>
                <w:szCs w:val="21"/>
              </w:rPr>
            </w:pPr>
            <w:r>
              <w:rPr>
                <w:color w:val="auto"/>
                <w:szCs w:val="21"/>
              </w:rPr>
              <w:t>3</w:t>
            </w:r>
          </w:p>
        </w:tc>
        <w:tc>
          <w:tcPr>
            <w:tcW w:w="2490" w:type="dxa"/>
            <w:vAlign w:val="center"/>
          </w:tcPr>
          <w:p>
            <w:pPr>
              <w:spacing w:line="360" w:lineRule="auto"/>
              <w:jc w:val="center"/>
              <w:rPr>
                <w:color w:val="auto"/>
                <w:szCs w:val="21"/>
              </w:rPr>
            </w:pPr>
            <w:r>
              <w:rPr>
                <w:color w:val="auto"/>
                <w:szCs w:val="21"/>
              </w:rPr>
              <w:drawing>
                <wp:inline distT="0" distB="0" distL="114300" distR="114300">
                  <wp:extent cx="485775" cy="457200"/>
                  <wp:effectExtent l="0" t="0" r="1905" b="0"/>
                  <wp:docPr id="29" name="图片 8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81" descr="IMG_256"/>
                          <pic:cNvPicPr>
                            <a:picLocks noChangeAspect="1"/>
                          </pic:cNvPicPr>
                        </pic:nvPicPr>
                        <pic:blipFill>
                          <a:blip r:embed="rId76"/>
                          <a:stretch>
                            <a:fillRect/>
                          </a:stretch>
                        </pic:blipFill>
                        <pic:spPr>
                          <a:xfrm>
                            <a:off x="0" y="0"/>
                            <a:ext cx="485775" cy="457200"/>
                          </a:xfrm>
                          <a:prstGeom prst="rect">
                            <a:avLst/>
                          </a:prstGeom>
                          <a:noFill/>
                          <a:ln>
                            <a:noFill/>
                          </a:ln>
                        </pic:spPr>
                      </pic:pic>
                    </a:graphicData>
                  </a:graphic>
                </wp:inline>
              </w:drawing>
            </w:r>
          </w:p>
        </w:tc>
        <w:tc>
          <w:tcPr>
            <w:tcW w:w="2621" w:type="dxa"/>
            <w:vAlign w:val="center"/>
          </w:tcPr>
          <w:p>
            <w:pPr>
              <w:spacing w:line="360" w:lineRule="auto"/>
              <w:jc w:val="center"/>
              <w:rPr>
                <w:color w:val="auto"/>
                <w:szCs w:val="21"/>
              </w:rPr>
            </w:pPr>
            <w:r>
              <w:rPr>
                <w:color w:val="auto"/>
                <w:szCs w:val="21"/>
              </w:rPr>
              <w:drawing>
                <wp:inline distT="0" distB="0" distL="114300" distR="114300">
                  <wp:extent cx="581025" cy="476250"/>
                  <wp:effectExtent l="0" t="0" r="13335" b="11430"/>
                  <wp:docPr id="30" name="图片 8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82" descr="IMG_256"/>
                          <pic:cNvPicPr>
                            <a:picLocks noChangeAspect="1"/>
                          </pic:cNvPicPr>
                        </pic:nvPicPr>
                        <pic:blipFill>
                          <a:blip r:embed="rId77"/>
                          <a:stretch>
                            <a:fillRect/>
                          </a:stretch>
                        </pic:blipFill>
                        <pic:spPr>
                          <a:xfrm>
                            <a:off x="0" y="0"/>
                            <a:ext cx="581025" cy="476250"/>
                          </a:xfrm>
                          <a:prstGeom prst="rect">
                            <a:avLst/>
                          </a:prstGeom>
                          <a:noFill/>
                          <a:ln>
                            <a:noFill/>
                          </a:ln>
                        </pic:spPr>
                      </pic:pic>
                    </a:graphicData>
                  </a:graphic>
                </wp:inline>
              </w:drawing>
            </w:r>
          </w:p>
        </w:tc>
        <w:tc>
          <w:tcPr>
            <w:tcW w:w="2702" w:type="dxa"/>
            <w:vAlign w:val="center"/>
          </w:tcPr>
          <w:p>
            <w:pPr>
              <w:spacing w:line="360" w:lineRule="auto"/>
              <w:jc w:val="center"/>
              <w:rPr>
                <w:color w:val="auto"/>
                <w:szCs w:val="21"/>
              </w:rPr>
            </w:pPr>
            <w:r>
              <w:rPr>
                <w:color w:val="auto"/>
                <w:szCs w:val="21"/>
              </w:rPr>
              <w:t>噪声排放源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93" w:hRule="exact"/>
          <w:jc w:val="center"/>
        </w:trPr>
        <w:tc>
          <w:tcPr>
            <w:tcW w:w="1361" w:type="dxa"/>
            <w:vAlign w:val="center"/>
          </w:tcPr>
          <w:p>
            <w:pPr>
              <w:spacing w:line="360" w:lineRule="auto"/>
              <w:jc w:val="center"/>
              <w:rPr>
                <w:color w:val="auto"/>
                <w:szCs w:val="21"/>
              </w:rPr>
            </w:pPr>
            <w:r>
              <w:rPr>
                <w:color w:val="auto"/>
                <w:szCs w:val="21"/>
              </w:rPr>
              <w:t>4</w:t>
            </w:r>
          </w:p>
        </w:tc>
        <w:tc>
          <w:tcPr>
            <w:tcW w:w="2490" w:type="dxa"/>
            <w:vAlign w:val="center"/>
          </w:tcPr>
          <w:p>
            <w:pPr>
              <w:spacing w:line="360" w:lineRule="auto"/>
              <w:jc w:val="center"/>
              <w:rPr>
                <w:color w:val="auto"/>
                <w:szCs w:val="21"/>
              </w:rPr>
            </w:pPr>
            <w:r>
              <w:rPr>
                <w:color w:val="auto"/>
                <w:szCs w:val="21"/>
              </w:rPr>
              <w:drawing>
                <wp:inline distT="0" distB="0" distL="114300" distR="114300">
                  <wp:extent cx="542925" cy="457835"/>
                  <wp:effectExtent l="0" t="0" r="5715" b="14605"/>
                  <wp:docPr id="31" name="图片 8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83" descr="IMG_256"/>
                          <pic:cNvPicPr>
                            <a:picLocks noChangeAspect="1"/>
                          </pic:cNvPicPr>
                        </pic:nvPicPr>
                        <pic:blipFill>
                          <a:blip r:embed="rId78"/>
                          <a:stretch>
                            <a:fillRect/>
                          </a:stretch>
                        </pic:blipFill>
                        <pic:spPr>
                          <a:xfrm>
                            <a:off x="0" y="0"/>
                            <a:ext cx="542925" cy="457835"/>
                          </a:xfrm>
                          <a:prstGeom prst="rect">
                            <a:avLst/>
                          </a:prstGeom>
                          <a:noFill/>
                          <a:ln>
                            <a:noFill/>
                          </a:ln>
                        </pic:spPr>
                      </pic:pic>
                    </a:graphicData>
                  </a:graphic>
                </wp:inline>
              </w:drawing>
            </w:r>
          </w:p>
        </w:tc>
        <w:tc>
          <w:tcPr>
            <w:tcW w:w="2621" w:type="dxa"/>
            <w:vAlign w:val="center"/>
          </w:tcPr>
          <w:p>
            <w:pPr>
              <w:spacing w:line="360" w:lineRule="auto"/>
              <w:jc w:val="center"/>
              <w:rPr>
                <w:color w:val="auto"/>
                <w:szCs w:val="21"/>
              </w:rPr>
            </w:pPr>
            <w:r>
              <w:rPr>
                <w:color w:val="auto"/>
                <w:szCs w:val="21"/>
              </w:rPr>
              <w:drawing>
                <wp:inline distT="0" distB="0" distL="114300" distR="114300">
                  <wp:extent cx="666750" cy="476250"/>
                  <wp:effectExtent l="0" t="0" r="3810" b="11430"/>
                  <wp:docPr id="32" name="图片 8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84" descr="IMG_256"/>
                          <pic:cNvPicPr>
                            <a:picLocks noChangeAspect="1"/>
                          </pic:cNvPicPr>
                        </pic:nvPicPr>
                        <pic:blipFill>
                          <a:blip r:embed="rId79"/>
                          <a:stretch>
                            <a:fillRect/>
                          </a:stretch>
                        </pic:blipFill>
                        <pic:spPr>
                          <a:xfrm>
                            <a:off x="0" y="0"/>
                            <a:ext cx="666750" cy="476250"/>
                          </a:xfrm>
                          <a:prstGeom prst="rect">
                            <a:avLst/>
                          </a:prstGeom>
                          <a:noFill/>
                          <a:ln>
                            <a:noFill/>
                          </a:ln>
                        </pic:spPr>
                      </pic:pic>
                    </a:graphicData>
                  </a:graphic>
                </wp:inline>
              </w:drawing>
            </w:r>
          </w:p>
        </w:tc>
        <w:tc>
          <w:tcPr>
            <w:tcW w:w="2702" w:type="dxa"/>
            <w:vAlign w:val="center"/>
          </w:tcPr>
          <w:p>
            <w:pPr>
              <w:spacing w:line="360" w:lineRule="auto"/>
              <w:jc w:val="center"/>
              <w:rPr>
                <w:color w:val="auto"/>
                <w:szCs w:val="21"/>
              </w:rPr>
            </w:pPr>
            <w:r>
              <w:rPr>
                <w:color w:val="auto"/>
                <w:szCs w:val="21"/>
              </w:rPr>
              <w:t>一般固体废物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93" w:hRule="exact"/>
          <w:jc w:val="center"/>
        </w:trPr>
        <w:tc>
          <w:tcPr>
            <w:tcW w:w="1361" w:type="dxa"/>
            <w:vAlign w:val="center"/>
          </w:tcPr>
          <w:p>
            <w:pPr>
              <w:spacing w:line="360" w:lineRule="auto"/>
              <w:jc w:val="center"/>
              <w:rPr>
                <w:color w:val="auto"/>
                <w:szCs w:val="21"/>
              </w:rPr>
            </w:pPr>
            <w:r>
              <w:rPr>
                <w:color w:val="auto"/>
                <w:szCs w:val="21"/>
              </w:rPr>
              <w:t>5</w:t>
            </w:r>
          </w:p>
        </w:tc>
        <w:tc>
          <w:tcPr>
            <w:tcW w:w="2490" w:type="dxa"/>
            <w:vAlign w:val="center"/>
          </w:tcPr>
          <w:p>
            <w:pPr>
              <w:spacing w:line="360" w:lineRule="auto"/>
              <w:jc w:val="center"/>
              <w:rPr>
                <w:color w:val="auto"/>
                <w:szCs w:val="21"/>
              </w:rPr>
            </w:pPr>
          </w:p>
        </w:tc>
        <w:tc>
          <w:tcPr>
            <w:tcW w:w="2621" w:type="dxa"/>
            <w:vAlign w:val="center"/>
          </w:tcPr>
          <w:p>
            <w:pPr>
              <w:spacing w:line="360" w:lineRule="auto"/>
              <w:jc w:val="center"/>
              <w:rPr>
                <w:color w:val="auto"/>
                <w:szCs w:val="21"/>
              </w:rPr>
            </w:pPr>
            <w:r>
              <w:rPr>
                <w:color w:val="auto"/>
                <w:szCs w:val="21"/>
              </w:rPr>
              <w:drawing>
                <wp:inline distT="0" distB="0" distL="114300" distR="114300">
                  <wp:extent cx="447675" cy="403860"/>
                  <wp:effectExtent l="0" t="0" r="9525" b="7620"/>
                  <wp:docPr id="33"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85"/>
                          <pic:cNvPicPr>
                            <a:picLocks noChangeAspect="1"/>
                          </pic:cNvPicPr>
                        </pic:nvPicPr>
                        <pic:blipFill>
                          <a:blip r:embed="rId80"/>
                          <a:stretch>
                            <a:fillRect/>
                          </a:stretch>
                        </pic:blipFill>
                        <pic:spPr>
                          <a:xfrm>
                            <a:off x="0" y="0"/>
                            <a:ext cx="447675" cy="403860"/>
                          </a:xfrm>
                          <a:prstGeom prst="rect">
                            <a:avLst/>
                          </a:prstGeom>
                          <a:noFill/>
                          <a:ln>
                            <a:noFill/>
                          </a:ln>
                        </pic:spPr>
                      </pic:pic>
                    </a:graphicData>
                  </a:graphic>
                </wp:inline>
              </w:drawing>
            </w:r>
          </w:p>
        </w:tc>
        <w:tc>
          <w:tcPr>
            <w:tcW w:w="2702" w:type="dxa"/>
            <w:vAlign w:val="center"/>
          </w:tcPr>
          <w:p>
            <w:pPr>
              <w:spacing w:line="360" w:lineRule="auto"/>
              <w:jc w:val="center"/>
              <w:rPr>
                <w:color w:val="auto"/>
                <w:szCs w:val="21"/>
              </w:rPr>
            </w:pPr>
            <w:r>
              <w:rPr>
                <w:color w:val="auto"/>
                <w:szCs w:val="21"/>
              </w:rPr>
              <w:t>危险废物</w:t>
            </w:r>
          </w:p>
        </w:tc>
      </w:tr>
    </w:tbl>
    <w:p>
      <w:pPr>
        <w:pStyle w:val="4"/>
        <w:spacing w:line="520" w:lineRule="exact"/>
        <w:rPr>
          <w:rFonts w:ascii="Times New Roman" w:hAnsi="Times New Roman"/>
          <w:b/>
          <w:color w:val="auto"/>
        </w:rPr>
      </w:pPr>
      <w:bookmarkStart w:id="393" w:name="_Toc18282"/>
      <w:r>
        <w:rPr>
          <w:rFonts w:hint="eastAsia" w:ascii="Times New Roman" w:hAnsi="Times New Roman"/>
          <w:b/>
          <w:color w:val="auto"/>
        </w:rPr>
        <w:t>9</w:t>
      </w:r>
      <w:r>
        <w:rPr>
          <w:rFonts w:ascii="Times New Roman" w:hAnsi="Times New Roman"/>
          <w:b/>
          <w:color w:val="auto"/>
        </w:rPr>
        <w:t>.5总量指标</w:t>
      </w:r>
      <w:bookmarkEnd w:id="392"/>
      <w:bookmarkEnd w:id="393"/>
    </w:p>
    <w:p>
      <w:pPr>
        <w:spacing w:line="520" w:lineRule="exact"/>
        <w:ind w:firstLine="480" w:firstLineChars="200"/>
        <w:rPr>
          <w:color w:val="auto"/>
          <w:sz w:val="24"/>
        </w:rPr>
      </w:pPr>
      <w:r>
        <w:rPr>
          <w:color w:val="auto"/>
          <w:sz w:val="24"/>
        </w:rPr>
        <w:t>总量控制，旨在发展经济的同时，把污染物的排放量控制在自然环境承载能力之内，保证环境质量。实施污染物排放总量控制是考核各级人民政府和企业环境保护目标责任制的重要指标，也是保护和改善环境质量的具体措施之一。</w:t>
      </w:r>
    </w:p>
    <w:p>
      <w:pPr>
        <w:spacing w:line="520" w:lineRule="exact"/>
        <w:ind w:firstLine="480" w:firstLineChars="200"/>
        <w:rPr>
          <w:color w:val="auto"/>
          <w:sz w:val="24"/>
        </w:rPr>
      </w:pPr>
      <w:r>
        <w:rPr>
          <w:color w:val="auto"/>
          <w:sz w:val="24"/>
        </w:rPr>
        <w:t>目前国家实施污染物排放总量控制的基本原则是：由各级政府层层分解下达区域控制指标，各级政府再根据辖区内企业发展和污染防治规划情况，将具体指标分解下达至企业。对确定需要增加排污总量的新建项目，可经企业申请，由当地主管部门根据环境容量条件，从区域控制指标内调剂解决。</w:t>
      </w:r>
    </w:p>
    <w:p>
      <w:pPr>
        <w:spacing w:line="520" w:lineRule="exact"/>
        <w:ind w:firstLine="480" w:firstLineChars="200"/>
        <w:rPr>
          <w:color w:val="auto"/>
          <w:sz w:val="24"/>
        </w:rPr>
      </w:pPr>
      <w:r>
        <w:rPr>
          <w:color w:val="auto"/>
          <w:sz w:val="24"/>
        </w:rPr>
        <w:t>总量控制指标主要包括COD、氨氮；SO</w:t>
      </w:r>
      <w:r>
        <w:rPr>
          <w:color w:val="auto"/>
          <w:sz w:val="24"/>
          <w:vertAlign w:val="subscript"/>
        </w:rPr>
        <w:t>2</w:t>
      </w:r>
      <w:r>
        <w:rPr>
          <w:color w:val="auto"/>
          <w:sz w:val="24"/>
        </w:rPr>
        <w:t>、NO</w:t>
      </w:r>
      <w:r>
        <w:rPr>
          <w:color w:val="auto"/>
          <w:sz w:val="24"/>
          <w:vertAlign w:val="subscript"/>
        </w:rPr>
        <w:t>X</w:t>
      </w:r>
      <w:r>
        <w:rPr>
          <w:color w:val="auto"/>
          <w:sz w:val="24"/>
        </w:rPr>
        <w:t>、烟粉尘、VOCs等，根据建设项目的设计参数计算出污染物的排放总量</w:t>
      </w:r>
      <w:r>
        <w:rPr>
          <w:color w:val="auto"/>
          <w:kern w:val="0"/>
          <w:sz w:val="24"/>
          <w:lang w:val="zh-CN"/>
        </w:rPr>
        <w:t>，</w:t>
      </w:r>
      <w:r>
        <w:rPr>
          <w:color w:val="auto"/>
          <w:sz w:val="24"/>
        </w:rPr>
        <w:t>本项目实施后全厂涉及总量的污染物排放情况如下：</w:t>
      </w:r>
    </w:p>
    <w:p>
      <w:pPr>
        <w:spacing w:line="520" w:lineRule="exact"/>
        <w:ind w:firstLine="482" w:firstLineChars="200"/>
        <w:jc w:val="center"/>
        <w:rPr>
          <w:b/>
          <w:color w:val="auto"/>
          <w:sz w:val="24"/>
        </w:rPr>
      </w:pPr>
    </w:p>
    <w:p>
      <w:pPr>
        <w:spacing w:line="520" w:lineRule="exact"/>
        <w:ind w:firstLine="482" w:firstLineChars="200"/>
        <w:jc w:val="center"/>
        <w:rPr>
          <w:b/>
          <w:color w:val="auto"/>
          <w:sz w:val="24"/>
        </w:rPr>
      </w:pPr>
    </w:p>
    <w:p>
      <w:pPr>
        <w:spacing w:line="520" w:lineRule="exact"/>
        <w:ind w:firstLine="482" w:firstLineChars="200"/>
        <w:jc w:val="center"/>
        <w:rPr>
          <w:b/>
          <w:color w:val="auto"/>
          <w:sz w:val="24"/>
        </w:rPr>
      </w:pPr>
    </w:p>
    <w:p>
      <w:pPr>
        <w:spacing w:line="520" w:lineRule="exact"/>
        <w:ind w:firstLine="482" w:firstLineChars="200"/>
        <w:jc w:val="center"/>
        <w:rPr>
          <w:b/>
          <w:color w:val="auto"/>
          <w:sz w:val="24"/>
        </w:rPr>
      </w:pPr>
    </w:p>
    <w:p>
      <w:pPr>
        <w:spacing w:line="520" w:lineRule="exact"/>
        <w:ind w:firstLine="482" w:firstLineChars="200"/>
        <w:jc w:val="center"/>
        <w:rPr>
          <w:b/>
          <w:color w:val="auto"/>
          <w:sz w:val="24"/>
        </w:rPr>
      </w:pPr>
      <w:r>
        <w:rPr>
          <w:b/>
          <w:color w:val="auto"/>
          <w:sz w:val="24"/>
        </w:rPr>
        <w:t>表</w:t>
      </w:r>
      <w:r>
        <w:rPr>
          <w:rFonts w:hint="eastAsia"/>
          <w:b/>
          <w:color w:val="auto"/>
          <w:sz w:val="24"/>
        </w:rPr>
        <w:t>9-</w:t>
      </w:r>
      <w:r>
        <w:rPr>
          <w:rFonts w:hint="eastAsia"/>
          <w:b/>
          <w:color w:val="auto"/>
          <w:sz w:val="24"/>
          <w:lang w:val="en-US" w:eastAsia="zh-CN"/>
        </w:rPr>
        <w:t xml:space="preserve">8 </w:t>
      </w:r>
      <w:r>
        <w:rPr>
          <w:b/>
          <w:color w:val="auto"/>
          <w:sz w:val="24"/>
        </w:rPr>
        <w:t xml:space="preserve"> 厂区涉及总量的污染物排放申请量一览表   单位：t/a</w:t>
      </w:r>
    </w:p>
    <w:tbl>
      <w:tblPr>
        <w:tblStyle w:val="53"/>
        <w:tblW w:w="896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80"/>
        <w:gridCol w:w="1886"/>
        <w:gridCol w:w="1910"/>
        <w:gridCol w:w="1957"/>
        <w:gridCol w:w="203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3" w:hRule="atLeast"/>
          <w:jc w:val="center"/>
        </w:trPr>
        <w:tc>
          <w:tcPr>
            <w:tcW w:w="1180" w:type="dxa"/>
            <w:vAlign w:val="center"/>
          </w:tcPr>
          <w:p>
            <w:pPr>
              <w:snapToGrid w:val="0"/>
              <w:spacing w:line="240" w:lineRule="atLeast"/>
              <w:jc w:val="center"/>
              <w:rPr>
                <w:color w:val="auto"/>
                <w:kern w:val="0"/>
                <w:szCs w:val="21"/>
              </w:rPr>
            </w:pPr>
            <w:r>
              <w:rPr>
                <w:color w:val="auto"/>
                <w:kern w:val="0"/>
                <w:szCs w:val="21"/>
              </w:rPr>
              <w:t>种类</w:t>
            </w:r>
          </w:p>
        </w:tc>
        <w:tc>
          <w:tcPr>
            <w:tcW w:w="1886" w:type="dxa"/>
            <w:vAlign w:val="center"/>
          </w:tcPr>
          <w:p>
            <w:pPr>
              <w:snapToGrid w:val="0"/>
              <w:spacing w:line="240" w:lineRule="atLeast"/>
              <w:jc w:val="center"/>
              <w:rPr>
                <w:color w:val="auto"/>
                <w:kern w:val="0"/>
                <w:szCs w:val="21"/>
              </w:rPr>
            </w:pPr>
            <w:r>
              <w:rPr>
                <w:color w:val="auto"/>
                <w:kern w:val="0"/>
                <w:szCs w:val="21"/>
              </w:rPr>
              <w:t>污染物名称</w:t>
            </w:r>
          </w:p>
        </w:tc>
        <w:tc>
          <w:tcPr>
            <w:tcW w:w="1910" w:type="dxa"/>
            <w:vAlign w:val="center"/>
          </w:tcPr>
          <w:p>
            <w:pPr>
              <w:snapToGrid w:val="0"/>
              <w:spacing w:line="240" w:lineRule="atLeast"/>
              <w:jc w:val="center"/>
              <w:rPr>
                <w:color w:val="auto"/>
                <w:kern w:val="0"/>
                <w:szCs w:val="21"/>
              </w:rPr>
            </w:pPr>
            <w:r>
              <w:rPr>
                <w:color w:val="auto"/>
                <w:kern w:val="0"/>
                <w:szCs w:val="21"/>
              </w:rPr>
              <w:t>产生量</w:t>
            </w:r>
          </w:p>
        </w:tc>
        <w:tc>
          <w:tcPr>
            <w:tcW w:w="1957" w:type="dxa"/>
            <w:vAlign w:val="center"/>
          </w:tcPr>
          <w:p>
            <w:pPr>
              <w:snapToGrid w:val="0"/>
              <w:spacing w:line="240" w:lineRule="atLeast"/>
              <w:jc w:val="center"/>
              <w:rPr>
                <w:color w:val="auto"/>
                <w:kern w:val="0"/>
                <w:szCs w:val="21"/>
              </w:rPr>
            </w:pPr>
            <w:r>
              <w:rPr>
                <w:color w:val="auto"/>
                <w:kern w:val="0"/>
                <w:szCs w:val="21"/>
              </w:rPr>
              <w:t>削减量</w:t>
            </w:r>
          </w:p>
        </w:tc>
        <w:tc>
          <w:tcPr>
            <w:tcW w:w="2036" w:type="dxa"/>
            <w:vAlign w:val="center"/>
          </w:tcPr>
          <w:p>
            <w:pPr>
              <w:snapToGrid w:val="0"/>
              <w:spacing w:line="240" w:lineRule="atLeast"/>
              <w:jc w:val="center"/>
              <w:rPr>
                <w:color w:val="auto"/>
                <w:kern w:val="0"/>
                <w:szCs w:val="21"/>
              </w:rPr>
            </w:pPr>
            <w:r>
              <w:rPr>
                <w:color w:val="auto"/>
                <w:kern w:val="0"/>
                <w:szCs w:val="21"/>
              </w:rPr>
              <w:t>排放量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3" w:hRule="atLeast"/>
          <w:jc w:val="center"/>
        </w:trPr>
        <w:tc>
          <w:tcPr>
            <w:tcW w:w="1180" w:type="dxa"/>
            <w:vMerge w:val="restart"/>
            <w:vAlign w:val="center"/>
          </w:tcPr>
          <w:p>
            <w:pPr>
              <w:snapToGrid w:val="0"/>
              <w:spacing w:line="240" w:lineRule="atLeast"/>
              <w:jc w:val="center"/>
              <w:rPr>
                <w:color w:val="auto"/>
                <w:kern w:val="0"/>
                <w:szCs w:val="21"/>
              </w:rPr>
            </w:pPr>
            <w:r>
              <w:rPr>
                <w:color w:val="auto"/>
                <w:kern w:val="0"/>
                <w:szCs w:val="21"/>
              </w:rPr>
              <w:t>废水</w:t>
            </w:r>
          </w:p>
        </w:tc>
        <w:tc>
          <w:tcPr>
            <w:tcW w:w="1886" w:type="dxa"/>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COD</w:t>
            </w:r>
          </w:p>
        </w:tc>
        <w:tc>
          <w:tcPr>
            <w:tcW w:w="1910" w:type="dxa"/>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0.18</w:t>
            </w:r>
          </w:p>
        </w:tc>
        <w:tc>
          <w:tcPr>
            <w:tcW w:w="1957" w:type="dxa"/>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0.162</w:t>
            </w:r>
          </w:p>
        </w:tc>
        <w:tc>
          <w:tcPr>
            <w:tcW w:w="2036" w:type="dxa"/>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0.018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3" w:hRule="atLeast"/>
          <w:jc w:val="center"/>
        </w:trPr>
        <w:tc>
          <w:tcPr>
            <w:tcW w:w="1180" w:type="dxa"/>
            <w:vMerge w:val="continue"/>
            <w:vAlign w:val="center"/>
          </w:tcPr>
          <w:p>
            <w:pPr>
              <w:snapToGrid w:val="0"/>
              <w:spacing w:line="240" w:lineRule="atLeast"/>
              <w:jc w:val="center"/>
              <w:rPr>
                <w:color w:val="auto"/>
                <w:kern w:val="0"/>
                <w:szCs w:val="21"/>
              </w:rPr>
            </w:pPr>
          </w:p>
        </w:tc>
        <w:tc>
          <w:tcPr>
            <w:tcW w:w="1886" w:type="dxa"/>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氨氮</w:t>
            </w:r>
          </w:p>
        </w:tc>
        <w:tc>
          <w:tcPr>
            <w:tcW w:w="1910" w:type="dxa"/>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0.138</w:t>
            </w:r>
          </w:p>
        </w:tc>
        <w:tc>
          <w:tcPr>
            <w:tcW w:w="1957" w:type="dxa"/>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0.1272</w:t>
            </w:r>
          </w:p>
        </w:tc>
        <w:tc>
          <w:tcPr>
            <w:tcW w:w="2036" w:type="dxa"/>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0.0108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3" w:hRule="atLeast"/>
          <w:jc w:val="center"/>
        </w:trPr>
        <w:tc>
          <w:tcPr>
            <w:tcW w:w="1180" w:type="dxa"/>
            <w:vMerge w:val="restart"/>
            <w:vAlign w:val="center"/>
          </w:tcPr>
          <w:p>
            <w:pPr>
              <w:snapToGrid w:val="0"/>
              <w:spacing w:line="240" w:lineRule="atLeast"/>
              <w:jc w:val="center"/>
              <w:rPr>
                <w:color w:val="auto"/>
                <w:kern w:val="0"/>
                <w:szCs w:val="21"/>
              </w:rPr>
            </w:pPr>
            <w:r>
              <w:rPr>
                <w:color w:val="auto"/>
                <w:kern w:val="0"/>
                <w:szCs w:val="21"/>
              </w:rPr>
              <w:t>废气（有组织）</w:t>
            </w:r>
          </w:p>
        </w:tc>
        <w:tc>
          <w:tcPr>
            <w:tcW w:w="1886" w:type="dxa"/>
            <w:vAlign w:val="center"/>
          </w:tcPr>
          <w:p>
            <w:pPr>
              <w:snapToGrid w:val="0"/>
              <w:spacing w:line="240" w:lineRule="atLeast"/>
              <w:jc w:val="center"/>
              <w:rPr>
                <w:rFonts w:hint="eastAsia"/>
                <w:color w:val="auto"/>
                <w:kern w:val="0"/>
                <w:szCs w:val="21"/>
                <w:lang w:eastAsia="zh-CN"/>
              </w:rPr>
            </w:pPr>
            <w:r>
              <w:rPr>
                <w:rFonts w:hint="eastAsia"/>
                <w:color w:val="auto"/>
                <w:kern w:val="0"/>
                <w:szCs w:val="21"/>
                <w:lang w:eastAsia="zh-CN"/>
              </w:rPr>
              <w:t>颗粒物</w:t>
            </w:r>
          </w:p>
        </w:tc>
        <w:tc>
          <w:tcPr>
            <w:tcW w:w="1910" w:type="dxa"/>
            <w:vAlign w:val="center"/>
          </w:tcPr>
          <w:p>
            <w:pPr>
              <w:snapToGrid w:val="0"/>
              <w:spacing w:line="240" w:lineRule="atLeast"/>
              <w:jc w:val="center"/>
              <w:rPr>
                <w:rFonts w:hint="eastAsia"/>
                <w:color w:val="auto"/>
                <w:kern w:val="0"/>
                <w:szCs w:val="21"/>
                <w:lang w:eastAsia="zh-CN"/>
              </w:rPr>
            </w:pPr>
            <w:r>
              <w:rPr>
                <w:rFonts w:hint="eastAsia"/>
                <w:color w:val="auto"/>
                <w:kern w:val="0"/>
                <w:szCs w:val="21"/>
                <w:lang w:val="en-US" w:eastAsia="zh-CN"/>
              </w:rPr>
              <w:t>0.63</w:t>
            </w:r>
          </w:p>
        </w:tc>
        <w:tc>
          <w:tcPr>
            <w:tcW w:w="1957" w:type="dxa"/>
            <w:vAlign w:val="center"/>
          </w:tcPr>
          <w:p>
            <w:pPr>
              <w:snapToGrid w:val="0"/>
              <w:spacing w:line="240" w:lineRule="atLeast"/>
              <w:jc w:val="center"/>
              <w:rPr>
                <w:rFonts w:hint="eastAsia"/>
                <w:color w:val="auto"/>
                <w:kern w:val="0"/>
                <w:szCs w:val="21"/>
                <w:lang w:eastAsia="zh-CN"/>
              </w:rPr>
            </w:pPr>
            <w:r>
              <w:rPr>
                <w:rFonts w:hint="eastAsia"/>
                <w:color w:val="auto"/>
                <w:kern w:val="0"/>
                <w:szCs w:val="21"/>
                <w:lang w:val="en-US" w:eastAsia="zh-CN"/>
              </w:rPr>
              <w:t>0.6237</w:t>
            </w:r>
          </w:p>
        </w:tc>
        <w:tc>
          <w:tcPr>
            <w:tcW w:w="2036" w:type="dxa"/>
            <w:vAlign w:val="center"/>
          </w:tcPr>
          <w:p>
            <w:pPr>
              <w:snapToGrid w:val="0"/>
              <w:spacing w:line="240" w:lineRule="atLeast"/>
              <w:jc w:val="center"/>
              <w:rPr>
                <w:rFonts w:hint="eastAsia"/>
                <w:color w:val="auto"/>
                <w:kern w:val="0"/>
                <w:szCs w:val="21"/>
                <w:lang w:eastAsia="zh-CN"/>
              </w:rPr>
            </w:pPr>
            <w:r>
              <w:rPr>
                <w:rFonts w:hint="eastAsia"/>
                <w:color w:val="auto"/>
                <w:kern w:val="0"/>
                <w:szCs w:val="21"/>
                <w:lang w:val="en-US" w:eastAsia="zh-CN"/>
              </w:rPr>
              <w:t>0.0063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3" w:hRule="atLeast"/>
          <w:jc w:val="center"/>
        </w:trPr>
        <w:tc>
          <w:tcPr>
            <w:tcW w:w="1180" w:type="dxa"/>
            <w:vMerge w:val="continue"/>
            <w:vAlign w:val="center"/>
          </w:tcPr>
          <w:p>
            <w:pPr>
              <w:snapToGrid w:val="0"/>
              <w:spacing w:line="240" w:lineRule="atLeast"/>
              <w:jc w:val="center"/>
              <w:rPr>
                <w:color w:val="auto"/>
                <w:kern w:val="0"/>
                <w:szCs w:val="21"/>
              </w:rPr>
            </w:pPr>
          </w:p>
        </w:tc>
        <w:tc>
          <w:tcPr>
            <w:tcW w:w="1886" w:type="dxa"/>
            <w:vAlign w:val="center"/>
          </w:tcPr>
          <w:p>
            <w:pPr>
              <w:snapToGrid w:val="0"/>
              <w:spacing w:line="240" w:lineRule="atLeast"/>
              <w:jc w:val="center"/>
              <w:rPr>
                <w:rFonts w:hint="eastAsia"/>
                <w:color w:val="auto"/>
                <w:kern w:val="0"/>
                <w:szCs w:val="21"/>
                <w:lang w:eastAsia="zh-CN"/>
              </w:rPr>
            </w:pPr>
            <w:r>
              <w:rPr>
                <w:rFonts w:hint="eastAsia"/>
                <w:color w:val="auto"/>
                <w:kern w:val="0"/>
                <w:szCs w:val="21"/>
                <w:lang w:eastAsia="zh-CN"/>
              </w:rPr>
              <w:t>VOCs（非甲烷总烃）</w:t>
            </w:r>
          </w:p>
        </w:tc>
        <w:tc>
          <w:tcPr>
            <w:tcW w:w="1910" w:type="dxa"/>
            <w:vAlign w:val="center"/>
          </w:tcPr>
          <w:p>
            <w:pPr>
              <w:snapToGrid w:val="0"/>
              <w:spacing w:line="240" w:lineRule="atLeast"/>
              <w:jc w:val="center"/>
              <w:rPr>
                <w:rFonts w:hint="eastAsia"/>
                <w:color w:val="auto"/>
                <w:kern w:val="0"/>
                <w:szCs w:val="21"/>
                <w:lang w:eastAsia="zh-CN"/>
              </w:rPr>
            </w:pPr>
            <w:r>
              <w:rPr>
                <w:rFonts w:hint="eastAsia"/>
                <w:color w:val="auto"/>
                <w:kern w:val="0"/>
                <w:szCs w:val="21"/>
                <w:lang w:val="en-US" w:eastAsia="zh-CN"/>
              </w:rPr>
              <w:t>18.76</w:t>
            </w:r>
          </w:p>
        </w:tc>
        <w:tc>
          <w:tcPr>
            <w:tcW w:w="1957" w:type="dxa"/>
            <w:vAlign w:val="center"/>
          </w:tcPr>
          <w:p>
            <w:pPr>
              <w:snapToGrid w:val="0"/>
              <w:spacing w:line="240" w:lineRule="atLeast"/>
              <w:jc w:val="center"/>
              <w:rPr>
                <w:rFonts w:hint="eastAsia"/>
                <w:color w:val="auto"/>
                <w:kern w:val="0"/>
                <w:szCs w:val="21"/>
                <w:lang w:eastAsia="zh-CN"/>
              </w:rPr>
            </w:pPr>
            <w:r>
              <w:rPr>
                <w:rFonts w:hint="eastAsia"/>
                <w:color w:val="auto"/>
                <w:kern w:val="0"/>
                <w:szCs w:val="21"/>
                <w:lang w:val="en-US" w:eastAsia="zh-CN"/>
              </w:rPr>
              <w:t>18.563</w:t>
            </w:r>
          </w:p>
        </w:tc>
        <w:tc>
          <w:tcPr>
            <w:tcW w:w="2036" w:type="dxa"/>
            <w:vAlign w:val="center"/>
          </w:tcPr>
          <w:p>
            <w:pPr>
              <w:snapToGrid w:val="0"/>
              <w:spacing w:line="240" w:lineRule="atLeast"/>
              <w:jc w:val="center"/>
              <w:rPr>
                <w:rFonts w:hint="eastAsia"/>
                <w:color w:val="auto"/>
                <w:kern w:val="0"/>
                <w:szCs w:val="21"/>
                <w:lang w:eastAsia="zh-CN"/>
              </w:rPr>
            </w:pPr>
            <w:r>
              <w:rPr>
                <w:rFonts w:hint="eastAsia"/>
                <w:color w:val="auto"/>
                <w:kern w:val="0"/>
                <w:szCs w:val="21"/>
                <w:lang w:val="en-US" w:eastAsia="zh-CN"/>
              </w:rPr>
              <w:t>0.197</w:t>
            </w:r>
          </w:p>
        </w:tc>
      </w:tr>
    </w:tbl>
    <w:p>
      <w:pPr>
        <w:adjustRightInd w:val="0"/>
        <w:snapToGrid w:val="0"/>
        <w:spacing w:line="520" w:lineRule="exact"/>
        <w:ind w:firstLine="480" w:firstLineChars="200"/>
        <w:rPr>
          <w:color w:val="auto"/>
          <w:szCs w:val="21"/>
        </w:rPr>
      </w:pPr>
      <w:bookmarkStart w:id="394" w:name="_Toc14458"/>
      <w:r>
        <w:rPr>
          <w:color w:val="auto"/>
          <w:sz w:val="24"/>
          <w:szCs w:val="18"/>
        </w:rPr>
        <w:t>本项目</w:t>
      </w:r>
      <w:r>
        <w:rPr>
          <w:rFonts w:hint="eastAsia"/>
          <w:color w:val="auto"/>
          <w:sz w:val="24"/>
          <w:szCs w:val="18"/>
        </w:rPr>
        <w:t>污水仅为生活污水，纳入</w:t>
      </w:r>
      <w:r>
        <w:rPr>
          <w:rFonts w:hint="eastAsia"/>
          <w:color w:val="auto"/>
          <w:sz w:val="24"/>
          <w:szCs w:val="18"/>
          <w:lang w:eastAsia="zh-CN"/>
        </w:rPr>
        <w:t>宁国市污水处理厂</w:t>
      </w:r>
      <w:r>
        <w:rPr>
          <w:rFonts w:hint="eastAsia"/>
          <w:color w:val="auto"/>
          <w:sz w:val="24"/>
          <w:szCs w:val="18"/>
        </w:rPr>
        <w:t>总量范围内，不申请总量，</w:t>
      </w:r>
      <w:r>
        <w:rPr>
          <w:color w:val="auto"/>
          <w:sz w:val="24"/>
          <w:szCs w:val="18"/>
        </w:rPr>
        <w:t>总量申请</w:t>
      </w:r>
      <w:r>
        <w:rPr>
          <w:rFonts w:hint="eastAsia"/>
          <w:color w:val="auto"/>
          <w:sz w:val="24"/>
          <w:szCs w:val="18"/>
          <w:lang w:eastAsia="zh-CN"/>
        </w:rPr>
        <w:t>为VOCs：</w:t>
      </w:r>
      <w:r>
        <w:rPr>
          <w:rFonts w:hint="eastAsia"/>
          <w:color w:val="auto"/>
          <w:sz w:val="24"/>
          <w:szCs w:val="18"/>
          <w:lang w:val="en-US" w:eastAsia="zh-CN"/>
        </w:rPr>
        <w:t>0.197t</w:t>
      </w:r>
      <w:r>
        <w:rPr>
          <w:rFonts w:hint="eastAsia"/>
          <w:color w:val="auto"/>
          <w:sz w:val="24"/>
          <w:szCs w:val="18"/>
          <w:lang w:eastAsia="zh-CN"/>
        </w:rPr>
        <w:t>/a，颗粒物：</w:t>
      </w:r>
      <w:r>
        <w:rPr>
          <w:rFonts w:hint="eastAsia"/>
          <w:color w:val="auto"/>
          <w:sz w:val="24"/>
          <w:szCs w:val="18"/>
          <w:lang w:val="en-US" w:eastAsia="zh-CN"/>
        </w:rPr>
        <w:t>0.0063t/a</w:t>
      </w:r>
      <w:r>
        <w:rPr>
          <w:rFonts w:hint="eastAsia"/>
          <w:color w:val="auto"/>
          <w:sz w:val="24"/>
          <w:szCs w:val="18"/>
          <w:lang w:eastAsia="zh-CN"/>
        </w:rPr>
        <w:t>。</w:t>
      </w:r>
    </w:p>
    <w:p>
      <w:pPr>
        <w:pStyle w:val="4"/>
        <w:spacing w:line="520" w:lineRule="exact"/>
        <w:rPr>
          <w:rFonts w:ascii="Times New Roman" w:hAnsi="Times New Roman"/>
          <w:b/>
          <w:color w:val="auto"/>
        </w:rPr>
      </w:pPr>
      <w:bookmarkStart w:id="395" w:name="_Toc1176"/>
      <w:r>
        <w:rPr>
          <w:rFonts w:hint="eastAsia" w:ascii="Times New Roman" w:hAnsi="Times New Roman"/>
          <w:b/>
          <w:color w:val="auto"/>
        </w:rPr>
        <w:t>9</w:t>
      </w:r>
      <w:r>
        <w:rPr>
          <w:rFonts w:ascii="Times New Roman" w:hAnsi="Times New Roman"/>
          <w:b/>
          <w:color w:val="auto"/>
        </w:rPr>
        <w:t>.6污染物排放管理</w:t>
      </w:r>
      <w:bookmarkEnd w:id="394"/>
      <w:bookmarkEnd w:id="395"/>
    </w:p>
    <w:p>
      <w:pPr>
        <w:adjustRightInd w:val="0"/>
        <w:snapToGrid w:val="0"/>
        <w:spacing w:line="520" w:lineRule="exact"/>
        <w:rPr>
          <w:b/>
          <w:bCs/>
          <w:color w:val="auto"/>
          <w:sz w:val="24"/>
        </w:rPr>
      </w:pPr>
      <w:r>
        <w:rPr>
          <w:rFonts w:hint="eastAsia"/>
          <w:b/>
          <w:bCs/>
          <w:color w:val="auto"/>
          <w:sz w:val="24"/>
        </w:rPr>
        <w:t>9</w:t>
      </w:r>
      <w:r>
        <w:rPr>
          <w:b/>
          <w:bCs/>
          <w:color w:val="auto"/>
          <w:sz w:val="24"/>
        </w:rPr>
        <w:t>.6.1工程组成</w:t>
      </w:r>
    </w:p>
    <w:p>
      <w:pPr>
        <w:adjustRightInd w:val="0"/>
        <w:snapToGrid w:val="0"/>
        <w:spacing w:line="520" w:lineRule="exact"/>
        <w:ind w:firstLine="480" w:firstLineChars="200"/>
        <w:rPr>
          <w:color w:val="auto"/>
          <w:sz w:val="24"/>
          <w:szCs w:val="18"/>
        </w:rPr>
      </w:pPr>
      <w:r>
        <w:rPr>
          <w:rFonts w:hint="eastAsia"/>
          <w:color w:val="auto"/>
          <w:sz w:val="24"/>
          <w:szCs w:val="18"/>
        </w:rPr>
        <w:t>利用</w:t>
      </w:r>
      <w:r>
        <w:rPr>
          <w:color w:val="auto"/>
          <w:sz w:val="24"/>
          <w:szCs w:val="18"/>
        </w:rPr>
        <w:t>现有厂房1栋</w:t>
      </w:r>
      <w:r>
        <w:rPr>
          <w:rFonts w:hint="eastAsia"/>
          <w:color w:val="auto"/>
          <w:sz w:val="24"/>
          <w:szCs w:val="18"/>
        </w:rPr>
        <w:t>（2</w:t>
      </w:r>
      <w:r>
        <w:rPr>
          <w:rFonts w:hint="eastAsia"/>
          <w:color w:val="auto"/>
          <w:sz w:val="24"/>
          <w:szCs w:val="18"/>
          <w:lang w:eastAsia="zh-CN"/>
        </w:rPr>
        <w:t>跨</w:t>
      </w:r>
      <w:r>
        <w:rPr>
          <w:rFonts w:hint="eastAsia"/>
          <w:color w:val="auto"/>
          <w:sz w:val="24"/>
          <w:szCs w:val="18"/>
        </w:rPr>
        <w:t>）</w:t>
      </w:r>
      <w:r>
        <w:rPr>
          <w:color w:val="auto"/>
          <w:sz w:val="24"/>
          <w:szCs w:val="18"/>
        </w:rPr>
        <w:t>。</w:t>
      </w:r>
    </w:p>
    <w:p>
      <w:pPr>
        <w:adjustRightInd w:val="0"/>
        <w:snapToGrid w:val="0"/>
        <w:spacing w:line="520" w:lineRule="exact"/>
        <w:rPr>
          <w:b/>
          <w:bCs/>
          <w:color w:val="auto"/>
          <w:sz w:val="24"/>
        </w:rPr>
      </w:pPr>
      <w:r>
        <w:rPr>
          <w:rFonts w:hint="eastAsia"/>
          <w:b/>
          <w:bCs/>
          <w:color w:val="auto"/>
          <w:sz w:val="24"/>
        </w:rPr>
        <w:t>9</w:t>
      </w:r>
      <w:r>
        <w:rPr>
          <w:b/>
          <w:bCs/>
          <w:color w:val="auto"/>
          <w:sz w:val="24"/>
        </w:rPr>
        <w:t>.6.2规模</w:t>
      </w:r>
    </w:p>
    <w:p>
      <w:pPr>
        <w:spacing w:line="520" w:lineRule="exact"/>
        <w:ind w:firstLine="480" w:firstLineChars="200"/>
        <w:rPr>
          <w:bCs/>
          <w:color w:val="auto"/>
          <w:kern w:val="0"/>
          <w:sz w:val="24"/>
        </w:rPr>
      </w:pPr>
      <w:r>
        <w:rPr>
          <w:bCs/>
          <w:color w:val="auto"/>
          <w:kern w:val="0"/>
          <w:sz w:val="24"/>
        </w:rPr>
        <w:t>可形成年</w:t>
      </w:r>
      <w:r>
        <w:rPr>
          <w:rFonts w:ascii="Times New Roman" w:hAnsi="Times New Roman" w:eastAsia="宋体" w:cs="Times New Roman"/>
          <w:color w:val="auto"/>
          <w:kern w:val="2"/>
          <w:sz w:val="24"/>
          <w:szCs w:val="20"/>
          <w:lang w:val="en-US" w:eastAsia="zh-CN" w:bidi="ar-SA"/>
        </w:rPr>
        <w:t>产</w:t>
      </w:r>
      <w:r>
        <w:rPr>
          <w:rFonts w:hint="eastAsia" w:ascii="Times New Roman" w:hAnsi="Times New Roman" w:eastAsia="宋体" w:cs="Times New Roman"/>
          <w:color w:val="auto"/>
          <w:kern w:val="2"/>
          <w:sz w:val="24"/>
          <w:szCs w:val="20"/>
          <w:lang w:val="en-US" w:eastAsia="zh-CN" w:bidi="ar-SA"/>
        </w:rPr>
        <w:t>100万平方米金属橡胶复合密封材料的生产规模</w:t>
      </w:r>
      <w:r>
        <w:rPr>
          <w:rFonts w:ascii="Times New Roman" w:hAnsi="Times New Roman" w:eastAsia="宋体" w:cs="Times New Roman"/>
          <w:color w:val="auto"/>
          <w:kern w:val="2"/>
          <w:sz w:val="24"/>
          <w:szCs w:val="20"/>
          <w:lang w:val="en-US" w:eastAsia="zh-CN" w:bidi="ar-SA"/>
        </w:rPr>
        <w:t>。</w:t>
      </w:r>
    </w:p>
    <w:p>
      <w:pPr>
        <w:adjustRightInd w:val="0"/>
        <w:snapToGrid w:val="0"/>
        <w:spacing w:line="520" w:lineRule="exact"/>
        <w:rPr>
          <w:b/>
          <w:bCs/>
          <w:color w:val="auto"/>
          <w:sz w:val="24"/>
        </w:rPr>
      </w:pPr>
      <w:r>
        <w:rPr>
          <w:rFonts w:hint="eastAsia"/>
          <w:b/>
          <w:bCs/>
          <w:color w:val="auto"/>
          <w:sz w:val="24"/>
        </w:rPr>
        <w:t>9</w:t>
      </w:r>
      <w:r>
        <w:rPr>
          <w:b/>
          <w:bCs/>
          <w:color w:val="auto"/>
          <w:sz w:val="24"/>
        </w:rPr>
        <w:t>.6.3需向社会公开信息</w:t>
      </w:r>
    </w:p>
    <w:p>
      <w:pPr>
        <w:pStyle w:val="15"/>
        <w:adjustRightInd w:val="0"/>
        <w:snapToGrid w:val="0"/>
        <w:spacing w:line="520" w:lineRule="exact"/>
        <w:ind w:firstLine="480"/>
        <w:rPr>
          <w:color w:val="auto"/>
        </w:rPr>
      </w:pPr>
      <w:r>
        <w:rPr>
          <w:color w:val="auto"/>
        </w:rPr>
        <w:t>（1）环境保护方针、年度环境保护目标及成效；</w:t>
      </w:r>
    </w:p>
    <w:p>
      <w:pPr>
        <w:pStyle w:val="15"/>
        <w:adjustRightInd w:val="0"/>
        <w:snapToGrid w:val="0"/>
        <w:spacing w:line="520" w:lineRule="exact"/>
        <w:ind w:firstLine="480"/>
        <w:rPr>
          <w:color w:val="auto"/>
        </w:rPr>
      </w:pPr>
      <w:r>
        <w:rPr>
          <w:color w:val="auto"/>
        </w:rPr>
        <w:t>（2）环保投资和环境技术开发情况；</w:t>
      </w:r>
    </w:p>
    <w:p>
      <w:pPr>
        <w:pStyle w:val="15"/>
        <w:adjustRightInd w:val="0"/>
        <w:snapToGrid w:val="0"/>
        <w:spacing w:line="520" w:lineRule="exact"/>
        <w:ind w:firstLine="480"/>
        <w:rPr>
          <w:color w:val="auto"/>
        </w:rPr>
      </w:pPr>
      <w:r>
        <w:rPr>
          <w:color w:val="auto"/>
        </w:rPr>
        <w:t>（3）排放污染物种类、数量、浓度和去向；</w:t>
      </w:r>
    </w:p>
    <w:p>
      <w:pPr>
        <w:pStyle w:val="15"/>
        <w:adjustRightInd w:val="0"/>
        <w:snapToGrid w:val="0"/>
        <w:spacing w:line="520" w:lineRule="exact"/>
        <w:ind w:firstLine="480"/>
        <w:rPr>
          <w:color w:val="auto"/>
        </w:rPr>
      </w:pPr>
      <w:r>
        <w:rPr>
          <w:color w:val="auto"/>
        </w:rPr>
        <w:t>（4）环保设施的建设和运行情况；</w:t>
      </w:r>
    </w:p>
    <w:p>
      <w:pPr>
        <w:pStyle w:val="15"/>
        <w:adjustRightInd w:val="0"/>
        <w:snapToGrid w:val="0"/>
        <w:spacing w:line="520" w:lineRule="exact"/>
        <w:ind w:firstLine="480"/>
        <w:rPr>
          <w:color w:val="auto"/>
        </w:rPr>
      </w:pPr>
      <w:r>
        <w:rPr>
          <w:color w:val="auto"/>
        </w:rPr>
        <w:t>（5）生产产生的废物的处理、处置情况，资源的回收、综合利用情况；</w:t>
      </w:r>
    </w:p>
    <w:p>
      <w:pPr>
        <w:pStyle w:val="15"/>
        <w:adjustRightInd w:val="0"/>
        <w:snapToGrid w:val="0"/>
        <w:spacing w:line="520" w:lineRule="exact"/>
        <w:ind w:firstLine="480"/>
        <w:rPr>
          <w:color w:val="auto"/>
        </w:rPr>
      </w:pPr>
      <w:r>
        <w:rPr>
          <w:color w:val="auto"/>
        </w:rPr>
        <w:t>（6）与环保部门签订的改善环境行为的自愿协议；</w:t>
      </w:r>
    </w:p>
    <w:p>
      <w:pPr>
        <w:pStyle w:val="15"/>
        <w:adjustRightInd w:val="0"/>
        <w:snapToGrid w:val="0"/>
        <w:spacing w:line="520" w:lineRule="exact"/>
        <w:ind w:firstLine="480"/>
        <w:rPr>
          <w:color w:val="auto"/>
        </w:rPr>
      </w:pPr>
      <w:r>
        <w:rPr>
          <w:color w:val="auto"/>
        </w:rPr>
        <w:t>（7）企业履行社会责任的情况；</w:t>
      </w:r>
    </w:p>
    <w:p>
      <w:pPr>
        <w:pStyle w:val="15"/>
        <w:adjustRightInd w:val="0"/>
        <w:snapToGrid w:val="0"/>
        <w:spacing w:line="520" w:lineRule="exact"/>
        <w:ind w:firstLine="480"/>
        <w:rPr>
          <w:color w:val="auto"/>
        </w:rPr>
      </w:pPr>
      <w:r>
        <w:rPr>
          <w:color w:val="auto"/>
        </w:rPr>
        <w:t>（8）企业自愿公开的其他环境信息。</w:t>
      </w:r>
    </w:p>
    <w:p>
      <w:pPr>
        <w:pStyle w:val="15"/>
        <w:snapToGrid w:val="0"/>
        <w:spacing w:line="520" w:lineRule="exact"/>
        <w:ind w:firstLine="480"/>
        <w:rPr>
          <w:color w:val="auto"/>
        </w:rPr>
      </w:pPr>
    </w:p>
    <w:p>
      <w:pPr>
        <w:pStyle w:val="15"/>
        <w:snapToGrid w:val="0"/>
        <w:spacing w:line="520" w:lineRule="exact"/>
        <w:ind w:firstLine="480"/>
        <w:rPr>
          <w:b/>
          <w:color w:val="auto"/>
          <w:szCs w:val="24"/>
        </w:rPr>
      </w:pPr>
      <w:r>
        <w:rPr>
          <w:color w:val="auto"/>
        </w:rPr>
        <w:t>运营期主要环境保护措施及其运行参数、污染物种类、排放浓度、执行标准等内容见下表。</w:t>
      </w:r>
    </w:p>
    <w:p>
      <w:pPr>
        <w:pStyle w:val="252"/>
        <w:spacing w:line="520" w:lineRule="exact"/>
        <w:ind w:firstLine="0" w:firstLineChars="0"/>
        <w:jc w:val="center"/>
        <w:rPr>
          <w:b/>
          <w:color w:val="auto"/>
        </w:rPr>
      </w:pPr>
    </w:p>
    <w:p>
      <w:pPr>
        <w:pStyle w:val="252"/>
        <w:spacing w:line="520" w:lineRule="exact"/>
        <w:ind w:firstLine="0" w:firstLineChars="0"/>
        <w:jc w:val="center"/>
        <w:rPr>
          <w:b/>
          <w:color w:val="auto"/>
        </w:rPr>
      </w:pPr>
    </w:p>
    <w:p>
      <w:pPr>
        <w:pStyle w:val="252"/>
        <w:spacing w:line="520" w:lineRule="exact"/>
        <w:ind w:firstLine="0" w:firstLineChars="0"/>
        <w:jc w:val="center"/>
        <w:rPr>
          <w:color w:val="auto"/>
        </w:rPr>
      </w:pPr>
      <w:r>
        <w:rPr>
          <w:b/>
          <w:color w:val="auto"/>
        </w:rPr>
        <w:t>表</w:t>
      </w:r>
      <w:r>
        <w:rPr>
          <w:rFonts w:hint="eastAsia"/>
          <w:b/>
          <w:color w:val="auto"/>
        </w:rPr>
        <w:t>9</w:t>
      </w:r>
      <w:r>
        <w:rPr>
          <w:b/>
          <w:color w:val="auto"/>
        </w:rPr>
        <w:t>-</w:t>
      </w:r>
      <w:r>
        <w:rPr>
          <w:rFonts w:hint="eastAsia"/>
          <w:b/>
          <w:color w:val="auto"/>
          <w:lang w:val="en-US" w:eastAsia="zh-CN"/>
        </w:rPr>
        <w:t>9</w:t>
      </w:r>
      <w:r>
        <w:rPr>
          <w:b/>
          <w:color w:val="auto"/>
        </w:rPr>
        <w:t xml:space="preserve">   </w:t>
      </w:r>
      <w:r>
        <w:rPr>
          <w:b/>
          <w:bCs/>
          <w:color w:val="auto"/>
        </w:rPr>
        <w:t>污染物排放清单</w:t>
      </w:r>
    </w:p>
    <w:tbl>
      <w:tblPr>
        <w:tblStyle w:val="5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89"/>
        <w:gridCol w:w="1321"/>
        <w:gridCol w:w="1815"/>
        <w:gridCol w:w="1245"/>
        <w:gridCol w:w="1350"/>
        <w:gridCol w:w="1020"/>
        <w:gridCol w:w="15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trPr>
        <w:tc>
          <w:tcPr>
            <w:tcW w:w="689" w:type="dxa"/>
            <w:vAlign w:val="center"/>
          </w:tcPr>
          <w:p>
            <w:pPr>
              <w:spacing w:line="260" w:lineRule="exact"/>
              <w:jc w:val="center"/>
              <w:rPr>
                <w:b/>
                <w:bCs/>
                <w:color w:val="auto"/>
                <w:szCs w:val="21"/>
              </w:rPr>
            </w:pPr>
            <w:r>
              <w:rPr>
                <w:b/>
                <w:bCs/>
                <w:color w:val="auto"/>
                <w:szCs w:val="21"/>
              </w:rPr>
              <w:t>污染源</w:t>
            </w:r>
          </w:p>
        </w:tc>
        <w:tc>
          <w:tcPr>
            <w:tcW w:w="1321" w:type="dxa"/>
            <w:vAlign w:val="center"/>
          </w:tcPr>
          <w:p>
            <w:pPr>
              <w:spacing w:line="260" w:lineRule="exact"/>
              <w:jc w:val="center"/>
              <w:rPr>
                <w:b/>
                <w:bCs/>
                <w:color w:val="auto"/>
                <w:szCs w:val="21"/>
              </w:rPr>
            </w:pPr>
            <w:r>
              <w:rPr>
                <w:b/>
                <w:bCs/>
                <w:color w:val="auto"/>
                <w:szCs w:val="21"/>
              </w:rPr>
              <w:t>污染物种类</w:t>
            </w:r>
          </w:p>
        </w:tc>
        <w:tc>
          <w:tcPr>
            <w:tcW w:w="1815" w:type="dxa"/>
            <w:vAlign w:val="center"/>
          </w:tcPr>
          <w:p>
            <w:pPr>
              <w:spacing w:line="260" w:lineRule="exact"/>
              <w:jc w:val="center"/>
              <w:rPr>
                <w:b/>
                <w:bCs/>
                <w:color w:val="auto"/>
                <w:szCs w:val="21"/>
              </w:rPr>
            </w:pPr>
            <w:r>
              <w:rPr>
                <w:b/>
                <w:bCs/>
                <w:color w:val="auto"/>
                <w:szCs w:val="21"/>
              </w:rPr>
              <w:t>环保措施</w:t>
            </w:r>
          </w:p>
        </w:tc>
        <w:tc>
          <w:tcPr>
            <w:tcW w:w="1245" w:type="dxa"/>
            <w:vAlign w:val="center"/>
          </w:tcPr>
          <w:p>
            <w:pPr>
              <w:spacing w:line="260" w:lineRule="exact"/>
              <w:jc w:val="center"/>
              <w:rPr>
                <w:b/>
                <w:bCs/>
                <w:color w:val="auto"/>
                <w:szCs w:val="21"/>
              </w:rPr>
            </w:pPr>
            <w:r>
              <w:rPr>
                <w:b/>
                <w:bCs/>
                <w:color w:val="auto"/>
                <w:szCs w:val="21"/>
              </w:rPr>
              <w:t>排放口信息</w:t>
            </w:r>
          </w:p>
        </w:tc>
        <w:tc>
          <w:tcPr>
            <w:tcW w:w="1350" w:type="dxa"/>
            <w:vAlign w:val="center"/>
          </w:tcPr>
          <w:p>
            <w:pPr>
              <w:adjustRightInd w:val="0"/>
              <w:snapToGrid w:val="0"/>
              <w:spacing w:line="260" w:lineRule="exact"/>
              <w:jc w:val="center"/>
              <w:rPr>
                <w:b/>
                <w:bCs/>
                <w:color w:val="auto"/>
                <w:szCs w:val="21"/>
              </w:rPr>
            </w:pPr>
            <w:r>
              <w:rPr>
                <w:b/>
                <w:bCs/>
                <w:color w:val="auto"/>
                <w:szCs w:val="21"/>
              </w:rPr>
              <w:t>主要运行参数</w:t>
            </w:r>
          </w:p>
        </w:tc>
        <w:tc>
          <w:tcPr>
            <w:tcW w:w="1020" w:type="dxa"/>
            <w:vAlign w:val="center"/>
          </w:tcPr>
          <w:p>
            <w:pPr>
              <w:adjustRightInd w:val="0"/>
              <w:snapToGrid w:val="0"/>
              <w:spacing w:line="260" w:lineRule="exact"/>
              <w:jc w:val="center"/>
              <w:rPr>
                <w:b/>
                <w:bCs/>
                <w:color w:val="auto"/>
                <w:szCs w:val="21"/>
              </w:rPr>
            </w:pPr>
            <w:r>
              <w:rPr>
                <w:b/>
                <w:bCs/>
                <w:color w:val="auto"/>
                <w:szCs w:val="21"/>
              </w:rPr>
              <w:t>排放情况t/a</w:t>
            </w:r>
          </w:p>
        </w:tc>
        <w:tc>
          <w:tcPr>
            <w:tcW w:w="1512" w:type="dxa"/>
            <w:vAlign w:val="center"/>
          </w:tcPr>
          <w:p>
            <w:pPr>
              <w:adjustRightInd w:val="0"/>
              <w:snapToGrid w:val="0"/>
              <w:spacing w:line="260" w:lineRule="exact"/>
              <w:jc w:val="center"/>
              <w:rPr>
                <w:b/>
                <w:bCs/>
                <w:color w:val="auto"/>
                <w:szCs w:val="21"/>
              </w:rPr>
            </w:pPr>
            <w:r>
              <w:rPr>
                <w:b/>
                <w:bCs/>
                <w:color w:val="auto"/>
                <w:szCs w:val="21"/>
              </w:rPr>
              <w:t>执行标准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trPr>
        <w:tc>
          <w:tcPr>
            <w:tcW w:w="689" w:type="dxa"/>
            <w:vAlign w:val="center"/>
          </w:tcPr>
          <w:p>
            <w:pPr>
              <w:spacing w:line="260" w:lineRule="exact"/>
              <w:jc w:val="center"/>
              <w:rPr>
                <w:rFonts w:hint="eastAsia" w:eastAsia="宋体"/>
                <w:color w:val="auto"/>
                <w:szCs w:val="21"/>
                <w:lang w:eastAsia="zh-CN"/>
              </w:rPr>
            </w:pPr>
            <w:r>
              <w:rPr>
                <w:rFonts w:hint="eastAsia"/>
                <w:color w:val="auto"/>
                <w:lang w:eastAsia="zh-CN"/>
              </w:rPr>
              <w:t>1#排气筒</w:t>
            </w:r>
          </w:p>
        </w:tc>
        <w:tc>
          <w:tcPr>
            <w:tcW w:w="1321" w:type="dxa"/>
            <w:vAlign w:val="center"/>
          </w:tcPr>
          <w:p>
            <w:pPr>
              <w:spacing w:line="260" w:lineRule="exact"/>
              <w:jc w:val="center"/>
              <w:rPr>
                <w:rFonts w:ascii="Times New Roman" w:hAnsi="Times New Roman" w:eastAsia="宋体" w:cs="Times New Roman"/>
                <w:snapToGrid w:val="0"/>
                <w:color w:val="auto"/>
                <w:kern w:val="2"/>
                <w:sz w:val="21"/>
                <w:szCs w:val="21"/>
                <w:lang w:val="en-US" w:eastAsia="zh-CN" w:bidi="ar-SA"/>
              </w:rPr>
            </w:pPr>
            <w:r>
              <w:rPr>
                <w:rFonts w:hint="eastAsia"/>
                <w:snapToGrid w:val="0"/>
                <w:color w:val="auto"/>
                <w:szCs w:val="21"/>
              </w:rPr>
              <w:t>烟尘（</w:t>
            </w:r>
            <w:r>
              <w:rPr>
                <w:rFonts w:hint="eastAsia"/>
                <w:snapToGrid w:val="0"/>
                <w:color w:val="auto"/>
                <w:szCs w:val="21"/>
                <w:lang w:eastAsia="zh-CN"/>
              </w:rPr>
              <w:t>有</w:t>
            </w:r>
            <w:r>
              <w:rPr>
                <w:rFonts w:hint="eastAsia"/>
                <w:snapToGrid w:val="0"/>
                <w:color w:val="auto"/>
                <w:szCs w:val="21"/>
              </w:rPr>
              <w:t>组织）</w:t>
            </w:r>
          </w:p>
        </w:tc>
        <w:tc>
          <w:tcPr>
            <w:tcW w:w="1815" w:type="dxa"/>
            <w:vAlign w:val="center"/>
          </w:tcPr>
          <w:p>
            <w:pPr>
              <w:spacing w:line="260" w:lineRule="exact"/>
              <w:jc w:val="center"/>
              <w:rPr>
                <w:rFonts w:hint="eastAsia" w:ascii="Times New Roman" w:hAnsi="Times New Roman" w:eastAsia="宋体" w:cs="Times New Roman"/>
                <w:color w:val="auto"/>
                <w:kern w:val="2"/>
                <w:sz w:val="21"/>
                <w:szCs w:val="24"/>
                <w:lang w:val="en-US" w:eastAsia="zh-CN" w:bidi="ar-SA"/>
              </w:rPr>
            </w:pPr>
            <w:r>
              <w:rPr>
                <w:rFonts w:hint="eastAsia"/>
                <w:bCs/>
                <w:color w:val="auto"/>
                <w:szCs w:val="21"/>
                <w:lang w:eastAsia="zh-CN"/>
              </w:rPr>
              <w:t>配料粉尘：</w:t>
            </w:r>
            <w:r>
              <w:rPr>
                <w:rFonts w:hint="eastAsia"/>
                <w:color w:val="auto"/>
              </w:rPr>
              <w:t>集气装置</w:t>
            </w:r>
            <w:r>
              <w:rPr>
                <w:color w:val="auto"/>
              </w:rPr>
              <w:t>+</w:t>
            </w:r>
            <w:r>
              <w:rPr>
                <w:rFonts w:hint="eastAsia"/>
                <w:bCs/>
                <w:color w:val="auto"/>
                <w:szCs w:val="21"/>
                <w:lang w:eastAsia="zh-CN"/>
              </w:rPr>
              <w:t>布袋除尘器</w:t>
            </w:r>
            <w:r>
              <w:rPr>
                <w:color w:val="auto"/>
              </w:rPr>
              <w:t>+1根15m高排气筒</w:t>
            </w:r>
          </w:p>
        </w:tc>
        <w:tc>
          <w:tcPr>
            <w:tcW w:w="1245" w:type="dxa"/>
            <w:vAlign w:val="center"/>
          </w:tcPr>
          <w:p>
            <w:pPr>
              <w:adjustRightInd w:val="0"/>
              <w:snapToGrid w:val="0"/>
              <w:spacing w:line="260" w:lineRule="exact"/>
              <w:jc w:val="center"/>
              <w:rPr>
                <w:color w:val="auto"/>
              </w:rPr>
            </w:pPr>
            <w:r>
              <w:rPr>
                <w:color w:val="auto"/>
              </w:rPr>
              <w:t>高15m，</w:t>
            </w:r>
          </w:p>
          <w:p>
            <w:pPr>
              <w:adjustRightInd w:val="0"/>
              <w:snapToGrid w:val="0"/>
              <w:spacing w:line="260" w:lineRule="exact"/>
              <w:jc w:val="center"/>
              <w:rPr>
                <w:color w:val="auto"/>
              </w:rPr>
            </w:pPr>
            <w:r>
              <w:rPr>
                <w:color w:val="auto"/>
              </w:rPr>
              <w:t>内径0.</w:t>
            </w:r>
            <w:r>
              <w:rPr>
                <w:rFonts w:hint="eastAsia"/>
                <w:color w:val="auto"/>
                <w:lang w:val="en-US" w:eastAsia="zh-CN"/>
              </w:rPr>
              <w:t>3</w:t>
            </w:r>
            <w:r>
              <w:rPr>
                <w:color w:val="auto"/>
              </w:rPr>
              <w:t>m，</w:t>
            </w:r>
          </w:p>
          <w:p>
            <w:pPr>
              <w:spacing w:line="260" w:lineRule="exact"/>
              <w:jc w:val="center"/>
              <w:rPr>
                <w:color w:val="auto"/>
              </w:rPr>
            </w:pPr>
            <w:r>
              <w:rPr>
                <w:color w:val="auto"/>
              </w:rPr>
              <w:t>去向：大气；</w:t>
            </w:r>
          </w:p>
        </w:tc>
        <w:tc>
          <w:tcPr>
            <w:tcW w:w="1350" w:type="dxa"/>
            <w:vAlign w:val="center"/>
          </w:tcPr>
          <w:p>
            <w:pPr>
              <w:adjustRightInd w:val="0"/>
              <w:snapToGrid w:val="0"/>
              <w:spacing w:line="260" w:lineRule="exact"/>
              <w:jc w:val="center"/>
              <w:rPr>
                <w:color w:val="auto"/>
              </w:rPr>
            </w:pPr>
            <w:r>
              <w:rPr>
                <w:color w:val="auto"/>
              </w:rPr>
              <w:t>风量</w:t>
            </w:r>
            <w:r>
              <w:rPr>
                <w:rFonts w:hint="eastAsia"/>
                <w:color w:val="auto"/>
                <w:lang w:val="en-US" w:eastAsia="zh-CN"/>
              </w:rPr>
              <w:t>3</w:t>
            </w:r>
            <w:r>
              <w:rPr>
                <w:color w:val="auto"/>
              </w:rPr>
              <w:t>000m</w:t>
            </w:r>
            <w:r>
              <w:rPr>
                <w:color w:val="auto"/>
                <w:vertAlign w:val="superscript"/>
              </w:rPr>
              <w:t>3</w:t>
            </w:r>
            <w:r>
              <w:rPr>
                <w:color w:val="auto"/>
              </w:rPr>
              <w:t>/h，</w:t>
            </w:r>
          </w:p>
          <w:p>
            <w:pPr>
              <w:adjustRightInd w:val="0"/>
              <w:snapToGrid w:val="0"/>
              <w:spacing w:line="260" w:lineRule="exact"/>
              <w:jc w:val="center"/>
              <w:rPr>
                <w:color w:val="auto"/>
              </w:rPr>
            </w:pPr>
            <w:r>
              <w:rPr>
                <w:rFonts w:hint="eastAsia"/>
                <w:bCs/>
                <w:color w:val="auto"/>
                <w:szCs w:val="21"/>
                <w:lang w:eastAsia="zh-CN"/>
              </w:rPr>
              <w:t>布袋除尘器净化效率</w:t>
            </w:r>
            <w:r>
              <w:rPr>
                <w:color w:val="auto"/>
              </w:rPr>
              <w:t>9</w:t>
            </w:r>
            <w:r>
              <w:rPr>
                <w:rFonts w:hint="eastAsia"/>
                <w:color w:val="auto"/>
                <w:lang w:val="en-US" w:eastAsia="zh-CN"/>
              </w:rPr>
              <w:t>9</w:t>
            </w:r>
            <w:r>
              <w:rPr>
                <w:color w:val="auto"/>
              </w:rPr>
              <w:t>%</w:t>
            </w:r>
          </w:p>
        </w:tc>
        <w:tc>
          <w:tcPr>
            <w:tcW w:w="1020" w:type="dxa"/>
            <w:vAlign w:val="center"/>
          </w:tcPr>
          <w:p>
            <w:pPr>
              <w:keepNext w:val="0"/>
              <w:keepLines w:val="0"/>
              <w:widowControl/>
              <w:suppressLineNumbers w:val="0"/>
              <w:jc w:val="center"/>
              <w:textAlignment w:val="center"/>
              <w:rPr>
                <w:bCs/>
                <w:color w:val="auto"/>
                <w:szCs w:val="21"/>
              </w:rPr>
            </w:pPr>
            <w:r>
              <w:rPr>
                <w:rFonts w:hint="eastAsia" w:ascii="宋体" w:hAnsi="宋体" w:eastAsia="宋体" w:cs="宋体"/>
                <w:i w:val="0"/>
                <w:color w:val="000000"/>
                <w:kern w:val="0"/>
                <w:sz w:val="21"/>
                <w:szCs w:val="21"/>
                <w:u w:val="none"/>
                <w:lang w:val="en-US" w:eastAsia="zh-CN" w:bidi="ar"/>
              </w:rPr>
              <w:t>0.0023</w:t>
            </w:r>
          </w:p>
        </w:tc>
        <w:tc>
          <w:tcPr>
            <w:tcW w:w="1512" w:type="dxa"/>
            <w:vAlign w:val="center"/>
          </w:tcPr>
          <w:p>
            <w:pPr>
              <w:tabs>
                <w:tab w:val="left" w:pos="2700"/>
              </w:tabs>
              <w:spacing w:line="260" w:lineRule="exact"/>
              <w:jc w:val="center"/>
              <w:rPr>
                <w:bCs/>
                <w:color w:val="auto"/>
                <w:szCs w:val="21"/>
              </w:rPr>
            </w:pPr>
            <w:r>
              <w:rPr>
                <w:rFonts w:hint="eastAsia"/>
                <w:bCs/>
                <w:color w:val="auto"/>
                <w:szCs w:val="21"/>
                <w:lang w:eastAsia="zh-CN"/>
              </w:rPr>
              <w:t>颗粒物</w:t>
            </w:r>
            <w:r>
              <w:rPr>
                <w:bCs/>
                <w:color w:val="auto"/>
                <w:szCs w:val="21"/>
              </w:rPr>
              <w:t>满足《橡胶制品工业污染物排放标准》（GB27632-2011）标准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trPr>
        <w:tc>
          <w:tcPr>
            <w:tcW w:w="689" w:type="dxa"/>
            <w:vMerge w:val="restart"/>
            <w:vAlign w:val="center"/>
          </w:tcPr>
          <w:p>
            <w:pPr>
              <w:spacing w:line="260" w:lineRule="exact"/>
              <w:jc w:val="center"/>
              <w:rPr>
                <w:rFonts w:hint="eastAsia" w:eastAsia="宋体"/>
                <w:color w:val="auto"/>
                <w:szCs w:val="21"/>
                <w:lang w:eastAsia="zh-CN"/>
              </w:rPr>
            </w:pPr>
            <w:r>
              <w:rPr>
                <w:rFonts w:hint="eastAsia"/>
                <w:bCs/>
                <w:color w:val="auto"/>
                <w:kern w:val="0"/>
                <w:szCs w:val="21"/>
                <w:lang w:eastAsia="zh-CN"/>
              </w:rPr>
              <w:t>2#排气筒</w:t>
            </w:r>
          </w:p>
        </w:tc>
        <w:tc>
          <w:tcPr>
            <w:tcW w:w="1321" w:type="dxa"/>
            <w:vAlign w:val="center"/>
          </w:tcPr>
          <w:p>
            <w:pPr>
              <w:keepNext w:val="0"/>
              <w:keepLines w:val="0"/>
              <w:widowControl/>
              <w:suppressLineNumbers w:val="0"/>
              <w:jc w:val="center"/>
              <w:textAlignment w:val="center"/>
              <w:rPr>
                <w:bCs/>
                <w:color w:val="auto"/>
                <w:szCs w:val="21"/>
              </w:rPr>
            </w:pPr>
            <w:r>
              <w:rPr>
                <w:rFonts w:hint="eastAsia" w:ascii="宋体" w:hAnsi="宋体" w:eastAsia="宋体" w:cs="宋体"/>
                <w:i w:val="0"/>
                <w:color w:val="000000"/>
                <w:kern w:val="0"/>
                <w:sz w:val="21"/>
                <w:szCs w:val="21"/>
                <w:u w:val="none"/>
                <w:lang w:val="en-US" w:eastAsia="zh-CN" w:bidi="ar"/>
              </w:rPr>
              <w:t>颗粒物</w:t>
            </w:r>
          </w:p>
        </w:tc>
        <w:tc>
          <w:tcPr>
            <w:tcW w:w="1815" w:type="dxa"/>
            <w:vMerge w:val="restart"/>
            <w:vAlign w:val="center"/>
          </w:tcPr>
          <w:p>
            <w:pPr>
              <w:pStyle w:val="109"/>
              <w:spacing w:line="260" w:lineRule="exact"/>
              <w:rPr>
                <w:rFonts w:ascii="Times New Roman" w:hAnsi="Times New Roman" w:eastAsia="宋体" w:cs="Times New Roman"/>
                <w:color w:val="auto"/>
                <w:kern w:val="2"/>
                <w:sz w:val="21"/>
                <w:szCs w:val="21"/>
                <w:lang w:val="en-US" w:eastAsia="zh-CN" w:bidi="ar-SA"/>
              </w:rPr>
            </w:pPr>
            <w:r>
              <w:rPr>
                <w:rFonts w:hint="eastAsia"/>
                <w:bCs/>
                <w:color w:val="auto"/>
                <w:szCs w:val="21"/>
              </w:rPr>
              <w:t>配胶、开炼、密炼</w:t>
            </w:r>
            <w:r>
              <w:rPr>
                <w:rFonts w:hint="eastAsia"/>
                <w:bCs/>
                <w:color w:val="auto"/>
                <w:szCs w:val="21"/>
                <w:lang w:eastAsia="zh-CN"/>
              </w:rPr>
              <w:t>废气</w:t>
            </w:r>
            <w:r>
              <w:rPr>
                <w:color w:val="auto"/>
              </w:rPr>
              <w:t>：</w:t>
            </w:r>
            <w:r>
              <w:rPr>
                <w:rFonts w:hint="eastAsia"/>
                <w:color w:val="auto"/>
              </w:rPr>
              <w:t>集气装置</w:t>
            </w:r>
            <w:r>
              <w:rPr>
                <w:color w:val="auto"/>
              </w:rPr>
              <w:t>+</w:t>
            </w:r>
            <w:r>
              <w:rPr>
                <w:rFonts w:hint="eastAsia"/>
                <w:color w:val="auto"/>
                <w:lang w:eastAsia="zh-CN"/>
              </w:rPr>
              <w:t>布袋除尘器（</w:t>
            </w:r>
            <w:r>
              <w:rPr>
                <w:rFonts w:hint="eastAsia"/>
                <w:color w:val="auto"/>
                <w:lang w:val="en-US" w:eastAsia="zh-CN"/>
              </w:rPr>
              <w:t>2套</w:t>
            </w:r>
            <w:r>
              <w:rPr>
                <w:rFonts w:hint="eastAsia"/>
                <w:color w:val="auto"/>
                <w:lang w:eastAsia="zh-CN"/>
              </w:rPr>
              <w:t>）</w:t>
            </w:r>
            <w:r>
              <w:rPr>
                <w:rFonts w:hint="eastAsia"/>
                <w:color w:val="auto"/>
                <w:lang w:val="en-US" w:eastAsia="zh-CN"/>
              </w:rPr>
              <w:t>+</w:t>
            </w:r>
            <w:r>
              <w:rPr>
                <w:rFonts w:hint="eastAsia"/>
                <w:color w:val="auto"/>
              </w:rPr>
              <w:t>二级活性炭净化装置</w:t>
            </w:r>
            <w:r>
              <w:rPr>
                <w:color w:val="auto"/>
              </w:rPr>
              <w:t>+1根15m高排气筒</w:t>
            </w:r>
          </w:p>
        </w:tc>
        <w:tc>
          <w:tcPr>
            <w:tcW w:w="1245" w:type="dxa"/>
            <w:vMerge w:val="restart"/>
            <w:vAlign w:val="center"/>
          </w:tcPr>
          <w:p>
            <w:pPr>
              <w:adjustRightInd w:val="0"/>
              <w:snapToGrid w:val="0"/>
              <w:spacing w:line="260" w:lineRule="exact"/>
              <w:jc w:val="center"/>
              <w:rPr>
                <w:color w:val="auto"/>
                <w:kern w:val="0"/>
                <w:szCs w:val="21"/>
              </w:rPr>
            </w:pPr>
            <w:r>
              <w:rPr>
                <w:color w:val="auto"/>
                <w:kern w:val="0"/>
                <w:szCs w:val="21"/>
              </w:rPr>
              <w:t>高15m，</w:t>
            </w:r>
          </w:p>
          <w:p>
            <w:pPr>
              <w:adjustRightInd w:val="0"/>
              <w:snapToGrid w:val="0"/>
              <w:spacing w:line="260" w:lineRule="exact"/>
              <w:jc w:val="center"/>
              <w:rPr>
                <w:color w:val="auto"/>
                <w:kern w:val="0"/>
                <w:szCs w:val="21"/>
              </w:rPr>
            </w:pPr>
            <w:r>
              <w:rPr>
                <w:color w:val="auto"/>
                <w:kern w:val="0"/>
                <w:szCs w:val="21"/>
              </w:rPr>
              <w:t>内径</w:t>
            </w:r>
            <w:r>
              <w:rPr>
                <w:color w:val="auto"/>
              </w:rPr>
              <w:t>0.</w:t>
            </w:r>
            <w:r>
              <w:rPr>
                <w:rFonts w:hint="eastAsia"/>
                <w:color w:val="auto"/>
                <w:lang w:val="en-US" w:eastAsia="zh-CN"/>
              </w:rPr>
              <w:t>6</w:t>
            </w:r>
            <w:r>
              <w:rPr>
                <w:color w:val="auto"/>
                <w:kern w:val="0"/>
                <w:szCs w:val="21"/>
              </w:rPr>
              <w:t>m，</w:t>
            </w:r>
          </w:p>
          <w:p>
            <w:pPr>
              <w:spacing w:line="260" w:lineRule="exact"/>
              <w:jc w:val="center"/>
              <w:rPr>
                <w:color w:val="auto"/>
                <w:szCs w:val="21"/>
              </w:rPr>
            </w:pPr>
            <w:r>
              <w:rPr>
                <w:color w:val="auto"/>
                <w:kern w:val="0"/>
                <w:szCs w:val="21"/>
              </w:rPr>
              <w:t>去向：大气</w:t>
            </w:r>
          </w:p>
        </w:tc>
        <w:tc>
          <w:tcPr>
            <w:tcW w:w="1350" w:type="dxa"/>
            <w:vMerge w:val="restart"/>
            <w:vAlign w:val="center"/>
          </w:tcPr>
          <w:p>
            <w:pPr>
              <w:adjustRightInd w:val="0"/>
              <w:snapToGrid w:val="0"/>
              <w:spacing w:line="260" w:lineRule="exact"/>
              <w:jc w:val="center"/>
              <w:rPr>
                <w:color w:val="auto"/>
                <w:szCs w:val="21"/>
              </w:rPr>
            </w:pPr>
            <w:r>
              <w:rPr>
                <w:color w:val="auto"/>
                <w:szCs w:val="21"/>
              </w:rPr>
              <w:t>风量20000m</w:t>
            </w:r>
            <w:r>
              <w:rPr>
                <w:color w:val="auto"/>
                <w:szCs w:val="21"/>
                <w:vertAlign w:val="superscript"/>
              </w:rPr>
              <w:t>3</w:t>
            </w:r>
            <w:r>
              <w:rPr>
                <w:color w:val="auto"/>
                <w:szCs w:val="21"/>
              </w:rPr>
              <w:t>/h，</w:t>
            </w:r>
          </w:p>
          <w:p>
            <w:pPr>
              <w:adjustRightInd w:val="0"/>
              <w:snapToGrid w:val="0"/>
              <w:spacing w:line="260" w:lineRule="exact"/>
              <w:jc w:val="center"/>
              <w:rPr>
                <w:color w:val="auto"/>
                <w:szCs w:val="21"/>
              </w:rPr>
            </w:pPr>
            <w:r>
              <w:rPr>
                <w:rFonts w:hint="eastAsia"/>
                <w:color w:val="auto"/>
                <w:lang w:eastAsia="zh-CN"/>
              </w:rPr>
              <w:t>二级</w:t>
            </w:r>
            <w:r>
              <w:rPr>
                <w:color w:val="auto"/>
              </w:rPr>
              <w:t>活性炭净化装置</w:t>
            </w:r>
            <w:r>
              <w:rPr>
                <w:rFonts w:hint="eastAsia"/>
                <w:color w:val="auto"/>
              </w:rPr>
              <w:t>综合</w:t>
            </w:r>
            <w:r>
              <w:rPr>
                <w:color w:val="auto"/>
              </w:rPr>
              <w:t>处理效率</w:t>
            </w:r>
            <w:r>
              <w:rPr>
                <w:rFonts w:hint="eastAsia"/>
                <w:color w:val="auto"/>
              </w:rPr>
              <w:t>9</w:t>
            </w:r>
            <w:r>
              <w:rPr>
                <w:rFonts w:hint="eastAsia"/>
                <w:color w:val="auto"/>
                <w:lang w:val="en-US" w:eastAsia="zh-CN"/>
              </w:rPr>
              <w:t>5</w:t>
            </w:r>
            <w:r>
              <w:rPr>
                <w:color w:val="auto"/>
              </w:rPr>
              <w:t>%；</w:t>
            </w:r>
          </w:p>
        </w:tc>
        <w:tc>
          <w:tcPr>
            <w:tcW w:w="1020" w:type="dxa"/>
            <w:vAlign w:val="center"/>
          </w:tcPr>
          <w:p>
            <w:pPr>
              <w:keepNext w:val="0"/>
              <w:keepLines w:val="0"/>
              <w:widowControl/>
              <w:suppressLineNumbers w:val="0"/>
              <w:jc w:val="center"/>
              <w:textAlignment w:val="center"/>
              <w:rPr>
                <w:bCs/>
                <w:color w:val="auto"/>
                <w:szCs w:val="21"/>
              </w:rPr>
            </w:pPr>
            <w:r>
              <w:rPr>
                <w:rFonts w:hint="eastAsia" w:ascii="宋体" w:hAnsi="宋体" w:eastAsia="宋体" w:cs="宋体"/>
                <w:i w:val="0"/>
                <w:color w:val="000000"/>
                <w:kern w:val="0"/>
                <w:sz w:val="21"/>
                <w:szCs w:val="21"/>
                <w:u w:val="none"/>
                <w:lang w:val="en-US" w:eastAsia="zh-CN" w:bidi="ar"/>
              </w:rPr>
              <w:t>0.004</w:t>
            </w:r>
          </w:p>
        </w:tc>
        <w:tc>
          <w:tcPr>
            <w:tcW w:w="1512" w:type="dxa"/>
            <w:vMerge w:val="restart"/>
            <w:vAlign w:val="center"/>
          </w:tcPr>
          <w:p>
            <w:pPr>
              <w:adjustRightInd w:val="0"/>
              <w:snapToGrid w:val="0"/>
              <w:spacing w:line="260" w:lineRule="exact"/>
              <w:jc w:val="center"/>
              <w:rPr>
                <w:color w:val="auto"/>
                <w:szCs w:val="21"/>
              </w:rPr>
            </w:pPr>
            <w:r>
              <w:rPr>
                <w:rFonts w:hint="eastAsia"/>
                <w:bCs/>
                <w:color w:val="auto"/>
                <w:szCs w:val="21"/>
                <w:lang w:eastAsia="zh-CN"/>
              </w:rPr>
              <w:t>颗粒物、非甲烷总烃</w:t>
            </w:r>
            <w:r>
              <w:rPr>
                <w:bCs/>
                <w:color w:val="auto"/>
                <w:szCs w:val="21"/>
              </w:rPr>
              <w:t>满足《橡胶制品工业污染物排放标准》（GB27632-2011）标准、</w:t>
            </w:r>
            <w:r>
              <w:rPr>
                <w:rFonts w:hint="default" w:ascii="Times New Roman" w:hAnsi="Times New Roman" w:eastAsia="宋体" w:cs="Times New Roman"/>
                <w:i w:val="0"/>
                <w:color w:val="000000"/>
                <w:kern w:val="0"/>
                <w:sz w:val="21"/>
                <w:szCs w:val="21"/>
                <w:u w:val="none"/>
                <w:lang w:val="en-US" w:eastAsia="zh-CN" w:bidi="ar"/>
              </w:rPr>
              <w:t>H2S</w:t>
            </w:r>
            <w:r>
              <w:rPr>
                <w:rFonts w:hint="eastAsia" w:cs="Times New Roman"/>
                <w:i w:val="0"/>
                <w:color w:val="000000"/>
                <w:kern w:val="0"/>
                <w:sz w:val="21"/>
                <w:szCs w:val="21"/>
                <w:u w:val="none"/>
                <w:lang w:val="en-US" w:eastAsia="zh-CN" w:bidi="ar"/>
              </w:rPr>
              <w:t>满足</w:t>
            </w:r>
            <w:r>
              <w:rPr>
                <w:bCs/>
                <w:color w:val="auto"/>
                <w:szCs w:val="21"/>
              </w:rPr>
              <w:t>《恶臭污染物排放标准》（GB14554-93）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trPr>
        <w:tc>
          <w:tcPr>
            <w:tcW w:w="689" w:type="dxa"/>
            <w:vMerge w:val="continue"/>
            <w:vAlign w:val="center"/>
          </w:tcPr>
          <w:p>
            <w:pPr>
              <w:spacing w:line="260" w:lineRule="exact"/>
              <w:jc w:val="center"/>
              <w:rPr>
                <w:bCs/>
                <w:color w:val="auto"/>
                <w:kern w:val="0"/>
                <w:szCs w:val="21"/>
              </w:rPr>
            </w:pPr>
          </w:p>
        </w:tc>
        <w:tc>
          <w:tcPr>
            <w:tcW w:w="1321" w:type="dxa"/>
            <w:vAlign w:val="center"/>
          </w:tcPr>
          <w:p>
            <w:pPr>
              <w:keepNext w:val="0"/>
              <w:keepLines w:val="0"/>
              <w:widowControl/>
              <w:suppressLineNumbers w:val="0"/>
              <w:jc w:val="center"/>
              <w:textAlignment w:val="center"/>
              <w:rPr>
                <w:bCs/>
                <w:color w:val="auto"/>
                <w:szCs w:val="21"/>
              </w:rPr>
            </w:pPr>
            <w:r>
              <w:rPr>
                <w:rFonts w:hint="default" w:ascii="Times New Roman" w:hAnsi="Times New Roman" w:eastAsia="宋体" w:cs="Times New Roman"/>
                <w:i w:val="0"/>
                <w:color w:val="000000"/>
                <w:kern w:val="0"/>
                <w:sz w:val="21"/>
                <w:szCs w:val="21"/>
                <w:u w:val="none"/>
                <w:lang w:val="en-US" w:eastAsia="zh-CN" w:bidi="ar"/>
              </w:rPr>
              <w:t>非甲烷总烃</w:t>
            </w:r>
          </w:p>
        </w:tc>
        <w:tc>
          <w:tcPr>
            <w:tcW w:w="1815" w:type="dxa"/>
            <w:vMerge w:val="continue"/>
            <w:vAlign w:val="center"/>
          </w:tcPr>
          <w:p>
            <w:pPr>
              <w:spacing w:line="260" w:lineRule="exact"/>
              <w:jc w:val="center"/>
              <w:rPr>
                <w:color w:val="auto"/>
              </w:rPr>
            </w:pPr>
          </w:p>
        </w:tc>
        <w:tc>
          <w:tcPr>
            <w:tcW w:w="1245" w:type="dxa"/>
            <w:vMerge w:val="continue"/>
            <w:vAlign w:val="center"/>
          </w:tcPr>
          <w:p>
            <w:pPr>
              <w:spacing w:line="260" w:lineRule="exact"/>
              <w:jc w:val="center"/>
              <w:rPr>
                <w:color w:val="auto"/>
                <w:kern w:val="0"/>
                <w:szCs w:val="21"/>
              </w:rPr>
            </w:pPr>
          </w:p>
        </w:tc>
        <w:tc>
          <w:tcPr>
            <w:tcW w:w="1350" w:type="dxa"/>
            <w:vMerge w:val="continue"/>
            <w:vAlign w:val="center"/>
          </w:tcPr>
          <w:p>
            <w:pPr>
              <w:adjustRightInd w:val="0"/>
              <w:snapToGrid w:val="0"/>
              <w:spacing w:line="260" w:lineRule="exact"/>
              <w:jc w:val="center"/>
              <w:rPr>
                <w:color w:val="auto"/>
              </w:rPr>
            </w:pPr>
          </w:p>
        </w:tc>
        <w:tc>
          <w:tcPr>
            <w:tcW w:w="1020" w:type="dxa"/>
            <w:vAlign w:val="center"/>
          </w:tcPr>
          <w:p>
            <w:pPr>
              <w:keepNext w:val="0"/>
              <w:keepLines w:val="0"/>
              <w:widowControl/>
              <w:suppressLineNumbers w:val="0"/>
              <w:jc w:val="center"/>
              <w:textAlignment w:val="center"/>
              <w:rPr>
                <w:bCs/>
                <w:color w:val="auto"/>
                <w:szCs w:val="21"/>
              </w:rPr>
            </w:pPr>
            <w:r>
              <w:rPr>
                <w:rFonts w:hint="eastAsia" w:ascii="宋体" w:hAnsi="宋体" w:eastAsia="宋体" w:cs="宋体"/>
                <w:i w:val="0"/>
                <w:color w:val="000000"/>
                <w:kern w:val="0"/>
                <w:sz w:val="21"/>
                <w:szCs w:val="21"/>
                <w:u w:val="none"/>
                <w:lang w:val="en-US" w:eastAsia="zh-CN" w:bidi="ar"/>
              </w:rPr>
              <w:t>0.017</w:t>
            </w:r>
          </w:p>
        </w:tc>
        <w:tc>
          <w:tcPr>
            <w:tcW w:w="1512" w:type="dxa"/>
            <w:vMerge w:val="continue"/>
            <w:vAlign w:val="center"/>
          </w:tcPr>
          <w:p>
            <w:pPr>
              <w:adjustRightInd w:val="0"/>
              <w:snapToGrid w:val="0"/>
              <w:spacing w:line="260" w:lineRule="exact"/>
              <w:jc w:val="center"/>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65" w:hRule="atLeast"/>
        </w:trPr>
        <w:tc>
          <w:tcPr>
            <w:tcW w:w="689" w:type="dxa"/>
            <w:vMerge w:val="continue"/>
            <w:vAlign w:val="center"/>
          </w:tcPr>
          <w:p>
            <w:pPr>
              <w:spacing w:line="260" w:lineRule="exact"/>
              <w:jc w:val="center"/>
              <w:rPr>
                <w:bCs/>
                <w:color w:val="auto"/>
                <w:kern w:val="0"/>
                <w:szCs w:val="21"/>
              </w:rPr>
            </w:pPr>
          </w:p>
        </w:tc>
        <w:tc>
          <w:tcPr>
            <w:tcW w:w="1321" w:type="dxa"/>
            <w:vAlign w:val="center"/>
          </w:tcPr>
          <w:p>
            <w:pPr>
              <w:keepNext w:val="0"/>
              <w:keepLines w:val="0"/>
              <w:widowControl/>
              <w:suppressLineNumbers w:val="0"/>
              <w:jc w:val="center"/>
              <w:textAlignment w:val="center"/>
              <w:rPr>
                <w:rFonts w:hint="eastAsia" w:ascii="Times New Roman" w:hAnsi="Times New Roman" w:eastAsia="宋体" w:cs="Times New Roman"/>
                <w:snapToGrid w:val="0"/>
                <w:color w:val="auto"/>
                <w:kern w:val="2"/>
                <w:sz w:val="21"/>
                <w:szCs w:val="21"/>
                <w:lang w:val="en-US" w:eastAsia="zh-CN" w:bidi="ar-SA"/>
              </w:rPr>
            </w:pPr>
            <w:r>
              <w:rPr>
                <w:rFonts w:hint="default" w:ascii="Times New Roman" w:hAnsi="Times New Roman" w:eastAsia="宋体" w:cs="Times New Roman"/>
                <w:i w:val="0"/>
                <w:color w:val="000000"/>
                <w:kern w:val="0"/>
                <w:sz w:val="21"/>
                <w:szCs w:val="21"/>
                <w:u w:val="none"/>
                <w:lang w:val="en-US" w:eastAsia="zh-CN" w:bidi="ar"/>
              </w:rPr>
              <w:t>H</w:t>
            </w:r>
            <w:r>
              <w:rPr>
                <w:rFonts w:hint="default" w:ascii="Times New Roman" w:hAnsi="Times New Roman" w:eastAsia="宋体" w:cs="Times New Roman"/>
                <w:i w:val="0"/>
                <w:color w:val="000000"/>
                <w:kern w:val="0"/>
                <w:sz w:val="21"/>
                <w:szCs w:val="21"/>
                <w:u w:val="none"/>
                <w:vertAlign w:val="subscript"/>
                <w:lang w:val="en-US" w:eastAsia="zh-CN" w:bidi="ar"/>
              </w:rPr>
              <w:t>2</w:t>
            </w:r>
            <w:r>
              <w:rPr>
                <w:rFonts w:hint="default" w:ascii="Times New Roman" w:hAnsi="Times New Roman" w:eastAsia="宋体" w:cs="Times New Roman"/>
                <w:i w:val="0"/>
                <w:color w:val="000000"/>
                <w:kern w:val="0"/>
                <w:sz w:val="21"/>
                <w:szCs w:val="21"/>
                <w:u w:val="none"/>
                <w:lang w:val="en-US" w:eastAsia="zh-CN" w:bidi="ar"/>
              </w:rPr>
              <w:t>S</w:t>
            </w:r>
          </w:p>
        </w:tc>
        <w:tc>
          <w:tcPr>
            <w:tcW w:w="1815" w:type="dxa"/>
            <w:vMerge w:val="continue"/>
            <w:vAlign w:val="center"/>
          </w:tcPr>
          <w:p>
            <w:pPr>
              <w:pStyle w:val="109"/>
              <w:spacing w:line="260" w:lineRule="exact"/>
              <w:rPr>
                <w:rFonts w:ascii="Times New Roman" w:hAnsi="Times New Roman" w:eastAsia="宋体" w:cs="Times New Roman"/>
                <w:color w:val="auto"/>
                <w:kern w:val="2"/>
                <w:sz w:val="21"/>
                <w:szCs w:val="21"/>
                <w:lang w:val="en-US" w:eastAsia="zh-CN" w:bidi="ar-SA"/>
              </w:rPr>
            </w:pPr>
          </w:p>
        </w:tc>
        <w:tc>
          <w:tcPr>
            <w:tcW w:w="1245" w:type="dxa"/>
            <w:vMerge w:val="continue"/>
            <w:vAlign w:val="center"/>
          </w:tcPr>
          <w:p>
            <w:pPr>
              <w:spacing w:line="260" w:lineRule="exact"/>
              <w:jc w:val="center"/>
              <w:rPr>
                <w:rFonts w:ascii="Times New Roman" w:hAnsi="Times New Roman" w:eastAsia="宋体" w:cs="Times New Roman"/>
                <w:color w:val="auto"/>
                <w:kern w:val="2"/>
                <w:sz w:val="21"/>
                <w:szCs w:val="24"/>
                <w:lang w:val="en-US" w:eastAsia="zh-CN" w:bidi="ar-SA"/>
              </w:rPr>
            </w:pPr>
          </w:p>
        </w:tc>
        <w:tc>
          <w:tcPr>
            <w:tcW w:w="1350" w:type="dxa"/>
            <w:vMerge w:val="continue"/>
            <w:vAlign w:val="center"/>
          </w:tcPr>
          <w:p>
            <w:pPr>
              <w:adjustRightInd w:val="0"/>
              <w:snapToGrid w:val="0"/>
              <w:spacing w:line="260" w:lineRule="exact"/>
              <w:jc w:val="center"/>
              <w:rPr>
                <w:rFonts w:ascii="Times New Roman" w:hAnsi="Times New Roman" w:eastAsia="宋体" w:cs="Times New Roman"/>
                <w:color w:val="auto"/>
                <w:kern w:val="2"/>
                <w:sz w:val="21"/>
                <w:szCs w:val="24"/>
                <w:lang w:val="en-US" w:eastAsia="zh-CN" w:bidi="ar-SA"/>
              </w:rPr>
            </w:pPr>
          </w:p>
        </w:tc>
        <w:tc>
          <w:tcPr>
            <w:tcW w:w="1020" w:type="dxa"/>
            <w:vAlign w:val="center"/>
          </w:tcPr>
          <w:p>
            <w:pPr>
              <w:keepNext w:val="0"/>
              <w:keepLines w:val="0"/>
              <w:widowControl/>
              <w:suppressLineNumbers w:val="0"/>
              <w:jc w:val="center"/>
              <w:textAlignment w:val="center"/>
              <w:rPr>
                <w:rFonts w:hint="eastAsia" w:ascii="Times New Roman" w:hAnsi="Times New Roman" w:eastAsia="宋体" w:cs="Times New Roman"/>
                <w:bCs/>
                <w:color w:val="auto"/>
                <w:kern w:val="2"/>
                <w:sz w:val="21"/>
                <w:szCs w:val="21"/>
                <w:lang w:val="en-US" w:eastAsia="zh-CN" w:bidi="ar-SA"/>
              </w:rPr>
            </w:pPr>
            <w:r>
              <w:rPr>
                <w:rFonts w:hint="eastAsia" w:ascii="宋体" w:hAnsi="宋体" w:eastAsia="宋体" w:cs="宋体"/>
                <w:i w:val="0"/>
                <w:color w:val="000000"/>
                <w:kern w:val="0"/>
                <w:sz w:val="21"/>
                <w:szCs w:val="21"/>
                <w:u w:val="none"/>
                <w:lang w:val="en-US" w:eastAsia="zh-CN" w:bidi="ar"/>
              </w:rPr>
              <w:t>0.0038</w:t>
            </w:r>
          </w:p>
        </w:tc>
        <w:tc>
          <w:tcPr>
            <w:tcW w:w="1512" w:type="dxa"/>
            <w:vMerge w:val="continue"/>
            <w:vAlign w:val="center"/>
          </w:tcPr>
          <w:p>
            <w:pPr>
              <w:tabs>
                <w:tab w:val="left" w:pos="2700"/>
              </w:tabs>
              <w:spacing w:line="260" w:lineRule="exact"/>
              <w:jc w:val="center"/>
              <w:rPr>
                <w:rFonts w:ascii="Times New Roman" w:hAnsi="Times New Roman" w:eastAsia="宋体" w:cs="Times New Roman"/>
                <w:bCs/>
                <w:color w:val="auto"/>
                <w:kern w:val="2"/>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trPr>
        <w:tc>
          <w:tcPr>
            <w:tcW w:w="689" w:type="dxa"/>
            <w:vAlign w:val="center"/>
          </w:tcPr>
          <w:p>
            <w:pPr>
              <w:spacing w:line="260" w:lineRule="exact"/>
              <w:jc w:val="center"/>
              <w:rPr>
                <w:rFonts w:hint="eastAsia" w:eastAsia="宋体"/>
                <w:bCs/>
                <w:color w:val="auto"/>
                <w:kern w:val="0"/>
                <w:szCs w:val="21"/>
                <w:lang w:eastAsia="zh-CN"/>
              </w:rPr>
            </w:pPr>
            <w:r>
              <w:rPr>
                <w:rFonts w:hint="eastAsia"/>
                <w:bCs/>
                <w:color w:val="auto"/>
                <w:kern w:val="0"/>
                <w:szCs w:val="21"/>
                <w:lang w:val="en-US" w:eastAsia="zh-CN"/>
              </w:rPr>
              <w:t>3</w:t>
            </w:r>
            <w:r>
              <w:rPr>
                <w:rFonts w:hint="eastAsia"/>
                <w:bCs/>
                <w:color w:val="auto"/>
                <w:kern w:val="0"/>
                <w:szCs w:val="21"/>
                <w:lang w:eastAsia="zh-CN"/>
              </w:rPr>
              <w:t>#排气筒</w:t>
            </w:r>
          </w:p>
        </w:tc>
        <w:tc>
          <w:tcPr>
            <w:tcW w:w="1321" w:type="dxa"/>
            <w:vAlign w:val="center"/>
          </w:tcPr>
          <w:p>
            <w:pPr>
              <w:spacing w:line="260" w:lineRule="exact"/>
              <w:jc w:val="center"/>
              <w:rPr>
                <w:snapToGrid w:val="0"/>
                <w:color w:val="auto"/>
                <w:szCs w:val="21"/>
              </w:rPr>
            </w:pPr>
            <w:r>
              <w:rPr>
                <w:rFonts w:hint="default" w:ascii="Times New Roman" w:hAnsi="Times New Roman" w:eastAsia="宋体" w:cs="Times New Roman"/>
                <w:i w:val="0"/>
                <w:color w:val="000000"/>
                <w:kern w:val="0"/>
                <w:sz w:val="21"/>
                <w:szCs w:val="21"/>
                <w:u w:val="none"/>
                <w:lang w:val="en-US" w:eastAsia="zh-CN" w:bidi="ar"/>
              </w:rPr>
              <w:t>非甲烷总烃</w:t>
            </w:r>
            <w:r>
              <w:rPr>
                <w:rFonts w:hint="eastAsia"/>
                <w:snapToGrid w:val="0"/>
                <w:color w:val="auto"/>
                <w:szCs w:val="21"/>
              </w:rPr>
              <w:t>（</w:t>
            </w:r>
            <w:r>
              <w:rPr>
                <w:rFonts w:hint="eastAsia"/>
                <w:snapToGrid w:val="0"/>
                <w:color w:val="auto"/>
                <w:szCs w:val="21"/>
                <w:lang w:eastAsia="zh-CN"/>
              </w:rPr>
              <w:t>有</w:t>
            </w:r>
            <w:r>
              <w:rPr>
                <w:rFonts w:hint="eastAsia"/>
                <w:snapToGrid w:val="0"/>
                <w:color w:val="auto"/>
                <w:szCs w:val="21"/>
              </w:rPr>
              <w:t>组织）</w:t>
            </w:r>
          </w:p>
        </w:tc>
        <w:tc>
          <w:tcPr>
            <w:tcW w:w="1815" w:type="dxa"/>
            <w:vAlign w:val="center"/>
          </w:tcPr>
          <w:p>
            <w:pPr>
              <w:spacing w:line="260" w:lineRule="exact"/>
              <w:jc w:val="center"/>
              <w:rPr>
                <w:rFonts w:hint="eastAsia" w:eastAsia="宋体"/>
                <w:color w:val="auto"/>
                <w:lang w:eastAsia="zh-CN"/>
              </w:rPr>
            </w:pPr>
            <w:r>
              <w:rPr>
                <w:rFonts w:hint="eastAsia"/>
                <w:bCs/>
                <w:color w:val="auto"/>
                <w:szCs w:val="21"/>
                <w:lang w:eastAsia="zh-CN"/>
              </w:rPr>
              <w:t>涂胶、晾干、烘干废气：</w:t>
            </w:r>
            <w:r>
              <w:rPr>
                <w:rFonts w:hint="eastAsia"/>
                <w:color w:val="auto"/>
              </w:rPr>
              <w:t>集气装置</w:t>
            </w:r>
            <w:r>
              <w:rPr>
                <w:rFonts w:hint="eastAsia"/>
                <w:color w:val="auto"/>
                <w:lang w:val="en-US" w:eastAsia="zh-CN"/>
              </w:rPr>
              <w:t>+</w:t>
            </w:r>
            <w:r>
              <w:rPr>
                <w:rFonts w:hint="eastAsia"/>
                <w:bCs/>
                <w:color w:val="auto"/>
                <w:szCs w:val="21"/>
                <w:lang w:eastAsia="zh-CN"/>
              </w:rPr>
              <w:t>催化燃烧装置</w:t>
            </w:r>
            <w:r>
              <w:rPr>
                <w:color w:val="auto"/>
              </w:rPr>
              <w:t>+1根15m高排气筒</w:t>
            </w:r>
          </w:p>
        </w:tc>
        <w:tc>
          <w:tcPr>
            <w:tcW w:w="1245" w:type="dxa"/>
            <w:vAlign w:val="center"/>
          </w:tcPr>
          <w:p>
            <w:pPr>
              <w:adjustRightInd w:val="0"/>
              <w:snapToGrid w:val="0"/>
              <w:spacing w:line="260" w:lineRule="exact"/>
              <w:jc w:val="center"/>
              <w:rPr>
                <w:color w:val="auto"/>
              </w:rPr>
            </w:pPr>
            <w:r>
              <w:rPr>
                <w:color w:val="auto"/>
              </w:rPr>
              <w:t>高15m，</w:t>
            </w:r>
          </w:p>
          <w:p>
            <w:pPr>
              <w:adjustRightInd w:val="0"/>
              <w:snapToGrid w:val="0"/>
              <w:spacing w:line="260" w:lineRule="exact"/>
              <w:jc w:val="center"/>
              <w:rPr>
                <w:color w:val="auto"/>
              </w:rPr>
            </w:pPr>
            <w:r>
              <w:rPr>
                <w:color w:val="auto"/>
              </w:rPr>
              <w:t>内径</w:t>
            </w:r>
            <w:r>
              <w:rPr>
                <w:rFonts w:hint="eastAsia"/>
                <w:color w:val="auto"/>
                <w:lang w:val="en-US" w:eastAsia="zh-CN"/>
              </w:rPr>
              <w:t>1</w:t>
            </w:r>
            <w:r>
              <w:rPr>
                <w:color w:val="auto"/>
              </w:rPr>
              <w:t>m，</w:t>
            </w:r>
          </w:p>
          <w:p>
            <w:pPr>
              <w:spacing w:line="260" w:lineRule="exact"/>
              <w:jc w:val="center"/>
              <w:rPr>
                <w:color w:val="auto"/>
                <w:kern w:val="0"/>
                <w:szCs w:val="21"/>
              </w:rPr>
            </w:pPr>
            <w:r>
              <w:rPr>
                <w:color w:val="auto"/>
              </w:rPr>
              <w:t>去向：大气；</w:t>
            </w:r>
          </w:p>
        </w:tc>
        <w:tc>
          <w:tcPr>
            <w:tcW w:w="1350" w:type="dxa"/>
            <w:vAlign w:val="center"/>
          </w:tcPr>
          <w:p>
            <w:pPr>
              <w:adjustRightInd w:val="0"/>
              <w:snapToGrid w:val="0"/>
              <w:spacing w:line="260" w:lineRule="exact"/>
              <w:jc w:val="center"/>
              <w:rPr>
                <w:color w:val="auto"/>
                <w:szCs w:val="21"/>
              </w:rPr>
            </w:pPr>
            <w:r>
              <w:rPr>
                <w:color w:val="auto"/>
                <w:szCs w:val="21"/>
              </w:rPr>
              <w:t>风量</w:t>
            </w:r>
            <w:r>
              <w:rPr>
                <w:rFonts w:hint="eastAsia"/>
                <w:color w:val="auto"/>
                <w:szCs w:val="21"/>
                <w:lang w:val="en-US" w:eastAsia="zh-CN"/>
              </w:rPr>
              <w:t>45</w:t>
            </w:r>
            <w:r>
              <w:rPr>
                <w:color w:val="auto"/>
                <w:szCs w:val="21"/>
              </w:rPr>
              <w:t>000m</w:t>
            </w:r>
            <w:r>
              <w:rPr>
                <w:color w:val="auto"/>
                <w:szCs w:val="21"/>
                <w:vertAlign w:val="superscript"/>
              </w:rPr>
              <w:t>3</w:t>
            </w:r>
            <w:r>
              <w:rPr>
                <w:color w:val="auto"/>
                <w:szCs w:val="21"/>
              </w:rPr>
              <w:t>/h，</w:t>
            </w:r>
          </w:p>
          <w:p>
            <w:pPr>
              <w:adjustRightInd w:val="0"/>
              <w:snapToGrid w:val="0"/>
              <w:spacing w:line="260" w:lineRule="exact"/>
              <w:jc w:val="center"/>
              <w:rPr>
                <w:color w:val="auto"/>
              </w:rPr>
            </w:pPr>
            <w:r>
              <w:rPr>
                <w:rFonts w:hint="eastAsia"/>
                <w:bCs/>
                <w:color w:val="auto"/>
                <w:szCs w:val="21"/>
                <w:lang w:eastAsia="zh-CN"/>
              </w:rPr>
              <w:t>催化燃烧装置</w:t>
            </w:r>
            <w:r>
              <w:rPr>
                <w:color w:val="auto"/>
              </w:rPr>
              <w:t>处理效率</w:t>
            </w:r>
            <w:r>
              <w:rPr>
                <w:rFonts w:hint="eastAsia"/>
                <w:color w:val="auto"/>
              </w:rPr>
              <w:t>99</w:t>
            </w:r>
            <w:r>
              <w:rPr>
                <w:color w:val="auto"/>
              </w:rPr>
              <w:t>%；</w:t>
            </w:r>
          </w:p>
        </w:tc>
        <w:tc>
          <w:tcPr>
            <w:tcW w:w="1020" w:type="dxa"/>
            <w:vAlign w:val="center"/>
          </w:tcPr>
          <w:p>
            <w:pPr>
              <w:keepNext w:val="0"/>
              <w:keepLines w:val="0"/>
              <w:widowControl/>
              <w:suppressLineNumbers w:val="0"/>
              <w:jc w:val="center"/>
              <w:textAlignment w:val="center"/>
              <w:rPr>
                <w:bCs/>
                <w:color w:val="auto"/>
                <w:szCs w:val="21"/>
              </w:rPr>
            </w:pPr>
            <w:r>
              <w:rPr>
                <w:rFonts w:hint="eastAsia" w:ascii="宋体" w:hAnsi="宋体" w:eastAsia="宋体" w:cs="宋体"/>
                <w:i w:val="0"/>
                <w:color w:val="000000"/>
                <w:kern w:val="0"/>
                <w:sz w:val="21"/>
                <w:szCs w:val="21"/>
                <w:u w:val="none"/>
                <w:lang w:val="en-US" w:eastAsia="zh-CN" w:bidi="ar"/>
              </w:rPr>
              <w:t>0.18</w:t>
            </w:r>
          </w:p>
        </w:tc>
        <w:tc>
          <w:tcPr>
            <w:tcW w:w="1512" w:type="dxa"/>
            <w:vAlign w:val="center"/>
          </w:tcPr>
          <w:p>
            <w:pPr>
              <w:adjustRightInd w:val="0"/>
              <w:snapToGrid w:val="0"/>
              <w:spacing w:line="260" w:lineRule="exact"/>
              <w:jc w:val="center"/>
              <w:rPr>
                <w:color w:val="auto"/>
                <w:szCs w:val="21"/>
              </w:rPr>
            </w:pPr>
            <w:r>
              <w:rPr>
                <w:rFonts w:hint="eastAsia"/>
                <w:bCs/>
                <w:color w:val="auto"/>
                <w:szCs w:val="21"/>
                <w:lang w:eastAsia="zh-CN"/>
              </w:rPr>
              <w:t>非甲烷总烃</w:t>
            </w:r>
            <w:r>
              <w:rPr>
                <w:color w:val="auto"/>
                <w:szCs w:val="21"/>
              </w:rPr>
              <w:t>满足</w:t>
            </w:r>
            <w:r>
              <w:rPr>
                <w:bCs/>
                <w:color w:val="auto"/>
                <w:szCs w:val="21"/>
              </w:rPr>
              <w:t>《工业企业挥发性有机物排放控制标准》（DB12/524-2014）标准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trPr>
        <w:tc>
          <w:tcPr>
            <w:tcW w:w="689" w:type="dxa"/>
            <w:vMerge w:val="restart"/>
            <w:vAlign w:val="center"/>
          </w:tcPr>
          <w:p>
            <w:pPr>
              <w:spacing w:line="260" w:lineRule="exact"/>
              <w:jc w:val="center"/>
              <w:rPr>
                <w:color w:val="auto"/>
                <w:szCs w:val="21"/>
              </w:rPr>
            </w:pPr>
            <w:r>
              <w:rPr>
                <w:color w:val="auto"/>
                <w:szCs w:val="21"/>
              </w:rPr>
              <w:t>废水</w:t>
            </w:r>
          </w:p>
        </w:tc>
        <w:tc>
          <w:tcPr>
            <w:tcW w:w="1321" w:type="dxa"/>
            <w:vAlign w:val="center"/>
          </w:tcPr>
          <w:p>
            <w:pPr>
              <w:adjustRightInd w:val="0"/>
              <w:snapToGrid w:val="0"/>
              <w:spacing w:line="260" w:lineRule="exact"/>
              <w:jc w:val="center"/>
              <w:rPr>
                <w:bCs/>
                <w:color w:val="auto"/>
                <w:szCs w:val="21"/>
              </w:rPr>
            </w:pPr>
            <w:r>
              <w:rPr>
                <w:color w:val="auto"/>
                <w:szCs w:val="21"/>
              </w:rPr>
              <w:t>COD</w:t>
            </w:r>
          </w:p>
        </w:tc>
        <w:tc>
          <w:tcPr>
            <w:tcW w:w="1815" w:type="dxa"/>
            <w:vMerge w:val="restart"/>
            <w:vAlign w:val="center"/>
          </w:tcPr>
          <w:p>
            <w:pPr>
              <w:tabs>
                <w:tab w:val="left" w:pos="210"/>
              </w:tabs>
              <w:spacing w:line="260" w:lineRule="exact"/>
              <w:jc w:val="center"/>
              <w:rPr>
                <w:color w:val="auto"/>
                <w:szCs w:val="21"/>
              </w:rPr>
            </w:pPr>
            <w:r>
              <w:rPr>
                <w:rFonts w:hint="eastAsia"/>
                <w:color w:val="auto"/>
                <w:szCs w:val="21"/>
                <w:lang w:eastAsia="zh-CN"/>
              </w:rPr>
              <w:t>生活污水：</w:t>
            </w:r>
            <w:r>
              <w:rPr>
                <w:color w:val="auto"/>
                <w:szCs w:val="21"/>
              </w:rPr>
              <w:t>化粪池</w:t>
            </w:r>
          </w:p>
        </w:tc>
        <w:tc>
          <w:tcPr>
            <w:tcW w:w="1245" w:type="dxa"/>
            <w:vMerge w:val="restart"/>
            <w:vAlign w:val="center"/>
          </w:tcPr>
          <w:p>
            <w:pPr>
              <w:jc w:val="center"/>
              <w:rPr>
                <w:color w:val="auto"/>
                <w:szCs w:val="21"/>
              </w:rPr>
            </w:pPr>
            <w:r>
              <w:rPr>
                <w:rFonts w:hint="eastAsia"/>
                <w:color w:val="auto"/>
                <w:szCs w:val="21"/>
              </w:rPr>
              <w:t>化粪池处理后排入市政污水管网</w:t>
            </w:r>
          </w:p>
        </w:tc>
        <w:tc>
          <w:tcPr>
            <w:tcW w:w="1350" w:type="dxa"/>
            <w:vMerge w:val="restart"/>
            <w:vAlign w:val="center"/>
          </w:tcPr>
          <w:p>
            <w:pPr>
              <w:spacing w:line="260" w:lineRule="exact"/>
              <w:jc w:val="center"/>
              <w:rPr>
                <w:bCs/>
                <w:color w:val="auto"/>
                <w:szCs w:val="21"/>
              </w:rPr>
            </w:pPr>
            <w:r>
              <w:rPr>
                <w:rFonts w:hint="eastAsia"/>
                <w:bCs/>
                <w:color w:val="auto"/>
                <w:szCs w:val="21"/>
              </w:rPr>
              <w:t>污水排放量</w:t>
            </w:r>
            <w:r>
              <w:rPr>
                <w:rFonts w:hint="eastAsia"/>
                <w:bCs/>
                <w:color w:val="auto"/>
                <w:szCs w:val="21"/>
                <w:lang w:val="en-US" w:eastAsia="zh-CN"/>
              </w:rPr>
              <w:t>60</w:t>
            </w:r>
            <w:r>
              <w:rPr>
                <w:bCs/>
                <w:color w:val="auto"/>
                <w:szCs w:val="21"/>
              </w:rPr>
              <w:t>0</w:t>
            </w:r>
            <w:r>
              <w:rPr>
                <w:rFonts w:hint="eastAsia"/>
                <w:bCs/>
                <w:color w:val="auto"/>
                <w:szCs w:val="21"/>
              </w:rPr>
              <w:t>t/a</w:t>
            </w:r>
          </w:p>
        </w:tc>
        <w:tc>
          <w:tcPr>
            <w:tcW w:w="1020" w:type="dxa"/>
            <w:vAlign w:val="center"/>
          </w:tcPr>
          <w:p>
            <w:pPr>
              <w:keepNext w:val="0"/>
              <w:keepLines w:val="0"/>
              <w:widowControl/>
              <w:suppressLineNumbers w:val="0"/>
              <w:jc w:val="center"/>
              <w:textAlignment w:val="center"/>
              <w:rPr>
                <w:bCs/>
                <w:color w:val="auto"/>
                <w:szCs w:val="21"/>
              </w:rPr>
            </w:pPr>
            <w:r>
              <w:rPr>
                <w:rFonts w:hint="default" w:ascii="Times New Roman" w:hAnsi="Times New Roman" w:eastAsia="宋体" w:cs="Times New Roman"/>
                <w:i w:val="0"/>
                <w:color w:val="auto"/>
                <w:kern w:val="0"/>
                <w:sz w:val="21"/>
                <w:szCs w:val="21"/>
                <w:u w:val="none"/>
                <w:lang w:val="en-US" w:eastAsia="zh-CN" w:bidi="ar"/>
              </w:rPr>
              <w:t>0.138</w:t>
            </w:r>
          </w:p>
        </w:tc>
        <w:tc>
          <w:tcPr>
            <w:tcW w:w="1512" w:type="dxa"/>
            <w:vMerge w:val="restart"/>
            <w:vAlign w:val="center"/>
          </w:tcPr>
          <w:p>
            <w:pPr>
              <w:adjustRightInd w:val="0"/>
              <w:snapToGrid w:val="0"/>
              <w:spacing w:line="260" w:lineRule="exact"/>
              <w:jc w:val="center"/>
              <w:rPr>
                <w:color w:val="auto"/>
                <w:szCs w:val="21"/>
              </w:rPr>
            </w:pPr>
            <w:r>
              <w:rPr>
                <w:color w:val="auto"/>
                <w:szCs w:val="21"/>
              </w:rPr>
              <w:t>满足</w:t>
            </w:r>
            <w:r>
              <w:rPr>
                <w:rFonts w:hint="eastAsia"/>
                <w:color w:val="auto"/>
                <w:szCs w:val="21"/>
                <w:lang w:eastAsia="zh-CN"/>
              </w:rPr>
              <w:t>宁国市污水处理厂</w:t>
            </w:r>
            <w:r>
              <w:rPr>
                <w:color w:val="auto"/>
                <w:szCs w:val="21"/>
              </w:rPr>
              <w:t>接管</w:t>
            </w:r>
            <w:r>
              <w:rPr>
                <w:rFonts w:hint="eastAsia"/>
                <w:color w:val="auto"/>
                <w:szCs w:val="21"/>
              </w:rPr>
              <w:t>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trPr>
        <w:tc>
          <w:tcPr>
            <w:tcW w:w="689" w:type="dxa"/>
            <w:vMerge w:val="continue"/>
            <w:vAlign w:val="center"/>
          </w:tcPr>
          <w:p>
            <w:pPr>
              <w:spacing w:line="260" w:lineRule="exact"/>
              <w:jc w:val="center"/>
              <w:rPr>
                <w:color w:val="auto"/>
                <w:szCs w:val="21"/>
              </w:rPr>
            </w:pPr>
          </w:p>
        </w:tc>
        <w:tc>
          <w:tcPr>
            <w:tcW w:w="1321" w:type="dxa"/>
            <w:vAlign w:val="center"/>
          </w:tcPr>
          <w:p>
            <w:pPr>
              <w:adjustRightInd w:val="0"/>
              <w:snapToGrid w:val="0"/>
              <w:spacing w:line="260" w:lineRule="exact"/>
              <w:jc w:val="center"/>
              <w:rPr>
                <w:color w:val="auto"/>
                <w:szCs w:val="21"/>
              </w:rPr>
            </w:pPr>
            <w:r>
              <w:rPr>
                <w:rFonts w:hint="eastAsia"/>
                <w:color w:val="auto"/>
                <w:szCs w:val="21"/>
              </w:rPr>
              <w:t>BOD</w:t>
            </w:r>
            <w:r>
              <w:rPr>
                <w:rFonts w:hint="eastAsia"/>
                <w:color w:val="auto"/>
                <w:szCs w:val="21"/>
                <w:vertAlign w:val="subscript"/>
              </w:rPr>
              <w:t>5</w:t>
            </w:r>
          </w:p>
        </w:tc>
        <w:tc>
          <w:tcPr>
            <w:tcW w:w="1815" w:type="dxa"/>
            <w:vMerge w:val="continue"/>
            <w:vAlign w:val="center"/>
          </w:tcPr>
          <w:p>
            <w:pPr>
              <w:tabs>
                <w:tab w:val="left" w:pos="210"/>
              </w:tabs>
              <w:spacing w:line="260" w:lineRule="exact"/>
              <w:jc w:val="center"/>
              <w:rPr>
                <w:color w:val="auto"/>
                <w:szCs w:val="21"/>
              </w:rPr>
            </w:pPr>
          </w:p>
        </w:tc>
        <w:tc>
          <w:tcPr>
            <w:tcW w:w="1245" w:type="dxa"/>
            <w:vMerge w:val="continue"/>
            <w:vAlign w:val="center"/>
          </w:tcPr>
          <w:p>
            <w:pPr>
              <w:jc w:val="center"/>
              <w:rPr>
                <w:rFonts w:hint="eastAsia"/>
                <w:color w:val="auto"/>
                <w:szCs w:val="21"/>
              </w:rPr>
            </w:pPr>
          </w:p>
        </w:tc>
        <w:tc>
          <w:tcPr>
            <w:tcW w:w="1350" w:type="dxa"/>
            <w:vMerge w:val="continue"/>
            <w:vAlign w:val="center"/>
          </w:tcPr>
          <w:p>
            <w:pPr>
              <w:spacing w:line="260" w:lineRule="exact"/>
              <w:jc w:val="center"/>
              <w:rPr>
                <w:rFonts w:hint="eastAsia"/>
                <w:bCs/>
                <w:color w:val="auto"/>
                <w:szCs w:val="21"/>
              </w:rPr>
            </w:pPr>
          </w:p>
        </w:tc>
        <w:tc>
          <w:tcPr>
            <w:tcW w:w="1020" w:type="dxa"/>
            <w:vAlign w:val="center"/>
          </w:tcPr>
          <w:p>
            <w:pPr>
              <w:keepNext w:val="0"/>
              <w:keepLines w:val="0"/>
              <w:widowControl/>
              <w:suppressLineNumbers w:val="0"/>
              <w:jc w:val="center"/>
              <w:textAlignment w:val="center"/>
              <w:rPr>
                <w:bCs/>
                <w:color w:val="auto"/>
                <w:szCs w:val="21"/>
              </w:rPr>
            </w:pPr>
            <w:r>
              <w:rPr>
                <w:rFonts w:hint="default" w:ascii="Times New Roman" w:hAnsi="Times New Roman" w:eastAsia="宋体" w:cs="Times New Roman"/>
                <w:i w:val="0"/>
                <w:color w:val="auto"/>
                <w:kern w:val="0"/>
                <w:sz w:val="21"/>
                <w:szCs w:val="21"/>
                <w:u w:val="none"/>
                <w:lang w:val="en-US" w:eastAsia="zh-CN" w:bidi="ar"/>
              </w:rPr>
              <w:t>0.072</w:t>
            </w:r>
          </w:p>
        </w:tc>
        <w:tc>
          <w:tcPr>
            <w:tcW w:w="1512" w:type="dxa"/>
            <w:vMerge w:val="continue"/>
            <w:vAlign w:val="center"/>
          </w:tcPr>
          <w:p>
            <w:pPr>
              <w:adjustRightInd w:val="0"/>
              <w:snapToGrid w:val="0"/>
              <w:spacing w:line="260" w:lineRule="exact"/>
              <w:jc w:val="center"/>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trPr>
        <w:tc>
          <w:tcPr>
            <w:tcW w:w="689" w:type="dxa"/>
            <w:vMerge w:val="continue"/>
            <w:vAlign w:val="center"/>
          </w:tcPr>
          <w:p>
            <w:pPr>
              <w:spacing w:line="260" w:lineRule="exact"/>
              <w:jc w:val="center"/>
              <w:rPr>
                <w:color w:val="auto"/>
                <w:szCs w:val="21"/>
              </w:rPr>
            </w:pPr>
          </w:p>
        </w:tc>
        <w:tc>
          <w:tcPr>
            <w:tcW w:w="1321" w:type="dxa"/>
            <w:vAlign w:val="center"/>
          </w:tcPr>
          <w:p>
            <w:pPr>
              <w:adjustRightInd w:val="0"/>
              <w:snapToGrid w:val="0"/>
              <w:spacing w:line="260" w:lineRule="exact"/>
              <w:jc w:val="center"/>
              <w:rPr>
                <w:color w:val="auto"/>
                <w:szCs w:val="21"/>
              </w:rPr>
            </w:pPr>
            <w:r>
              <w:rPr>
                <w:color w:val="auto"/>
                <w:szCs w:val="21"/>
              </w:rPr>
              <w:t>SS</w:t>
            </w:r>
          </w:p>
        </w:tc>
        <w:tc>
          <w:tcPr>
            <w:tcW w:w="1815" w:type="dxa"/>
            <w:vMerge w:val="continue"/>
            <w:vAlign w:val="center"/>
          </w:tcPr>
          <w:p>
            <w:pPr>
              <w:tabs>
                <w:tab w:val="left" w:pos="210"/>
              </w:tabs>
              <w:spacing w:line="260" w:lineRule="exact"/>
              <w:jc w:val="center"/>
              <w:rPr>
                <w:color w:val="auto"/>
                <w:szCs w:val="21"/>
              </w:rPr>
            </w:pPr>
          </w:p>
        </w:tc>
        <w:tc>
          <w:tcPr>
            <w:tcW w:w="1245" w:type="dxa"/>
            <w:vMerge w:val="continue"/>
            <w:vAlign w:val="center"/>
          </w:tcPr>
          <w:p>
            <w:pPr>
              <w:jc w:val="center"/>
              <w:rPr>
                <w:rFonts w:hint="eastAsia"/>
                <w:color w:val="auto"/>
                <w:szCs w:val="21"/>
              </w:rPr>
            </w:pPr>
          </w:p>
        </w:tc>
        <w:tc>
          <w:tcPr>
            <w:tcW w:w="1350" w:type="dxa"/>
            <w:vMerge w:val="continue"/>
            <w:vAlign w:val="center"/>
          </w:tcPr>
          <w:p>
            <w:pPr>
              <w:spacing w:line="260" w:lineRule="exact"/>
              <w:jc w:val="center"/>
              <w:rPr>
                <w:rFonts w:hint="eastAsia"/>
                <w:bCs/>
                <w:color w:val="auto"/>
                <w:szCs w:val="21"/>
              </w:rPr>
            </w:pPr>
          </w:p>
        </w:tc>
        <w:tc>
          <w:tcPr>
            <w:tcW w:w="1020" w:type="dxa"/>
            <w:vAlign w:val="center"/>
          </w:tcPr>
          <w:p>
            <w:pPr>
              <w:keepNext w:val="0"/>
              <w:keepLines w:val="0"/>
              <w:widowControl/>
              <w:suppressLineNumbers w:val="0"/>
              <w:jc w:val="center"/>
              <w:textAlignment w:val="center"/>
              <w:rPr>
                <w:bCs/>
                <w:color w:val="auto"/>
                <w:szCs w:val="21"/>
              </w:rPr>
            </w:pPr>
            <w:r>
              <w:rPr>
                <w:rFonts w:hint="default" w:ascii="Times New Roman" w:hAnsi="Times New Roman" w:eastAsia="宋体" w:cs="Times New Roman"/>
                <w:i w:val="0"/>
                <w:color w:val="auto"/>
                <w:kern w:val="0"/>
                <w:sz w:val="21"/>
                <w:szCs w:val="21"/>
                <w:u w:val="none"/>
                <w:lang w:val="en-US" w:eastAsia="zh-CN" w:bidi="ar"/>
              </w:rPr>
              <w:t>0.09</w:t>
            </w:r>
          </w:p>
        </w:tc>
        <w:tc>
          <w:tcPr>
            <w:tcW w:w="1512" w:type="dxa"/>
            <w:vMerge w:val="continue"/>
            <w:vAlign w:val="center"/>
          </w:tcPr>
          <w:p>
            <w:pPr>
              <w:adjustRightInd w:val="0"/>
              <w:snapToGrid w:val="0"/>
              <w:spacing w:line="260" w:lineRule="exact"/>
              <w:jc w:val="center"/>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trPr>
        <w:tc>
          <w:tcPr>
            <w:tcW w:w="689" w:type="dxa"/>
            <w:vMerge w:val="continue"/>
            <w:vAlign w:val="center"/>
          </w:tcPr>
          <w:p>
            <w:pPr>
              <w:spacing w:line="260" w:lineRule="exact"/>
              <w:jc w:val="center"/>
              <w:rPr>
                <w:color w:val="auto"/>
                <w:szCs w:val="21"/>
              </w:rPr>
            </w:pPr>
          </w:p>
        </w:tc>
        <w:tc>
          <w:tcPr>
            <w:tcW w:w="1321" w:type="dxa"/>
            <w:vAlign w:val="center"/>
          </w:tcPr>
          <w:p>
            <w:pPr>
              <w:adjustRightInd w:val="0"/>
              <w:snapToGrid w:val="0"/>
              <w:spacing w:line="260" w:lineRule="exact"/>
              <w:jc w:val="center"/>
              <w:rPr>
                <w:color w:val="auto"/>
                <w:szCs w:val="21"/>
              </w:rPr>
            </w:pPr>
            <w:r>
              <w:rPr>
                <w:color w:val="auto"/>
                <w:szCs w:val="21"/>
              </w:rPr>
              <w:t>氨氮</w:t>
            </w:r>
          </w:p>
        </w:tc>
        <w:tc>
          <w:tcPr>
            <w:tcW w:w="1815" w:type="dxa"/>
            <w:vMerge w:val="continue"/>
            <w:vAlign w:val="center"/>
          </w:tcPr>
          <w:p>
            <w:pPr>
              <w:tabs>
                <w:tab w:val="left" w:pos="210"/>
              </w:tabs>
              <w:spacing w:line="260" w:lineRule="exact"/>
              <w:jc w:val="center"/>
              <w:rPr>
                <w:color w:val="auto"/>
                <w:szCs w:val="21"/>
              </w:rPr>
            </w:pPr>
          </w:p>
        </w:tc>
        <w:tc>
          <w:tcPr>
            <w:tcW w:w="1245" w:type="dxa"/>
            <w:vMerge w:val="continue"/>
            <w:vAlign w:val="center"/>
          </w:tcPr>
          <w:p>
            <w:pPr>
              <w:jc w:val="center"/>
              <w:rPr>
                <w:rFonts w:hint="eastAsia"/>
                <w:color w:val="auto"/>
                <w:szCs w:val="21"/>
              </w:rPr>
            </w:pPr>
          </w:p>
        </w:tc>
        <w:tc>
          <w:tcPr>
            <w:tcW w:w="1350" w:type="dxa"/>
            <w:vMerge w:val="continue"/>
            <w:vAlign w:val="center"/>
          </w:tcPr>
          <w:p>
            <w:pPr>
              <w:spacing w:line="260" w:lineRule="exact"/>
              <w:jc w:val="center"/>
              <w:rPr>
                <w:rFonts w:hint="eastAsia"/>
                <w:bCs/>
                <w:color w:val="auto"/>
                <w:szCs w:val="21"/>
              </w:rPr>
            </w:pPr>
          </w:p>
        </w:tc>
        <w:tc>
          <w:tcPr>
            <w:tcW w:w="1020" w:type="dxa"/>
            <w:vAlign w:val="center"/>
          </w:tcPr>
          <w:p>
            <w:pPr>
              <w:keepNext w:val="0"/>
              <w:keepLines w:val="0"/>
              <w:widowControl/>
              <w:suppressLineNumbers w:val="0"/>
              <w:jc w:val="center"/>
              <w:textAlignment w:val="center"/>
              <w:rPr>
                <w:bCs/>
                <w:color w:val="auto"/>
                <w:szCs w:val="21"/>
              </w:rPr>
            </w:pPr>
            <w:r>
              <w:rPr>
                <w:rFonts w:hint="default" w:ascii="Times New Roman" w:hAnsi="Times New Roman" w:eastAsia="宋体" w:cs="Times New Roman"/>
                <w:i w:val="0"/>
                <w:color w:val="auto"/>
                <w:kern w:val="0"/>
                <w:sz w:val="21"/>
                <w:szCs w:val="21"/>
                <w:u w:val="none"/>
                <w:lang w:val="en-US" w:eastAsia="zh-CN" w:bidi="ar"/>
              </w:rPr>
              <w:t>0.0108</w:t>
            </w:r>
          </w:p>
        </w:tc>
        <w:tc>
          <w:tcPr>
            <w:tcW w:w="1512" w:type="dxa"/>
            <w:vMerge w:val="continue"/>
            <w:vAlign w:val="center"/>
          </w:tcPr>
          <w:p>
            <w:pPr>
              <w:adjustRightInd w:val="0"/>
              <w:snapToGrid w:val="0"/>
              <w:spacing w:line="260" w:lineRule="exact"/>
              <w:jc w:val="center"/>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trPr>
        <w:tc>
          <w:tcPr>
            <w:tcW w:w="689" w:type="dxa"/>
            <w:vMerge w:val="restart"/>
            <w:vAlign w:val="center"/>
          </w:tcPr>
          <w:p>
            <w:pPr>
              <w:spacing w:line="260" w:lineRule="exact"/>
              <w:jc w:val="center"/>
              <w:rPr>
                <w:color w:val="auto"/>
                <w:szCs w:val="21"/>
              </w:rPr>
            </w:pPr>
            <w:r>
              <w:rPr>
                <w:rFonts w:hint="eastAsia"/>
                <w:color w:val="auto"/>
                <w:szCs w:val="21"/>
              </w:rPr>
              <w:t>固废</w:t>
            </w:r>
          </w:p>
        </w:tc>
        <w:tc>
          <w:tcPr>
            <w:tcW w:w="1321" w:type="dxa"/>
            <w:vAlign w:val="center"/>
          </w:tcPr>
          <w:p>
            <w:pPr>
              <w:pStyle w:val="166"/>
              <w:snapToGrid w:val="0"/>
              <w:rPr>
                <w:rFonts w:hint="eastAsia" w:ascii="Times New Roman" w:hAnsi="Times New Roman" w:eastAsia="宋体"/>
                <w:color w:val="auto"/>
                <w:sz w:val="21"/>
                <w:szCs w:val="21"/>
                <w:lang w:eastAsia="zh-CN"/>
              </w:rPr>
            </w:pPr>
            <w:r>
              <w:rPr>
                <w:rFonts w:hint="eastAsia" w:ascii="Times New Roman" w:hAnsi="Times New Roman"/>
                <w:color w:val="auto"/>
                <w:sz w:val="21"/>
                <w:szCs w:val="21"/>
                <w:lang w:eastAsia="zh-CN"/>
              </w:rPr>
              <w:t>收集的粉尘</w:t>
            </w:r>
          </w:p>
        </w:tc>
        <w:tc>
          <w:tcPr>
            <w:tcW w:w="1815" w:type="dxa"/>
            <w:vMerge w:val="restart"/>
            <w:vAlign w:val="center"/>
          </w:tcPr>
          <w:p>
            <w:pPr>
              <w:tabs>
                <w:tab w:val="left" w:pos="210"/>
              </w:tabs>
              <w:spacing w:line="260" w:lineRule="exact"/>
              <w:jc w:val="center"/>
              <w:rPr>
                <w:color w:val="auto"/>
                <w:szCs w:val="21"/>
              </w:rPr>
            </w:pPr>
            <w:r>
              <w:rPr>
                <w:color w:val="auto"/>
                <w:szCs w:val="21"/>
              </w:rPr>
              <w:t>一般固废暂存间</w:t>
            </w:r>
          </w:p>
        </w:tc>
        <w:tc>
          <w:tcPr>
            <w:tcW w:w="1245" w:type="dxa"/>
            <w:vAlign w:val="center"/>
          </w:tcPr>
          <w:p>
            <w:pPr>
              <w:jc w:val="center"/>
              <w:rPr>
                <w:color w:val="auto"/>
                <w:szCs w:val="21"/>
              </w:rPr>
            </w:pPr>
            <w:r>
              <w:rPr>
                <w:rFonts w:hint="eastAsia"/>
                <w:color w:val="auto"/>
                <w:szCs w:val="21"/>
              </w:rPr>
              <w:t>/</w:t>
            </w:r>
          </w:p>
        </w:tc>
        <w:tc>
          <w:tcPr>
            <w:tcW w:w="1350" w:type="dxa"/>
            <w:vMerge w:val="restart"/>
            <w:vAlign w:val="center"/>
          </w:tcPr>
          <w:p>
            <w:pPr>
              <w:spacing w:line="260" w:lineRule="exact"/>
              <w:jc w:val="center"/>
              <w:rPr>
                <w:bCs/>
                <w:color w:val="auto"/>
                <w:szCs w:val="21"/>
              </w:rPr>
            </w:pPr>
            <w:r>
              <w:rPr>
                <w:rFonts w:hint="eastAsia"/>
                <w:color w:val="auto"/>
                <w:szCs w:val="21"/>
              </w:rPr>
              <w:t>建筑面积</w:t>
            </w:r>
            <w:r>
              <w:rPr>
                <w:rFonts w:hint="eastAsia"/>
                <w:color w:val="auto"/>
                <w:szCs w:val="21"/>
                <w:lang w:val="en-US" w:eastAsia="zh-CN"/>
              </w:rPr>
              <w:t>20</w:t>
            </w:r>
            <w:r>
              <w:rPr>
                <w:rFonts w:hint="eastAsia"/>
                <w:color w:val="auto"/>
                <w:szCs w:val="21"/>
              </w:rPr>
              <w:t>m</w:t>
            </w:r>
            <w:r>
              <w:rPr>
                <w:rFonts w:hint="eastAsia"/>
                <w:color w:val="auto"/>
                <w:szCs w:val="21"/>
                <w:vertAlign w:val="superscript"/>
              </w:rPr>
              <w:t>2</w:t>
            </w:r>
            <w:r>
              <w:rPr>
                <w:color w:val="auto"/>
                <w:szCs w:val="21"/>
              </w:rPr>
              <w:t>，</w:t>
            </w:r>
          </w:p>
        </w:tc>
        <w:tc>
          <w:tcPr>
            <w:tcW w:w="1020" w:type="dxa"/>
            <w:vAlign w:val="center"/>
          </w:tcPr>
          <w:p>
            <w:pPr>
              <w:spacing w:line="260" w:lineRule="exact"/>
              <w:jc w:val="center"/>
              <w:rPr>
                <w:bCs/>
                <w:color w:val="auto"/>
                <w:szCs w:val="21"/>
              </w:rPr>
            </w:pPr>
            <w:r>
              <w:rPr>
                <w:rFonts w:hint="eastAsia"/>
                <w:bCs/>
                <w:color w:val="auto"/>
                <w:szCs w:val="21"/>
              </w:rPr>
              <w:t>0</w:t>
            </w:r>
          </w:p>
        </w:tc>
        <w:tc>
          <w:tcPr>
            <w:tcW w:w="1512" w:type="dxa"/>
            <w:vMerge w:val="restart"/>
            <w:vAlign w:val="center"/>
          </w:tcPr>
          <w:p>
            <w:pPr>
              <w:adjustRightInd w:val="0"/>
              <w:snapToGrid w:val="0"/>
              <w:spacing w:line="260" w:lineRule="exact"/>
              <w:jc w:val="center"/>
              <w:rPr>
                <w:color w:val="auto"/>
                <w:szCs w:val="21"/>
              </w:rPr>
            </w:pPr>
            <w:r>
              <w:rPr>
                <w:color w:val="auto"/>
                <w:szCs w:val="21"/>
              </w:rPr>
              <w:t>合理处置，不产生二次污染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trPr>
        <w:tc>
          <w:tcPr>
            <w:tcW w:w="689" w:type="dxa"/>
            <w:vMerge w:val="continue"/>
            <w:vAlign w:val="center"/>
          </w:tcPr>
          <w:p>
            <w:pPr>
              <w:spacing w:line="260" w:lineRule="exact"/>
              <w:jc w:val="center"/>
              <w:rPr>
                <w:color w:val="auto"/>
                <w:szCs w:val="21"/>
              </w:rPr>
            </w:pPr>
          </w:p>
        </w:tc>
        <w:tc>
          <w:tcPr>
            <w:tcW w:w="1321" w:type="dxa"/>
            <w:vAlign w:val="center"/>
          </w:tcPr>
          <w:p>
            <w:pPr>
              <w:pStyle w:val="166"/>
              <w:snapToGrid w:val="0"/>
              <w:rPr>
                <w:rFonts w:ascii="Times New Roman" w:hAnsi="Times New Roman"/>
                <w:color w:val="auto"/>
                <w:sz w:val="21"/>
                <w:szCs w:val="21"/>
              </w:rPr>
            </w:pPr>
            <w:r>
              <w:rPr>
                <w:rFonts w:ascii="Times New Roman" w:hAnsi="Times New Roman"/>
                <w:color w:val="auto"/>
                <w:sz w:val="21"/>
                <w:szCs w:val="21"/>
              </w:rPr>
              <w:t>废包装</w:t>
            </w:r>
            <w:r>
              <w:rPr>
                <w:rFonts w:hint="eastAsia" w:ascii="Times New Roman" w:hAnsi="Times New Roman"/>
                <w:color w:val="auto"/>
                <w:sz w:val="21"/>
                <w:szCs w:val="21"/>
              </w:rPr>
              <w:t>材料</w:t>
            </w:r>
          </w:p>
        </w:tc>
        <w:tc>
          <w:tcPr>
            <w:tcW w:w="1815" w:type="dxa"/>
            <w:vMerge w:val="continue"/>
            <w:vAlign w:val="center"/>
          </w:tcPr>
          <w:p>
            <w:pPr>
              <w:tabs>
                <w:tab w:val="left" w:pos="210"/>
              </w:tabs>
              <w:spacing w:line="260" w:lineRule="exact"/>
              <w:jc w:val="center"/>
              <w:rPr>
                <w:color w:val="auto"/>
                <w:szCs w:val="21"/>
              </w:rPr>
            </w:pPr>
          </w:p>
        </w:tc>
        <w:tc>
          <w:tcPr>
            <w:tcW w:w="1245" w:type="dxa"/>
            <w:vAlign w:val="center"/>
          </w:tcPr>
          <w:p>
            <w:pPr>
              <w:jc w:val="center"/>
              <w:rPr>
                <w:color w:val="auto"/>
                <w:szCs w:val="21"/>
              </w:rPr>
            </w:pPr>
            <w:r>
              <w:rPr>
                <w:rFonts w:hint="eastAsia"/>
                <w:color w:val="auto"/>
                <w:szCs w:val="21"/>
              </w:rPr>
              <w:t>/</w:t>
            </w:r>
          </w:p>
        </w:tc>
        <w:tc>
          <w:tcPr>
            <w:tcW w:w="1350" w:type="dxa"/>
            <w:vMerge w:val="continue"/>
            <w:vAlign w:val="center"/>
          </w:tcPr>
          <w:p>
            <w:pPr>
              <w:spacing w:line="260" w:lineRule="exact"/>
              <w:jc w:val="center"/>
              <w:rPr>
                <w:bCs/>
                <w:color w:val="auto"/>
                <w:szCs w:val="21"/>
              </w:rPr>
            </w:pPr>
          </w:p>
        </w:tc>
        <w:tc>
          <w:tcPr>
            <w:tcW w:w="1020" w:type="dxa"/>
            <w:vAlign w:val="center"/>
          </w:tcPr>
          <w:p>
            <w:pPr>
              <w:spacing w:line="260" w:lineRule="exact"/>
              <w:jc w:val="center"/>
              <w:rPr>
                <w:bCs/>
                <w:color w:val="auto"/>
                <w:szCs w:val="21"/>
              </w:rPr>
            </w:pPr>
            <w:r>
              <w:rPr>
                <w:rFonts w:hint="eastAsia"/>
                <w:bCs/>
                <w:color w:val="auto"/>
                <w:szCs w:val="21"/>
              </w:rPr>
              <w:t>0</w:t>
            </w:r>
          </w:p>
        </w:tc>
        <w:tc>
          <w:tcPr>
            <w:tcW w:w="1512" w:type="dxa"/>
            <w:vMerge w:val="continue"/>
            <w:vAlign w:val="center"/>
          </w:tcPr>
          <w:p>
            <w:pPr>
              <w:adjustRightInd w:val="0"/>
              <w:snapToGrid w:val="0"/>
              <w:spacing w:line="260" w:lineRule="exact"/>
              <w:jc w:val="center"/>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trPr>
        <w:tc>
          <w:tcPr>
            <w:tcW w:w="689" w:type="dxa"/>
            <w:vMerge w:val="continue"/>
            <w:vAlign w:val="center"/>
          </w:tcPr>
          <w:p>
            <w:pPr>
              <w:spacing w:line="260" w:lineRule="exact"/>
              <w:jc w:val="center"/>
              <w:rPr>
                <w:color w:val="auto"/>
                <w:szCs w:val="21"/>
              </w:rPr>
            </w:pPr>
          </w:p>
        </w:tc>
        <w:tc>
          <w:tcPr>
            <w:tcW w:w="1321" w:type="dxa"/>
            <w:vAlign w:val="center"/>
          </w:tcPr>
          <w:p>
            <w:pPr>
              <w:pStyle w:val="166"/>
              <w:snapToGrid w:val="0"/>
              <w:rPr>
                <w:rFonts w:ascii="Times New Roman" w:hAnsi="Times New Roman"/>
                <w:color w:val="auto"/>
                <w:sz w:val="21"/>
                <w:szCs w:val="21"/>
              </w:rPr>
            </w:pPr>
            <w:r>
              <w:rPr>
                <w:rFonts w:ascii="Times New Roman" w:hAnsi="Times New Roman"/>
                <w:color w:val="auto"/>
                <w:sz w:val="21"/>
                <w:szCs w:val="21"/>
              </w:rPr>
              <w:t>职工生活垃圾</w:t>
            </w:r>
          </w:p>
        </w:tc>
        <w:tc>
          <w:tcPr>
            <w:tcW w:w="1815" w:type="dxa"/>
            <w:vAlign w:val="center"/>
          </w:tcPr>
          <w:p>
            <w:pPr>
              <w:tabs>
                <w:tab w:val="left" w:pos="210"/>
              </w:tabs>
              <w:spacing w:line="260" w:lineRule="exact"/>
              <w:jc w:val="center"/>
              <w:rPr>
                <w:color w:val="auto"/>
                <w:szCs w:val="21"/>
              </w:rPr>
            </w:pPr>
            <w:r>
              <w:rPr>
                <w:color w:val="auto"/>
                <w:szCs w:val="21"/>
              </w:rPr>
              <w:t>垃圾桶</w:t>
            </w:r>
          </w:p>
        </w:tc>
        <w:tc>
          <w:tcPr>
            <w:tcW w:w="1245" w:type="dxa"/>
            <w:vAlign w:val="center"/>
          </w:tcPr>
          <w:p>
            <w:pPr>
              <w:jc w:val="center"/>
              <w:rPr>
                <w:color w:val="auto"/>
                <w:szCs w:val="21"/>
              </w:rPr>
            </w:pPr>
            <w:r>
              <w:rPr>
                <w:rFonts w:hint="eastAsia"/>
                <w:color w:val="auto"/>
                <w:szCs w:val="21"/>
              </w:rPr>
              <w:t>/</w:t>
            </w:r>
          </w:p>
        </w:tc>
        <w:tc>
          <w:tcPr>
            <w:tcW w:w="1350" w:type="dxa"/>
            <w:vAlign w:val="center"/>
          </w:tcPr>
          <w:p>
            <w:pPr>
              <w:spacing w:line="260" w:lineRule="exact"/>
              <w:jc w:val="center"/>
              <w:rPr>
                <w:bCs/>
                <w:color w:val="auto"/>
                <w:szCs w:val="21"/>
              </w:rPr>
            </w:pPr>
            <w:r>
              <w:rPr>
                <w:rFonts w:hint="eastAsia"/>
                <w:color w:val="auto"/>
                <w:szCs w:val="21"/>
              </w:rPr>
              <w:t>/</w:t>
            </w:r>
          </w:p>
        </w:tc>
        <w:tc>
          <w:tcPr>
            <w:tcW w:w="1020" w:type="dxa"/>
            <w:vAlign w:val="center"/>
          </w:tcPr>
          <w:p>
            <w:pPr>
              <w:spacing w:line="260" w:lineRule="exact"/>
              <w:jc w:val="center"/>
              <w:rPr>
                <w:bCs/>
                <w:color w:val="auto"/>
                <w:szCs w:val="21"/>
              </w:rPr>
            </w:pPr>
            <w:r>
              <w:rPr>
                <w:rFonts w:hint="eastAsia"/>
                <w:bCs/>
                <w:color w:val="auto"/>
                <w:szCs w:val="21"/>
              </w:rPr>
              <w:t>0</w:t>
            </w:r>
          </w:p>
        </w:tc>
        <w:tc>
          <w:tcPr>
            <w:tcW w:w="1512" w:type="dxa"/>
            <w:vMerge w:val="continue"/>
            <w:vAlign w:val="center"/>
          </w:tcPr>
          <w:p>
            <w:pPr>
              <w:adjustRightInd w:val="0"/>
              <w:snapToGrid w:val="0"/>
              <w:spacing w:line="260" w:lineRule="exact"/>
              <w:jc w:val="center"/>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trPr>
        <w:tc>
          <w:tcPr>
            <w:tcW w:w="689" w:type="dxa"/>
            <w:vMerge w:val="continue"/>
          </w:tcPr>
          <w:p>
            <w:pPr>
              <w:spacing w:line="260" w:lineRule="exact"/>
              <w:jc w:val="center"/>
              <w:rPr>
                <w:color w:val="auto"/>
                <w:szCs w:val="21"/>
              </w:rPr>
            </w:pPr>
            <w:bookmarkStart w:id="396" w:name="_Toc25578"/>
          </w:p>
        </w:tc>
        <w:tc>
          <w:tcPr>
            <w:tcW w:w="1321" w:type="dxa"/>
            <w:vAlign w:val="center"/>
          </w:tcPr>
          <w:p>
            <w:pPr>
              <w:pStyle w:val="166"/>
              <w:snapToGrid w:val="0"/>
              <w:rPr>
                <w:rFonts w:ascii="Times New Roman" w:hAnsi="Times New Roman"/>
                <w:color w:val="auto"/>
                <w:sz w:val="21"/>
                <w:szCs w:val="21"/>
              </w:rPr>
            </w:pPr>
            <w:r>
              <w:rPr>
                <w:rFonts w:hint="default" w:ascii="Times New Roman" w:hAnsi="Times New Roman"/>
                <w:color w:val="auto"/>
                <w:sz w:val="21"/>
                <w:szCs w:val="21"/>
                <w:lang w:val="en-US" w:eastAsia="zh-CN"/>
              </w:rPr>
              <w:t>废硫化剂及废氧化锌等包装材料</w:t>
            </w:r>
          </w:p>
        </w:tc>
        <w:tc>
          <w:tcPr>
            <w:tcW w:w="1815" w:type="dxa"/>
            <w:vMerge w:val="restart"/>
          </w:tcPr>
          <w:p>
            <w:pPr>
              <w:tabs>
                <w:tab w:val="left" w:pos="210"/>
              </w:tabs>
              <w:spacing w:line="260" w:lineRule="exact"/>
              <w:jc w:val="center"/>
              <w:rPr>
                <w:color w:val="auto"/>
                <w:szCs w:val="21"/>
              </w:rPr>
            </w:pPr>
            <w:r>
              <w:rPr>
                <w:color w:val="auto"/>
                <w:szCs w:val="21"/>
              </w:rPr>
              <w:t>危废暂存间</w:t>
            </w:r>
          </w:p>
        </w:tc>
        <w:tc>
          <w:tcPr>
            <w:tcW w:w="1245" w:type="dxa"/>
          </w:tcPr>
          <w:p>
            <w:pPr>
              <w:jc w:val="center"/>
              <w:rPr>
                <w:color w:val="auto"/>
                <w:szCs w:val="21"/>
              </w:rPr>
            </w:pPr>
            <w:r>
              <w:rPr>
                <w:rFonts w:hint="eastAsia"/>
                <w:color w:val="auto"/>
                <w:szCs w:val="21"/>
              </w:rPr>
              <w:t>/</w:t>
            </w:r>
          </w:p>
        </w:tc>
        <w:tc>
          <w:tcPr>
            <w:tcW w:w="1350" w:type="dxa"/>
            <w:vMerge w:val="restart"/>
          </w:tcPr>
          <w:p>
            <w:pPr>
              <w:spacing w:line="260" w:lineRule="exact"/>
              <w:jc w:val="center"/>
              <w:rPr>
                <w:bCs/>
                <w:color w:val="auto"/>
                <w:szCs w:val="21"/>
              </w:rPr>
            </w:pPr>
            <w:r>
              <w:rPr>
                <w:rFonts w:hint="eastAsia"/>
                <w:color w:val="auto"/>
                <w:szCs w:val="21"/>
              </w:rPr>
              <w:t>建筑面积</w:t>
            </w:r>
            <w:r>
              <w:rPr>
                <w:rFonts w:hint="eastAsia"/>
                <w:color w:val="auto"/>
                <w:szCs w:val="21"/>
                <w:lang w:val="en-US" w:eastAsia="zh-CN"/>
              </w:rPr>
              <w:t>15</w:t>
            </w:r>
            <w:r>
              <w:rPr>
                <w:rFonts w:hint="eastAsia"/>
                <w:color w:val="auto"/>
                <w:szCs w:val="21"/>
              </w:rPr>
              <w:t>m</w:t>
            </w:r>
            <w:r>
              <w:rPr>
                <w:rFonts w:hint="eastAsia"/>
                <w:color w:val="auto"/>
                <w:szCs w:val="21"/>
                <w:vertAlign w:val="superscript"/>
              </w:rPr>
              <w:t>2</w:t>
            </w:r>
            <w:r>
              <w:rPr>
                <w:color w:val="auto"/>
                <w:szCs w:val="21"/>
              </w:rPr>
              <w:t>，</w:t>
            </w:r>
            <w:r>
              <w:rPr>
                <w:rFonts w:hint="eastAsia"/>
                <w:color w:val="auto"/>
              </w:rPr>
              <w:t>防风、防雨、防腐、防渗等措施</w:t>
            </w:r>
          </w:p>
        </w:tc>
        <w:tc>
          <w:tcPr>
            <w:tcW w:w="1020" w:type="dxa"/>
          </w:tcPr>
          <w:p>
            <w:pPr>
              <w:spacing w:line="260" w:lineRule="exact"/>
              <w:jc w:val="center"/>
              <w:rPr>
                <w:bCs/>
                <w:color w:val="auto"/>
                <w:szCs w:val="21"/>
              </w:rPr>
            </w:pPr>
            <w:r>
              <w:rPr>
                <w:rFonts w:hint="eastAsia"/>
                <w:bCs/>
                <w:color w:val="auto"/>
                <w:szCs w:val="21"/>
              </w:rPr>
              <w:t>0</w:t>
            </w:r>
          </w:p>
        </w:tc>
        <w:tc>
          <w:tcPr>
            <w:tcW w:w="1512" w:type="dxa"/>
            <w:vMerge w:val="continue"/>
          </w:tcPr>
          <w:p>
            <w:pPr>
              <w:adjustRightInd w:val="0"/>
              <w:snapToGrid w:val="0"/>
              <w:spacing w:line="260" w:lineRule="exact"/>
              <w:jc w:val="center"/>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trPr>
        <w:tc>
          <w:tcPr>
            <w:tcW w:w="689" w:type="dxa"/>
            <w:vMerge w:val="continue"/>
          </w:tcPr>
          <w:p>
            <w:pPr>
              <w:spacing w:line="260" w:lineRule="exact"/>
              <w:jc w:val="center"/>
              <w:rPr>
                <w:color w:val="auto"/>
                <w:szCs w:val="21"/>
              </w:rPr>
            </w:pPr>
          </w:p>
        </w:tc>
        <w:tc>
          <w:tcPr>
            <w:tcW w:w="1321" w:type="dxa"/>
            <w:vAlign w:val="center"/>
          </w:tcPr>
          <w:p>
            <w:pPr>
              <w:pStyle w:val="166"/>
              <w:snapToGrid w:val="0"/>
              <w:rPr>
                <w:rFonts w:ascii="Times New Roman" w:hAnsi="Times New Roman"/>
                <w:color w:val="auto"/>
                <w:sz w:val="21"/>
                <w:szCs w:val="21"/>
              </w:rPr>
            </w:pPr>
            <w:r>
              <w:rPr>
                <w:rFonts w:ascii="Times New Roman" w:hAnsi="Times New Roman"/>
                <w:color w:val="auto"/>
                <w:sz w:val="21"/>
                <w:szCs w:val="21"/>
              </w:rPr>
              <w:t>废活性炭</w:t>
            </w:r>
          </w:p>
        </w:tc>
        <w:tc>
          <w:tcPr>
            <w:tcW w:w="1815" w:type="dxa"/>
            <w:vMerge w:val="continue"/>
          </w:tcPr>
          <w:p>
            <w:pPr>
              <w:tabs>
                <w:tab w:val="left" w:pos="210"/>
              </w:tabs>
              <w:spacing w:line="260" w:lineRule="exact"/>
              <w:jc w:val="center"/>
              <w:rPr>
                <w:color w:val="auto"/>
                <w:szCs w:val="21"/>
              </w:rPr>
            </w:pPr>
          </w:p>
        </w:tc>
        <w:tc>
          <w:tcPr>
            <w:tcW w:w="1245" w:type="dxa"/>
          </w:tcPr>
          <w:p>
            <w:pPr>
              <w:jc w:val="center"/>
              <w:rPr>
                <w:color w:val="auto"/>
                <w:szCs w:val="21"/>
              </w:rPr>
            </w:pPr>
            <w:r>
              <w:rPr>
                <w:rFonts w:hint="eastAsia"/>
                <w:color w:val="auto"/>
                <w:szCs w:val="21"/>
              </w:rPr>
              <w:t>/</w:t>
            </w:r>
          </w:p>
        </w:tc>
        <w:tc>
          <w:tcPr>
            <w:tcW w:w="1350" w:type="dxa"/>
            <w:vMerge w:val="continue"/>
          </w:tcPr>
          <w:p>
            <w:pPr>
              <w:spacing w:line="260" w:lineRule="exact"/>
              <w:jc w:val="center"/>
              <w:rPr>
                <w:bCs/>
                <w:color w:val="auto"/>
                <w:szCs w:val="21"/>
              </w:rPr>
            </w:pPr>
          </w:p>
        </w:tc>
        <w:tc>
          <w:tcPr>
            <w:tcW w:w="1020" w:type="dxa"/>
          </w:tcPr>
          <w:p>
            <w:pPr>
              <w:spacing w:line="260" w:lineRule="exact"/>
              <w:jc w:val="center"/>
              <w:rPr>
                <w:bCs/>
                <w:color w:val="auto"/>
                <w:szCs w:val="21"/>
              </w:rPr>
            </w:pPr>
            <w:r>
              <w:rPr>
                <w:rFonts w:hint="eastAsia"/>
                <w:bCs/>
                <w:color w:val="auto"/>
                <w:szCs w:val="21"/>
              </w:rPr>
              <w:t>0</w:t>
            </w:r>
          </w:p>
        </w:tc>
        <w:tc>
          <w:tcPr>
            <w:tcW w:w="1512" w:type="dxa"/>
            <w:vMerge w:val="continue"/>
          </w:tcPr>
          <w:p>
            <w:pPr>
              <w:adjustRightInd w:val="0"/>
              <w:snapToGrid w:val="0"/>
              <w:spacing w:line="260" w:lineRule="exact"/>
              <w:jc w:val="center"/>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trPr>
        <w:tc>
          <w:tcPr>
            <w:tcW w:w="689" w:type="dxa"/>
            <w:vMerge w:val="continue"/>
          </w:tcPr>
          <w:p>
            <w:pPr>
              <w:spacing w:line="260" w:lineRule="exact"/>
              <w:jc w:val="center"/>
              <w:rPr>
                <w:color w:val="auto"/>
                <w:szCs w:val="21"/>
              </w:rPr>
            </w:pPr>
          </w:p>
        </w:tc>
        <w:tc>
          <w:tcPr>
            <w:tcW w:w="1321" w:type="dxa"/>
            <w:vAlign w:val="center"/>
          </w:tcPr>
          <w:p>
            <w:pPr>
              <w:pStyle w:val="166"/>
              <w:snapToGrid w:val="0"/>
              <w:rPr>
                <w:rFonts w:hint="eastAsia" w:ascii="Times New Roman" w:hAnsi="Times New Roman" w:eastAsia="宋体"/>
                <w:color w:val="auto"/>
                <w:sz w:val="21"/>
                <w:szCs w:val="21"/>
                <w:lang w:eastAsia="zh-CN"/>
              </w:rPr>
            </w:pPr>
            <w:r>
              <w:rPr>
                <w:rFonts w:hint="eastAsia" w:ascii="Times New Roman" w:hAnsi="Times New Roman"/>
                <w:color w:val="auto"/>
                <w:sz w:val="21"/>
                <w:szCs w:val="21"/>
                <w:lang w:eastAsia="zh-CN"/>
              </w:rPr>
              <w:t>废脱脂槽液</w:t>
            </w:r>
          </w:p>
        </w:tc>
        <w:tc>
          <w:tcPr>
            <w:tcW w:w="1815" w:type="dxa"/>
            <w:vMerge w:val="continue"/>
          </w:tcPr>
          <w:p>
            <w:pPr>
              <w:tabs>
                <w:tab w:val="left" w:pos="210"/>
              </w:tabs>
              <w:spacing w:line="260" w:lineRule="exact"/>
              <w:jc w:val="center"/>
              <w:rPr>
                <w:color w:val="auto"/>
                <w:szCs w:val="21"/>
              </w:rPr>
            </w:pPr>
          </w:p>
        </w:tc>
        <w:tc>
          <w:tcPr>
            <w:tcW w:w="1245" w:type="dxa"/>
          </w:tcPr>
          <w:p>
            <w:pPr>
              <w:jc w:val="center"/>
              <w:rPr>
                <w:rFonts w:hint="default" w:eastAsia="宋体"/>
                <w:color w:val="auto"/>
                <w:szCs w:val="21"/>
                <w:lang w:val="en-US" w:eastAsia="zh-CN"/>
              </w:rPr>
            </w:pPr>
            <w:r>
              <w:rPr>
                <w:rFonts w:hint="eastAsia"/>
                <w:color w:val="auto"/>
                <w:szCs w:val="21"/>
                <w:lang w:val="en-US" w:eastAsia="zh-CN"/>
              </w:rPr>
              <w:t>/</w:t>
            </w:r>
          </w:p>
        </w:tc>
        <w:tc>
          <w:tcPr>
            <w:tcW w:w="1350" w:type="dxa"/>
            <w:vMerge w:val="continue"/>
          </w:tcPr>
          <w:p>
            <w:pPr>
              <w:spacing w:line="260" w:lineRule="exact"/>
              <w:jc w:val="center"/>
              <w:rPr>
                <w:bCs/>
                <w:color w:val="auto"/>
                <w:szCs w:val="21"/>
              </w:rPr>
            </w:pPr>
          </w:p>
        </w:tc>
        <w:tc>
          <w:tcPr>
            <w:tcW w:w="1020" w:type="dxa"/>
          </w:tcPr>
          <w:p>
            <w:pPr>
              <w:spacing w:line="260" w:lineRule="exact"/>
              <w:jc w:val="center"/>
              <w:rPr>
                <w:rFonts w:hint="eastAsia"/>
                <w:bCs/>
                <w:color w:val="auto"/>
                <w:szCs w:val="21"/>
              </w:rPr>
            </w:pPr>
            <w:r>
              <w:rPr>
                <w:rFonts w:hint="eastAsia"/>
                <w:bCs/>
                <w:color w:val="auto"/>
                <w:szCs w:val="21"/>
              </w:rPr>
              <w:t>0</w:t>
            </w:r>
          </w:p>
        </w:tc>
        <w:tc>
          <w:tcPr>
            <w:tcW w:w="1512" w:type="dxa"/>
            <w:vMerge w:val="continue"/>
          </w:tcPr>
          <w:p>
            <w:pPr>
              <w:adjustRightInd w:val="0"/>
              <w:snapToGrid w:val="0"/>
              <w:spacing w:line="260" w:lineRule="exact"/>
              <w:jc w:val="center"/>
              <w:rPr>
                <w:color w:val="auto"/>
                <w:szCs w:val="21"/>
              </w:rPr>
            </w:pPr>
          </w:p>
        </w:tc>
      </w:tr>
    </w:tbl>
    <w:p>
      <w:pPr>
        <w:pStyle w:val="4"/>
        <w:spacing w:line="520" w:lineRule="exact"/>
        <w:rPr>
          <w:rFonts w:ascii="Times New Roman" w:hAnsi="Times New Roman"/>
          <w:b/>
          <w:color w:val="auto"/>
        </w:rPr>
      </w:pPr>
      <w:bookmarkStart w:id="397" w:name="_Toc15275"/>
      <w:r>
        <w:rPr>
          <w:rFonts w:hint="eastAsia" w:ascii="Times New Roman" w:hAnsi="Times New Roman"/>
          <w:b/>
          <w:color w:val="auto"/>
        </w:rPr>
        <w:t>9</w:t>
      </w:r>
      <w:r>
        <w:rPr>
          <w:rFonts w:ascii="Times New Roman" w:hAnsi="Times New Roman"/>
          <w:b/>
          <w:color w:val="auto"/>
        </w:rPr>
        <w:t>.7“三同时”验收</w:t>
      </w:r>
      <w:bookmarkEnd w:id="396"/>
      <w:bookmarkEnd w:id="397"/>
    </w:p>
    <w:p>
      <w:pPr>
        <w:spacing w:line="360" w:lineRule="auto"/>
        <w:ind w:firstLine="480" w:firstLineChars="200"/>
        <w:rPr>
          <w:color w:val="auto"/>
          <w:sz w:val="24"/>
        </w:rPr>
      </w:pPr>
    </w:p>
    <w:p>
      <w:pPr>
        <w:spacing w:line="360" w:lineRule="auto"/>
        <w:ind w:firstLine="480" w:firstLineChars="200"/>
        <w:rPr>
          <w:color w:val="auto"/>
          <w:sz w:val="24"/>
        </w:rPr>
      </w:pPr>
      <w:r>
        <w:rPr>
          <w:color w:val="auto"/>
          <w:sz w:val="24"/>
        </w:rPr>
        <w:t>根据《建设项目环境保护管理条例》有关规定，建设项目需要配套建设的环保设施，必须与主体工程同时设计、同时施工、同时投产使用。根据《国务院关于修改&lt;建设项目环境保护管理条例&gt;的决定》（国令第628号）、《建设项目竣工环境保护验收暂行办法》（国环规环评[2017]4号）及《建设项目竣工环境保护验收技术指南-污染影响类》（生态环境部 公告 2018年第9号）等规定，编制环境影响报告表的建设项目竣工后，建设单位应该按照国务院环境保护行政主管部门规定的标准和程序，自行对配套建设的环境保护设施进行验收，编制验收监测报告表，并上网公示。</w:t>
      </w:r>
    </w:p>
    <w:p>
      <w:pPr>
        <w:spacing w:line="360" w:lineRule="auto"/>
        <w:jc w:val="center"/>
        <w:rPr>
          <w:b/>
          <w:bCs/>
          <w:color w:val="auto"/>
          <w:sz w:val="24"/>
        </w:rPr>
      </w:pPr>
      <w:r>
        <w:rPr>
          <w:b/>
          <w:bCs/>
          <w:color w:val="auto"/>
          <w:sz w:val="24"/>
        </w:rPr>
        <w:t>表</w:t>
      </w:r>
      <w:r>
        <w:rPr>
          <w:rFonts w:hint="eastAsia"/>
          <w:b/>
          <w:bCs/>
          <w:color w:val="auto"/>
          <w:sz w:val="24"/>
        </w:rPr>
        <w:t>9</w:t>
      </w:r>
      <w:r>
        <w:rPr>
          <w:b/>
          <w:bCs/>
          <w:color w:val="auto"/>
          <w:sz w:val="24"/>
        </w:rPr>
        <w:t>-</w:t>
      </w:r>
      <w:r>
        <w:rPr>
          <w:rFonts w:hint="eastAsia"/>
          <w:b/>
          <w:bCs/>
          <w:color w:val="auto"/>
          <w:sz w:val="24"/>
          <w:lang w:val="en-US" w:eastAsia="zh-CN"/>
        </w:rPr>
        <w:t>10</w:t>
      </w:r>
      <w:r>
        <w:rPr>
          <w:b/>
          <w:bCs/>
          <w:color w:val="auto"/>
          <w:sz w:val="24"/>
        </w:rPr>
        <w:t xml:space="preserve">  项目“三同时”验收一览表</w:t>
      </w:r>
    </w:p>
    <w:tbl>
      <w:tblPr>
        <w:tblStyle w:val="53"/>
        <w:tblW w:w="8757" w:type="dxa"/>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0" w:type="dxa"/>
          <w:bottom w:w="0" w:type="dxa"/>
          <w:right w:w="0" w:type="dxa"/>
        </w:tblCellMar>
      </w:tblPr>
      <w:tblGrid>
        <w:gridCol w:w="595"/>
        <w:gridCol w:w="971"/>
        <w:gridCol w:w="870"/>
        <w:gridCol w:w="2775"/>
        <w:gridCol w:w="3016"/>
        <w:gridCol w:w="530"/>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40" w:hRule="atLeast"/>
          <w:jc w:val="center"/>
        </w:trPr>
        <w:tc>
          <w:tcPr>
            <w:tcW w:w="595" w:type="dxa"/>
            <w:tcBorders>
              <w:right w:val="single" w:color="auto" w:sz="4" w:space="0"/>
            </w:tcBorders>
            <w:vAlign w:val="center"/>
          </w:tcPr>
          <w:p>
            <w:pPr>
              <w:pStyle w:val="109"/>
              <w:spacing w:line="260" w:lineRule="exact"/>
              <w:rPr>
                <w:bCs/>
                <w:color w:val="auto"/>
              </w:rPr>
            </w:pPr>
            <w:r>
              <w:rPr>
                <w:bCs/>
                <w:color w:val="auto"/>
              </w:rPr>
              <w:t>类别</w:t>
            </w:r>
          </w:p>
        </w:tc>
        <w:tc>
          <w:tcPr>
            <w:tcW w:w="971" w:type="dxa"/>
            <w:tcBorders>
              <w:left w:val="single" w:color="auto" w:sz="4" w:space="0"/>
              <w:right w:val="single" w:color="auto" w:sz="4" w:space="0"/>
            </w:tcBorders>
            <w:vAlign w:val="center"/>
          </w:tcPr>
          <w:p>
            <w:pPr>
              <w:pStyle w:val="109"/>
              <w:spacing w:line="260" w:lineRule="exact"/>
              <w:rPr>
                <w:bCs/>
                <w:color w:val="auto"/>
              </w:rPr>
            </w:pPr>
            <w:r>
              <w:rPr>
                <w:bCs/>
                <w:color w:val="auto"/>
              </w:rPr>
              <w:t>污染源</w:t>
            </w:r>
          </w:p>
        </w:tc>
        <w:tc>
          <w:tcPr>
            <w:tcW w:w="870" w:type="dxa"/>
            <w:tcBorders>
              <w:left w:val="single" w:color="auto" w:sz="4" w:space="0"/>
            </w:tcBorders>
            <w:tcMar>
              <w:top w:w="0" w:type="dxa"/>
              <w:left w:w="108" w:type="dxa"/>
              <w:bottom w:w="0" w:type="dxa"/>
              <w:right w:w="108" w:type="dxa"/>
            </w:tcMar>
            <w:vAlign w:val="center"/>
          </w:tcPr>
          <w:p>
            <w:pPr>
              <w:pStyle w:val="109"/>
              <w:spacing w:line="260" w:lineRule="exact"/>
              <w:rPr>
                <w:bCs/>
                <w:color w:val="auto"/>
              </w:rPr>
            </w:pPr>
            <w:r>
              <w:rPr>
                <w:bCs/>
                <w:color w:val="auto"/>
              </w:rPr>
              <w:t>污染物种类</w:t>
            </w:r>
          </w:p>
        </w:tc>
        <w:tc>
          <w:tcPr>
            <w:tcW w:w="2775" w:type="dxa"/>
            <w:tcBorders>
              <w:left w:val="single" w:color="auto" w:sz="4" w:space="0"/>
            </w:tcBorders>
            <w:tcMar>
              <w:top w:w="0" w:type="dxa"/>
              <w:left w:w="108" w:type="dxa"/>
              <w:bottom w:w="0" w:type="dxa"/>
              <w:right w:w="108" w:type="dxa"/>
            </w:tcMar>
            <w:vAlign w:val="center"/>
          </w:tcPr>
          <w:p>
            <w:pPr>
              <w:pStyle w:val="109"/>
              <w:spacing w:line="260" w:lineRule="exact"/>
              <w:rPr>
                <w:bCs/>
                <w:color w:val="auto"/>
              </w:rPr>
            </w:pPr>
            <w:r>
              <w:rPr>
                <w:bCs/>
                <w:color w:val="auto"/>
              </w:rPr>
              <w:t>环保保护措施</w:t>
            </w:r>
          </w:p>
        </w:tc>
        <w:tc>
          <w:tcPr>
            <w:tcW w:w="3016" w:type="dxa"/>
            <w:tcMar>
              <w:top w:w="0" w:type="dxa"/>
              <w:left w:w="108" w:type="dxa"/>
              <w:bottom w:w="0" w:type="dxa"/>
              <w:right w:w="108" w:type="dxa"/>
            </w:tcMar>
            <w:vAlign w:val="center"/>
          </w:tcPr>
          <w:p>
            <w:pPr>
              <w:pStyle w:val="109"/>
              <w:spacing w:line="260" w:lineRule="exact"/>
              <w:rPr>
                <w:bCs/>
                <w:color w:val="auto"/>
              </w:rPr>
            </w:pPr>
            <w:r>
              <w:rPr>
                <w:bCs/>
                <w:color w:val="auto"/>
              </w:rPr>
              <w:t>排放标准</w:t>
            </w:r>
          </w:p>
        </w:tc>
        <w:tc>
          <w:tcPr>
            <w:tcW w:w="530" w:type="dxa"/>
            <w:vAlign w:val="center"/>
          </w:tcPr>
          <w:p>
            <w:pPr>
              <w:pStyle w:val="109"/>
              <w:spacing w:line="260" w:lineRule="exact"/>
              <w:rPr>
                <w:bCs/>
                <w:color w:val="auto"/>
              </w:rPr>
            </w:pPr>
            <w:r>
              <w:rPr>
                <w:rFonts w:hint="eastAsia"/>
                <w:color w:val="auto"/>
              </w:rPr>
              <w:t>完成时间</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40" w:hRule="atLeast"/>
          <w:jc w:val="center"/>
        </w:trPr>
        <w:tc>
          <w:tcPr>
            <w:tcW w:w="595" w:type="dxa"/>
            <w:vMerge w:val="restart"/>
            <w:tcBorders>
              <w:right w:val="single" w:color="auto" w:sz="4" w:space="0"/>
            </w:tcBorders>
            <w:tcMar>
              <w:top w:w="0" w:type="dxa"/>
              <w:left w:w="108" w:type="dxa"/>
              <w:bottom w:w="0" w:type="dxa"/>
              <w:right w:w="108" w:type="dxa"/>
            </w:tcMar>
            <w:vAlign w:val="center"/>
          </w:tcPr>
          <w:p>
            <w:pPr>
              <w:pStyle w:val="109"/>
              <w:spacing w:line="260" w:lineRule="exact"/>
              <w:rPr>
                <w:bCs/>
                <w:color w:val="auto"/>
              </w:rPr>
            </w:pPr>
            <w:r>
              <w:rPr>
                <w:bCs/>
                <w:color w:val="auto"/>
              </w:rPr>
              <w:t>大气</w:t>
            </w:r>
          </w:p>
          <w:p>
            <w:pPr>
              <w:pStyle w:val="109"/>
              <w:spacing w:line="260" w:lineRule="exact"/>
              <w:rPr>
                <w:bCs/>
                <w:color w:val="auto"/>
              </w:rPr>
            </w:pPr>
            <w:r>
              <w:rPr>
                <w:bCs/>
                <w:color w:val="auto"/>
              </w:rPr>
              <w:t>污染</w:t>
            </w:r>
          </w:p>
        </w:tc>
        <w:tc>
          <w:tcPr>
            <w:tcW w:w="971" w:type="dxa"/>
            <w:tcBorders>
              <w:left w:val="single" w:color="auto" w:sz="4" w:space="0"/>
            </w:tcBorders>
            <w:tcMar>
              <w:top w:w="0" w:type="dxa"/>
              <w:left w:w="108" w:type="dxa"/>
              <w:bottom w:w="0" w:type="dxa"/>
              <w:right w:w="108" w:type="dxa"/>
            </w:tcMar>
            <w:vAlign w:val="center"/>
          </w:tcPr>
          <w:p>
            <w:pPr>
              <w:spacing w:line="260" w:lineRule="exact"/>
              <w:jc w:val="center"/>
              <w:rPr>
                <w:bCs/>
                <w:color w:val="auto"/>
              </w:rPr>
            </w:pPr>
            <w:r>
              <w:rPr>
                <w:rFonts w:hint="eastAsia"/>
                <w:bCs/>
                <w:color w:val="auto"/>
                <w:szCs w:val="21"/>
                <w:lang w:eastAsia="zh-CN"/>
              </w:rPr>
              <w:t>配料</w:t>
            </w:r>
          </w:p>
        </w:tc>
        <w:tc>
          <w:tcPr>
            <w:tcW w:w="870" w:type="dxa"/>
            <w:tcMar>
              <w:top w:w="0" w:type="dxa"/>
              <w:left w:w="108" w:type="dxa"/>
              <w:bottom w:w="0" w:type="dxa"/>
              <w:right w:w="108" w:type="dxa"/>
            </w:tcMar>
            <w:vAlign w:val="center"/>
          </w:tcPr>
          <w:p>
            <w:pPr>
              <w:adjustRightInd w:val="0"/>
              <w:snapToGrid w:val="0"/>
              <w:spacing w:line="260" w:lineRule="exact"/>
              <w:jc w:val="center"/>
              <w:rPr>
                <w:color w:val="auto"/>
                <w:kern w:val="0"/>
                <w:szCs w:val="21"/>
              </w:rPr>
            </w:pPr>
            <w:r>
              <w:rPr>
                <w:rFonts w:hint="eastAsia"/>
                <w:color w:val="auto"/>
                <w:kern w:val="0"/>
                <w:szCs w:val="21"/>
                <w:lang w:eastAsia="zh-CN"/>
              </w:rPr>
              <w:t>颗粒物</w:t>
            </w:r>
          </w:p>
        </w:tc>
        <w:tc>
          <w:tcPr>
            <w:tcW w:w="2775" w:type="dxa"/>
            <w:tcBorders>
              <w:bottom w:val="single" w:color="auto" w:sz="8" w:space="0"/>
            </w:tcBorders>
            <w:tcMar>
              <w:top w:w="0" w:type="dxa"/>
              <w:left w:w="108" w:type="dxa"/>
              <w:bottom w:w="0" w:type="dxa"/>
              <w:right w:w="108" w:type="dxa"/>
            </w:tcMar>
            <w:vAlign w:val="center"/>
          </w:tcPr>
          <w:p>
            <w:pPr>
              <w:pStyle w:val="109"/>
              <w:spacing w:line="260" w:lineRule="exact"/>
              <w:rPr>
                <w:color w:val="auto"/>
                <w:szCs w:val="21"/>
              </w:rPr>
            </w:pPr>
            <w:r>
              <w:rPr>
                <w:rFonts w:hint="eastAsia"/>
                <w:color w:val="auto"/>
              </w:rPr>
              <w:t>集气装置</w:t>
            </w:r>
            <w:r>
              <w:rPr>
                <w:color w:val="auto"/>
              </w:rPr>
              <w:t>+</w:t>
            </w:r>
            <w:r>
              <w:rPr>
                <w:rFonts w:hint="eastAsia"/>
                <w:bCs/>
                <w:color w:val="auto"/>
                <w:szCs w:val="21"/>
                <w:lang w:eastAsia="zh-CN"/>
              </w:rPr>
              <w:t>布袋除尘器</w:t>
            </w:r>
            <w:r>
              <w:rPr>
                <w:color w:val="auto"/>
              </w:rPr>
              <w:t>+1根15m高排气筒</w:t>
            </w:r>
          </w:p>
        </w:tc>
        <w:tc>
          <w:tcPr>
            <w:tcW w:w="3016" w:type="dxa"/>
            <w:tcMar>
              <w:top w:w="0" w:type="dxa"/>
              <w:left w:w="108" w:type="dxa"/>
              <w:bottom w:w="0" w:type="dxa"/>
              <w:right w:w="108" w:type="dxa"/>
            </w:tcMar>
            <w:vAlign w:val="center"/>
          </w:tcPr>
          <w:p>
            <w:pPr>
              <w:tabs>
                <w:tab w:val="left" w:pos="2700"/>
              </w:tabs>
              <w:spacing w:line="260" w:lineRule="exact"/>
              <w:jc w:val="center"/>
              <w:rPr>
                <w:bCs/>
                <w:color w:val="auto"/>
                <w:szCs w:val="21"/>
              </w:rPr>
            </w:pPr>
            <w:r>
              <w:rPr>
                <w:rFonts w:hint="eastAsia"/>
                <w:bCs/>
                <w:color w:val="auto"/>
                <w:szCs w:val="21"/>
                <w:lang w:eastAsia="zh-CN"/>
              </w:rPr>
              <w:t>颗粒物</w:t>
            </w:r>
            <w:r>
              <w:rPr>
                <w:bCs/>
                <w:color w:val="auto"/>
                <w:szCs w:val="21"/>
              </w:rPr>
              <w:t>满足《橡胶制品工业污染物排放标准》（GB27632-2011）标准</w:t>
            </w:r>
          </w:p>
        </w:tc>
        <w:tc>
          <w:tcPr>
            <w:tcW w:w="530" w:type="dxa"/>
            <w:vMerge w:val="restart"/>
            <w:vAlign w:val="center"/>
          </w:tcPr>
          <w:p>
            <w:pPr>
              <w:pStyle w:val="109"/>
              <w:spacing w:line="260" w:lineRule="exact"/>
              <w:rPr>
                <w:bCs/>
                <w:color w:val="auto"/>
              </w:rPr>
            </w:pPr>
            <w:r>
              <w:rPr>
                <w:rFonts w:hint="eastAsia"/>
                <w:color w:val="auto"/>
              </w:rPr>
              <w:t>与建设项目主体工程同时设计、同时开工、同时建成运行</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1295" w:hRule="atLeast"/>
          <w:jc w:val="center"/>
        </w:trPr>
        <w:tc>
          <w:tcPr>
            <w:tcW w:w="595" w:type="dxa"/>
            <w:vMerge w:val="continue"/>
            <w:tcBorders>
              <w:right w:val="single" w:color="auto" w:sz="4" w:space="0"/>
            </w:tcBorders>
            <w:tcMar>
              <w:top w:w="0" w:type="dxa"/>
              <w:left w:w="108" w:type="dxa"/>
              <w:bottom w:w="0" w:type="dxa"/>
              <w:right w:w="108" w:type="dxa"/>
            </w:tcMar>
            <w:vAlign w:val="center"/>
          </w:tcPr>
          <w:p>
            <w:pPr>
              <w:pStyle w:val="109"/>
              <w:spacing w:line="260" w:lineRule="exact"/>
              <w:rPr>
                <w:bCs/>
                <w:color w:val="auto"/>
              </w:rPr>
            </w:pPr>
          </w:p>
        </w:tc>
        <w:tc>
          <w:tcPr>
            <w:tcW w:w="971" w:type="dxa"/>
            <w:tcBorders>
              <w:left w:val="single" w:color="auto" w:sz="4" w:space="0"/>
            </w:tcBorders>
            <w:tcMar>
              <w:top w:w="0" w:type="dxa"/>
              <w:left w:w="108" w:type="dxa"/>
              <w:bottom w:w="0" w:type="dxa"/>
              <w:right w:w="108" w:type="dxa"/>
            </w:tcMar>
            <w:vAlign w:val="center"/>
          </w:tcPr>
          <w:p>
            <w:pPr>
              <w:pStyle w:val="109"/>
              <w:spacing w:line="260" w:lineRule="exact"/>
              <w:rPr>
                <w:bCs/>
                <w:color w:val="auto"/>
              </w:rPr>
            </w:pPr>
            <w:r>
              <w:rPr>
                <w:rFonts w:hint="eastAsia"/>
                <w:bCs/>
                <w:color w:val="auto"/>
                <w:szCs w:val="21"/>
              </w:rPr>
              <w:t>配胶、开炼、密炼</w:t>
            </w:r>
          </w:p>
        </w:tc>
        <w:tc>
          <w:tcPr>
            <w:tcW w:w="870" w:type="dxa"/>
            <w:tcMar>
              <w:top w:w="0" w:type="dxa"/>
              <w:left w:w="108" w:type="dxa"/>
              <w:bottom w:w="0" w:type="dxa"/>
              <w:right w:w="108" w:type="dxa"/>
            </w:tcMar>
            <w:vAlign w:val="center"/>
          </w:tcPr>
          <w:p>
            <w:pPr>
              <w:adjustRightInd w:val="0"/>
              <w:snapToGrid w:val="0"/>
              <w:spacing w:line="260" w:lineRule="exact"/>
              <w:jc w:val="center"/>
              <w:rPr>
                <w:color w:val="auto"/>
                <w:kern w:val="0"/>
                <w:szCs w:val="21"/>
              </w:rPr>
            </w:pPr>
            <w:r>
              <w:rPr>
                <w:rFonts w:hint="eastAsia"/>
                <w:color w:val="auto"/>
                <w:kern w:val="0"/>
                <w:szCs w:val="21"/>
                <w:lang w:eastAsia="zh-CN"/>
              </w:rPr>
              <w:t>颗粒物、</w:t>
            </w:r>
            <w:r>
              <w:rPr>
                <w:color w:val="auto"/>
                <w:kern w:val="0"/>
                <w:szCs w:val="21"/>
              </w:rPr>
              <w:t>非甲烷总烃、</w:t>
            </w:r>
            <w:r>
              <w:rPr>
                <w:color w:val="auto"/>
                <w:sz w:val="24"/>
              </w:rPr>
              <w:t>H</w:t>
            </w:r>
            <w:r>
              <w:rPr>
                <w:bCs/>
                <w:color w:val="auto"/>
                <w:sz w:val="24"/>
                <w:vertAlign w:val="subscript"/>
              </w:rPr>
              <w:t>2</w:t>
            </w:r>
            <w:r>
              <w:rPr>
                <w:bCs/>
                <w:color w:val="auto"/>
                <w:sz w:val="24"/>
              </w:rPr>
              <w:t>S</w:t>
            </w:r>
          </w:p>
        </w:tc>
        <w:tc>
          <w:tcPr>
            <w:tcW w:w="2775" w:type="dxa"/>
            <w:tcBorders>
              <w:bottom w:val="single" w:color="auto" w:sz="8" w:space="0"/>
            </w:tcBorders>
            <w:tcMar>
              <w:top w:w="0" w:type="dxa"/>
              <w:left w:w="108" w:type="dxa"/>
              <w:bottom w:w="0" w:type="dxa"/>
              <w:right w:w="108" w:type="dxa"/>
            </w:tcMar>
            <w:vAlign w:val="center"/>
          </w:tcPr>
          <w:p>
            <w:pPr>
              <w:spacing w:line="260" w:lineRule="exact"/>
              <w:jc w:val="center"/>
              <w:rPr>
                <w:rFonts w:hint="eastAsia" w:eastAsia="宋体"/>
                <w:color w:val="auto"/>
                <w:szCs w:val="21"/>
                <w:lang w:eastAsia="zh-CN"/>
              </w:rPr>
            </w:pPr>
            <w:r>
              <w:rPr>
                <w:rFonts w:hint="eastAsia"/>
                <w:color w:val="auto"/>
                <w:lang w:eastAsia="zh-CN"/>
              </w:rPr>
              <w:t>集气装置+布袋除尘器（2套）+二级活性炭净化装置+1根15m高排气筒</w:t>
            </w:r>
          </w:p>
        </w:tc>
        <w:tc>
          <w:tcPr>
            <w:tcW w:w="3016" w:type="dxa"/>
            <w:tcMar>
              <w:top w:w="0" w:type="dxa"/>
              <w:left w:w="108" w:type="dxa"/>
              <w:bottom w:w="0" w:type="dxa"/>
              <w:right w:w="108" w:type="dxa"/>
            </w:tcMar>
            <w:vAlign w:val="center"/>
          </w:tcPr>
          <w:p>
            <w:pPr>
              <w:adjustRightInd w:val="0"/>
              <w:snapToGrid w:val="0"/>
              <w:spacing w:line="260" w:lineRule="exact"/>
              <w:jc w:val="center"/>
              <w:rPr>
                <w:bCs/>
                <w:color w:val="auto"/>
                <w:szCs w:val="21"/>
              </w:rPr>
            </w:pPr>
            <w:r>
              <w:rPr>
                <w:rFonts w:hint="eastAsia"/>
                <w:bCs/>
                <w:color w:val="auto"/>
                <w:szCs w:val="21"/>
                <w:lang w:eastAsia="zh-CN"/>
              </w:rPr>
              <w:t>颗粒物、非甲烷总烃</w:t>
            </w:r>
            <w:r>
              <w:rPr>
                <w:bCs/>
                <w:color w:val="auto"/>
                <w:szCs w:val="21"/>
              </w:rPr>
              <w:t>满足《橡胶制品工业污染物排放标准》（GB27632-2011）标准、</w:t>
            </w:r>
            <w:r>
              <w:rPr>
                <w:rFonts w:hint="default" w:ascii="Times New Roman" w:hAnsi="Times New Roman" w:eastAsia="宋体" w:cs="Times New Roman"/>
                <w:i w:val="0"/>
                <w:color w:val="000000"/>
                <w:kern w:val="0"/>
                <w:sz w:val="21"/>
                <w:szCs w:val="21"/>
                <w:u w:val="none"/>
                <w:lang w:val="en-US" w:eastAsia="zh-CN" w:bidi="ar"/>
              </w:rPr>
              <w:t>H</w:t>
            </w:r>
            <w:r>
              <w:rPr>
                <w:rFonts w:hint="default" w:ascii="Times New Roman" w:hAnsi="Times New Roman" w:eastAsia="宋体" w:cs="Times New Roman"/>
                <w:i w:val="0"/>
                <w:color w:val="000000"/>
                <w:kern w:val="0"/>
                <w:sz w:val="21"/>
                <w:szCs w:val="21"/>
                <w:u w:val="none"/>
                <w:vertAlign w:val="subscript"/>
                <w:lang w:val="en-US" w:eastAsia="zh-CN" w:bidi="ar"/>
              </w:rPr>
              <w:t>2</w:t>
            </w:r>
            <w:r>
              <w:rPr>
                <w:rFonts w:hint="default" w:ascii="Times New Roman" w:hAnsi="Times New Roman" w:eastAsia="宋体" w:cs="Times New Roman"/>
                <w:i w:val="0"/>
                <w:color w:val="000000"/>
                <w:kern w:val="0"/>
                <w:sz w:val="21"/>
                <w:szCs w:val="21"/>
                <w:u w:val="none"/>
                <w:lang w:val="en-US" w:eastAsia="zh-CN" w:bidi="ar"/>
              </w:rPr>
              <w:t>S</w:t>
            </w:r>
            <w:r>
              <w:rPr>
                <w:rFonts w:hint="eastAsia" w:cs="Times New Roman"/>
                <w:i w:val="0"/>
                <w:color w:val="000000"/>
                <w:kern w:val="0"/>
                <w:sz w:val="21"/>
                <w:szCs w:val="21"/>
                <w:u w:val="none"/>
                <w:lang w:val="en-US" w:eastAsia="zh-CN" w:bidi="ar"/>
              </w:rPr>
              <w:t>满足</w:t>
            </w:r>
            <w:r>
              <w:rPr>
                <w:bCs/>
                <w:color w:val="auto"/>
                <w:szCs w:val="21"/>
              </w:rPr>
              <w:t>《恶臭污染物排放标准》（GB14554-93）</w:t>
            </w:r>
          </w:p>
        </w:tc>
        <w:tc>
          <w:tcPr>
            <w:tcW w:w="530" w:type="dxa"/>
            <w:vMerge w:val="continue"/>
            <w:vAlign w:val="center"/>
          </w:tcPr>
          <w:p>
            <w:pPr>
              <w:pStyle w:val="109"/>
              <w:spacing w:line="260" w:lineRule="exact"/>
              <w:rPr>
                <w:bCs/>
                <w:color w:val="auto"/>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40" w:hRule="atLeast"/>
          <w:jc w:val="center"/>
        </w:trPr>
        <w:tc>
          <w:tcPr>
            <w:tcW w:w="595" w:type="dxa"/>
            <w:vMerge w:val="continue"/>
            <w:tcBorders>
              <w:right w:val="single" w:color="auto" w:sz="4" w:space="0"/>
            </w:tcBorders>
            <w:tcMar>
              <w:top w:w="0" w:type="dxa"/>
              <w:left w:w="108" w:type="dxa"/>
              <w:bottom w:w="0" w:type="dxa"/>
              <w:right w:w="108" w:type="dxa"/>
            </w:tcMar>
            <w:vAlign w:val="center"/>
          </w:tcPr>
          <w:p>
            <w:pPr>
              <w:pStyle w:val="109"/>
              <w:spacing w:line="260" w:lineRule="exact"/>
              <w:rPr>
                <w:bCs/>
                <w:color w:val="auto"/>
              </w:rPr>
            </w:pPr>
          </w:p>
        </w:tc>
        <w:tc>
          <w:tcPr>
            <w:tcW w:w="971" w:type="dxa"/>
            <w:tcBorders>
              <w:left w:val="single" w:color="auto" w:sz="4" w:space="0"/>
            </w:tcBorders>
            <w:tcMar>
              <w:top w:w="0" w:type="dxa"/>
              <w:left w:w="108" w:type="dxa"/>
              <w:bottom w:w="0" w:type="dxa"/>
              <w:right w:w="108" w:type="dxa"/>
            </w:tcMar>
            <w:vAlign w:val="center"/>
          </w:tcPr>
          <w:p>
            <w:pPr>
              <w:spacing w:line="260" w:lineRule="exact"/>
              <w:jc w:val="center"/>
              <w:rPr>
                <w:bCs/>
                <w:color w:val="auto"/>
                <w:kern w:val="0"/>
                <w:szCs w:val="21"/>
              </w:rPr>
            </w:pPr>
            <w:r>
              <w:rPr>
                <w:rFonts w:hint="eastAsia"/>
                <w:bCs/>
                <w:color w:val="auto"/>
                <w:szCs w:val="21"/>
                <w:lang w:eastAsia="zh-CN"/>
              </w:rPr>
              <w:t>涂胶、晾干、烘干</w:t>
            </w:r>
          </w:p>
        </w:tc>
        <w:tc>
          <w:tcPr>
            <w:tcW w:w="870" w:type="dxa"/>
            <w:tcMar>
              <w:top w:w="0" w:type="dxa"/>
              <w:left w:w="108" w:type="dxa"/>
              <w:bottom w:w="0" w:type="dxa"/>
              <w:right w:w="108" w:type="dxa"/>
            </w:tcMar>
            <w:vAlign w:val="center"/>
          </w:tcPr>
          <w:p>
            <w:pPr>
              <w:adjustRightInd w:val="0"/>
              <w:snapToGrid w:val="0"/>
              <w:spacing w:line="260" w:lineRule="exact"/>
              <w:jc w:val="center"/>
              <w:rPr>
                <w:color w:val="auto"/>
                <w:kern w:val="0"/>
                <w:szCs w:val="21"/>
              </w:rPr>
            </w:pPr>
            <w:r>
              <w:rPr>
                <w:color w:val="auto"/>
                <w:kern w:val="0"/>
                <w:szCs w:val="21"/>
              </w:rPr>
              <w:t>非甲烷总烃</w:t>
            </w:r>
          </w:p>
        </w:tc>
        <w:tc>
          <w:tcPr>
            <w:tcW w:w="2775" w:type="dxa"/>
            <w:tcBorders>
              <w:bottom w:val="single" w:color="auto" w:sz="8" w:space="0"/>
            </w:tcBorders>
            <w:tcMar>
              <w:top w:w="0" w:type="dxa"/>
              <w:left w:w="108" w:type="dxa"/>
              <w:bottom w:w="0" w:type="dxa"/>
              <w:right w:w="108" w:type="dxa"/>
            </w:tcMar>
            <w:vAlign w:val="center"/>
          </w:tcPr>
          <w:p>
            <w:pPr>
              <w:spacing w:line="260" w:lineRule="exact"/>
              <w:jc w:val="center"/>
              <w:rPr>
                <w:rFonts w:hint="eastAsia" w:eastAsia="宋体"/>
                <w:color w:val="auto"/>
                <w:lang w:eastAsia="zh-CN"/>
              </w:rPr>
            </w:pPr>
            <w:r>
              <w:rPr>
                <w:rFonts w:hint="eastAsia"/>
                <w:color w:val="auto"/>
              </w:rPr>
              <w:t>集气装置</w:t>
            </w:r>
            <w:r>
              <w:rPr>
                <w:rFonts w:hint="eastAsia"/>
                <w:color w:val="auto"/>
                <w:lang w:val="en-US" w:eastAsia="zh-CN"/>
              </w:rPr>
              <w:t>+</w:t>
            </w:r>
            <w:r>
              <w:rPr>
                <w:rFonts w:hint="eastAsia"/>
                <w:bCs/>
                <w:color w:val="auto"/>
                <w:szCs w:val="21"/>
                <w:lang w:eastAsia="zh-CN"/>
              </w:rPr>
              <w:t>催化燃烧装置</w:t>
            </w:r>
            <w:r>
              <w:rPr>
                <w:color w:val="auto"/>
              </w:rPr>
              <w:t>+1根15m高排气筒</w:t>
            </w:r>
          </w:p>
        </w:tc>
        <w:tc>
          <w:tcPr>
            <w:tcW w:w="3016" w:type="dxa"/>
            <w:tcMar>
              <w:top w:w="0" w:type="dxa"/>
              <w:left w:w="108" w:type="dxa"/>
              <w:bottom w:w="0" w:type="dxa"/>
              <w:right w:w="108" w:type="dxa"/>
            </w:tcMar>
            <w:vAlign w:val="center"/>
          </w:tcPr>
          <w:p>
            <w:pPr>
              <w:adjustRightInd w:val="0"/>
              <w:snapToGrid w:val="0"/>
              <w:spacing w:line="260" w:lineRule="exact"/>
              <w:jc w:val="center"/>
              <w:rPr>
                <w:bCs/>
                <w:color w:val="auto"/>
                <w:szCs w:val="21"/>
              </w:rPr>
            </w:pPr>
            <w:r>
              <w:rPr>
                <w:rFonts w:hint="eastAsia"/>
                <w:bCs/>
                <w:color w:val="auto"/>
                <w:szCs w:val="21"/>
                <w:lang w:eastAsia="zh-CN"/>
              </w:rPr>
              <w:t>非甲烷总烃</w:t>
            </w:r>
            <w:r>
              <w:rPr>
                <w:color w:val="auto"/>
                <w:szCs w:val="21"/>
              </w:rPr>
              <w:t>满足</w:t>
            </w:r>
            <w:r>
              <w:rPr>
                <w:bCs/>
                <w:color w:val="auto"/>
                <w:szCs w:val="21"/>
              </w:rPr>
              <w:t>《工业企业挥发性有机物排放控制标准》（DB12/524-2014）标准</w:t>
            </w:r>
          </w:p>
        </w:tc>
        <w:tc>
          <w:tcPr>
            <w:tcW w:w="530" w:type="dxa"/>
            <w:vMerge w:val="continue"/>
            <w:vAlign w:val="center"/>
          </w:tcPr>
          <w:p>
            <w:pPr>
              <w:pStyle w:val="109"/>
              <w:spacing w:line="260" w:lineRule="exact"/>
              <w:rPr>
                <w:bCs/>
                <w:color w:val="auto"/>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40" w:hRule="atLeast"/>
          <w:jc w:val="center"/>
        </w:trPr>
        <w:tc>
          <w:tcPr>
            <w:tcW w:w="595" w:type="dxa"/>
            <w:tcMar>
              <w:top w:w="0" w:type="dxa"/>
              <w:left w:w="108" w:type="dxa"/>
              <w:bottom w:w="0" w:type="dxa"/>
              <w:right w:w="108" w:type="dxa"/>
            </w:tcMar>
            <w:vAlign w:val="center"/>
          </w:tcPr>
          <w:p>
            <w:pPr>
              <w:pStyle w:val="109"/>
              <w:spacing w:line="260" w:lineRule="exact"/>
              <w:rPr>
                <w:bCs/>
                <w:color w:val="auto"/>
              </w:rPr>
            </w:pPr>
            <w:r>
              <w:rPr>
                <w:bCs/>
                <w:color w:val="auto"/>
              </w:rPr>
              <w:t>水污染</w:t>
            </w:r>
          </w:p>
        </w:tc>
        <w:tc>
          <w:tcPr>
            <w:tcW w:w="971" w:type="dxa"/>
            <w:tcMar>
              <w:top w:w="0" w:type="dxa"/>
              <w:left w:w="108" w:type="dxa"/>
              <w:bottom w:w="0" w:type="dxa"/>
              <w:right w:w="108" w:type="dxa"/>
            </w:tcMar>
            <w:vAlign w:val="center"/>
          </w:tcPr>
          <w:p>
            <w:pPr>
              <w:pStyle w:val="109"/>
              <w:spacing w:line="260" w:lineRule="exact"/>
              <w:rPr>
                <w:color w:val="auto"/>
              </w:rPr>
            </w:pPr>
            <w:r>
              <w:rPr>
                <w:bCs/>
                <w:color w:val="auto"/>
              </w:rPr>
              <w:t>生活污水</w:t>
            </w:r>
          </w:p>
        </w:tc>
        <w:tc>
          <w:tcPr>
            <w:tcW w:w="870" w:type="dxa"/>
            <w:tcMar>
              <w:top w:w="0" w:type="dxa"/>
              <w:left w:w="108" w:type="dxa"/>
              <w:bottom w:w="0" w:type="dxa"/>
              <w:right w:w="108" w:type="dxa"/>
            </w:tcMar>
            <w:vAlign w:val="center"/>
          </w:tcPr>
          <w:p>
            <w:pPr>
              <w:pStyle w:val="109"/>
              <w:spacing w:line="260" w:lineRule="exact"/>
              <w:rPr>
                <w:bCs/>
                <w:color w:val="auto"/>
              </w:rPr>
            </w:pPr>
            <w:r>
              <w:rPr>
                <w:bCs/>
                <w:color w:val="auto"/>
              </w:rPr>
              <w:t>COD、</w:t>
            </w:r>
            <w:r>
              <w:rPr>
                <w:rFonts w:hint="eastAsia"/>
                <w:bCs/>
                <w:color w:val="auto"/>
                <w:lang w:val="en-US" w:eastAsia="zh-CN"/>
              </w:rPr>
              <w:t>BOD</w:t>
            </w:r>
            <w:r>
              <w:rPr>
                <w:rFonts w:hint="eastAsia"/>
                <w:bCs/>
                <w:color w:val="auto"/>
                <w:vertAlign w:val="subscript"/>
                <w:lang w:val="en-US" w:eastAsia="zh-CN"/>
              </w:rPr>
              <w:t>5</w:t>
            </w:r>
            <w:r>
              <w:rPr>
                <w:rFonts w:hint="eastAsia"/>
                <w:bCs/>
                <w:color w:val="auto"/>
                <w:lang w:val="en-US" w:eastAsia="zh-CN"/>
              </w:rPr>
              <w:t>、</w:t>
            </w:r>
            <w:r>
              <w:rPr>
                <w:bCs/>
                <w:color w:val="auto"/>
              </w:rPr>
              <w:t>SS、NH</w:t>
            </w:r>
            <w:r>
              <w:rPr>
                <w:bCs/>
                <w:color w:val="auto"/>
                <w:vertAlign w:val="subscript"/>
              </w:rPr>
              <w:t>3</w:t>
            </w:r>
            <w:r>
              <w:rPr>
                <w:bCs/>
                <w:color w:val="auto"/>
              </w:rPr>
              <w:t>-N</w:t>
            </w:r>
          </w:p>
        </w:tc>
        <w:tc>
          <w:tcPr>
            <w:tcW w:w="2775" w:type="dxa"/>
            <w:tcMar>
              <w:top w:w="0" w:type="dxa"/>
              <w:left w:w="108" w:type="dxa"/>
              <w:bottom w:w="0" w:type="dxa"/>
              <w:right w:w="108" w:type="dxa"/>
            </w:tcMar>
            <w:vAlign w:val="center"/>
          </w:tcPr>
          <w:p>
            <w:pPr>
              <w:tabs>
                <w:tab w:val="left" w:pos="210"/>
              </w:tabs>
              <w:spacing w:line="260" w:lineRule="exact"/>
              <w:jc w:val="center"/>
              <w:rPr>
                <w:color w:val="auto"/>
              </w:rPr>
            </w:pPr>
            <w:r>
              <w:rPr>
                <w:color w:val="auto"/>
                <w:szCs w:val="21"/>
              </w:rPr>
              <w:t>化粪池</w:t>
            </w:r>
          </w:p>
        </w:tc>
        <w:tc>
          <w:tcPr>
            <w:tcW w:w="3016" w:type="dxa"/>
            <w:tcMar>
              <w:top w:w="0" w:type="dxa"/>
              <w:left w:w="108" w:type="dxa"/>
              <w:bottom w:w="0" w:type="dxa"/>
              <w:right w:w="108" w:type="dxa"/>
            </w:tcMar>
            <w:vAlign w:val="center"/>
          </w:tcPr>
          <w:p>
            <w:pPr>
              <w:spacing w:line="260" w:lineRule="exact"/>
              <w:jc w:val="center"/>
              <w:rPr>
                <w:bCs/>
                <w:color w:val="auto"/>
                <w:szCs w:val="21"/>
              </w:rPr>
            </w:pPr>
            <w:r>
              <w:rPr>
                <w:bCs/>
                <w:color w:val="auto"/>
                <w:szCs w:val="21"/>
              </w:rPr>
              <w:t>满足</w:t>
            </w:r>
            <w:r>
              <w:rPr>
                <w:rFonts w:hint="eastAsia"/>
                <w:bCs/>
                <w:color w:val="auto"/>
                <w:szCs w:val="21"/>
                <w:lang w:eastAsia="zh-CN"/>
              </w:rPr>
              <w:t>宁国市污水处理厂</w:t>
            </w:r>
            <w:r>
              <w:rPr>
                <w:bCs/>
                <w:color w:val="auto"/>
                <w:szCs w:val="21"/>
              </w:rPr>
              <w:t>接管</w:t>
            </w:r>
            <w:r>
              <w:rPr>
                <w:rFonts w:hint="eastAsia"/>
                <w:bCs/>
                <w:color w:val="auto"/>
                <w:szCs w:val="21"/>
              </w:rPr>
              <w:t>标准</w:t>
            </w:r>
          </w:p>
        </w:tc>
        <w:tc>
          <w:tcPr>
            <w:tcW w:w="530" w:type="dxa"/>
            <w:vMerge w:val="continue"/>
            <w:vAlign w:val="center"/>
          </w:tcPr>
          <w:p>
            <w:pPr>
              <w:pStyle w:val="109"/>
              <w:spacing w:line="260" w:lineRule="exact"/>
              <w:rPr>
                <w:bCs/>
                <w:color w:val="auto"/>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40" w:hRule="atLeast"/>
          <w:jc w:val="center"/>
        </w:trPr>
        <w:tc>
          <w:tcPr>
            <w:tcW w:w="595" w:type="dxa"/>
            <w:tcBorders>
              <w:top w:val="single" w:color="auto" w:sz="4" w:space="0"/>
            </w:tcBorders>
            <w:vAlign w:val="center"/>
          </w:tcPr>
          <w:p>
            <w:pPr>
              <w:pStyle w:val="109"/>
              <w:spacing w:line="260" w:lineRule="exact"/>
              <w:rPr>
                <w:bCs/>
                <w:color w:val="auto"/>
              </w:rPr>
            </w:pPr>
            <w:r>
              <w:rPr>
                <w:bCs/>
                <w:color w:val="auto"/>
              </w:rPr>
              <w:t>噪声</w:t>
            </w:r>
          </w:p>
          <w:p>
            <w:pPr>
              <w:pStyle w:val="109"/>
              <w:spacing w:line="260" w:lineRule="exact"/>
              <w:rPr>
                <w:bCs/>
                <w:color w:val="auto"/>
              </w:rPr>
            </w:pPr>
            <w:r>
              <w:rPr>
                <w:bCs/>
                <w:color w:val="auto"/>
              </w:rPr>
              <w:t>治理</w:t>
            </w:r>
          </w:p>
        </w:tc>
        <w:tc>
          <w:tcPr>
            <w:tcW w:w="971" w:type="dxa"/>
            <w:tcMar>
              <w:top w:w="0" w:type="dxa"/>
              <w:left w:w="108" w:type="dxa"/>
              <w:bottom w:w="0" w:type="dxa"/>
              <w:right w:w="108" w:type="dxa"/>
            </w:tcMar>
            <w:vAlign w:val="center"/>
          </w:tcPr>
          <w:p>
            <w:pPr>
              <w:pStyle w:val="109"/>
              <w:spacing w:line="260" w:lineRule="exact"/>
              <w:rPr>
                <w:bCs/>
                <w:color w:val="auto"/>
              </w:rPr>
            </w:pPr>
            <w:r>
              <w:rPr>
                <w:bCs/>
                <w:color w:val="auto"/>
              </w:rPr>
              <w:t>生产设备</w:t>
            </w:r>
          </w:p>
        </w:tc>
        <w:tc>
          <w:tcPr>
            <w:tcW w:w="870" w:type="dxa"/>
            <w:tcMar>
              <w:top w:w="0" w:type="dxa"/>
              <w:left w:w="108" w:type="dxa"/>
              <w:bottom w:w="0" w:type="dxa"/>
              <w:right w:w="108" w:type="dxa"/>
            </w:tcMar>
            <w:vAlign w:val="center"/>
          </w:tcPr>
          <w:p>
            <w:pPr>
              <w:pStyle w:val="109"/>
              <w:spacing w:line="260" w:lineRule="exact"/>
              <w:rPr>
                <w:bCs/>
                <w:color w:val="auto"/>
              </w:rPr>
            </w:pPr>
            <w:r>
              <w:rPr>
                <w:bCs/>
                <w:color w:val="auto"/>
              </w:rPr>
              <w:t>连续等效A声级</w:t>
            </w:r>
          </w:p>
        </w:tc>
        <w:tc>
          <w:tcPr>
            <w:tcW w:w="2775" w:type="dxa"/>
            <w:tcMar>
              <w:top w:w="0" w:type="dxa"/>
              <w:left w:w="108" w:type="dxa"/>
              <w:bottom w:w="0" w:type="dxa"/>
              <w:right w:w="108" w:type="dxa"/>
            </w:tcMar>
            <w:vAlign w:val="center"/>
          </w:tcPr>
          <w:p>
            <w:pPr>
              <w:pStyle w:val="109"/>
              <w:spacing w:line="260" w:lineRule="exact"/>
              <w:rPr>
                <w:bCs/>
                <w:color w:val="auto"/>
              </w:rPr>
            </w:pPr>
            <w:r>
              <w:rPr>
                <w:bCs/>
                <w:color w:val="auto"/>
              </w:rPr>
              <w:t>隔声、减震、消声</w:t>
            </w:r>
          </w:p>
        </w:tc>
        <w:tc>
          <w:tcPr>
            <w:tcW w:w="3016" w:type="dxa"/>
            <w:tcBorders>
              <w:top w:val="single" w:color="auto" w:sz="4" w:space="0"/>
            </w:tcBorders>
            <w:vAlign w:val="center"/>
          </w:tcPr>
          <w:p>
            <w:pPr>
              <w:spacing w:line="260" w:lineRule="exact"/>
              <w:jc w:val="center"/>
              <w:rPr>
                <w:bCs/>
                <w:color w:val="auto"/>
                <w:szCs w:val="21"/>
              </w:rPr>
            </w:pPr>
            <w:r>
              <w:rPr>
                <w:rFonts w:hint="eastAsia"/>
                <w:bCs/>
                <w:color w:val="auto"/>
                <w:szCs w:val="21"/>
              </w:rPr>
              <w:t>满足</w:t>
            </w:r>
            <w:r>
              <w:rPr>
                <w:bCs/>
                <w:color w:val="auto"/>
                <w:szCs w:val="21"/>
              </w:rPr>
              <w:t>《工业企业场界环境噪声排放标准》（GB12348-2008）3类标准</w:t>
            </w:r>
          </w:p>
        </w:tc>
        <w:tc>
          <w:tcPr>
            <w:tcW w:w="530" w:type="dxa"/>
            <w:vMerge w:val="continue"/>
            <w:vAlign w:val="center"/>
          </w:tcPr>
          <w:p>
            <w:pPr>
              <w:pStyle w:val="109"/>
              <w:spacing w:line="260" w:lineRule="exact"/>
              <w:rPr>
                <w:bCs/>
                <w:color w:val="auto"/>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40" w:hRule="atLeast"/>
          <w:jc w:val="center"/>
        </w:trPr>
        <w:tc>
          <w:tcPr>
            <w:tcW w:w="595" w:type="dxa"/>
            <w:vMerge w:val="restart"/>
            <w:tcMar>
              <w:top w:w="0" w:type="dxa"/>
              <w:left w:w="108" w:type="dxa"/>
              <w:bottom w:w="0" w:type="dxa"/>
              <w:right w:w="108" w:type="dxa"/>
            </w:tcMar>
            <w:vAlign w:val="center"/>
          </w:tcPr>
          <w:p>
            <w:pPr>
              <w:pStyle w:val="109"/>
              <w:spacing w:line="260" w:lineRule="exact"/>
              <w:rPr>
                <w:bCs/>
                <w:color w:val="auto"/>
              </w:rPr>
            </w:pPr>
            <w:r>
              <w:rPr>
                <w:bCs/>
                <w:color w:val="auto"/>
              </w:rPr>
              <w:t>固体</w:t>
            </w:r>
          </w:p>
          <w:p>
            <w:pPr>
              <w:pStyle w:val="109"/>
              <w:spacing w:line="260" w:lineRule="exact"/>
              <w:rPr>
                <w:bCs/>
                <w:color w:val="auto"/>
              </w:rPr>
            </w:pPr>
            <w:r>
              <w:rPr>
                <w:bCs/>
                <w:color w:val="auto"/>
              </w:rPr>
              <w:t>废物</w:t>
            </w:r>
          </w:p>
        </w:tc>
        <w:tc>
          <w:tcPr>
            <w:tcW w:w="1841" w:type="dxa"/>
            <w:gridSpan w:val="2"/>
            <w:tcMar>
              <w:top w:w="0" w:type="dxa"/>
              <w:left w:w="108" w:type="dxa"/>
              <w:bottom w:w="0" w:type="dxa"/>
              <w:right w:w="108" w:type="dxa"/>
            </w:tcMar>
            <w:vAlign w:val="center"/>
          </w:tcPr>
          <w:p>
            <w:pPr>
              <w:pStyle w:val="109"/>
              <w:spacing w:line="260" w:lineRule="exact"/>
              <w:rPr>
                <w:rFonts w:hint="eastAsia" w:eastAsia="宋体"/>
                <w:bCs/>
                <w:color w:val="auto"/>
                <w:lang w:eastAsia="zh-CN"/>
              </w:rPr>
            </w:pPr>
            <w:r>
              <w:rPr>
                <w:rFonts w:hint="eastAsia"/>
                <w:bCs/>
                <w:color w:val="auto"/>
                <w:lang w:eastAsia="zh-CN"/>
              </w:rPr>
              <w:t>收集的粉尘</w:t>
            </w:r>
          </w:p>
        </w:tc>
        <w:tc>
          <w:tcPr>
            <w:tcW w:w="2775" w:type="dxa"/>
            <w:tcMar>
              <w:top w:w="0" w:type="dxa"/>
              <w:left w:w="108" w:type="dxa"/>
              <w:bottom w:w="0" w:type="dxa"/>
              <w:right w:w="108" w:type="dxa"/>
            </w:tcMar>
            <w:vAlign w:val="center"/>
          </w:tcPr>
          <w:p>
            <w:pPr>
              <w:pStyle w:val="109"/>
              <w:spacing w:line="260" w:lineRule="exact"/>
              <w:rPr>
                <w:bCs/>
                <w:color w:val="auto"/>
              </w:rPr>
            </w:pPr>
            <w:r>
              <w:rPr>
                <w:bCs/>
                <w:color w:val="auto"/>
              </w:rPr>
              <w:t>集中收集后</w:t>
            </w:r>
            <w:r>
              <w:rPr>
                <w:rFonts w:hint="eastAsia"/>
                <w:bCs/>
                <w:color w:val="auto"/>
              </w:rPr>
              <w:t>交由环卫处理</w:t>
            </w:r>
            <w:r>
              <w:rPr>
                <w:bCs/>
                <w:color w:val="auto"/>
              </w:rPr>
              <w:t>。</w:t>
            </w:r>
          </w:p>
        </w:tc>
        <w:tc>
          <w:tcPr>
            <w:tcW w:w="3016" w:type="dxa"/>
            <w:vMerge w:val="restart"/>
            <w:tcMar>
              <w:top w:w="0" w:type="dxa"/>
              <w:left w:w="108" w:type="dxa"/>
              <w:bottom w:w="0" w:type="dxa"/>
              <w:right w:w="108" w:type="dxa"/>
            </w:tcMar>
            <w:vAlign w:val="center"/>
          </w:tcPr>
          <w:p>
            <w:pPr>
              <w:pStyle w:val="109"/>
              <w:spacing w:line="260" w:lineRule="exact"/>
              <w:rPr>
                <w:bCs/>
                <w:color w:val="auto"/>
              </w:rPr>
            </w:pPr>
            <w:r>
              <w:rPr>
                <w:bCs/>
                <w:color w:val="auto"/>
              </w:rPr>
              <w:t>合理处置，不产生二次污染</w:t>
            </w:r>
          </w:p>
        </w:tc>
        <w:tc>
          <w:tcPr>
            <w:tcW w:w="530" w:type="dxa"/>
            <w:vMerge w:val="continue"/>
            <w:vAlign w:val="center"/>
          </w:tcPr>
          <w:p>
            <w:pPr>
              <w:pStyle w:val="109"/>
              <w:spacing w:line="260" w:lineRule="exact"/>
              <w:rPr>
                <w:bCs/>
                <w:color w:val="auto"/>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40" w:hRule="atLeast"/>
          <w:jc w:val="center"/>
        </w:trPr>
        <w:tc>
          <w:tcPr>
            <w:tcW w:w="595" w:type="dxa"/>
            <w:vMerge w:val="continue"/>
            <w:vAlign w:val="center"/>
          </w:tcPr>
          <w:p>
            <w:pPr>
              <w:pStyle w:val="109"/>
              <w:spacing w:line="260" w:lineRule="exact"/>
              <w:rPr>
                <w:bCs/>
                <w:color w:val="auto"/>
              </w:rPr>
            </w:pPr>
          </w:p>
        </w:tc>
        <w:tc>
          <w:tcPr>
            <w:tcW w:w="1841" w:type="dxa"/>
            <w:gridSpan w:val="2"/>
            <w:tcMar>
              <w:top w:w="0" w:type="dxa"/>
              <w:left w:w="108" w:type="dxa"/>
              <w:bottom w:w="0" w:type="dxa"/>
              <w:right w:w="108" w:type="dxa"/>
            </w:tcMar>
            <w:vAlign w:val="center"/>
          </w:tcPr>
          <w:p>
            <w:pPr>
              <w:pStyle w:val="109"/>
              <w:spacing w:line="260" w:lineRule="exact"/>
              <w:rPr>
                <w:bCs/>
                <w:color w:val="auto"/>
              </w:rPr>
            </w:pPr>
            <w:r>
              <w:rPr>
                <w:bCs/>
                <w:color w:val="auto"/>
              </w:rPr>
              <w:t>废包装</w:t>
            </w:r>
            <w:r>
              <w:rPr>
                <w:rFonts w:hint="eastAsia"/>
                <w:bCs/>
                <w:color w:val="auto"/>
              </w:rPr>
              <w:t>材料</w:t>
            </w:r>
            <w:r>
              <w:rPr>
                <w:bCs/>
                <w:color w:val="auto"/>
              </w:rPr>
              <w:t>（一般固体废物）</w:t>
            </w:r>
          </w:p>
        </w:tc>
        <w:tc>
          <w:tcPr>
            <w:tcW w:w="2775" w:type="dxa"/>
            <w:tcBorders>
              <w:bottom w:val="single" w:color="000000" w:sz="4" w:space="0"/>
            </w:tcBorders>
            <w:tcMar>
              <w:top w:w="0" w:type="dxa"/>
              <w:left w:w="108" w:type="dxa"/>
              <w:bottom w:w="0" w:type="dxa"/>
              <w:right w:w="108" w:type="dxa"/>
            </w:tcMar>
            <w:vAlign w:val="center"/>
          </w:tcPr>
          <w:p>
            <w:pPr>
              <w:pStyle w:val="109"/>
              <w:spacing w:line="260" w:lineRule="exact"/>
              <w:rPr>
                <w:bCs/>
                <w:color w:val="auto"/>
              </w:rPr>
            </w:pPr>
            <w:r>
              <w:rPr>
                <w:bCs/>
                <w:color w:val="auto"/>
              </w:rPr>
              <w:t>集中收集后外售物资回收公司</w:t>
            </w:r>
          </w:p>
        </w:tc>
        <w:tc>
          <w:tcPr>
            <w:tcW w:w="3016" w:type="dxa"/>
            <w:vMerge w:val="continue"/>
            <w:vAlign w:val="center"/>
          </w:tcPr>
          <w:p>
            <w:pPr>
              <w:pStyle w:val="109"/>
              <w:spacing w:line="260" w:lineRule="exact"/>
              <w:rPr>
                <w:bCs/>
                <w:color w:val="auto"/>
              </w:rPr>
            </w:pPr>
          </w:p>
        </w:tc>
        <w:tc>
          <w:tcPr>
            <w:tcW w:w="530" w:type="dxa"/>
            <w:vMerge w:val="continue"/>
            <w:vAlign w:val="center"/>
          </w:tcPr>
          <w:p>
            <w:pPr>
              <w:pStyle w:val="109"/>
              <w:spacing w:line="260" w:lineRule="exact"/>
              <w:rPr>
                <w:bCs/>
                <w:color w:val="auto"/>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40" w:hRule="atLeast"/>
          <w:jc w:val="center"/>
        </w:trPr>
        <w:tc>
          <w:tcPr>
            <w:tcW w:w="595" w:type="dxa"/>
            <w:vMerge w:val="continue"/>
            <w:vAlign w:val="center"/>
          </w:tcPr>
          <w:p>
            <w:pPr>
              <w:pStyle w:val="109"/>
              <w:spacing w:line="260" w:lineRule="exact"/>
              <w:rPr>
                <w:bCs/>
                <w:color w:val="auto"/>
              </w:rPr>
            </w:pPr>
          </w:p>
        </w:tc>
        <w:tc>
          <w:tcPr>
            <w:tcW w:w="1841" w:type="dxa"/>
            <w:gridSpan w:val="2"/>
            <w:tcMar>
              <w:top w:w="0" w:type="dxa"/>
              <w:left w:w="108" w:type="dxa"/>
              <w:bottom w:w="0" w:type="dxa"/>
              <w:right w:w="108" w:type="dxa"/>
            </w:tcMar>
            <w:vAlign w:val="center"/>
          </w:tcPr>
          <w:p>
            <w:pPr>
              <w:pStyle w:val="109"/>
              <w:spacing w:line="260" w:lineRule="exact"/>
              <w:rPr>
                <w:rFonts w:hint="eastAsia" w:eastAsia="宋体"/>
                <w:bCs/>
                <w:color w:val="auto"/>
                <w:lang w:eastAsia="zh-CN"/>
              </w:rPr>
            </w:pPr>
            <w:r>
              <w:rPr>
                <w:rFonts w:hint="eastAsia"/>
                <w:bCs/>
                <w:color w:val="auto"/>
                <w:lang w:eastAsia="zh-CN"/>
              </w:rPr>
              <w:t>收集的粉尘</w:t>
            </w:r>
          </w:p>
        </w:tc>
        <w:tc>
          <w:tcPr>
            <w:tcW w:w="2775" w:type="dxa"/>
            <w:tcBorders>
              <w:bottom w:val="single" w:color="000000" w:sz="4" w:space="0"/>
            </w:tcBorders>
            <w:tcMar>
              <w:top w:w="0" w:type="dxa"/>
              <w:left w:w="108" w:type="dxa"/>
              <w:bottom w:w="0" w:type="dxa"/>
              <w:right w:w="108" w:type="dxa"/>
            </w:tcMar>
            <w:vAlign w:val="center"/>
          </w:tcPr>
          <w:p>
            <w:pPr>
              <w:pStyle w:val="109"/>
              <w:spacing w:line="260" w:lineRule="exact"/>
              <w:rPr>
                <w:rFonts w:hint="eastAsia" w:eastAsia="宋体"/>
                <w:bCs/>
                <w:color w:val="auto"/>
                <w:lang w:eastAsia="zh-CN"/>
              </w:rPr>
            </w:pPr>
            <w:r>
              <w:rPr>
                <w:rFonts w:hint="eastAsia"/>
                <w:bCs/>
                <w:color w:val="auto"/>
                <w:lang w:eastAsia="zh-CN"/>
              </w:rPr>
              <w:t>回用于生产</w:t>
            </w:r>
          </w:p>
        </w:tc>
        <w:tc>
          <w:tcPr>
            <w:tcW w:w="3016" w:type="dxa"/>
            <w:vMerge w:val="continue"/>
            <w:vAlign w:val="center"/>
          </w:tcPr>
          <w:p>
            <w:pPr>
              <w:pStyle w:val="109"/>
              <w:spacing w:line="260" w:lineRule="exact"/>
              <w:rPr>
                <w:bCs/>
                <w:color w:val="auto"/>
              </w:rPr>
            </w:pPr>
          </w:p>
        </w:tc>
        <w:tc>
          <w:tcPr>
            <w:tcW w:w="530" w:type="dxa"/>
            <w:vMerge w:val="continue"/>
            <w:vAlign w:val="center"/>
          </w:tcPr>
          <w:p>
            <w:pPr>
              <w:pStyle w:val="109"/>
              <w:spacing w:line="260" w:lineRule="exact"/>
              <w:rPr>
                <w:bCs/>
                <w:color w:val="auto"/>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40" w:hRule="atLeast"/>
          <w:jc w:val="center"/>
        </w:trPr>
        <w:tc>
          <w:tcPr>
            <w:tcW w:w="595" w:type="dxa"/>
            <w:vMerge w:val="continue"/>
            <w:vAlign w:val="center"/>
          </w:tcPr>
          <w:p>
            <w:pPr>
              <w:pStyle w:val="109"/>
              <w:spacing w:line="260" w:lineRule="exact"/>
              <w:rPr>
                <w:bCs/>
                <w:color w:val="auto"/>
              </w:rPr>
            </w:pPr>
          </w:p>
        </w:tc>
        <w:tc>
          <w:tcPr>
            <w:tcW w:w="1841" w:type="dxa"/>
            <w:gridSpan w:val="2"/>
            <w:tcMar>
              <w:top w:w="0" w:type="dxa"/>
              <w:left w:w="108" w:type="dxa"/>
              <w:bottom w:w="0" w:type="dxa"/>
              <w:right w:w="108" w:type="dxa"/>
            </w:tcMar>
            <w:vAlign w:val="center"/>
          </w:tcPr>
          <w:p>
            <w:pPr>
              <w:pStyle w:val="109"/>
              <w:spacing w:line="260" w:lineRule="exact"/>
              <w:rPr>
                <w:bCs/>
                <w:color w:val="auto"/>
              </w:rPr>
            </w:pPr>
            <w:r>
              <w:rPr>
                <w:bCs/>
                <w:color w:val="auto"/>
              </w:rPr>
              <w:t>生活垃圾</w:t>
            </w:r>
          </w:p>
        </w:tc>
        <w:tc>
          <w:tcPr>
            <w:tcW w:w="2775" w:type="dxa"/>
            <w:tcBorders>
              <w:top w:val="single" w:color="000000" w:sz="4" w:space="0"/>
            </w:tcBorders>
            <w:tcMar>
              <w:top w:w="0" w:type="dxa"/>
              <w:left w:w="108" w:type="dxa"/>
              <w:bottom w:w="0" w:type="dxa"/>
              <w:right w:w="108" w:type="dxa"/>
            </w:tcMar>
            <w:vAlign w:val="center"/>
          </w:tcPr>
          <w:p>
            <w:pPr>
              <w:pStyle w:val="109"/>
              <w:spacing w:line="260" w:lineRule="exact"/>
              <w:rPr>
                <w:bCs/>
                <w:color w:val="auto"/>
              </w:rPr>
            </w:pPr>
            <w:r>
              <w:rPr>
                <w:bCs/>
                <w:color w:val="auto"/>
              </w:rPr>
              <w:t>集中收集后交由环卫部门处理</w:t>
            </w:r>
          </w:p>
        </w:tc>
        <w:tc>
          <w:tcPr>
            <w:tcW w:w="3016" w:type="dxa"/>
            <w:vMerge w:val="continue"/>
            <w:vAlign w:val="center"/>
          </w:tcPr>
          <w:p>
            <w:pPr>
              <w:pStyle w:val="109"/>
              <w:spacing w:line="260" w:lineRule="exact"/>
              <w:rPr>
                <w:bCs/>
                <w:color w:val="auto"/>
              </w:rPr>
            </w:pPr>
          </w:p>
        </w:tc>
        <w:tc>
          <w:tcPr>
            <w:tcW w:w="530" w:type="dxa"/>
            <w:vMerge w:val="continue"/>
            <w:vAlign w:val="center"/>
          </w:tcPr>
          <w:p>
            <w:pPr>
              <w:pStyle w:val="109"/>
              <w:spacing w:line="260" w:lineRule="exact"/>
              <w:rPr>
                <w:bCs/>
                <w:color w:val="auto"/>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40" w:hRule="atLeast"/>
          <w:jc w:val="center"/>
        </w:trPr>
        <w:tc>
          <w:tcPr>
            <w:tcW w:w="595" w:type="dxa"/>
            <w:vMerge w:val="continue"/>
            <w:vAlign w:val="center"/>
          </w:tcPr>
          <w:p>
            <w:pPr>
              <w:pStyle w:val="109"/>
              <w:spacing w:line="260" w:lineRule="exact"/>
              <w:rPr>
                <w:bCs/>
                <w:color w:val="auto"/>
              </w:rPr>
            </w:pPr>
          </w:p>
        </w:tc>
        <w:tc>
          <w:tcPr>
            <w:tcW w:w="1841" w:type="dxa"/>
            <w:gridSpan w:val="2"/>
            <w:tcMar>
              <w:top w:w="0" w:type="dxa"/>
              <w:left w:w="108" w:type="dxa"/>
              <w:bottom w:w="0" w:type="dxa"/>
              <w:right w:w="108" w:type="dxa"/>
            </w:tcMar>
            <w:vAlign w:val="center"/>
          </w:tcPr>
          <w:p>
            <w:pPr>
              <w:pStyle w:val="109"/>
              <w:spacing w:line="260" w:lineRule="exact"/>
              <w:rPr>
                <w:rFonts w:hint="eastAsia" w:eastAsia="宋体"/>
                <w:bCs/>
                <w:color w:val="auto"/>
                <w:lang w:eastAsia="zh-CN"/>
              </w:rPr>
            </w:pPr>
            <w:r>
              <w:rPr>
                <w:rFonts w:hint="eastAsia"/>
                <w:bCs/>
                <w:color w:val="auto"/>
                <w:lang w:eastAsia="zh-CN"/>
              </w:rPr>
              <w:t>废活性炭、</w:t>
            </w:r>
            <w:r>
              <w:rPr>
                <w:rFonts w:hint="default" w:ascii="Times New Roman" w:hAnsi="Times New Roman"/>
                <w:color w:val="auto"/>
                <w:sz w:val="21"/>
                <w:szCs w:val="21"/>
                <w:lang w:val="en-US" w:eastAsia="zh-CN"/>
              </w:rPr>
              <w:t>废硫化剂及废氧化锌等包装材料</w:t>
            </w:r>
            <w:r>
              <w:rPr>
                <w:rFonts w:hint="eastAsia"/>
                <w:color w:val="auto"/>
                <w:sz w:val="21"/>
                <w:szCs w:val="21"/>
                <w:lang w:val="en-US" w:eastAsia="zh-CN"/>
              </w:rPr>
              <w:t>、废脱脂槽液</w:t>
            </w:r>
          </w:p>
        </w:tc>
        <w:tc>
          <w:tcPr>
            <w:tcW w:w="2775" w:type="dxa"/>
            <w:tcMar>
              <w:top w:w="0" w:type="dxa"/>
              <w:left w:w="108" w:type="dxa"/>
              <w:bottom w:w="0" w:type="dxa"/>
              <w:right w:w="108" w:type="dxa"/>
            </w:tcMar>
            <w:vAlign w:val="center"/>
          </w:tcPr>
          <w:p>
            <w:pPr>
              <w:pStyle w:val="109"/>
              <w:spacing w:line="260" w:lineRule="exact"/>
              <w:rPr>
                <w:bCs/>
                <w:color w:val="auto"/>
              </w:rPr>
            </w:pPr>
            <w:r>
              <w:rPr>
                <w:bCs/>
                <w:color w:val="auto"/>
              </w:rPr>
              <w:t>位于厂区危废临时暂存场所暂存，定期送有危险废物处置资质的单位集中处置</w:t>
            </w:r>
          </w:p>
        </w:tc>
        <w:tc>
          <w:tcPr>
            <w:tcW w:w="3016" w:type="dxa"/>
            <w:vMerge w:val="continue"/>
            <w:vAlign w:val="center"/>
          </w:tcPr>
          <w:p>
            <w:pPr>
              <w:pStyle w:val="109"/>
              <w:spacing w:line="260" w:lineRule="exact"/>
              <w:rPr>
                <w:bCs/>
                <w:color w:val="auto"/>
              </w:rPr>
            </w:pPr>
          </w:p>
        </w:tc>
        <w:tc>
          <w:tcPr>
            <w:tcW w:w="530" w:type="dxa"/>
            <w:vMerge w:val="continue"/>
            <w:vAlign w:val="center"/>
          </w:tcPr>
          <w:p>
            <w:pPr>
              <w:pStyle w:val="109"/>
              <w:spacing w:line="260" w:lineRule="exact"/>
              <w:rPr>
                <w:bCs/>
                <w:color w:val="auto"/>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40" w:hRule="atLeast"/>
          <w:jc w:val="center"/>
        </w:trPr>
        <w:tc>
          <w:tcPr>
            <w:tcW w:w="595" w:type="dxa"/>
            <w:vAlign w:val="center"/>
          </w:tcPr>
          <w:p>
            <w:pPr>
              <w:pStyle w:val="109"/>
              <w:spacing w:line="260" w:lineRule="exact"/>
              <w:rPr>
                <w:bCs/>
                <w:color w:val="auto"/>
              </w:rPr>
            </w:pPr>
            <w:r>
              <w:rPr>
                <w:bCs/>
                <w:color w:val="auto"/>
              </w:rPr>
              <w:t>地下水</w:t>
            </w:r>
          </w:p>
        </w:tc>
        <w:tc>
          <w:tcPr>
            <w:tcW w:w="4616" w:type="dxa"/>
            <w:gridSpan w:val="3"/>
            <w:tcMar>
              <w:top w:w="0" w:type="dxa"/>
              <w:left w:w="108" w:type="dxa"/>
              <w:bottom w:w="0" w:type="dxa"/>
              <w:right w:w="108" w:type="dxa"/>
            </w:tcMar>
            <w:vAlign w:val="center"/>
          </w:tcPr>
          <w:p>
            <w:pPr>
              <w:pStyle w:val="109"/>
              <w:spacing w:line="260" w:lineRule="exact"/>
              <w:rPr>
                <w:bCs/>
                <w:color w:val="auto"/>
              </w:rPr>
            </w:pPr>
            <w:r>
              <w:rPr>
                <w:color w:val="auto"/>
                <w:szCs w:val="21"/>
              </w:rPr>
              <w:t>地下水分区防渗及环境监测</w:t>
            </w:r>
          </w:p>
        </w:tc>
        <w:tc>
          <w:tcPr>
            <w:tcW w:w="3016" w:type="dxa"/>
            <w:vAlign w:val="center"/>
          </w:tcPr>
          <w:p>
            <w:pPr>
              <w:pStyle w:val="109"/>
              <w:spacing w:line="260" w:lineRule="exact"/>
              <w:rPr>
                <w:bCs/>
                <w:color w:val="auto"/>
              </w:rPr>
            </w:pPr>
            <w:r>
              <w:rPr>
                <w:bCs/>
                <w:color w:val="auto"/>
              </w:rPr>
              <w:t>减小对地下水的环境影响</w:t>
            </w:r>
          </w:p>
        </w:tc>
        <w:tc>
          <w:tcPr>
            <w:tcW w:w="530" w:type="dxa"/>
            <w:vMerge w:val="continue"/>
            <w:vAlign w:val="center"/>
          </w:tcPr>
          <w:p>
            <w:pPr>
              <w:pStyle w:val="109"/>
              <w:spacing w:line="260" w:lineRule="exact"/>
              <w:rPr>
                <w:bCs/>
                <w:color w:val="auto"/>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40" w:hRule="atLeast"/>
          <w:jc w:val="center"/>
        </w:trPr>
        <w:tc>
          <w:tcPr>
            <w:tcW w:w="595" w:type="dxa"/>
            <w:vAlign w:val="center"/>
          </w:tcPr>
          <w:p>
            <w:pPr>
              <w:pStyle w:val="109"/>
              <w:spacing w:line="260" w:lineRule="exact"/>
              <w:rPr>
                <w:bCs/>
                <w:color w:val="auto"/>
              </w:rPr>
            </w:pPr>
            <w:r>
              <w:rPr>
                <w:bCs/>
                <w:color w:val="auto"/>
              </w:rPr>
              <w:t>环境风险</w:t>
            </w:r>
          </w:p>
        </w:tc>
        <w:tc>
          <w:tcPr>
            <w:tcW w:w="4616" w:type="dxa"/>
            <w:gridSpan w:val="3"/>
            <w:tcMar>
              <w:top w:w="0" w:type="dxa"/>
              <w:left w:w="108" w:type="dxa"/>
              <w:bottom w:w="0" w:type="dxa"/>
              <w:right w:w="108" w:type="dxa"/>
            </w:tcMar>
            <w:vAlign w:val="center"/>
          </w:tcPr>
          <w:p>
            <w:pPr>
              <w:pStyle w:val="109"/>
              <w:spacing w:line="260" w:lineRule="exact"/>
              <w:rPr>
                <w:rFonts w:hint="eastAsia" w:eastAsia="宋体"/>
                <w:bCs/>
                <w:color w:val="auto"/>
                <w:lang w:eastAsia="zh-CN"/>
              </w:rPr>
            </w:pPr>
            <w:r>
              <w:rPr>
                <w:color w:val="auto"/>
                <w:szCs w:val="21"/>
              </w:rPr>
              <w:t>消防系统</w:t>
            </w:r>
            <w:r>
              <w:rPr>
                <w:rFonts w:hint="eastAsia"/>
                <w:color w:val="auto"/>
                <w:szCs w:val="21"/>
                <w:lang w:eastAsia="zh-CN"/>
              </w:rPr>
              <w:t>、事故池</w:t>
            </w:r>
          </w:p>
        </w:tc>
        <w:tc>
          <w:tcPr>
            <w:tcW w:w="3016" w:type="dxa"/>
            <w:vAlign w:val="center"/>
          </w:tcPr>
          <w:p>
            <w:pPr>
              <w:pStyle w:val="109"/>
              <w:spacing w:line="260" w:lineRule="exact"/>
              <w:rPr>
                <w:bCs/>
                <w:color w:val="auto"/>
              </w:rPr>
            </w:pPr>
            <w:r>
              <w:rPr>
                <w:bCs/>
                <w:color w:val="auto"/>
              </w:rPr>
              <w:t>事故发生后得到有效控制，减小环境风险</w:t>
            </w:r>
          </w:p>
        </w:tc>
        <w:tc>
          <w:tcPr>
            <w:tcW w:w="530" w:type="dxa"/>
            <w:vMerge w:val="continue"/>
            <w:vAlign w:val="center"/>
          </w:tcPr>
          <w:p>
            <w:pPr>
              <w:pStyle w:val="109"/>
              <w:spacing w:line="260" w:lineRule="exact"/>
              <w:rPr>
                <w:bCs/>
                <w:color w:val="auto"/>
              </w:rPr>
            </w:pPr>
          </w:p>
        </w:tc>
      </w:tr>
    </w:tbl>
    <w:p>
      <w:pPr>
        <w:pStyle w:val="22"/>
        <w:spacing w:line="520" w:lineRule="exact"/>
        <w:ind w:firstLine="0"/>
        <w:rPr>
          <w:b w:val="0"/>
          <w:color w:val="auto"/>
          <w:sz w:val="24"/>
        </w:rPr>
        <w:sectPr>
          <w:pgSz w:w="11911" w:h="16849"/>
          <w:pgMar w:top="1440" w:right="1587" w:bottom="1440" w:left="1587" w:header="680" w:footer="652" w:gutter="0"/>
          <w:pgBorders>
            <w:top w:val="none" w:sz="0" w:space="0"/>
            <w:left w:val="none" w:sz="0" w:space="0"/>
            <w:bottom w:val="none" w:sz="0" w:space="0"/>
            <w:right w:val="none" w:sz="0" w:space="0"/>
          </w:pgBorders>
          <w:cols w:space="720" w:num="1"/>
          <w:docGrid w:linePitch="312" w:charSpace="0"/>
        </w:sectPr>
      </w:pPr>
    </w:p>
    <w:p>
      <w:pPr>
        <w:pStyle w:val="3"/>
        <w:spacing w:before="120" w:after="0" w:line="360" w:lineRule="auto"/>
        <w:jc w:val="center"/>
        <w:rPr>
          <w:color w:val="auto"/>
          <w:sz w:val="36"/>
          <w:szCs w:val="36"/>
        </w:rPr>
      </w:pPr>
      <w:bookmarkStart w:id="398" w:name="_Toc333388633"/>
      <w:bookmarkStart w:id="399" w:name="_Toc2288"/>
      <w:bookmarkStart w:id="400" w:name="_Toc2315"/>
      <w:bookmarkStart w:id="401" w:name="_Toc198715141"/>
      <w:bookmarkStart w:id="402" w:name="_Toc206896825"/>
      <w:bookmarkStart w:id="403" w:name="_Toc367091929"/>
      <w:bookmarkStart w:id="404" w:name="_Toc287813429"/>
      <w:bookmarkStart w:id="405" w:name="_Toc333178590"/>
      <w:bookmarkStart w:id="406" w:name="_Toc335291793"/>
      <w:bookmarkStart w:id="407" w:name="_Toc366874170"/>
      <w:bookmarkStart w:id="408" w:name="_Toc333178509"/>
      <w:r>
        <w:rPr>
          <w:color w:val="auto"/>
          <w:sz w:val="36"/>
          <w:szCs w:val="36"/>
        </w:rPr>
        <w:t>第</w:t>
      </w:r>
      <w:r>
        <w:rPr>
          <w:rFonts w:hint="eastAsia"/>
          <w:color w:val="auto"/>
          <w:sz w:val="36"/>
          <w:szCs w:val="36"/>
        </w:rPr>
        <w:t>十</w:t>
      </w:r>
      <w:r>
        <w:rPr>
          <w:color w:val="auto"/>
          <w:sz w:val="36"/>
          <w:szCs w:val="36"/>
        </w:rPr>
        <w:t>章 结 论</w:t>
      </w:r>
      <w:bookmarkEnd w:id="398"/>
      <w:bookmarkEnd w:id="399"/>
      <w:bookmarkEnd w:id="400"/>
      <w:bookmarkEnd w:id="401"/>
      <w:bookmarkEnd w:id="402"/>
      <w:bookmarkEnd w:id="403"/>
      <w:bookmarkEnd w:id="404"/>
      <w:bookmarkEnd w:id="405"/>
      <w:bookmarkEnd w:id="406"/>
      <w:bookmarkEnd w:id="407"/>
      <w:bookmarkEnd w:id="408"/>
    </w:p>
    <w:p>
      <w:pPr>
        <w:pStyle w:val="4"/>
        <w:spacing w:line="520" w:lineRule="exact"/>
        <w:rPr>
          <w:rFonts w:ascii="Times New Roman" w:hAnsi="Times New Roman"/>
          <w:b/>
          <w:color w:val="auto"/>
        </w:rPr>
      </w:pPr>
      <w:bookmarkStart w:id="409" w:name="_Toc19919"/>
      <w:bookmarkStart w:id="410" w:name="_Toc333178510"/>
      <w:bookmarkStart w:id="411" w:name="_Toc287813430"/>
      <w:bookmarkStart w:id="412" w:name="_Toc206896826"/>
      <w:bookmarkStart w:id="413" w:name="_Toc198715142"/>
      <w:bookmarkStart w:id="414" w:name="_Toc367091930"/>
      <w:bookmarkStart w:id="415" w:name="_Toc333178591"/>
      <w:bookmarkStart w:id="416" w:name="_Toc366874171"/>
      <w:bookmarkStart w:id="417" w:name="_Toc333388634"/>
      <w:bookmarkStart w:id="418" w:name="_Toc335291794"/>
      <w:bookmarkStart w:id="419" w:name="_Toc22349"/>
      <w:r>
        <w:rPr>
          <w:rFonts w:hint="eastAsia" w:ascii="Times New Roman" w:hAnsi="Times New Roman"/>
          <w:b/>
          <w:color w:val="auto"/>
        </w:rPr>
        <w:t>10</w:t>
      </w:r>
      <w:r>
        <w:rPr>
          <w:rFonts w:ascii="Times New Roman" w:hAnsi="Times New Roman"/>
          <w:b/>
          <w:color w:val="auto"/>
        </w:rPr>
        <w:t>.1工程概况</w:t>
      </w:r>
      <w:bookmarkEnd w:id="409"/>
      <w:bookmarkEnd w:id="410"/>
      <w:bookmarkEnd w:id="411"/>
      <w:bookmarkEnd w:id="412"/>
      <w:bookmarkEnd w:id="413"/>
      <w:bookmarkEnd w:id="414"/>
      <w:bookmarkEnd w:id="415"/>
      <w:bookmarkEnd w:id="416"/>
      <w:bookmarkEnd w:id="417"/>
      <w:bookmarkEnd w:id="418"/>
      <w:bookmarkEnd w:id="419"/>
    </w:p>
    <w:p>
      <w:pPr>
        <w:spacing w:line="520" w:lineRule="exact"/>
        <w:ind w:left="2205" w:leftChars="250" w:hanging="1680" w:hangingChars="700"/>
        <w:rPr>
          <w:rFonts w:hint="eastAsia" w:eastAsia="宋体"/>
          <w:color w:val="auto"/>
          <w:sz w:val="24"/>
          <w:lang w:eastAsia="zh-CN"/>
        </w:rPr>
      </w:pPr>
      <w:bookmarkStart w:id="420" w:name="_Toc287813431"/>
      <w:bookmarkStart w:id="421" w:name="_Toc206896827"/>
      <w:bookmarkStart w:id="422" w:name="_Toc198715143"/>
      <w:bookmarkStart w:id="423" w:name="_Toc366874172"/>
      <w:bookmarkStart w:id="424" w:name="_Toc333178592"/>
      <w:bookmarkStart w:id="425" w:name="_Toc367091931"/>
      <w:bookmarkStart w:id="426" w:name="_Toc335291795"/>
      <w:bookmarkStart w:id="427" w:name="_Toc333388635"/>
      <w:bookmarkStart w:id="428" w:name="_Toc333178511"/>
      <w:r>
        <w:rPr>
          <w:color w:val="auto"/>
          <w:sz w:val="24"/>
        </w:rPr>
        <w:t>（1）项目名称：</w:t>
      </w:r>
      <w:r>
        <w:rPr>
          <w:rFonts w:hint="eastAsia"/>
          <w:bCs/>
          <w:color w:val="auto"/>
          <w:kern w:val="0"/>
          <w:sz w:val="24"/>
          <w:lang w:eastAsia="zh-CN"/>
        </w:rPr>
        <w:t>汽车平面密封材料和汽车橡胶密封件生产项目</w:t>
      </w:r>
    </w:p>
    <w:p>
      <w:pPr>
        <w:spacing w:line="520" w:lineRule="exact"/>
        <w:ind w:firstLine="480" w:firstLineChars="200"/>
        <w:rPr>
          <w:rFonts w:hint="eastAsia" w:eastAsia="宋体"/>
          <w:bCs/>
          <w:color w:val="auto"/>
          <w:kern w:val="0"/>
          <w:sz w:val="24"/>
          <w:lang w:eastAsia="zh-CN"/>
        </w:rPr>
      </w:pPr>
      <w:r>
        <w:rPr>
          <w:color w:val="auto"/>
          <w:sz w:val="24"/>
        </w:rPr>
        <w:t>（2）建设单位：</w:t>
      </w:r>
      <w:r>
        <w:rPr>
          <w:rFonts w:hint="eastAsia"/>
          <w:bCs/>
          <w:color w:val="auto"/>
          <w:kern w:val="0"/>
          <w:sz w:val="24"/>
          <w:lang w:eastAsia="zh-CN"/>
        </w:rPr>
        <w:t>宁国市天马复合材料有限公司</w:t>
      </w:r>
    </w:p>
    <w:p>
      <w:pPr>
        <w:spacing w:line="520" w:lineRule="exact"/>
        <w:ind w:firstLine="480" w:firstLineChars="200"/>
        <w:rPr>
          <w:bCs/>
          <w:color w:val="auto"/>
          <w:kern w:val="0"/>
          <w:sz w:val="24"/>
        </w:rPr>
      </w:pPr>
      <w:r>
        <w:rPr>
          <w:color w:val="auto"/>
          <w:sz w:val="24"/>
        </w:rPr>
        <w:t>（3）建设规模：</w:t>
      </w:r>
      <w:r>
        <w:rPr>
          <w:bCs/>
          <w:color w:val="auto"/>
          <w:kern w:val="0"/>
          <w:sz w:val="24"/>
        </w:rPr>
        <w:t>可形成年产各类加热器百余万套的生产规模</w:t>
      </w:r>
    </w:p>
    <w:p>
      <w:pPr>
        <w:spacing w:line="520" w:lineRule="exact"/>
        <w:ind w:firstLine="480" w:firstLineChars="200"/>
        <w:rPr>
          <w:rFonts w:hint="eastAsia" w:eastAsia="宋体"/>
          <w:bCs/>
          <w:color w:val="auto"/>
          <w:kern w:val="0"/>
          <w:sz w:val="24"/>
          <w:lang w:eastAsia="zh-CN"/>
        </w:rPr>
      </w:pPr>
      <w:r>
        <w:rPr>
          <w:color w:val="auto"/>
          <w:sz w:val="24"/>
        </w:rPr>
        <w:t>（4）</w:t>
      </w:r>
      <w:r>
        <w:rPr>
          <w:bCs/>
          <w:color w:val="auto"/>
          <w:kern w:val="0"/>
          <w:sz w:val="24"/>
        </w:rPr>
        <w:t>行业类别：</w:t>
      </w:r>
      <w:r>
        <w:rPr>
          <w:rFonts w:hint="eastAsia"/>
          <w:bCs/>
          <w:color w:val="auto"/>
          <w:kern w:val="0"/>
          <w:sz w:val="24"/>
          <w:lang w:eastAsia="zh-CN"/>
        </w:rPr>
        <w:t>C2912 橡胶板、管、带制造</w:t>
      </w:r>
    </w:p>
    <w:p>
      <w:pPr>
        <w:spacing w:line="520" w:lineRule="exact"/>
        <w:ind w:firstLine="480" w:firstLineChars="200"/>
        <w:rPr>
          <w:bCs/>
          <w:color w:val="auto"/>
          <w:kern w:val="0"/>
          <w:sz w:val="24"/>
        </w:rPr>
      </w:pPr>
      <w:r>
        <w:rPr>
          <w:color w:val="auto"/>
          <w:sz w:val="24"/>
        </w:rPr>
        <w:t>（5）建设</w:t>
      </w:r>
      <w:r>
        <w:rPr>
          <w:bCs/>
          <w:color w:val="auto"/>
          <w:kern w:val="0"/>
          <w:sz w:val="24"/>
        </w:rPr>
        <w:t>性质：</w:t>
      </w:r>
      <w:r>
        <w:rPr>
          <w:rFonts w:hint="eastAsia"/>
          <w:bCs/>
          <w:color w:val="auto"/>
          <w:kern w:val="0"/>
          <w:sz w:val="24"/>
        </w:rPr>
        <w:t>扩建</w:t>
      </w:r>
    </w:p>
    <w:p>
      <w:pPr>
        <w:spacing w:line="520" w:lineRule="exact"/>
        <w:ind w:firstLine="480" w:firstLineChars="200"/>
        <w:rPr>
          <w:rFonts w:hint="eastAsia" w:eastAsia="宋体"/>
          <w:color w:val="auto"/>
          <w:kern w:val="0"/>
          <w:sz w:val="24"/>
          <w:lang w:eastAsia="zh-CN"/>
        </w:rPr>
      </w:pPr>
      <w:r>
        <w:rPr>
          <w:color w:val="auto"/>
          <w:sz w:val="24"/>
        </w:rPr>
        <w:t>（5）</w:t>
      </w:r>
      <w:r>
        <w:rPr>
          <w:color w:val="auto"/>
          <w:kern w:val="0"/>
          <w:sz w:val="24"/>
        </w:rPr>
        <w:t>建设地点：</w:t>
      </w:r>
      <w:r>
        <w:rPr>
          <w:rFonts w:hint="eastAsia"/>
          <w:bCs/>
          <w:color w:val="auto"/>
          <w:kern w:val="0"/>
          <w:sz w:val="24"/>
          <w:lang w:eastAsia="zh-CN"/>
        </w:rPr>
        <w:t>安徽省宁国经济技术开发区河沥园区振宁路（宁国市德胜建筑机械有限公司内）</w:t>
      </w:r>
    </w:p>
    <w:p>
      <w:pPr>
        <w:spacing w:line="520" w:lineRule="exact"/>
        <w:ind w:firstLine="480" w:firstLineChars="200"/>
        <w:rPr>
          <w:rFonts w:hint="eastAsia" w:eastAsia="宋体"/>
          <w:color w:val="auto"/>
          <w:sz w:val="24"/>
          <w:lang w:eastAsia="zh-CN"/>
        </w:rPr>
      </w:pPr>
      <w:r>
        <w:rPr>
          <w:color w:val="auto"/>
          <w:sz w:val="24"/>
        </w:rPr>
        <w:t>（6）投资总额：</w:t>
      </w:r>
      <w:r>
        <w:rPr>
          <w:rFonts w:hint="eastAsia"/>
          <w:color w:val="auto"/>
          <w:sz w:val="24"/>
          <w:lang w:eastAsia="zh-CN"/>
        </w:rPr>
        <w:t>11000万元</w:t>
      </w:r>
    </w:p>
    <w:p>
      <w:pPr>
        <w:pStyle w:val="4"/>
        <w:spacing w:line="520" w:lineRule="exact"/>
        <w:rPr>
          <w:rFonts w:ascii="Times New Roman" w:hAnsi="Times New Roman"/>
          <w:b/>
          <w:color w:val="auto"/>
        </w:rPr>
      </w:pPr>
      <w:bookmarkStart w:id="429" w:name="_Toc22939"/>
      <w:bookmarkStart w:id="430" w:name="_Toc10953"/>
      <w:r>
        <w:rPr>
          <w:rFonts w:hint="eastAsia" w:ascii="Times New Roman" w:hAnsi="Times New Roman"/>
          <w:b/>
          <w:color w:val="auto"/>
        </w:rPr>
        <w:t>10</w:t>
      </w:r>
      <w:r>
        <w:rPr>
          <w:rFonts w:ascii="Times New Roman" w:hAnsi="Times New Roman"/>
          <w:b/>
          <w:color w:val="auto"/>
        </w:rPr>
        <w:t>.2环境质量现状评价</w:t>
      </w:r>
      <w:bookmarkEnd w:id="420"/>
      <w:bookmarkEnd w:id="421"/>
      <w:bookmarkEnd w:id="422"/>
      <w:bookmarkEnd w:id="423"/>
      <w:bookmarkEnd w:id="424"/>
      <w:bookmarkEnd w:id="425"/>
      <w:bookmarkEnd w:id="426"/>
      <w:bookmarkEnd w:id="427"/>
      <w:bookmarkEnd w:id="428"/>
      <w:bookmarkEnd w:id="429"/>
      <w:bookmarkEnd w:id="430"/>
    </w:p>
    <w:p>
      <w:pPr>
        <w:spacing w:line="520" w:lineRule="exact"/>
        <w:ind w:firstLine="360" w:firstLineChars="150"/>
        <w:rPr>
          <w:rStyle w:val="365"/>
          <w:rFonts w:ascii="Times New Roman" w:hAnsi="Times New Roman"/>
          <w:b w:val="0"/>
          <w:color w:val="auto"/>
        </w:rPr>
      </w:pPr>
      <w:r>
        <w:rPr>
          <w:rStyle w:val="365"/>
          <w:rFonts w:ascii="Times New Roman" w:hAnsi="Times New Roman"/>
          <w:b w:val="0"/>
          <w:color w:val="auto"/>
        </w:rPr>
        <w:t>（1）地表水水环境质量现状评价</w:t>
      </w:r>
    </w:p>
    <w:p>
      <w:pPr>
        <w:spacing w:line="520" w:lineRule="exact"/>
        <w:ind w:firstLine="360" w:firstLineChars="150"/>
        <w:rPr>
          <w:color w:val="auto"/>
          <w:kern w:val="0"/>
          <w:sz w:val="24"/>
        </w:rPr>
      </w:pPr>
      <w:r>
        <w:rPr>
          <w:color w:val="auto"/>
          <w:sz w:val="24"/>
        </w:rPr>
        <w:t>中津河水质能够满足《地表水环境质量标准》（GB3838-2002）Ⅲ类水质标准</w:t>
      </w:r>
      <w:r>
        <w:rPr>
          <w:color w:val="auto"/>
          <w:kern w:val="0"/>
          <w:sz w:val="24"/>
        </w:rPr>
        <w:t>。</w:t>
      </w:r>
    </w:p>
    <w:p>
      <w:pPr>
        <w:spacing w:line="520" w:lineRule="exact"/>
        <w:ind w:firstLine="360" w:firstLineChars="150"/>
        <w:rPr>
          <w:rStyle w:val="365"/>
          <w:rFonts w:ascii="Times New Roman" w:hAnsi="Times New Roman"/>
          <w:b w:val="0"/>
          <w:color w:val="auto"/>
        </w:rPr>
      </w:pPr>
      <w:r>
        <w:rPr>
          <w:rStyle w:val="365"/>
          <w:rFonts w:ascii="Times New Roman" w:hAnsi="Times New Roman"/>
          <w:b w:val="0"/>
          <w:color w:val="auto"/>
        </w:rPr>
        <w:t>（2）环境空气质量现状评价</w:t>
      </w:r>
    </w:p>
    <w:p>
      <w:pPr>
        <w:spacing w:line="360" w:lineRule="auto"/>
        <w:ind w:firstLine="480" w:firstLineChars="200"/>
        <w:rPr>
          <w:color w:val="auto"/>
          <w:sz w:val="24"/>
        </w:rPr>
      </w:pPr>
      <w:r>
        <w:rPr>
          <w:sz w:val="24"/>
        </w:rPr>
        <w:t>根据宁国市环保局公布的</w:t>
      </w:r>
      <w:r>
        <w:rPr>
          <w:rFonts w:hint="eastAsia"/>
          <w:sz w:val="24"/>
        </w:rPr>
        <w:t>201</w:t>
      </w:r>
      <w:r>
        <w:rPr>
          <w:rFonts w:hint="eastAsia"/>
          <w:sz w:val="24"/>
          <w:lang w:val="en-US" w:eastAsia="zh-CN"/>
        </w:rPr>
        <w:t>9</w:t>
      </w:r>
      <w:r>
        <w:rPr>
          <w:rFonts w:hint="eastAsia"/>
          <w:sz w:val="24"/>
        </w:rPr>
        <w:t>年《宁国市环境质量公报》</w:t>
      </w:r>
      <w:r>
        <w:rPr>
          <w:sz w:val="24"/>
        </w:rPr>
        <w:t>，</w:t>
      </w:r>
      <w:r>
        <w:rPr>
          <w:rFonts w:hint="default" w:ascii="Times New Roman" w:hAnsi="Times New Roman" w:cs="Times New Roman"/>
          <w:color w:val="auto"/>
          <w:sz w:val="24"/>
          <w:lang w:val="en-US" w:eastAsia="zh-CN"/>
        </w:rPr>
        <w:t>2019年度宁国市环境空气质量有效监测天数344天，</w:t>
      </w:r>
      <w:r>
        <w:rPr>
          <w:rFonts w:hint="default" w:ascii="Times New Roman" w:hAnsi="Times New Roman" w:cs="Times New Roman"/>
          <w:color w:val="auto"/>
          <w:sz w:val="24"/>
        </w:rPr>
        <w:t>大气污染物SO</w:t>
      </w:r>
      <w:r>
        <w:rPr>
          <w:rFonts w:hint="default" w:ascii="Times New Roman" w:hAnsi="Times New Roman" w:cs="Times New Roman"/>
          <w:color w:val="auto"/>
          <w:sz w:val="24"/>
          <w:vertAlign w:val="subscript"/>
        </w:rPr>
        <w:t>2</w:t>
      </w:r>
      <w:r>
        <w:rPr>
          <w:rFonts w:hint="default" w:ascii="Times New Roman" w:hAnsi="Times New Roman" w:cs="Times New Roman"/>
          <w:color w:val="auto"/>
          <w:sz w:val="24"/>
        </w:rPr>
        <w:t>、NO</w:t>
      </w:r>
      <w:r>
        <w:rPr>
          <w:rFonts w:hint="default" w:ascii="Times New Roman" w:hAnsi="Times New Roman" w:cs="Times New Roman"/>
          <w:color w:val="auto"/>
          <w:sz w:val="24"/>
          <w:vertAlign w:val="subscript"/>
        </w:rPr>
        <w:t>2</w:t>
      </w:r>
      <w:r>
        <w:rPr>
          <w:rFonts w:hint="default" w:ascii="Times New Roman" w:hAnsi="Times New Roman" w:cs="Times New Roman"/>
          <w:color w:val="auto"/>
          <w:sz w:val="24"/>
        </w:rPr>
        <w:t>、CO、可吸入颗粒物（PM</w:t>
      </w:r>
      <w:r>
        <w:rPr>
          <w:rFonts w:hint="default" w:ascii="Times New Roman" w:hAnsi="Times New Roman" w:cs="Times New Roman"/>
          <w:color w:val="auto"/>
          <w:sz w:val="24"/>
          <w:vertAlign w:val="subscript"/>
        </w:rPr>
        <w:t>10</w:t>
      </w:r>
      <w:r>
        <w:rPr>
          <w:rFonts w:hint="default" w:ascii="Times New Roman" w:hAnsi="Times New Roman" w:cs="Times New Roman"/>
          <w:color w:val="auto"/>
          <w:sz w:val="24"/>
        </w:rPr>
        <w:t>）、细颗粒物（PM</w:t>
      </w:r>
      <w:r>
        <w:rPr>
          <w:rFonts w:hint="default" w:ascii="Times New Roman" w:hAnsi="Times New Roman" w:cs="Times New Roman"/>
          <w:color w:val="auto"/>
          <w:sz w:val="24"/>
          <w:vertAlign w:val="subscript"/>
        </w:rPr>
        <w:t>2.5</w:t>
      </w:r>
      <w:r>
        <w:rPr>
          <w:rFonts w:hint="default" w:ascii="Times New Roman" w:hAnsi="Times New Roman" w:cs="Times New Roman"/>
          <w:color w:val="auto"/>
          <w:sz w:val="24"/>
        </w:rPr>
        <w:t>）年均浓度值均达到《环境空气质量标准》（GB3095-2012）二级标准的要求，O</w:t>
      </w:r>
      <w:r>
        <w:rPr>
          <w:rFonts w:hint="default" w:ascii="Times New Roman" w:hAnsi="Times New Roman" w:cs="Times New Roman"/>
          <w:color w:val="auto"/>
          <w:sz w:val="24"/>
          <w:vertAlign w:val="subscript"/>
        </w:rPr>
        <w:t>3</w:t>
      </w:r>
      <w:r>
        <w:rPr>
          <w:rFonts w:hint="default" w:ascii="Times New Roman" w:hAnsi="Times New Roman" w:cs="Times New Roman"/>
          <w:color w:val="auto"/>
          <w:sz w:val="24"/>
        </w:rPr>
        <w:t>未达标</w:t>
      </w:r>
      <w:r>
        <w:rPr>
          <w:color w:val="auto"/>
          <w:sz w:val="24"/>
        </w:rPr>
        <w:t>。各监测点非甲烷总烃浓度能够满足《大气污染物综合排放标准详解》中的规定值；</w:t>
      </w:r>
      <w:r>
        <w:rPr>
          <w:snapToGrid w:val="0"/>
          <w:color w:val="auto"/>
          <w:sz w:val="24"/>
        </w:rPr>
        <w:t>H</w:t>
      </w:r>
      <w:r>
        <w:rPr>
          <w:snapToGrid w:val="0"/>
          <w:color w:val="auto"/>
          <w:sz w:val="24"/>
          <w:vertAlign w:val="subscript"/>
        </w:rPr>
        <w:t>2</w:t>
      </w:r>
      <w:r>
        <w:rPr>
          <w:snapToGrid w:val="0"/>
          <w:color w:val="auto"/>
          <w:sz w:val="24"/>
        </w:rPr>
        <w:t>S</w:t>
      </w:r>
      <w:r>
        <w:rPr>
          <w:color w:val="auto"/>
          <w:sz w:val="24"/>
        </w:rPr>
        <w:t>浓度满足</w:t>
      </w:r>
      <w:r>
        <w:rPr>
          <w:snapToGrid w:val="0"/>
          <w:color w:val="auto"/>
          <w:sz w:val="24"/>
        </w:rPr>
        <w:t>《环境影响评价技术导则 大气环境》（HJ2.2-2018）附录D中表D.1的规定标准</w:t>
      </w:r>
      <w:r>
        <w:rPr>
          <w:color w:val="auto"/>
          <w:sz w:val="24"/>
        </w:rPr>
        <w:t>。因此，安徽省宣城市安徽宁国经济技术开发区环境空气质量基本</w:t>
      </w:r>
      <w:r>
        <w:rPr>
          <w:rFonts w:hint="eastAsia"/>
          <w:color w:val="auto"/>
          <w:sz w:val="24"/>
        </w:rPr>
        <w:t>良好</w:t>
      </w:r>
      <w:r>
        <w:rPr>
          <w:color w:val="auto"/>
          <w:sz w:val="24"/>
        </w:rPr>
        <w:t>。</w:t>
      </w:r>
    </w:p>
    <w:p>
      <w:pPr>
        <w:spacing w:line="360" w:lineRule="auto"/>
        <w:ind w:firstLine="480" w:firstLineChars="200"/>
        <w:rPr>
          <w:color w:val="auto"/>
          <w:sz w:val="24"/>
        </w:rPr>
      </w:pPr>
      <w:r>
        <w:rPr>
          <w:color w:val="auto"/>
          <w:sz w:val="24"/>
        </w:rPr>
        <w:t>（3）声环境质量现状评价</w:t>
      </w:r>
    </w:p>
    <w:p>
      <w:pPr>
        <w:spacing w:line="360" w:lineRule="auto"/>
        <w:ind w:firstLine="480" w:firstLineChars="200"/>
        <w:rPr>
          <w:color w:val="auto"/>
          <w:sz w:val="24"/>
        </w:rPr>
      </w:pPr>
      <w:bookmarkStart w:id="431" w:name="_Toc333178593"/>
      <w:bookmarkStart w:id="432" w:name="_Toc287813432"/>
      <w:bookmarkStart w:id="433" w:name="_Toc333178512"/>
      <w:bookmarkStart w:id="434" w:name="_Toc333388636"/>
      <w:bookmarkStart w:id="435" w:name="_Toc335291796"/>
      <w:bookmarkStart w:id="436" w:name="_Toc206896828"/>
      <w:bookmarkStart w:id="437" w:name="_Toc366874173"/>
      <w:bookmarkStart w:id="438" w:name="_Toc198715144"/>
      <w:r>
        <w:rPr>
          <w:color w:val="auto"/>
          <w:sz w:val="24"/>
        </w:rPr>
        <w:t>项目场址四周声环境噪声等效连续A声级值昼间、夜间均低于所执行的标准限值，项目区域声环境质量均能满足《声环境质量标准》（GB3096-2008）中3类标准。</w:t>
      </w:r>
    </w:p>
    <w:p>
      <w:pPr>
        <w:spacing w:line="360" w:lineRule="auto"/>
        <w:ind w:firstLine="480" w:firstLineChars="200"/>
        <w:rPr>
          <w:color w:val="auto"/>
          <w:sz w:val="24"/>
        </w:rPr>
      </w:pPr>
      <w:r>
        <w:rPr>
          <w:color w:val="auto"/>
          <w:sz w:val="24"/>
        </w:rPr>
        <w:t>（4）地下水质量现状评价</w:t>
      </w:r>
    </w:p>
    <w:p>
      <w:pPr>
        <w:spacing w:line="360" w:lineRule="auto"/>
        <w:ind w:firstLine="480" w:firstLineChars="200"/>
        <w:rPr>
          <w:color w:val="auto"/>
          <w:sz w:val="24"/>
        </w:rPr>
      </w:pPr>
      <w:r>
        <w:rPr>
          <w:color w:val="auto"/>
          <w:sz w:val="24"/>
        </w:rPr>
        <w:t>项目区域地下水水质能够满足《地下水质量标准》（GB/T14848-2017）中Ⅲ类标准。</w:t>
      </w:r>
    </w:p>
    <w:p>
      <w:pPr>
        <w:pStyle w:val="4"/>
        <w:spacing w:line="520" w:lineRule="exact"/>
        <w:rPr>
          <w:rFonts w:ascii="Times New Roman" w:hAnsi="Times New Roman"/>
          <w:b/>
          <w:color w:val="auto"/>
        </w:rPr>
      </w:pPr>
      <w:bookmarkStart w:id="439" w:name="_Toc367091932"/>
      <w:bookmarkStart w:id="440" w:name="_Toc15420"/>
      <w:bookmarkStart w:id="441" w:name="_Toc22893"/>
      <w:r>
        <w:rPr>
          <w:rFonts w:hint="eastAsia" w:ascii="Times New Roman" w:hAnsi="Times New Roman"/>
          <w:b/>
          <w:color w:val="auto"/>
        </w:rPr>
        <w:t>10</w:t>
      </w:r>
      <w:r>
        <w:rPr>
          <w:rFonts w:ascii="Times New Roman" w:hAnsi="Times New Roman"/>
          <w:b/>
          <w:color w:val="auto"/>
        </w:rPr>
        <w:t>.3</w:t>
      </w:r>
      <w:bookmarkEnd w:id="439"/>
      <w:r>
        <w:rPr>
          <w:rFonts w:ascii="Times New Roman" w:hAnsi="Times New Roman"/>
          <w:b/>
          <w:color w:val="auto"/>
        </w:rPr>
        <w:t>产业政策相符性分析</w:t>
      </w:r>
      <w:bookmarkEnd w:id="440"/>
      <w:bookmarkEnd w:id="441"/>
    </w:p>
    <w:p>
      <w:pPr>
        <w:spacing w:line="520" w:lineRule="exact"/>
        <w:ind w:firstLine="480" w:firstLineChars="200"/>
        <w:rPr>
          <w:bCs/>
          <w:color w:val="auto"/>
          <w:sz w:val="24"/>
        </w:rPr>
      </w:pPr>
      <w:bookmarkStart w:id="442" w:name="_Toc367091933"/>
      <w:r>
        <w:rPr>
          <w:bCs/>
          <w:color w:val="auto"/>
          <w:sz w:val="24"/>
        </w:rPr>
        <w:t>对照《产业结构调整指导目录（201</w:t>
      </w:r>
      <w:r>
        <w:rPr>
          <w:rFonts w:hint="eastAsia"/>
          <w:bCs/>
          <w:color w:val="auto"/>
          <w:sz w:val="24"/>
        </w:rPr>
        <w:t>9</w:t>
      </w:r>
      <w:r>
        <w:rPr>
          <w:bCs/>
          <w:color w:val="auto"/>
          <w:sz w:val="24"/>
        </w:rPr>
        <w:t>年本）》</w:t>
      </w:r>
      <w:r>
        <w:rPr>
          <w:rFonts w:hint="eastAsia"/>
          <w:bCs/>
          <w:color w:val="auto"/>
          <w:sz w:val="24"/>
        </w:rPr>
        <w:t>，</w:t>
      </w:r>
      <w:r>
        <w:rPr>
          <w:bCs/>
          <w:color w:val="auto"/>
          <w:sz w:val="24"/>
        </w:rPr>
        <w:t>本项目不属于鼓励类、限制类、淘汰类，属于允许项目。项目符合国家产业政策。</w:t>
      </w:r>
    </w:p>
    <w:p>
      <w:pPr>
        <w:spacing w:line="520" w:lineRule="exact"/>
        <w:ind w:firstLine="480" w:firstLineChars="200"/>
        <w:rPr>
          <w:bCs/>
          <w:color w:val="auto"/>
          <w:kern w:val="0"/>
          <w:sz w:val="24"/>
        </w:rPr>
      </w:pPr>
      <w:r>
        <w:rPr>
          <w:bCs/>
          <w:color w:val="auto"/>
          <w:sz w:val="24"/>
        </w:rPr>
        <w:t>根据《宣城市人民政府办公室关于印发宣城市工业经济发展指南(2016-2020)的通知》， 本项目不属于负面清单限制类和淘汰类生产工艺、设备、产品项目。项目符合地方产业政策</w:t>
      </w:r>
      <w:r>
        <w:rPr>
          <w:bCs/>
          <w:color w:val="auto"/>
          <w:kern w:val="0"/>
          <w:sz w:val="24"/>
        </w:rPr>
        <w:t>。</w:t>
      </w:r>
    </w:p>
    <w:p>
      <w:pPr>
        <w:autoSpaceDE w:val="0"/>
        <w:autoSpaceDN w:val="0"/>
        <w:adjustRightInd w:val="0"/>
        <w:spacing w:line="520" w:lineRule="exact"/>
        <w:ind w:firstLine="480" w:firstLineChars="200"/>
        <w:rPr>
          <w:bCs/>
          <w:color w:val="auto"/>
          <w:kern w:val="0"/>
          <w:sz w:val="24"/>
        </w:rPr>
      </w:pPr>
      <w:r>
        <w:rPr>
          <w:bCs/>
          <w:color w:val="auto"/>
          <w:kern w:val="0"/>
          <w:sz w:val="24"/>
        </w:rPr>
        <w:t>本工程为</w:t>
      </w:r>
      <w:r>
        <w:rPr>
          <w:rFonts w:hint="eastAsia"/>
          <w:bCs/>
          <w:color w:val="auto"/>
          <w:kern w:val="0"/>
          <w:sz w:val="24"/>
        </w:rPr>
        <w:t>改扩建</w:t>
      </w:r>
      <w:r>
        <w:rPr>
          <w:bCs/>
          <w:color w:val="auto"/>
          <w:kern w:val="0"/>
          <w:sz w:val="24"/>
        </w:rPr>
        <w:t>项目，采用自动化水平较高的生产设备，提高生产水平和生产能力；按照环保要求，做到达标排放，减小生产对区域环境的影响。因此，项目的建设符合《中国橡胶行业“十三五”发展规划指导纲要》精神。</w:t>
      </w:r>
    </w:p>
    <w:p>
      <w:pPr>
        <w:pStyle w:val="4"/>
        <w:spacing w:line="520" w:lineRule="exact"/>
        <w:rPr>
          <w:rFonts w:ascii="Times New Roman" w:hAnsi="Times New Roman"/>
          <w:b/>
          <w:color w:val="auto"/>
        </w:rPr>
      </w:pPr>
      <w:bookmarkStart w:id="443" w:name="_Toc6389"/>
      <w:bookmarkStart w:id="444" w:name="_Toc20525"/>
      <w:r>
        <w:rPr>
          <w:rFonts w:hint="eastAsia" w:ascii="Times New Roman" w:hAnsi="Times New Roman"/>
          <w:b/>
          <w:color w:val="auto"/>
        </w:rPr>
        <w:t>10</w:t>
      </w:r>
      <w:r>
        <w:rPr>
          <w:rFonts w:ascii="Times New Roman" w:hAnsi="Times New Roman"/>
          <w:b/>
          <w:color w:val="auto"/>
        </w:rPr>
        <w:t>.</w:t>
      </w:r>
      <w:bookmarkEnd w:id="431"/>
      <w:bookmarkEnd w:id="432"/>
      <w:bookmarkEnd w:id="433"/>
      <w:bookmarkEnd w:id="434"/>
      <w:bookmarkEnd w:id="435"/>
      <w:bookmarkEnd w:id="436"/>
      <w:bookmarkEnd w:id="437"/>
      <w:bookmarkEnd w:id="438"/>
      <w:r>
        <w:rPr>
          <w:rFonts w:ascii="Times New Roman" w:hAnsi="Times New Roman"/>
          <w:b/>
          <w:color w:val="auto"/>
        </w:rPr>
        <w:t>4环境影响分析结论</w:t>
      </w:r>
      <w:bookmarkEnd w:id="442"/>
      <w:bookmarkEnd w:id="443"/>
      <w:bookmarkEnd w:id="444"/>
    </w:p>
    <w:p>
      <w:pPr>
        <w:pStyle w:val="5"/>
        <w:spacing w:before="0" w:after="0" w:line="520" w:lineRule="exact"/>
        <w:rPr>
          <w:color w:val="auto"/>
          <w:sz w:val="24"/>
          <w:szCs w:val="24"/>
        </w:rPr>
      </w:pPr>
      <w:bookmarkStart w:id="445" w:name="_Toc333178513"/>
      <w:bookmarkStart w:id="446" w:name="_Toc206896829"/>
      <w:r>
        <w:rPr>
          <w:rFonts w:hint="eastAsia"/>
          <w:color w:val="auto"/>
          <w:sz w:val="24"/>
          <w:szCs w:val="24"/>
        </w:rPr>
        <w:t>10</w:t>
      </w:r>
      <w:r>
        <w:rPr>
          <w:color w:val="auto"/>
          <w:sz w:val="24"/>
          <w:szCs w:val="24"/>
        </w:rPr>
        <w:t>.4.1</w:t>
      </w:r>
      <w:bookmarkEnd w:id="445"/>
      <w:bookmarkEnd w:id="446"/>
      <w:r>
        <w:rPr>
          <w:color w:val="auto"/>
          <w:sz w:val="24"/>
          <w:szCs w:val="24"/>
        </w:rPr>
        <w:t>大气环境影响分析结论</w:t>
      </w:r>
    </w:p>
    <w:p>
      <w:pPr>
        <w:pStyle w:val="15"/>
        <w:adjustRightInd w:val="0"/>
        <w:snapToGrid w:val="0"/>
        <w:spacing w:line="360" w:lineRule="auto"/>
        <w:ind w:firstLine="472" w:firstLineChars="0"/>
        <w:rPr>
          <w:color w:val="auto"/>
          <w:szCs w:val="24"/>
        </w:rPr>
      </w:pPr>
      <w:r>
        <w:rPr>
          <w:color w:val="auto"/>
        </w:rPr>
        <w:t>项目废气主要为</w:t>
      </w:r>
      <w:r>
        <w:rPr>
          <w:rFonts w:hint="eastAsia"/>
          <w:color w:val="auto"/>
          <w:lang w:eastAsia="zh-CN"/>
        </w:rPr>
        <w:t>配料粉尘</w:t>
      </w:r>
      <w:r>
        <w:rPr>
          <w:color w:val="auto"/>
        </w:rPr>
        <w:t>，配胶、涂胶、晾干废气，</w:t>
      </w:r>
      <w:r>
        <w:rPr>
          <w:color w:val="auto"/>
          <w:szCs w:val="24"/>
        </w:rPr>
        <w:t>开炼、硫化、烘箱加热过程中产生的废气。</w:t>
      </w:r>
    </w:p>
    <w:p>
      <w:pPr>
        <w:pStyle w:val="15"/>
        <w:adjustRightInd w:val="0"/>
        <w:snapToGrid w:val="0"/>
        <w:spacing w:line="360" w:lineRule="auto"/>
        <w:ind w:firstLine="472" w:firstLineChars="0"/>
        <w:rPr>
          <w:rFonts w:eastAsia="长城中隶体"/>
          <w:color w:val="auto"/>
        </w:rPr>
      </w:pPr>
      <w:r>
        <w:rPr>
          <w:rFonts w:hint="eastAsia" w:eastAsia="长城中隶体"/>
          <w:b/>
          <w:bCs/>
          <w:color w:val="auto"/>
          <w:lang w:eastAsia="zh-CN"/>
        </w:rPr>
        <w:t>配料粉尘</w:t>
      </w:r>
      <w:r>
        <w:rPr>
          <w:rFonts w:eastAsia="长城中隶体"/>
          <w:b/>
          <w:bCs/>
          <w:color w:val="auto"/>
        </w:rPr>
        <w:t>：</w:t>
      </w:r>
      <w:r>
        <w:rPr>
          <w:rFonts w:hint="eastAsia" w:ascii="Times New Roman" w:hAnsi="Times New Roman" w:cs="Times New Roman"/>
          <w:color w:val="auto"/>
          <w:kern w:val="0"/>
          <w:sz w:val="24"/>
          <w:lang w:eastAsia="zh-CN"/>
        </w:rPr>
        <w:t>项目单独设置一间配料间，在配料间配料工序上方设置集气罩，产生的粉尘通过收集后经一套布袋除尘器进行净化处理，经</w:t>
      </w:r>
      <w:r>
        <w:rPr>
          <w:rFonts w:hint="eastAsia" w:ascii="Times New Roman" w:hAnsi="Times New Roman" w:cs="Times New Roman"/>
          <w:color w:val="auto"/>
          <w:kern w:val="0"/>
          <w:sz w:val="24"/>
          <w:lang w:val="en-US" w:eastAsia="zh-CN"/>
        </w:rPr>
        <w:t>1根15m高排气筒排放</w:t>
      </w:r>
      <w:r>
        <w:rPr>
          <w:rFonts w:hint="eastAsia" w:cs="Times New Roman"/>
          <w:color w:val="auto"/>
          <w:kern w:val="0"/>
          <w:sz w:val="24"/>
          <w:lang w:val="en-US" w:eastAsia="zh-CN"/>
        </w:rPr>
        <w:t>（1#排气筒）</w:t>
      </w:r>
      <w:r>
        <w:rPr>
          <w:rFonts w:hint="eastAsia" w:ascii="Times New Roman" w:hAnsi="Times New Roman" w:cs="Times New Roman"/>
          <w:color w:val="auto"/>
          <w:kern w:val="0"/>
          <w:sz w:val="24"/>
          <w:lang w:val="en-US" w:eastAsia="zh-CN"/>
        </w:rPr>
        <w:t>。</w:t>
      </w:r>
    </w:p>
    <w:p>
      <w:pPr>
        <w:spacing w:line="360" w:lineRule="auto"/>
        <w:ind w:firstLine="482" w:firstLineChars="200"/>
        <w:jc w:val="left"/>
        <w:rPr>
          <w:rFonts w:eastAsia="长城中隶体"/>
          <w:color w:val="auto"/>
          <w:sz w:val="24"/>
        </w:rPr>
      </w:pPr>
      <w:r>
        <w:rPr>
          <w:rFonts w:hint="eastAsia"/>
          <w:b/>
          <w:color w:val="auto"/>
          <w:sz w:val="24"/>
          <w:lang w:eastAsia="zh-CN"/>
        </w:rPr>
        <w:t>配胶、开</w:t>
      </w:r>
      <w:r>
        <w:rPr>
          <w:b/>
          <w:color w:val="auto"/>
          <w:sz w:val="24"/>
        </w:rPr>
        <w:t>炼、</w:t>
      </w:r>
      <w:r>
        <w:rPr>
          <w:rFonts w:hint="eastAsia"/>
          <w:b/>
          <w:color w:val="auto"/>
          <w:sz w:val="24"/>
          <w:lang w:eastAsia="zh-CN"/>
        </w:rPr>
        <w:t>密炼</w:t>
      </w:r>
      <w:r>
        <w:rPr>
          <w:b/>
          <w:color w:val="auto"/>
          <w:sz w:val="24"/>
        </w:rPr>
        <w:t>废气</w:t>
      </w:r>
      <w:r>
        <w:rPr>
          <w:rFonts w:eastAsia="长城中隶体"/>
          <w:b/>
          <w:bCs/>
          <w:color w:val="auto"/>
          <w:sz w:val="24"/>
        </w:rPr>
        <w:t>：</w:t>
      </w:r>
      <w:r>
        <w:rPr>
          <w:rFonts w:hint="default" w:ascii="Times New Roman" w:hAnsi="Times New Roman" w:cs="Times New Roman"/>
          <w:color w:val="auto"/>
          <w:sz w:val="24"/>
          <w:lang w:val="en-US" w:eastAsia="zh-CN"/>
        </w:rPr>
        <w:t>本项目将配</w:t>
      </w:r>
      <w:r>
        <w:rPr>
          <w:rFonts w:hint="eastAsia" w:cs="Times New Roman"/>
          <w:color w:val="auto"/>
          <w:sz w:val="24"/>
          <w:lang w:val="en-US" w:eastAsia="zh-CN"/>
        </w:rPr>
        <w:t>胶搅拌间设置集气装置，单独设置一套布袋除尘器处理投料粉尘，密炼产生的粉尘单独设置一套布袋除尘器净化处理，投料粉尘、密炼粉尘分别设置2套布袋除尘器进行处理后，再与开炼废气一并进入一套二级活性炭净化装</w:t>
      </w:r>
      <w:r>
        <w:rPr>
          <w:rFonts w:hint="eastAsia" w:ascii="Times New Roman" w:hAnsi="Times New Roman" w:cs="Times New Roman"/>
          <w:color w:val="auto"/>
          <w:sz w:val="24"/>
          <w:lang w:val="en-US" w:eastAsia="zh-CN"/>
        </w:rPr>
        <w:t>置+15m高排气筒（</w:t>
      </w:r>
      <w:r>
        <w:rPr>
          <w:rFonts w:hint="eastAsia" w:cs="Times New Roman"/>
          <w:color w:val="auto"/>
          <w:sz w:val="24"/>
          <w:lang w:val="en-US" w:eastAsia="zh-CN"/>
        </w:rPr>
        <w:t>2</w:t>
      </w:r>
      <w:r>
        <w:rPr>
          <w:rFonts w:hint="eastAsia" w:ascii="Times New Roman" w:hAnsi="Times New Roman" w:cs="Times New Roman"/>
          <w:color w:val="auto"/>
          <w:sz w:val="24"/>
          <w:lang w:val="en-US" w:eastAsia="zh-CN"/>
        </w:rPr>
        <w:t>#排气</w:t>
      </w:r>
      <w:r>
        <w:rPr>
          <w:rFonts w:hint="default" w:ascii="Times New Roman" w:hAnsi="Times New Roman" w:cs="Times New Roman"/>
          <w:color w:val="auto"/>
          <w:sz w:val="24"/>
          <w:lang w:val="en-US" w:eastAsia="zh-CN"/>
        </w:rPr>
        <w:t>筒）进行处理</w:t>
      </w:r>
      <w:r>
        <w:rPr>
          <w:rFonts w:hint="eastAsia" w:cs="Times New Roman"/>
          <w:color w:val="auto"/>
          <w:sz w:val="24"/>
          <w:lang w:val="en-US" w:eastAsia="zh-CN"/>
        </w:rPr>
        <w:t>。</w:t>
      </w:r>
    </w:p>
    <w:p>
      <w:pPr>
        <w:spacing w:line="480" w:lineRule="exact"/>
        <w:ind w:firstLine="482" w:firstLineChars="200"/>
        <w:jc w:val="left"/>
        <w:rPr>
          <w:rFonts w:hint="eastAsia" w:eastAsia="宋体"/>
          <w:color w:val="auto"/>
          <w:sz w:val="24"/>
          <w:lang w:eastAsia="zh-CN"/>
        </w:rPr>
      </w:pPr>
      <w:r>
        <w:rPr>
          <w:b/>
          <w:bCs/>
          <w:color w:val="auto"/>
          <w:sz w:val="24"/>
        </w:rPr>
        <w:t>涂胶、晾干</w:t>
      </w:r>
      <w:r>
        <w:rPr>
          <w:rFonts w:hint="eastAsia"/>
          <w:b/>
          <w:bCs/>
          <w:color w:val="auto"/>
          <w:sz w:val="24"/>
          <w:lang w:eastAsia="zh-CN"/>
        </w:rPr>
        <w:t>、烘干</w:t>
      </w:r>
      <w:r>
        <w:rPr>
          <w:b/>
          <w:bCs/>
          <w:color w:val="auto"/>
          <w:sz w:val="24"/>
        </w:rPr>
        <w:t>废气</w:t>
      </w:r>
      <w:r>
        <w:rPr>
          <w:rFonts w:eastAsia="长城中隶体"/>
          <w:b/>
          <w:bCs/>
          <w:color w:val="auto"/>
          <w:sz w:val="24"/>
        </w:rPr>
        <w:t>：</w:t>
      </w:r>
      <w:r>
        <w:rPr>
          <w:b w:val="0"/>
          <w:bCs w:val="0"/>
          <w:color w:val="auto"/>
          <w:sz w:val="24"/>
        </w:rPr>
        <w:t>项目将配胶</w:t>
      </w:r>
      <w:r>
        <w:rPr>
          <w:rFonts w:hint="eastAsia"/>
          <w:b w:val="0"/>
          <w:bCs w:val="0"/>
          <w:color w:val="auto"/>
          <w:sz w:val="24"/>
          <w:lang w:eastAsia="zh-CN"/>
        </w:rPr>
        <w:t>区域设置单独的配胶间，涂胶工序中全自动生产线为全封闭，半自动生产线设置集气罩收集涂胶废气，晾干、烘干工序设置隧道式封闭通道，项目在配胶、</w:t>
      </w:r>
      <w:r>
        <w:rPr>
          <w:b w:val="0"/>
          <w:bCs w:val="0"/>
          <w:color w:val="auto"/>
          <w:sz w:val="24"/>
        </w:rPr>
        <w:t>涂胶、晾干</w:t>
      </w:r>
      <w:r>
        <w:rPr>
          <w:rFonts w:hint="eastAsia"/>
          <w:b w:val="0"/>
          <w:bCs w:val="0"/>
          <w:color w:val="auto"/>
          <w:sz w:val="24"/>
          <w:lang w:eastAsia="zh-CN"/>
        </w:rPr>
        <w:t>、烘干工序设置集气装置，可有效提高废气的收集效率。经收集的废气通过一套催化燃烧装置进行净化处理，</w:t>
      </w:r>
      <w:r>
        <w:rPr>
          <w:b w:val="0"/>
          <w:bCs w:val="0"/>
          <w:color w:val="auto"/>
          <w:sz w:val="24"/>
        </w:rPr>
        <w:t>经1根15m高排气筒（</w:t>
      </w:r>
      <w:r>
        <w:rPr>
          <w:rFonts w:hint="eastAsia"/>
          <w:b w:val="0"/>
          <w:bCs w:val="0"/>
          <w:color w:val="auto"/>
          <w:sz w:val="24"/>
          <w:lang w:val="en-US" w:eastAsia="zh-CN"/>
        </w:rPr>
        <w:t>3#排气筒</w:t>
      </w:r>
      <w:r>
        <w:rPr>
          <w:b w:val="0"/>
          <w:bCs w:val="0"/>
          <w:color w:val="auto"/>
          <w:sz w:val="24"/>
        </w:rPr>
        <w:t>）排放</w:t>
      </w:r>
      <w:r>
        <w:rPr>
          <w:rFonts w:hint="eastAsia"/>
          <w:b w:val="0"/>
          <w:bCs w:val="0"/>
          <w:color w:val="auto"/>
          <w:sz w:val="24"/>
          <w:lang w:eastAsia="zh-CN"/>
        </w:rPr>
        <w:t>。</w:t>
      </w:r>
    </w:p>
    <w:p>
      <w:pPr>
        <w:spacing w:line="360" w:lineRule="auto"/>
        <w:ind w:firstLine="480" w:firstLineChars="200"/>
        <w:jc w:val="left"/>
        <w:rPr>
          <w:rFonts w:eastAsia="长城中隶体"/>
          <w:color w:val="auto"/>
          <w:sz w:val="24"/>
        </w:rPr>
      </w:pPr>
      <w:r>
        <w:rPr>
          <w:rFonts w:eastAsia="长城中隶体"/>
          <w:color w:val="auto"/>
          <w:sz w:val="24"/>
        </w:rPr>
        <w:t>通过采取评价提出的废气污染防治措施，本项目运营期各类废气污染物均可做到达标排放，根据大气环境影响预测结果，评价范围内不会出现大气污染物超标情况，项目建设对区域环境空气影响较小。</w:t>
      </w:r>
    </w:p>
    <w:p>
      <w:pPr>
        <w:pStyle w:val="5"/>
        <w:spacing w:before="0" w:after="0" w:line="520" w:lineRule="exact"/>
        <w:rPr>
          <w:color w:val="auto"/>
          <w:sz w:val="24"/>
          <w:szCs w:val="24"/>
        </w:rPr>
      </w:pPr>
      <w:bookmarkStart w:id="447" w:name="_Toc333178514"/>
      <w:bookmarkStart w:id="448" w:name="_Toc206896830"/>
      <w:r>
        <w:rPr>
          <w:rFonts w:hint="eastAsia"/>
          <w:color w:val="auto"/>
          <w:sz w:val="24"/>
          <w:szCs w:val="24"/>
        </w:rPr>
        <w:t>10</w:t>
      </w:r>
      <w:r>
        <w:rPr>
          <w:color w:val="auto"/>
          <w:sz w:val="24"/>
          <w:szCs w:val="24"/>
        </w:rPr>
        <w:t>.4.2</w:t>
      </w:r>
      <w:bookmarkEnd w:id="447"/>
      <w:bookmarkEnd w:id="448"/>
      <w:r>
        <w:rPr>
          <w:color w:val="auto"/>
          <w:sz w:val="24"/>
          <w:szCs w:val="24"/>
        </w:rPr>
        <w:t>水环境影响分析</w:t>
      </w:r>
    </w:p>
    <w:p>
      <w:pPr>
        <w:spacing w:line="520" w:lineRule="exact"/>
        <w:ind w:firstLine="480" w:firstLineChars="200"/>
        <w:rPr>
          <w:color w:val="auto"/>
        </w:rPr>
      </w:pPr>
      <w:bookmarkStart w:id="449" w:name="_Toc206896831"/>
      <w:bookmarkStart w:id="450" w:name="_Toc333178515"/>
      <w:r>
        <w:rPr>
          <w:color w:val="auto"/>
          <w:sz w:val="24"/>
        </w:rPr>
        <w:t>本项目</w:t>
      </w:r>
      <w:r>
        <w:rPr>
          <w:rFonts w:hint="eastAsia"/>
          <w:color w:val="auto"/>
          <w:sz w:val="24"/>
          <w:lang w:eastAsia="zh-CN"/>
        </w:rPr>
        <w:t>废水</w:t>
      </w:r>
      <w:r>
        <w:rPr>
          <w:color w:val="auto"/>
          <w:sz w:val="24"/>
        </w:rPr>
        <w:t>主要为职工办公生活</w:t>
      </w:r>
      <w:r>
        <w:rPr>
          <w:rFonts w:hint="eastAsia"/>
          <w:color w:val="auto"/>
          <w:sz w:val="24"/>
          <w:lang w:eastAsia="zh-CN"/>
        </w:rPr>
        <w:t>污水</w:t>
      </w:r>
      <w:r>
        <w:rPr>
          <w:color w:val="auto"/>
          <w:sz w:val="24"/>
        </w:rPr>
        <w:t>、</w:t>
      </w:r>
      <w:r>
        <w:rPr>
          <w:rFonts w:hint="eastAsia"/>
          <w:color w:val="auto"/>
          <w:sz w:val="24"/>
          <w:lang w:eastAsia="zh-CN"/>
        </w:rPr>
        <w:t>废脱脂槽液。生活污水经化粪池预处理后排入市政污水管网</w:t>
      </w:r>
      <w:r>
        <w:rPr>
          <w:color w:val="auto"/>
          <w:sz w:val="24"/>
        </w:rPr>
        <w:t>，</w:t>
      </w:r>
      <w:r>
        <w:rPr>
          <w:rFonts w:hint="eastAsia"/>
          <w:color w:val="auto"/>
          <w:sz w:val="24"/>
          <w:lang w:eastAsia="zh-CN"/>
        </w:rPr>
        <w:t>进入宁国市污水处理厂</w:t>
      </w:r>
      <w:r>
        <w:rPr>
          <w:color w:val="auto"/>
          <w:sz w:val="24"/>
        </w:rPr>
        <w:t>。</w:t>
      </w:r>
      <w:r>
        <w:rPr>
          <w:rFonts w:hint="eastAsia"/>
          <w:color w:val="auto"/>
          <w:sz w:val="24"/>
          <w:lang w:eastAsia="zh-CN"/>
        </w:rPr>
        <w:t>废脱脂槽液作为危废交由有资质单位处理，</w:t>
      </w:r>
      <w:r>
        <w:rPr>
          <w:color w:val="auto"/>
          <w:sz w:val="24"/>
        </w:rPr>
        <w:t>项目的运行对所在地水环境影响较小，不会改变原有水体功能类别。</w:t>
      </w:r>
    </w:p>
    <w:p>
      <w:pPr>
        <w:pStyle w:val="5"/>
        <w:spacing w:before="0" w:after="0" w:line="520" w:lineRule="exact"/>
        <w:rPr>
          <w:color w:val="auto"/>
          <w:sz w:val="24"/>
          <w:szCs w:val="24"/>
        </w:rPr>
      </w:pPr>
      <w:r>
        <w:rPr>
          <w:rFonts w:hint="eastAsia"/>
          <w:color w:val="auto"/>
          <w:sz w:val="24"/>
          <w:szCs w:val="24"/>
        </w:rPr>
        <w:t>10</w:t>
      </w:r>
      <w:r>
        <w:rPr>
          <w:color w:val="auto"/>
          <w:sz w:val="24"/>
          <w:szCs w:val="24"/>
        </w:rPr>
        <w:t>.4.3地下水环境影响分析</w:t>
      </w:r>
    </w:p>
    <w:p>
      <w:pPr>
        <w:spacing w:line="520" w:lineRule="exact"/>
        <w:ind w:firstLine="480" w:firstLineChars="200"/>
        <w:rPr>
          <w:color w:val="auto"/>
          <w:sz w:val="24"/>
        </w:rPr>
      </w:pPr>
      <w:r>
        <w:rPr>
          <w:color w:val="auto"/>
          <w:sz w:val="24"/>
        </w:rPr>
        <w:t>通过对厂内不同区域采取防渗处理后，加上土壤的过滤、降解，项目进入地下水体的污染物量较小，项目运行对区域地下水水质污染影响很小。</w:t>
      </w:r>
    </w:p>
    <w:p>
      <w:pPr>
        <w:spacing w:line="520" w:lineRule="exact"/>
        <w:ind w:firstLine="480" w:firstLineChars="200"/>
        <w:rPr>
          <w:color w:val="auto"/>
          <w:sz w:val="24"/>
        </w:rPr>
      </w:pPr>
      <w:r>
        <w:rPr>
          <w:color w:val="auto"/>
          <w:sz w:val="24"/>
        </w:rPr>
        <w:t>本项目厂区内地下水污染防治措施坚持“、源头控制、末端防治、污染监控、应急响应相结合度措施。为防止废水对地下水造成污染，厂区采取防火、防扬散、防流失、防渗漏、防雨淋或者其它防止污染环境的措施，危废暂存库等做好防渗漏措施；厂区内的生活用水、消防用水及生产用水均来源于开发区自来水管网，由市政给水管网直接供给，不取用地下水。项目产生的污水经预处理后排入开发区污水管网，均按照要求处理达标后外排。建设项目对地下水的环境影响是可以接受的。</w:t>
      </w:r>
    </w:p>
    <w:p>
      <w:pPr>
        <w:pStyle w:val="5"/>
        <w:spacing w:before="0" w:after="0" w:line="520" w:lineRule="exact"/>
        <w:rPr>
          <w:color w:val="auto"/>
          <w:sz w:val="24"/>
          <w:szCs w:val="24"/>
        </w:rPr>
      </w:pPr>
      <w:r>
        <w:rPr>
          <w:rFonts w:hint="eastAsia"/>
          <w:color w:val="auto"/>
          <w:sz w:val="24"/>
          <w:szCs w:val="24"/>
        </w:rPr>
        <w:t>10</w:t>
      </w:r>
      <w:r>
        <w:rPr>
          <w:color w:val="auto"/>
          <w:sz w:val="24"/>
          <w:szCs w:val="24"/>
        </w:rPr>
        <w:t>.4.4声环境影响评价</w:t>
      </w:r>
      <w:bookmarkEnd w:id="449"/>
      <w:bookmarkEnd w:id="450"/>
    </w:p>
    <w:p>
      <w:pPr>
        <w:spacing w:line="520" w:lineRule="exact"/>
        <w:ind w:firstLine="480"/>
        <w:rPr>
          <w:color w:val="auto"/>
          <w:sz w:val="24"/>
        </w:rPr>
      </w:pPr>
      <w:r>
        <w:rPr>
          <w:color w:val="auto"/>
          <w:sz w:val="24"/>
        </w:rPr>
        <w:t>项目运营后经采取本评价提出的噪声防治措施并经厂房隔声、距离衰减后厂界噪声均</w:t>
      </w:r>
      <w:r>
        <w:rPr>
          <w:bCs/>
          <w:color w:val="auto"/>
          <w:sz w:val="24"/>
        </w:rPr>
        <w:t>能满足</w:t>
      </w:r>
      <w:r>
        <w:rPr>
          <w:color w:val="auto"/>
          <w:sz w:val="24"/>
        </w:rPr>
        <w:t>《工业企业厂界环境噪声排放标准》（GB12348-2008）中3类标准。</w:t>
      </w:r>
    </w:p>
    <w:p>
      <w:pPr>
        <w:pStyle w:val="5"/>
        <w:spacing w:before="0" w:after="0" w:line="520" w:lineRule="exact"/>
        <w:rPr>
          <w:color w:val="auto"/>
          <w:sz w:val="24"/>
          <w:szCs w:val="24"/>
        </w:rPr>
      </w:pPr>
      <w:bookmarkStart w:id="451" w:name="_Toc206896832"/>
      <w:bookmarkStart w:id="452" w:name="_Toc333178516"/>
      <w:r>
        <w:rPr>
          <w:rFonts w:hint="eastAsia"/>
          <w:color w:val="auto"/>
          <w:sz w:val="24"/>
          <w:szCs w:val="24"/>
        </w:rPr>
        <w:t>10</w:t>
      </w:r>
      <w:r>
        <w:rPr>
          <w:color w:val="auto"/>
          <w:sz w:val="24"/>
          <w:szCs w:val="24"/>
        </w:rPr>
        <w:t>.4.</w:t>
      </w:r>
      <w:bookmarkEnd w:id="451"/>
      <w:bookmarkEnd w:id="452"/>
      <w:r>
        <w:rPr>
          <w:color w:val="auto"/>
          <w:sz w:val="24"/>
          <w:szCs w:val="24"/>
        </w:rPr>
        <w:t>5固体废物影响分析</w:t>
      </w:r>
    </w:p>
    <w:p>
      <w:pPr>
        <w:pStyle w:val="15"/>
        <w:spacing w:line="520" w:lineRule="exact"/>
        <w:ind w:firstLine="480"/>
        <w:rPr>
          <w:color w:val="auto"/>
        </w:rPr>
      </w:pPr>
      <w:bookmarkStart w:id="453" w:name="_Toc333178594"/>
      <w:bookmarkStart w:id="454" w:name="_Toc333388637"/>
      <w:bookmarkStart w:id="455" w:name="_Toc335291797"/>
      <w:bookmarkStart w:id="456" w:name="_Toc206896834"/>
      <w:bookmarkStart w:id="457" w:name="_Toc198715145"/>
      <w:bookmarkStart w:id="458" w:name="_Toc287813433"/>
      <w:bookmarkStart w:id="459" w:name="_Toc367091934"/>
      <w:bookmarkStart w:id="460" w:name="_Toc370291732"/>
      <w:bookmarkStart w:id="461" w:name="_Toc366874174"/>
      <w:bookmarkStart w:id="462" w:name="_Toc333178518"/>
      <w:r>
        <w:rPr>
          <w:color w:val="auto"/>
          <w:kern w:val="0"/>
        </w:rPr>
        <w:t>项目固废处置方案：</w:t>
      </w:r>
    </w:p>
    <w:p>
      <w:pPr>
        <w:spacing w:line="360" w:lineRule="auto"/>
        <w:ind w:firstLine="480" w:firstLineChars="200"/>
        <w:rPr>
          <w:bCs/>
          <w:color w:val="auto"/>
          <w:sz w:val="24"/>
        </w:rPr>
      </w:pPr>
      <w:r>
        <w:rPr>
          <w:rFonts w:hint="eastAsia"/>
          <w:bCs/>
          <w:color w:val="auto"/>
          <w:sz w:val="24"/>
          <w:lang w:eastAsia="zh-CN"/>
        </w:rPr>
        <w:t>收集的粉尘</w:t>
      </w:r>
      <w:r>
        <w:rPr>
          <w:bCs/>
          <w:color w:val="auto"/>
          <w:sz w:val="24"/>
        </w:rPr>
        <w:t>：集中收集后</w:t>
      </w:r>
      <w:r>
        <w:rPr>
          <w:rFonts w:hint="eastAsia"/>
          <w:bCs/>
          <w:color w:val="auto"/>
          <w:sz w:val="24"/>
          <w:lang w:eastAsia="zh-CN"/>
        </w:rPr>
        <w:t>回用于生产</w:t>
      </w:r>
      <w:r>
        <w:rPr>
          <w:bCs/>
          <w:color w:val="auto"/>
          <w:sz w:val="24"/>
        </w:rPr>
        <w:t>。</w:t>
      </w:r>
    </w:p>
    <w:p>
      <w:pPr>
        <w:spacing w:line="360" w:lineRule="auto"/>
        <w:ind w:firstLine="480" w:firstLineChars="200"/>
        <w:rPr>
          <w:color w:val="auto"/>
          <w:sz w:val="24"/>
        </w:rPr>
      </w:pPr>
      <w:r>
        <w:rPr>
          <w:bCs/>
          <w:color w:val="auto"/>
          <w:sz w:val="24"/>
        </w:rPr>
        <w:t>废包</w:t>
      </w:r>
      <w:r>
        <w:rPr>
          <w:rFonts w:hint="eastAsia"/>
          <w:bCs/>
          <w:color w:val="auto"/>
          <w:sz w:val="24"/>
        </w:rPr>
        <w:t>装材料（一般</w:t>
      </w:r>
      <w:r>
        <w:rPr>
          <w:rFonts w:hint="eastAsia"/>
          <w:bCs/>
          <w:color w:val="auto"/>
          <w:sz w:val="24"/>
          <w:lang w:eastAsia="zh-CN"/>
        </w:rPr>
        <w:t>固体废物）</w:t>
      </w:r>
      <w:r>
        <w:rPr>
          <w:rFonts w:hint="eastAsia"/>
          <w:bCs/>
          <w:color w:val="auto"/>
          <w:sz w:val="24"/>
        </w:rPr>
        <w:t>：集中收</w:t>
      </w:r>
      <w:r>
        <w:rPr>
          <w:bCs/>
          <w:color w:val="auto"/>
          <w:sz w:val="24"/>
        </w:rPr>
        <w:t>集后外售物资回收公司</w:t>
      </w:r>
      <w:r>
        <w:rPr>
          <w:color w:val="auto"/>
          <w:sz w:val="24"/>
        </w:rPr>
        <w:t>。</w:t>
      </w:r>
    </w:p>
    <w:p>
      <w:pPr>
        <w:spacing w:line="360" w:lineRule="auto"/>
        <w:ind w:firstLine="480" w:firstLineChars="200"/>
        <w:rPr>
          <w:color w:val="auto"/>
          <w:sz w:val="24"/>
        </w:rPr>
      </w:pPr>
      <w:r>
        <w:rPr>
          <w:rFonts w:hint="eastAsia"/>
          <w:color w:val="auto"/>
          <w:sz w:val="24"/>
        </w:rPr>
        <w:t>生活垃圾：交由环卫</w:t>
      </w:r>
      <w:r>
        <w:rPr>
          <w:color w:val="auto"/>
          <w:sz w:val="24"/>
        </w:rPr>
        <w:t>处理。</w:t>
      </w:r>
    </w:p>
    <w:p>
      <w:pPr>
        <w:spacing w:line="360" w:lineRule="auto"/>
        <w:ind w:firstLine="480" w:firstLineChars="200"/>
        <w:rPr>
          <w:color w:val="auto"/>
          <w:kern w:val="0"/>
        </w:rPr>
      </w:pPr>
      <w:r>
        <w:rPr>
          <w:rFonts w:hint="eastAsia"/>
          <w:color w:val="auto"/>
          <w:sz w:val="24"/>
          <w:lang w:eastAsia="zh-CN"/>
        </w:rPr>
        <w:t>废活性炭、废硫化剂</w:t>
      </w:r>
      <w:r>
        <w:rPr>
          <w:rFonts w:hint="default"/>
          <w:bCs/>
          <w:color w:val="auto"/>
          <w:sz w:val="24"/>
          <w:lang w:val="en-US" w:eastAsia="zh-CN"/>
        </w:rPr>
        <w:t>及废氧化锌等包装材料</w:t>
      </w:r>
      <w:r>
        <w:rPr>
          <w:rFonts w:hint="eastAsia"/>
          <w:bCs/>
          <w:color w:val="auto"/>
          <w:sz w:val="24"/>
          <w:lang w:val="en-US" w:eastAsia="zh-CN"/>
        </w:rPr>
        <w:t>、废脱脂槽液</w:t>
      </w:r>
      <w:r>
        <w:rPr>
          <w:rFonts w:hint="eastAsia"/>
          <w:bCs/>
          <w:color w:val="auto"/>
          <w:sz w:val="24"/>
        </w:rPr>
        <w:t>：</w:t>
      </w:r>
      <w:r>
        <w:rPr>
          <w:bCs/>
          <w:color w:val="auto"/>
          <w:sz w:val="24"/>
        </w:rPr>
        <w:t>位于厂区危废临时暂存场所暂存，定期送有危险废物处置资质的单位集中处置。</w:t>
      </w:r>
    </w:p>
    <w:p>
      <w:pPr>
        <w:pStyle w:val="216"/>
        <w:spacing w:line="520" w:lineRule="exact"/>
        <w:rPr>
          <w:rFonts w:ascii="Times New Roman" w:hAnsi="Times New Roman"/>
          <w:color w:val="auto"/>
        </w:rPr>
      </w:pPr>
      <w:r>
        <w:rPr>
          <w:rFonts w:ascii="Times New Roman" w:hAnsi="Times New Roman"/>
          <w:color w:val="auto"/>
        </w:rPr>
        <w:t>由于本项目存在危险废物，为减小废弃物的储存风险，防止危险废物污染环境，建设单位应设计危废暂存间，用于临时存放危险废物。</w:t>
      </w:r>
    </w:p>
    <w:p>
      <w:pPr>
        <w:pStyle w:val="216"/>
        <w:spacing w:line="520" w:lineRule="exact"/>
        <w:rPr>
          <w:rFonts w:ascii="Times New Roman" w:hAnsi="Times New Roman"/>
          <w:color w:val="auto"/>
        </w:rPr>
      </w:pPr>
      <w:r>
        <w:rPr>
          <w:rFonts w:ascii="Times New Roman" w:hAnsi="Times New Roman"/>
          <w:color w:val="auto"/>
        </w:rPr>
        <w:t>危废暂存间的设置按《危险废物贮存污染控制标准》（GB18597-2001）及其修改单要求设置，做到防漏、防渗。</w:t>
      </w:r>
    </w:p>
    <w:p>
      <w:pPr>
        <w:pStyle w:val="216"/>
        <w:spacing w:line="520" w:lineRule="exact"/>
        <w:rPr>
          <w:rFonts w:ascii="Times New Roman" w:hAnsi="Times New Roman"/>
          <w:color w:val="auto"/>
        </w:rPr>
      </w:pPr>
      <w:r>
        <w:rPr>
          <w:rFonts w:ascii="Times New Roman" w:hAnsi="Times New Roman"/>
          <w:color w:val="auto"/>
        </w:rPr>
        <w:t>综上，建设单位应强化固废产生、收集、贮运各环节的管理，杜绝固废在厂区内的散失、渗漏。做好固废在厂区内的收集和储存相关防护工作，收集后进行有效处置。建立完善的规章制度，以降低危险固体废物散落对周围环境的影响。只要企业强化管理，做好危险废物、一般固废及生活垃圾的收集、贮存和清运工作，并采取安全处置方法，经处置后固体废弃物不会对周围环境产生明显的不利影响。</w:t>
      </w:r>
    </w:p>
    <w:bookmarkEnd w:id="453"/>
    <w:bookmarkEnd w:id="454"/>
    <w:bookmarkEnd w:id="455"/>
    <w:bookmarkEnd w:id="456"/>
    <w:bookmarkEnd w:id="457"/>
    <w:bookmarkEnd w:id="458"/>
    <w:bookmarkEnd w:id="459"/>
    <w:bookmarkEnd w:id="460"/>
    <w:bookmarkEnd w:id="461"/>
    <w:bookmarkEnd w:id="462"/>
    <w:p>
      <w:pPr>
        <w:pStyle w:val="5"/>
        <w:spacing w:before="0" w:after="0" w:line="520" w:lineRule="exact"/>
        <w:rPr>
          <w:color w:val="auto"/>
          <w:sz w:val="24"/>
          <w:szCs w:val="24"/>
        </w:rPr>
      </w:pPr>
      <w:r>
        <w:rPr>
          <w:rFonts w:hint="eastAsia"/>
          <w:color w:val="auto"/>
          <w:sz w:val="24"/>
          <w:szCs w:val="24"/>
        </w:rPr>
        <w:t>10</w:t>
      </w:r>
      <w:r>
        <w:rPr>
          <w:color w:val="auto"/>
          <w:sz w:val="24"/>
          <w:szCs w:val="24"/>
        </w:rPr>
        <w:t>.4.6环境风险影响分析</w:t>
      </w:r>
    </w:p>
    <w:p>
      <w:pPr>
        <w:pStyle w:val="216"/>
        <w:spacing w:line="520" w:lineRule="exact"/>
        <w:rPr>
          <w:rFonts w:ascii="Times New Roman" w:hAnsi="Times New Roman"/>
          <w:color w:val="auto"/>
          <w:szCs w:val="24"/>
        </w:rPr>
      </w:pPr>
      <w:r>
        <w:rPr>
          <w:rFonts w:ascii="Times New Roman" w:hAnsi="Times New Roman"/>
          <w:color w:val="auto"/>
          <w:szCs w:val="24"/>
        </w:rPr>
        <w:t>但随着工程的建设，环境风险将增加。因此，必须高度重视安全生产、事故防范以减少环境风险。为了及时发现和减少事故的潜在危害，确保生命财产和人身安全，有必要建立风险事故决策支持系统和事故应急监测技术支持系统，在事故发生时及时采取应急救援措施，形成风险安全系统工程。</w:t>
      </w:r>
    </w:p>
    <w:p>
      <w:pPr>
        <w:pStyle w:val="216"/>
        <w:spacing w:line="520" w:lineRule="exact"/>
        <w:rPr>
          <w:rFonts w:ascii="Times New Roman" w:hAnsi="Times New Roman"/>
          <w:snapToGrid w:val="0"/>
          <w:color w:val="auto"/>
          <w:szCs w:val="24"/>
        </w:rPr>
      </w:pPr>
      <w:r>
        <w:rPr>
          <w:rFonts w:ascii="Times New Roman" w:hAnsi="Times New Roman"/>
          <w:color w:val="auto"/>
          <w:szCs w:val="24"/>
        </w:rPr>
        <w:t>从环境控制的角度来评价，经采取相应应急措施，能大大减少事故发生概率，并且如一旦发生事故，能迅速采取有力措施，减小对环境污染，其潜在的事故风险和社会稳定风险是可以防范的。</w:t>
      </w:r>
      <w:bookmarkStart w:id="463" w:name="_Toc367091937"/>
    </w:p>
    <w:p>
      <w:pPr>
        <w:pStyle w:val="4"/>
        <w:spacing w:line="520" w:lineRule="exact"/>
        <w:rPr>
          <w:rFonts w:ascii="Times New Roman" w:hAnsi="Times New Roman"/>
          <w:b/>
          <w:color w:val="auto"/>
        </w:rPr>
      </w:pPr>
      <w:bookmarkStart w:id="464" w:name="_Toc25555"/>
      <w:bookmarkStart w:id="465" w:name="_Toc14121"/>
      <w:r>
        <w:rPr>
          <w:rFonts w:hint="eastAsia" w:ascii="Times New Roman" w:hAnsi="Times New Roman"/>
          <w:b/>
          <w:color w:val="auto"/>
        </w:rPr>
        <w:t>10</w:t>
      </w:r>
      <w:r>
        <w:rPr>
          <w:rFonts w:ascii="Times New Roman" w:hAnsi="Times New Roman"/>
          <w:b/>
          <w:color w:val="auto"/>
        </w:rPr>
        <w:t>.5环境经济损益分析</w:t>
      </w:r>
      <w:bookmarkEnd w:id="464"/>
      <w:bookmarkEnd w:id="465"/>
    </w:p>
    <w:p>
      <w:pPr>
        <w:spacing w:line="520" w:lineRule="exact"/>
        <w:ind w:firstLine="480" w:firstLineChars="200"/>
        <w:rPr>
          <w:color w:val="auto"/>
          <w:sz w:val="24"/>
        </w:rPr>
      </w:pPr>
      <w:r>
        <w:rPr>
          <w:color w:val="auto"/>
          <w:sz w:val="24"/>
        </w:rPr>
        <w:t>结合本工程的社会经济效益、环保投入和环境效益进行综合分析得出，项目在创造良好经济效益和社会效益的同时，经采取污染防治措施后，对环境的影响较小，能够将工程带来的环境损失降到可接受程度。因此，本项目可以实现经济效益与环保效益的相统一。</w:t>
      </w:r>
    </w:p>
    <w:p>
      <w:pPr>
        <w:pStyle w:val="4"/>
        <w:spacing w:line="520" w:lineRule="exact"/>
        <w:rPr>
          <w:rFonts w:ascii="Times New Roman" w:hAnsi="Times New Roman"/>
          <w:b/>
          <w:color w:val="auto"/>
        </w:rPr>
      </w:pPr>
      <w:bookmarkStart w:id="466" w:name="_Toc26299"/>
      <w:r>
        <w:rPr>
          <w:rFonts w:hint="eastAsia" w:ascii="Times New Roman" w:hAnsi="Times New Roman"/>
          <w:b/>
          <w:color w:val="auto"/>
        </w:rPr>
        <w:t>10</w:t>
      </w:r>
      <w:r>
        <w:rPr>
          <w:rFonts w:ascii="Times New Roman" w:hAnsi="Times New Roman"/>
          <w:b/>
          <w:color w:val="auto"/>
        </w:rPr>
        <w:t>.6环境管理与监测计划</w:t>
      </w:r>
      <w:bookmarkEnd w:id="466"/>
    </w:p>
    <w:p>
      <w:pPr>
        <w:pStyle w:val="216"/>
        <w:spacing w:line="520" w:lineRule="exact"/>
        <w:rPr>
          <w:rFonts w:ascii="Times New Roman" w:hAnsi="Times New Roman"/>
          <w:snapToGrid w:val="0"/>
          <w:color w:val="auto"/>
          <w:szCs w:val="24"/>
        </w:rPr>
      </w:pPr>
      <w:r>
        <w:rPr>
          <w:rFonts w:ascii="Times New Roman" w:hAnsi="Times New Roman"/>
          <w:snapToGrid w:val="0"/>
          <w:color w:val="auto"/>
          <w:szCs w:val="24"/>
        </w:rPr>
        <w:t>建设单位应严格执行各污染物排放要求，对各污染物定期进行监测，将本项目对周围环境产生的影响降低到最小。</w:t>
      </w:r>
      <w:r>
        <w:rPr>
          <w:rFonts w:ascii="Times New Roman" w:hAnsi="Times New Roman"/>
          <w:color w:val="auto"/>
        </w:rPr>
        <w:t xml:space="preserve">根据《中华人民共和国环境保护法》规定，建设项目污染防治设施必须与主体工程同时设计、同时施工、同时投入运行，而污染防治设施建设“三同时”验收是严格控制污染源和污染物排放总量、遏制环境恶化趋势的有力措施。 </w:t>
      </w:r>
    </w:p>
    <w:p>
      <w:pPr>
        <w:pStyle w:val="4"/>
        <w:spacing w:line="520" w:lineRule="exact"/>
        <w:rPr>
          <w:rFonts w:ascii="Times New Roman" w:hAnsi="Times New Roman"/>
          <w:b/>
          <w:color w:val="auto"/>
        </w:rPr>
      </w:pPr>
      <w:bookmarkStart w:id="467" w:name="_Toc3404"/>
      <w:bookmarkStart w:id="468" w:name="_Toc934"/>
      <w:r>
        <w:rPr>
          <w:rFonts w:hint="eastAsia" w:ascii="Times New Roman" w:hAnsi="Times New Roman"/>
          <w:b/>
          <w:color w:val="auto"/>
        </w:rPr>
        <w:t>10</w:t>
      </w:r>
      <w:r>
        <w:rPr>
          <w:rFonts w:ascii="Times New Roman" w:hAnsi="Times New Roman"/>
          <w:b/>
          <w:color w:val="auto"/>
        </w:rPr>
        <w:t>.7公众参与结论</w:t>
      </w:r>
      <w:bookmarkEnd w:id="467"/>
      <w:bookmarkEnd w:id="468"/>
    </w:p>
    <w:p>
      <w:pPr>
        <w:pStyle w:val="22"/>
        <w:rPr>
          <w:b w:val="0"/>
          <w:color w:val="auto"/>
          <w:sz w:val="24"/>
        </w:rPr>
      </w:pPr>
      <w:r>
        <w:rPr>
          <w:b w:val="0"/>
          <w:color w:val="auto"/>
          <w:sz w:val="24"/>
        </w:rPr>
        <w:t>根据国家环保部《环境影响评价公众参与暂行办法》要求，建设单位在确定了承担环境影响评价工作的环境影响评价机构后，分别向社会两次公示。两次公示10日内均未收到任何反对的意见。同时，建设单位对项目建设所在区域开展公众参与活动，在活动中采取书面问卷随机抽样调查的形式进行。共计发放“</w:t>
      </w:r>
      <w:r>
        <w:rPr>
          <w:rFonts w:hint="eastAsia"/>
          <w:b w:val="0"/>
          <w:color w:val="auto"/>
          <w:sz w:val="24"/>
          <w:lang w:eastAsia="zh-CN"/>
        </w:rPr>
        <w:t>建设项目环境影响评价公众意见表</w:t>
      </w:r>
      <w:r>
        <w:rPr>
          <w:b w:val="0"/>
          <w:color w:val="auto"/>
          <w:sz w:val="24"/>
        </w:rPr>
        <w:t>”</w:t>
      </w:r>
      <w:r>
        <w:rPr>
          <w:rFonts w:hint="eastAsia"/>
          <w:b w:val="0"/>
          <w:color w:val="auto"/>
          <w:sz w:val="24"/>
          <w:lang w:val="en-US" w:eastAsia="zh-CN"/>
        </w:rPr>
        <w:t>100</w:t>
      </w:r>
      <w:r>
        <w:rPr>
          <w:b w:val="0"/>
          <w:color w:val="auto"/>
          <w:sz w:val="24"/>
        </w:rPr>
        <w:t>份，回收统计有效调查表</w:t>
      </w:r>
      <w:r>
        <w:rPr>
          <w:rFonts w:hint="eastAsia"/>
          <w:b w:val="0"/>
          <w:color w:val="auto"/>
          <w:sz w:val="24"/>
          <w:lang w:val="en-US" w:eastAsia="zh-CN"/>
        </w:rPr>
        <w:t>68</w:t>
      </w:r>
      <w:r>
        <w:rPr>
          <w:b w:val="0"/>
          <w:color w:val="auto"/>
          <w:sz w:val="24"/>
        </w:rPr>
        <w:t>份，占发放总数的</w:t>
      </w:r>
      <w:r>
        <w:rPr>
          <w:rFonts w:hint="eastAsia"/>
          <w:b w:val="0"/>
          <w:color w:val="auto"/>
          <w:sz w:val="24"/>
          <w:lang w:val="en-US" w:eastAsia="zh-CN"/>
        </w:rPr>
        <w:t>68</w:t>
      </w:r>
      <w:r>
        <w:rPr>
          <w:b w:val="0"/>
          <w:color w:val="auto"/>
          <w:sz w:val="24"/>
        </w:rPr>
        <w:t>%。</w:t>
      </w:r>
    </w:p>
    <w:p>
      <w:pPr>
        <w:pStyle w:val="22"/>
        <w:rPr>
          <w:b w:val="0"/>
          <w:color w:val="auto"/>
          <w:sz w:val="24"/>
        </w:rPr>
      </w:pPr>
      <w:r>
        <w:rPr>
          <w:b w:val="0"/>
          <w:color w:val="auto"/>
          <w:sz w:val="24"/>
        </w:rPr>
        <w:t>同时建设单位按照</w:t>
      </w:r>
      <w:r>
        <w:rPr>
          <w:rFonts w:hint="eastAsia"/>
          <w:b w:val="0"/>
          <w:color w:val="auto"/>
          <w:sz w:val="24"/>
          <w:lang w:eastAsia="zh-CN"/>
        </w:rPr>
        <w:t>《环境影响评价公众参与办法》</w:t>
      </w:r>
      <w:r>
        <w:rPr>
          <w:b w:val="0"/>
          <w:color w:val="auto"/>
          <w:sz w:val="24"/>
        </w:rPr>
        <w:t>对公众参与相关资料和</w:t>
      </w:r>
      <w:r>
        <w:rPr>
          <w:rFonts w:hint="eastAsia"/>
          <w:b w:val="0"/>
          <w:color w:val="auto"/>
          <w:sz w:val="24"/>
          <w:lang w:eastAsia="zh-CN"/>
        </w:rPr>
        <w:t>建设项目环境影响评价公众意见表</w:t>
      </w:r>
      <w:r>
        <w:rPr>
          <w:b w:val="0"/>
          <w:color w:val="auto"/>
          <w:sz w:val="24"/>
        </w:rPr>
        <w:t>进行存档以备后续查阅，将相关资料等存档于厂区环境管理部门，由建设单位分管环境保护工作的副总负责。</w:t>
      </w:r>
    </w:p>
    <w:p>
      <w:pPr>
        <w:pStyle w:val="4"/>
        <w:spacing w:line="520" w:lineRule="exact"/>
        <w:rPr>
          <w:rFonts w:ascii="Times New Roman" w:hAnsi="Times New Roman"/>
          <w:b/>
          <w:color w:val="auto"/>
        </w:rPr>
      </w:pPr>
      <w:bookmarkStart w:id="469" w:name="_Toc6006"/>
      <w:bookmarkStart w:id="470" w:name="_Toc24174"/>
      <w:r>
        <w:rPr>
          <w:rFonts w:hint="eastAsia" w:ascii="Times New Roman" w:hAnsi="Times New Roman"/>
          <w:b/>
          <w:color w:val="auto"/>
        </w:rPr>
        <w:t>10</w:t>
      </w:r>
      <w:r>
        <w:rPr>
          <w:rFonts w:ascii="Times New Roman" w:hAnsi="Times New Roman"/>
          <w:b/>
          <w:color w:val="auto"/>
        </w:rPr>
        <w:t>.8结论</w:t>
      </w:r>
      <w:bookmarkEnd w:id="463"/>
      <w:bookmarkEnd w:id="469"/>
      <w:bookmarkEnd w:id="470"/>
    </w:p>
    <w:p>
      <w:pPr>
        <w:spacing w:line="500" w:lineRule="exact"/>
        <w:ind w:firstLine="480" w:firstLineChars="200"/>
        <w:rPr>
          <w:color w:val="auto"/>
          <w:sz w:val="24"/>
        </w:rPr>
      </w:pPr>
      <w:r>
        <w:rPr>
          <w:color w:val="auto"/>
          <w:sz w:val="24"/>
        </w:rPr>
        <w:t>本项目符合国家产业政策，选址符合规划要求，生产工艺、技术成熟可靠，原辅材料来源稳定可靠，公用工程条件具备，运输条件较好。项目实施后在采用各项污染防治措施前提条件下，各项污染物可以做到达标排放；排放的各种污染物对周围空气环境、地表水环境及噪声环境影响能控制在国家相关的标准要求范围内。该建设项目在建设过程中，应严格执行环保设施与主体工程同时设计、同时施工、同时投产的“三同时”制度。从环境保护角度出发，该项目的建设是可行的。</w:t>
      </w:r>
    </w:p>
    <w:p>
      <w:pPr>
        <w:pStyle w:val="4"/>
        <w:spacing w:line="520" w:lineRule="exact"/>
        <w:rPr>
          <w:rFonts w:ascii="Times New Roman" w:hAnsi="Times New Roman"/>
          <w:b/>
          <w:color w:val="auto"/>
        </w:rPr>
      </w:pPr>
      <w:bookmarkStart w:id="471" w:name="_Toc7229"/>
      <w:bookmarkStart w:id="472" w:name="_Toc23596"/>
      <w:r>
        <w:rPr>
          <w:rFonts w:hint="eastAsia" w:ascii="Times New Roman" w:hAnsi="Times New Roman"/>
          <w:b/>
          <w:color w:val="auto"/>
        </w:rPr>
        <w:t>10</w:t>
      </w:r>
      <w:r>
        <w:rPr>
          <w:rFonts w:ascii="Times New Roman" w:hAnsi="Times New Roman"/>
          <w:b/>
          <w:color w:val="auto"/>
        </w:rPr>
        <w:t>.9建议</w:t>
      </w:r>
      <w:bookmarkEnd w:id="471"/>
      <w:bookmarkEnd w:id="472"/>
    </w:p>
    <w:p>
      <w:pPr>
        <w:spacing w:line="520" w:lineRule="exact"/>
        <w:ind w:firstLine="480" w:firstLineChars="200"/>
        <w:rPr>
          <w:color w:val="auto"/>
          <w:sz w:val="24"/>
        </w:rPr>
      </w:pPr>
      <w:r>
        <w:rPr>
          <w:color w:val="auto"/>
          <w:sz w:val="24"/>
        </w:rPr>
        <w:t xml:space="preserve">（1）做好各类污染物的污染防治工作，确保达标排放； </w:t>
      </w:r>
    </w:p>
    <w:p>
      <w:pPr>
        <w:spacing w:line="520" w:lineRule="exact"/>
        <w:ind w:firstLine="480" w:firstLineChars="200"/>
        <w:rPr>
          <w:color w:val="auto"/>
          <w:sz w:val="24"/>
        </w:rPr>
      </w:pPr>
      <w:r>
        <w:rPr>
          <w:color w:val="auto"/>
          <w:sz w:val="24"/>
        </w:rPr>
        <w:t xml:space="preserve">（2）加强项目污染物排放的日常监测，预防事故排放； </w:t>
      </w:r>
    </w:p>
    <w:p>
      <w:pPr>
        <w:spacing w:line="520" w:lineRule="exact"/>
        <w:ind w:firstLine="480" w:firstLineChars="200"/>
        <w:rPr>
          <w:color w:val="auto"/>
          <w:sz w:val="24"/>
        </w:rPr>
      </w:pPr>
      <w:r>
        <w:rPr>
          <w:color w:val="auto"/>
          <w:sz w:val="24"/>
        </w:rPr>
        <w:t xml:space="preserve">（3）建设单位在生产过程中应严格控制风险，加强管理，确保严格按照报告书、报告书批复及各级环保部门要求的各项污染治理措施落到实处，加强环保管理，保证生产中各污染物稳定达标排放； </w:t>
      </w:r>
    </w:p>
    <w:p>
      <w:pPr>
        <w:spacing w:line="520" w:lineRule="exact"/>
        <w:ind w:firstLine="480" w:firstLineChars="200"/>
        <w:rPr>
          <w:color w:val="auto"/>
          <w:sz w:val="24"/>
        </w:rPr>
      </w:pPr>
      <w:r>
        <w:rPr>
          <w:color w:val="auto"/>
          <w:sz w:val="24"/>
        </w:rPr>
        <w:t xml:space="preserve">（4）建立和健全环保管理网络及环保运行台帐（尤其针对废气、固废），加强对各项环保设施的日常维修管理； </w:t>
      </w:r>
    </w:p>
    <w:p>
      <w:pPr>
        <w:spacing w:line="520" w:lineRule="exact"/>
        <w:rPr>
          <w:color w:val="auto"/>
          <w:sz w:val="24"/>
        </w:rPr>
      </w:pPr>
    </w:p>
    <w:bookmarkEnd w:id="292"/>
    <w:bookmarkEnd w:id="365"/>
    <w:bookmarkEnd w:id="366"/>
    <w:p>
      <w:pPr>
        <w:pStyle w:val="2"/>
        <w:rPr>
          <w:color w:val="auto"/>
          <w:sz w:val="24"/>
        </w:rPr>
      </w:pPr>
    </w:p>
    <w:p>
      <w:pPr>
        <w:rPr>
          <w:color w:val="auto"/>
        </w:rPr>
      </w:pPr>
    </w:p>
    <w:sectPr>
      <w:pgSz w:w="11911" w:h="16849"/>
      <w:pgMar w:top="1440" w:right="1587" w:bottom="1440" w:left="1587" w:header="680" w:footer="652" w:gutter="0"/>
      <w:pgBorders>
        <w:top w:val="none" w:sz="0" w:space="0"/>
        <w:left w:val="none" w:sz="0" w:space="0"/>
        <w:bottom w:val="none" w:sz="0" w:space="0"/>
        <w:right w:val="none" w:sz="0" w:space="0"/>
      </w:pgBorders>
      <w:cols w:space="720" w:num="1"/>
      <w:docGrid w:linePitch="319"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AFF" w:usb1="C0007841" w:usb2="00000009" w:usb3="00000000" w:csb0="400001FF" w:csb1="FFFF0000"/>
  </w:font>
  <w:font w:name="宋体">
    <w:panose1 w:val="02010600030101010101"/>
    <w:charset w:val="8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仿宋_GB2312">
    <w:altName w:val="仿宋"/>
    <w:panose1 w:val="02010609030101010101"/>
    <w:charset w:val="86"/>
    <w:family w:val="modern"/>
    <w:pitch w:val="default"/>
    <w:sig w:usb0="00000000" w:usb1="00000000" w:usb2="00000010" w:usb3="00000000" w:csb0="00040000" w:csb1="00000000"/>
  </w:font>
  <w:font w:name="Tahoma">
    <w:panose1 w:val="020B0604030504040204"/>
    <w:charset w:val="00"/>
    <w:family w:val="swiss"/>
    <w:pitch w:val="default"/>
    <w:sig w:usb0="E1002EFF" w:usb1="C000605B" w:usb2="00000029" w:usb3="00000000" w:csb0="200101FF" w:csb1="20280000"/>
  </w:font>
  <w:font w:name="Courier">
    <w:altName w:val="Courier New"/>
    <w:panose1 w:val="02070409020205020404"/>
    <w:charset w:val="00"/>
    <w:family w:val="modern"/>
    <w:pitch w:val="default"/>
    <w:sig w:usb0="00000000" w:usb1="00000000" w:usb2="00000000" w:usb3="00000000" w:csb0="00000001" w:csb1="00000000"/>
  </w:font>
  <w:font w:name="楷体_GB2312">
    <w:altName w:val="楷体"/>
    <w:panose1 w:val="00000000000000000000"/>
    <w:charset w:val="00"/>
    <w:family w:val="auto"/>
    <w:pitch w:val="default"/>
    <w:sig w:usb0="00000000" w:usb1="00000000" w:usb2="00000000" w:usb3="00000000" w:csb0="00040001" w:csb1="00000000"/>
  </w:font>
  <w:font w:name="Arial Unicode MS">
    <w:panose1 w:val="020B0604020202020204"/>
    <w:charset w:val="86"/>
    <w:family w:val="swiss"/>
    <w:pitch w:val="default"/>
    <w:sig w:usb0="FFFFFFFF" w:usb1="E9FFFFFF" w:usb2="0000003F" w:usb3="00000000" w:csb0="603F01FF" w:csb1="FFFF0000"/>
  </w:font>
  <w:font w:name="CorpoSLig">
    <w:altName w:val="Times New Roman"/>
    <w:panose1 w:val="00000000000000000000"/>
    <w:charset w:val="00"/>
    <w:family w:val="auto"/>
    <w:pitch w:val="default"/>
    <w:sig w:usb0="00000000" w:usb1="00000000" w:usb2="00000000" w:usb3="00000000" w:csb0="00000001" w:csb1="00000000"/>
  </w:font>
  <w:font w:name="昆仑仿宋">
    <w:altName w:val="黑体"/>
    <w:panose1 w:val="00000000000000000000"/>
    <w:charset w:val="86"/>
    <w:family w:val="modern"/>
    <w:pitch w:val="default"/>
    <w:sig w:usb0="00000000" w:usb1="00000000" w:usb2="00000010" w:usb3="00000000" w:csb0="00040000" w:csb1="00000000"/>
  </w:font>
  <w:font w:name="仿宋体">
    <w:altName w:val="宋体"/>
    <w:panose1 w:val="00000000000000000000"/>
    <w:charset w:val="86"/>
    <w:family w:val="roman"/>
    <w:pitch w:val="default"/>
    <w:sig w:usb0="00000000" w:usb1="00000000" w:usb2="00000010" w:usb3="00000000" w:csb0="00040000" w:csb1="00000000"/>
  </w:font>
  <w:font w:name="Impact">
    <w:panose1 w:val="020B0806030902050204"/>
    <w:charset w:val="00"/>
    <w:family w:val="swiss"/>
    <w:pitch w:val="default"/>
    <w:sig w:usb0="00000287" w:usb1="00000000" w:usb2="00000000" w:usb3="00000000" w:csb0="2000009F" w:csb1="DFD70000"/>
  </w:font>
  <w:font w:name="楷体">
    <w:panose1 w:val="02010609060101010101"/>
    <w:charset w:val="86"/>
    <w:family w:val="modern"/>
    <w:pitch w:val="default"/>
    <w:sig w:usb0="800002BF" w:usb1="38CF7CFA" w:usb2="00000016" w:usb3="00000000" w:csb0="00040001" w:csb1="00000000"/>
  </w:font>
  <w:font w:name="TimesNewRoman">
    <w:altName w:val="黑体"/>
    <w:panose1 w:val="00000000000000000000"/>
    <w:charset w:val="00"/>
    <w:family w:val="roman"/>
    <w:pitch w:val="default"/>
    <w:sig w:usb0="00000000" w:usb1="00000000" w:usb2="00000010" w:usb3="00000000" w:csb0="00060000" w:csb1="00000000"/>
  </w:font>
  <w:font w:name="Batang">
    <w:panose1 w:val="02030600000101010101"/>
    <w:charset w:val="81"/>
    <w:family w:val="roman"/>
    <w:pitch w:val="default"/>
    <w:sig w:usb0="B00002AF" w:usb1="69D77CFB" w:usb2="00000030" w:usb3="00000000" w:csb0="4008009F" w:csb1="DFD70000"/>
  </w:font>
  <w:font w:name="CorporateS-Regular">
    <w:altName w:val="Courier New"/>
    <w:panose1 w:val="00000000000000000000"/>
    <w:charset w:val="00"/>
    <w:family w:val="auto"/>
    <w:pitch w:val="default"/>
    <w:sig w:usb0="00000000" w:usb1="00000000" w:usb2="00000000" w:usb3="00000000" w:csb0="00000001" w:csb1="00000000"/>
  </w:font>
  <w:font w:name="方正宋黑简体">
    <w:altName w:val="宋体"/>
    <w:panose1 w:val="00000000000000000000"/>
    <w:charset w:val="86"/>
    <w:family w:val="auto"/>
    <w:pitch w:val="default"/>
    <w:sig w:usb0="00000000" w:usb1="00000000" w:usb2="00000010" w:usb3="00000000" w:csb0="00040000" w:csb1="00000000"/>
  </w:font>
  <w:font w:name="Tms Rmn">
    <w:altName w:val="Segoe Print"/>
    <w:panose1 w:val="02020603040505020304"/>
    <w:charset w:val="00"/>
    <w:family w:val="roman"/>
    <w:pitch w:val="default"/>
    <w:sig w:usb0="00000000" w:usb1="00000000" w:usb2="00000000" w:usb3="00000000" w:csb0="00000001" w:csb1="00000000"/>
  </w:font>
  <w:font w:name="仿宋">
    <w:panose1 w:val="02010609060101010101"/>
    <w:charset w:val="86"/>
    <w:family w:val="modern"/>
    <w:pitch w:val="default"/>
    <w:sig w:usb0="800002BF" w:usb1="38CF7CFA" w:usb2="00000016" w:usb3="00000000" w:csb0="00040001" w:csb1="00000000"/>
  </w:font>
  <w:font w:name="长城黑体">
    <w:altName w:val="宋体"/>
    <w:panose1 w:val="00000000000000000000"/>
    <w:charset w:val="86"/>
    <w:family w:val="modern"/>
    <w:pitch w:val="default"/>
    <w:sig w:usb0="00000000" w:usb1="00000000" w:usb2="00000010" w:usb3="00000000" w:csb0="00040000" w:csb1="00000000"/>
  </w:font>
  <w:font w:name="Wingdings 2">
    <w:panose1 w:val="05020102010507070707"/>
    <w:charset w:val="02"/>
    <w:family w:val="roman"/>
    <w:pitch w:val="default"/>
    <w:sig w:usb0="00000000" w:usb1="00000000" w:usb2="00000000" w:usb3="00000000" w:csb0="80000000" w:csb1="00000000"/>
  </w:font>
  <w:font w:name="长城中隶体">
    <w:altName w:val="宋体"/>
    <w:panose1 w:val="00000000000000000000"/>
    <w:charset w:val="86"/>
    <w:family w:val="modern"/>
    <w:pitch w:val="default"/>
    <w:sig w:usb0="00000000" w:usb1="00000000" w:usb2="00000010" w:usb3="00000000" w:csb0="00040000" w:csb1="00000000"/>
  </w:font>
  <w:font w:name="Segoe Print">
    <w:panose1 w:val="02000600000000000000"/>
    <w:charset w:val="00"/>
    <w:family w:val="auto"/>
    <w:pitch w:val="default"/>
    <w:sig w:usb0="0000028F" w:usb1="00000000" w:usb2="00000000" w:usb3="00000000" w:csb0="2000009F" w:csb1="4701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5"/>
      <w:jc w:val="center"/>
    </w:pPr>
    <w:r>
      <w:fldChar w:fldCharType="begin"/>
    </w:r>
    <w:r>
      <w:instrText xml:space="preserve"> PAGE   \* MERGEFORMAT </w:instrText>
    </w:r>
    <w:r>
      <w:fldChar w:fldCharType="separate"/>
    </w:r>
    <w:r>
      <w:rPr>
        <w:lang w:val="zh-CN"/>
      </w:rPr>
      <w:t>10</w:t>
    </w:r>
    <w:r>
      <w:fldChar w:fldCharType="end"/>
    </w:r>
  </w:p>
  <w:p>
    <w:pPr>
      <w:pStyle w:val="3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0"/>
      </w:rPr>
    </w:pPr>
    <w:r>
      <mc:AlternateContent>
        <mc:Choice Requires="wps">
          <w:drawing>
            <wp:anchor distT="0" distB="0" distL="114300" distR="114300" simplePos="0" relativeHeight="251659264" behindDoc="1" locked="0" layoutInCell="1" allowOverlap="1">
              <wp:simplePos x="0" y="0"/>
              <wp:positionH relativeFrom="page">
                <wp:posOffset>3542030</wp:posOffset>
              </wp:positionH>
              <wp:positionV relativeFrom="page">
                <wp:posOffset>10119360</wp:posOffset>
              </wp:positionV>
              <wp:extent cx="222250" cy="152400"/>
              <wp:effectExtent l="0" t="0" r="0" b="0"/>
              <wp:wrapNone/>
              <wp:docPr id="35" name="文本框 6146"/>
              <wp:cNvGraphicFramePr/>
              <a:graphic xmlns:a="http://schemas.openxmlformats.org/drawingml/2006/main">
                <a:graphicData uri="http://schemas.microsoft.com/office/word/2010/wordprocessingShape">
                  <wps:wsp>
                    <wps:cNvSpPr txBox="1"/>
                    <wps:spPr>
                      <a:xfrm>
                        <a:off x="0" y="0"/>
                        <a:ext cx="222250" cy="152400"/>
                      </a:xfrm>
                      <a:prstGeom prst="rect">
                        <a:avLst/>
                      </a:prstGeom>
                      <a:noFill/>
                      <a:ln>
                        <a:noFill/>
                      </a:ln>
                    </wps:spPr>
                    <wps:txbx>
                      <w:txbxContent>
                        <w:p>
                          <w:pPr>
                            <w:spacing w:before="12"/>
                            <w:ind w:left="40"/>
                            <w:jc w:val="left"/>
                            <w:rPr>
                              <w:sz w:val="18"/>
                            </w:rPr>
                          </w:pPr>
                          <w:r>
                            <w:fldChar w:fldCharType="begin"/>
                          </w:r>
                          <w:r>
                            <w:rPr>
                              <w:sz w:val="18"/>
                            </w:rPr>
                            <w:instrText xml:space="preserve"> PAGE </w:instrText>
                          </w:r>
                          <w:r>
                            <w:fldChar w:fldCharType="separate"/>
                          </w:r>
                          <w:r>
                            <w:t>160</w:t>
                          </w:r>
                          <w:r>
                            <w:fldChar w:fldCharType="end"/>
                          </w:r>
                        </w:p>
                      </w:txbxContent>
                    </wps:txbx>
                    <wps:bodyPr wrap="square" lIns="0" tIns="0" rIns="0" bIns="0" upright="1"/>
                  </wps:wsp>
                </a:graphicData>
              </a:graphic>
            </wp:anchor>
          </w:drawing>
        </mc:Choice>
        <mc:Fallback>
          <w:pict>
            <v:shape id="文本框 6146" o:spid="_x0000_s1026" o:spt="202" type="#_x0000_t202" style="position:absolute;left:0pt;margin-left:278.9pt;margin-top:796.8pt;height:12pt;width:17.5pt;mso-position-horizontal-relative:page;mso-position-vertical-relative:page;z-index:-251657216;mso-width-relative:page;mso-height-relative:page;" filled="f" stroked="f" coordsize="21600,21600" o:gfxdata="UEsDBAoAAAAAAIdO4kAAAAAAAAAAAAAAAAAEAAAAZHJzL1BLAwQUAAAACACHTuJAcw7RQ9sAAAAN&#10;AQAADwAAAGRycy9kb3ducmV2LnhtbE2PzU7DMBCE70i8g7WVuFE7RUlJGqdCCE5IiDQcODqxm1iN&#10;1yF2f3h7llM57sxo9ptye3EjO5k5WI8SkqUAZrDz2mIv4bN5vX8EFqJCrUaPRsKPCbCtbm9KVWh/&#10;xtqcdrFnVIKhUBKGGKeC89ANxqmw9JNB8vZ+dirSOfdcz+pM5W7kKyEy7pRF+jCoyTwPpjvsjk7C&#10;0xfWL/b7vf2o97VtmlzgW3aQ8m6RiA2waC7xGoY/fEKHiphaf0Qd2CghTdeEHslI84cMGEXSfEVS&#10;S1KWrDPgVcn/r6h+AVBLAwQUAAAACACHTuJAd92UKKoBAAA1AwAADgAAAGRycy9lMm9Eb2MueG1s&#10;rVLNbhMxEL4j8Q6W78Sb0ERolU0lVBVVqgCp9AEcr5215D/GTnbzAvAGnLj03ufKczB2siltb4g9&#10;eMcz4/H34+XlYA3ZSYjau4ZOJxUl0gnfardp6P2363cfKImJu5Yb72RD9zLSy9XbN8s+1HLmO29a&#10;CQSHuFj3oaFdSqFmLIpOWh4nPkiHReXB8oRb2LAWeI/TrWGzqlqw3kMbwAsZI2avjkW6KvOVkiJ9&#10;USrKRExDEVsqK5R1nVe2WvJ6Azx0Wpxg8H9AYbl2eOl51BVPnGxBvxpltQAfvUoT4S3zSmkhCwdk&#10;M61esLnreJCFC4oTw1mm+P/Gis+7r0B029D3c0oct+jR4dfPw+/Hw8MPspheLLJEfYg1dt4F7E3D&#10;Rz+g1WM+YjIzHxTY/EdOBOso9v4ssBwSEZic4TfHisDSdD67qIoB7OlwgJg+SW9JDhoK6F+Rle9u&#10;Y0Ig2Dq25Lucv9bGFA+Ne5bAxpxhGfkRYY7SsB5OdNa+3SObHq1vaPy+5SApMTcOtc3vZAxgDNZj&#10;sA2gNx2CKwqUC9CbAu30jrL5f+8LjKfXvvoD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cw7RQ9sA&#10;AAANAQAADwAAAAAAAAABACAAAAAiAAAAZHJzL2Rvd25yZXYueG1sUEsBAhQAFAAAAAgAh07iQHfd&#10;lCiqAQAANQMAAA4AAAAAAAAAAQAgAAAAKgEAAGRycy9lMm9Eb2MueG1sUEsFBgAAAAAGAAYAWQEA&#10;AEYFAAAAAA==&#10;">
              <v:fill on="f" focussize="0,0"/>
              <v:stroke on="f"/>
              <v:imagedata o:title=""/>
              <o:lock v:ext="edit" aspectratio="f"/>
              <v:textbox inset="0mm,0mm,0mm,0mm">
                <w:txbxContent>
                  <w:p>
                    <w:pPr>
                      <w:spacing w:before="12"/>
                      <w:ind w:left="40"/>
                      <w:jc w:val="left"/>
                      <w:rPr>
                        <w:sz w:val="18"/>
                      </w:rPr>
                    </w:pPr>
                    <w:r>
                      <w:fldChar w:fldCharType="begin"/>
                    </w:r>
                    <w:r>
                      <w:rPr>
                        <w:sz w:val="18"/>
                      </w:rPr>
                      <w:instrText xml:space="preserve"> PAGE </w:instrText>
                    </w:r>
                    <w:r>
                      <w:fldChar w:fldCharType="separate"/>
                    </w:r>
                    <w:r>
                      <w:t>160</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0"/>
      </w:rPr>
    </w:pPr>
    <w:r>
      <mc:AlternateContent>
        <mc:Choice Requires="wps">
          <w:drawing>
            <wp:anchor distT="0" distB="0" distL="114300" distR="114300" simplePos="0" relativeHeight="251658240" behindDoc="1" locked="0" layoutInCell="1" allowOverlap="1">
              <wp:simplePos x="0" y="0"/>
              <wp:positionH relativeFrom="page">
                <wp:posOffset>3542030</wp:posOffset>
              </wp:positionH>
              <wp:positionV relativeFrom="page">
                <wp:posOffset>10119360</wp:posOffset>
              </wp:positionV>
              <wp:extent cx="222250" cy="152400"/>
              <wp:effectExtent l="0" t="0" r="0" b="0"/>
              <wp:wrapNone/>
              <wp:docPr id="34" name="文本框 6146"/>
              <wp:cNvGraphicFramePr/>
              <a:graphic xmlns:a="http://schemas.openxmlformats.org/drawingml/2006/main">
                <a:graphicData uri="http://schemas.microsoft.com/office/word/2010/wordprocessingShape">
                  <wps:wsp>
                    <wps:cNvSpPr txBox="1"/>
                    <wps:spPr>
                      <a:xfrm>
                        <a:off x="0" y="0"/>
                        <a:ext cx="222250" cy="152400"/>
                      </a:xfrm>
                      <a:prstGeom prst="rect">
                        <a:avLst/>
                      </a:prstGeom>
                      <a:noFill/>
                      <a:ln>
                        <a:noFill/>
                      </a:ln>
                    </wps:spPr>
                    <wps:txbx>
                      <w:txbxContent>
                        <w:p>
                          <w:pPr>
                            <w:spacing w:before="12"/>
                            <w:ind w:left="40"/>
                            <w:jc w:val="left"/>
                            <w:rPr>
                              <w:sz w:val="18"/>
                            </w:rPr>
                          </w:pPr>
                          <w:r>
                            <w:fldChar w:fldCharType="begin"/>
                          </w:r>
                          <w:r>
                            <w:rPr>
                              <w:sz w:val="18"/>
                            </w:rPr>
                            <w:instrText xml:space="preserve"> PAGE </w:instrText>
                          </w:r>
                          <w:r>
                            <w:fldChar w:fldCharType="separate"/>
                          </w:r>
                          <w:r>
                            <w:t>160</w:t>
                          </w:r>
                          <w:r>
                            <w:fldChar w:fldCharType="end"/>
                          </w:r>
                        </w:p>
                      </w:txbxContent>
                    </wps:txbx>
                    <wps:bodyPr wrap="square" lIns="0" tIns="0" rIns="0" bIns="0" upright="1"/>
                  </wps:wsp>
                </a:graphicData>
              </a:graphic>
            </wp:anchor>
          </w:drawing>
        </mc:Choice>
        <mc:Fallback>
          <w:pict>
            <v:shape id="文本框 6146" o:spid="_x0000_s1026" o:spt="202" type="#_x0000_t202" style="position:absolute;left:0pt;margin-left:278.9pt;margin-top:796.8pt;height:12pt;width:17.5pt;mso-position-horizontal-relative:page;mso-position-vertical-relative:page;z-index:-251658240;mso-width-relative:page;mso-height-relative:page;" filled="f" stroked="f" coordsize="21600,21600" o:gfxdata="UEsDBAoAAAAAAIdO4kAAAAAAAAAAAAAAAAAEAAAAZHJzL1BLAwQUAAAACACHTuJAcw7RQ9sAAAAN&#10;AQAADwAAAGRycy9kb3ducmV2LnhtbE2PzU7DMBCE70i8g7WVuFE7RUlJGqdCCE5IiDQcODqxm1iN&#10;1yF2f3h7llM57sxo9ptye3EjO5k5WI8SkqUAZrDz2mIv4bN5vX8EFqJCrUaPRsKPCbCtbm9KVWh/&#10;xtqcdrFnVIKhUBKGGKeC89ANxqmw9JNB8vZ+dirSOfdcz+pM5W7kKyEy7pRF+jCoyTwPpjvsjk7C&#10;0xfWL/b7vf2o97VtmlzgW3aQ8m6RiA2waC7xGoY/fEKHiphaf0Qd2CghTdeEHslI84cMGEXSfEVS&#10;S1KWrDPgVcn/r6h+AVBLAwQUAAAACACHTuJAeJTcrqoBAAA1AwAADgAAAGRycy9lMm9Eb2MueG1s&#10;rVLNbhMxEL4j8Q6W78SbkEZolU0lVBVVqgCp9AEcr5215D/GTnbzAvAGnLj03ufKczB2siltb4g9&#10;eMcz4/H34+XlYA3ZSYjau4ZOJxUl0gnfardp6P2363cfKImJu5Yb72RD9zLSy9XbN8s+1HLmO29a&#10;CQSHuFj3oaFdSqFmLIpOWh4nPkiHReXB8oRb2LAWeI/TrWGzqlqw3kMbwAsZI2avjkW6KvOVkiJ9&#10;USrKRExDEVsqK5R1nVe2WvJ6Azx0Wpxg8H9AYbl2eOl51BVPnGxBvxpltQAfvUoT4S3zSmkhCwdk&#10;M61esLnreJCFC4oTw1mm+P/Gis+7r0B029D3c0oct+jR4dfPw+/Hw8MPspjOF1miPsQaO+8C9qbh&#10;ox/Q6jEfMZmZDwps/iMngnUUe38WWA6JCEzO8LvAisDS9GI2r4oB7OlwgJg+SW9JDhoK6F+Rle9u&#10;Y0Ig2Dq25Lucv9bGFA+Ne5bAxpxhGfkRYY7SsB5OdNa+3SObHq1vaPy+5SApMTcOtc3vZAxgDNZj&#10;sA2gNx2CKwqUC9CbAu30jrL5f+8LjKfXvvoD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cw7RQ9sA&#10;AAANAQAADwAAAAAAAAABACAAAAAiAAAAZHJzL2Rvd25yZXYueG1sUEsBAhQAFAAAAAgAh07iQHiU&#10;3K6qAQAANQMAAA4AAAAAAAAAAQAgAAAAKgEAAGRycy9lMm9Eb2MueG1sUEsFBgAAAAAGAAYAWQEA&#10;AEYFAAAAAA==&#10;">
              <v:fill on="f" focussize="0,0"/>
              <v:stroke on="f"/>
              <v:imagedata o:title=""/>
              <o:lock v:ext="edit" aspectratio="f"/>
              <v:textbox inset="0mm,0mm,0mm,0mm">
                <w:txbxContent>
                  <w:p>
                    <w:pPr>
                      <w:spacing w:before="12"/>
                      <w:ind w:left="40"/>
                      <w:jc w:val="left"/>
                      <w:rPr>
                        <w:sz w:val="18"/>
                      </w:rPr>
                    </w:pPr>
                    <w:r>
                      <w:fldChar w:fldCharType="begin"/>
                    </w:r>
                    <w:r>
                      <w:rPr>
                        <w:sz w:val="18"/>
                      </w:rPr>
                      <w:instrText xml:space="preserve"> PAGE </w:instrText>
                    </w:r>
                    <w:r>
                      <w:fldChar w:fldCharType="separate"/>
                    </w:r>
                    <w:r>
                      <w:t>160</w:t>
                    </w:r>
                    <w: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0"/>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81105722"/>
    <w:multiLevelType w:val="singleLevel"/>
    <w:tmpl w:val="81105722"/>
    <w:lvl w:ilvl="0" w:tentative="0">
      <w:start w:val="1"/>
      <w:numFmt w:val="decimal"/>
      <w:suff w:val="nothing"/>
      <w:lvlText w:val="（%1）"/>
      <w:lvlJc w:val="left"/>
    </w:lvl>
  </w:abstractNum>
  <w:abstractNum w:abstractNumId="1">
    <w:nsid w:val="0000000D"/>
    <w:multiLevelType w:val="multilevel"/>
    <w:tmpl w:val="0000000D"/>
    <w:lvl w:ilvl="0" w:tentative="0">
      <w:start w:val="1"/>
      <w:numFmt w:val="none"/>
      <w:suff w:val="nothing"/>
      <w:lvlText w:val=""/>
      <w:lvlJc w:val="left"/>
      <w:pPr>
        <w:ind w:left="425" w:hanging="425"/>
      </w:pPr>
      <w:rPr>
        <w:rFonts w:hint="eastAsia"/>
      </w:rPr>
    </w:lvl>
    <w:lvl w:ilvl="1" w:tentative="0">
      <w:start w:val="1"/>
      <w:numFmt w:val="none"/>
      <w:lvlText w:val=""/>
      <w:lvlJc w:val="left"/>
      <w:pPr>
        <w:tabs>
          <w:tab w:val="left" w:pos="0"/>
        </w:tabs>
        <w:ind w:left="425" w:firstLine="0"/>
      </w:pPr>
      <w:rPr>
        <w:rFonts w:hint="eastAsia"/>
      </w:rPr>
    </w:lvl>
    <w:lvl w:ilvl="2" w:tentative="0">
      <w:start w:val="1"/>
      <w:numFmt w:val="none"/>
      <w:suff w:val="nothing"/>
      <w:lvlText w:val=""/>
      <w:lvlJc w:val="left"/>
      <w:pPr>
        <w:ind w:left="425" w:firstLine="0"/>
      </w:pPr>
      <w:rPr>
        <w:rFonts w:hint="eastAsia"/>
      </w:rPr>
    </w:lvl>
    <w:lvl w:ilvl="3" w:tentative="0">
      <w:start w:val="1"/>
      <w:numFmt w:val="lowerLetter"/>
      <w:pStyle w:val="6"/>
      <w:lvlText w:val="%4."/>
      <w:lvlJc w:val="left"/>
      <w:pPr>
        <w:tabs>
          <w:tab w:val="left" w:pos="850"/>
        </w:tabs>
        <w:ind w:left="850" w:hanging="425"/>
      </w:pPr>
      <w:rPr>
        <w:rFonts w:hint="eastAsia"/>
      </w:rPr>
    </w:lvl>
    <w:lvl w:ilvl="4" w:tentative="0">
      <w:start w:val="1"/>
      <w:numFmt w:val="decimal"/>
      <w:pStyle w:val="7"/>
      <w:lvlText w:val="(%5)"/>
      <w:lvlJc w:val="left"/>
      <w:pPr>
        <w:tabs>
          <w:tab w:val="left" w:pos="0"/>
        </w:tabs>
        <w:ind w:left="1275" w:hanging="425"/>
      </w:pPr>
      <w:rPr>
        <w:rFonts w:hint="eastAsia"/>
      </w:rPr>
    </w:lvl>
    <w:lvl w:ilvl="5" w:tentative="0">
      <w:start w:val="1"/>
      <w:numFmt w:val="lowerLetter"/>
      <w:pStyle w:val="8"/>
      <w:lvlText w:val="(%6)"/>
      <w:lvlJc w:val="left"/>
      <w:pPr>
        <w:tabs>
          <w:tab w:val="left" w:pos="0"/>
        </w:tabs>
        <w:ind w:left="1700" w:hanging="425"/>
      </w:pPr>
      <w:rPr>
        <w:rFonts w:hint="eastAsia"/>
      </w:rPr>
    </w:lvl>
    <w:lvl w:ilvl="6" w:tentative="0">
      <w:start w:val="1"/>
      <w:numFmt w:val="lowerRoman"/>
      <w:pStyle w:val="9"/>
      <w:lvlText w:val="(%7)"/>
      <w:lvlJc w:val="left"/>
      <w:pPr>
        <w:tabs>
          <w:tab w:val="left" w:pos="0"/>
        </w:tabs>
        <w:ind w:left="2125" w:hanging="425"/>
      </w:pPr>
      <w:rPr>
        <w:rFonts w:hint="eastAsia"/>
      </w:rPr>
    </w:lvl>
    <w:lvl w:ilvl="7" w:tentative="0">
      <w:start w:val="1"/>
      <w:numFmt w:val="lowerLetter"/>
      <w:pStyle w:val="10"/>
      <w:lvlText w:val="(%8)"/>
      <w:lvlJc w:val="left"/>
      <w:pPr>
        <w:tabs>
          <w:tab w:val="left" w:pos="0"/>
        </w:tabs>
        <w:ind w:left="2550" w:hanging="425"/>
      </w:pPr>
      <w:rPr>
        <w:rFonts w:hint="eastAsia"/>
      </w:rPr>
    </w:lvl>
    <w:lvl w:ilvl="8" w:tentative="0">
      <w:start w:val="1"/>
      <w:numFmt w:val="lowerRoman"/>
      <w:pStyle w:val="11"/>
      <w:lvlText w:val="(%9)"/>
      <w:lvlJc w:val="left"/>
      <w:pPr>
        <w:tabs>
          <w:tab w:val="left" w:pos="0"/>
        </w:tabs>
        <w:ind w:left="2975" w:hanging="425"/>
      </w:pPr>
      <w:rPr>
        <w:rFonts w:hint="eastAsia"/>
      </w:rPr>
    </w:lvl>
  </w:abstractNum>
  <w:abstractNum w:abstractNumId="2">
    <w:nsid w:val="456F327A"/>
    <w:multiLevelType w:val="singleLevel"/>
    <w:tmpl w:val="456F327A"/>
    <w:lvl w:ilvl="0" w:tentative="0">
      <w:start w:val="3"/>
      <w:numFmt w:val="decimal"/>
      <w:suff w:val="nothing"/>
      <w:lvlText w:val="（%1）"/>
      <w:lvlJc w:val="left"/>
    </w:lvl>
  </w:abstractNum>
  <w:abstractNum w:abstractNumId="3">
    <w:nsid w:val="52D5F941"/>
    <w:multiLevelType w:val="singleLevel"/>
    <w:tmpl w:val="52D5F941"/>
    <w:lvl w:ilvl="0" w:tentative="0">
      <w:start w:val="2"/>
      <w:numFmt w:val="decimal"/>
      <w:suff w:val="nothing"/>
      <w:lvlText w:val="%1、"/>
      <w:lvlJc w:val="left"/>
    </w:lvl>
  </w:abstractNum>
  <w:num w:numId="1">
    <w:abstractNumId w:val="1"/>
  </w:num>
  <w:num w:numId="2">
    <w:abstractNumId w:val="3"/>
  </w:num>
  <w:num w:numId="3">
    <w:abstractNumId w:val="2"/>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drawingGridHorizontalSpacing w:val="210"/>
  <w:drawingGridVerticalSpacing w:val="-7946"/>
  <w:displayHorizontalDrawingGridEvery w:val="1"/>
  <w:displayVerticalDrawingGridEvery w:val="1"/>
  <w:noPunctuationKerning w:val="1"/>
  <w:characterSpacingControl w:val="compressPunctuation"/>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72A27"/>
    <w:rsid w:val="000004DB"/>
    <w:rsid w:val="00000593"/>
    <w:rsid w:val="000005F0"/>
    <w:rsid w:val="00000921"/>
    <w:rsid w:val="00002B18"/>
    <w:rsid w:val="000037C6"/>
    <w:rsid w:val="0000412B"/>
    <w:rsid w:val="00004914"/>
    <w:rsid w:val="00005350"/>
    <w:rsid w:val="00005372"/>
    <w:rsid w:val="00005391"/>
    <w:rsid w:val="00005578"/>
    <w:rsid w:val="00005C13"/>
    <w:rsid w:val="00005DCD"/>
    <w:rsid w:val="00005EFC"/>
    <w:rsid w:val="0000625C"/>
    <w:rsid w:val="000069BC"/>
    <w:rsid w:val="00006A13"/>
    <w:rsid w:val="00006C97"/>
    <w:rsid w:val="00007125"/>
    <w:rsid w:val="00007A00"/>
    <w:rsid w:val="00007E27"/>
    <w:rsid w:val="00007E35"/>
    <w:rsid w:val="00007FCF"/>
    <w:rsid w:val="00011B58"/>
    <w:rsid w:val="00011BE9"/>
    <w:rsid w:val="00012600"/>
    <w:rsid w:val="000126A0"/>
    <w:rsid w:val="000126C5"/>
    <w:rsid w:val="00012AB6"/>
    <w:rsid w:val="00012B5A"/>
    <w:rsid w:val="00014488"/>
    <w:rsid w:val="00014A16"/>
    <w:rsid w:val="00014DE6"/>
    <w:rsid w:val="00015C5B"/>
    <w:rsid w:val="000164A9"/>
    <w:rsid w:val="000168EC"/>
    <w:rsid w:val="00016A38"/>
    <w:rsid w:val="00016B90"/>
    <w:rsid w:val="00016FB8"/>
    <w:rsid w:val="0001737A"/>
    <w:rsid w:val="000175D6"/>
    <w:rsid w:val="0001791C"/>
    <w:rsid w:val="00017A88"/>
    <w:rsid w:val="00017DAF"/>
    <w:rsid w:val="00020449"/>
    <w:rsid w:val="000209F0"/>
    <w:rsid w:val="00020F2C"/>
    <w:rsid w:val="00021743"/>
    <w:rsid w:val="00021DC6"/>
    <w:rsid w:val="0002209B"/>
    <w:rsid w:val="000220C4"/>
    <w:rsid w:val="0002248C"/>
    <w:rsid w:val="000225CF"/>
    <w:rsid w:val="00022835"/>
    <w:rsid w:val="00022F85"/>
    <w:rsid w:val="00022FED"/>
    <w:rsid w:val="00023C11"/>
    <w:rsid w:val="00023FF1"/>
    <w:rsid w:val="0002430A"/>
    <w:rsid w:val="0002431D"/>
    <w:rsid w:val="0002450F"/>
    <w:rsid w:val="00024925"/>
    <w:rsid w:val="00024EC4"/>
    <w:rsid w:val="000264BB"/>
    <w:rsid w:val="00026D36"/>
    <w:rsid w:val="00026D3A"/>
    <w:rsid w:val="00027017"/>
    <w:rsid w:val="0002715F"/>
    <w:rsid w:val="00027EE9"/>
    <w:rsid w:val="00027F1D"/>
    <w:rsid w:val="00027FA4"/>
    <w:rsid w:val="000300A0"/>
    <w:rsid w:val="00030A0D"/>
    <w:rsid w:val="00030B4D"/>
    <w:rsid w:val="00030D0C"/>
    <w:rsid w:val="00030F84"/>
    <w:rsid w:val="00031286"/>
    <w:rsid w:val="00031424"/>
    <w:rsid w:val="00031A9F"/>
    <w:rsid w:val="00031D6F"/>
    <w:rsid w:val="00031FBA"/>
    <w:rsid w:val="00033075"/>
    <w:rsid w:val="00033217"/>
    <w:rsid w:val="000336B6"/>
    <w:rsid w:val="00033830"/>
    <w:rsid w:val="00033A07"/>
    <w:rsid w:val="00033F1C"/>
    <w:rsid w:val="00033F41"/>
    <w:rsid w:val="000350ED"/>
    <w:rsid w:val="000354E1"/>
    <w:rsid w:val="00035D90"/>
    <w:rsid w:val="00035F03"/>
    <w:rsid w:val="00035FD8"/>
    <w:rsid w:val="0003618C"/>
    <w:rsid w:val="0003691C"/>
    <w:rsid w:val="00036EB5"/>
    <w:rsid w:val="0003718F"/>
    <w:rsid w:val="00037EA9"/>
    <w:rsid w:val="00040CD2"/>
    <w:rsid w:val="000413CB"/>
    <w:rsid w:val="00041C40"/>
    <w:rsid w:val="00042168"/>
    <w:rsid w:val="00042175"/>
    <w:rsid w:val="000427A7"/>
    <w:rsid w:val="000429F7"/>
    <w:rsid w:val="00042B61"/>
    <w:rsid w:val="00042D45"/>
    <w:rsid w:val="000436F0"/>
    <w:rsid w:val="000441DD"/>
    <w:rsid w:val="00044313"/>
    <w:rsid w:val="00044D5D"/>
    <w:rsid w:val="000453D5"/>
    <w:rsid w:val="0004553B"/>
    <w:rsid w:val="00045609"/>
    <w:rsid w:val="00045704"/>
    <w:rsid w:val="00045840"/>
    <w:rsid w:val="00045AD3"/>
    <w:rsid w:val="00046157"/>
    <w:rsid w:val="0004618D"/>
    <w:rsid w:val="00046F9F"/>
    <w:rsid w:val="00047212"/>
    <w:rsid w:val="000473A5"/>
    <w:rsid w:val="00047585"/>
    <w:rsid w:val="00047824"/>
    <w:rsid w:val="000478E4"/>
    <w:rsid w:val="00047B10"/>
    <w:rsid w:val="00047C4D"/>
    <w:rsid w:val="00050780"/>
    <w:rsid w:val="000507C1"/>
    <w:rsid w:val="00050A3E"/>
    <w:rsid w:val="00051142"/>
    <w:rsid w:val="00051409"/>
    <w:rsid w:val="00051777"/>
    <w:rsid w:val="000519C0"/>
    <w:rsid w:val="00051F75"/>
    <w:rsid w:val="00052113"/>
    <w:rsid w:val="000522D5"/>
    <w:rsid w:val="00052432"/>
    <w:rsid w:val="000525B7"/>
    <w:rsid w:val="000527A8"/>
    <w:rsid w:val="00052BA0"/>
    <w:rsid w:val="00052BBA"/>
    <w:rsid w:val="00053C50"/>
    <w:rsid w:val="00053F21"/>
    <w:rsid w:val="00054087"/>
    <w:rsid w:val="00054147"/>
    <w:rsid w:val="00054382"/>
    <w:rsid w:val="0005448F"/>
    <w:rsid w:val="000545A5"/>
    <w:rsid w:val="00054A9F"/>
    <w:rsid w:val="0005524E"/>
    <w:rsid w:val="00055CA0"/>
    <w:rsid w:val="00056033"/>
    <w:rsid w:val="00056602"/>
    <w:rsid w:val="000568C0"/>
    <w:rsid w:val="00057138"/>
    <w:rsid w:val="00057189"/>
    <w:rsid w:val="00057868"/>
    <w:rsid w:val="00057A26"/>
    <w:rsid w:val="00057DF7"/>
    <w:rsid w:val="0006044F"/>
    <w:rsid w:val="0006066E"/>
    <w:rsid w:val="000606BE"/>
    <w:rsid w:val="00060D71"/>
    <w:rsid w:val="00060FB2"/>
    <w:rsid w:val="000612AE"/>
    <w:rsid w:val="000615B9"/>
    <w:rsid w:val="0006198E"/>
    <w:rsid w:val="000626F1"/>
    <w:rsid w:val="00062723"/>
    <w:rsid w:val="00062AC8"/>
    <w:rsid w:val="00062C41"/>
    <w:rsid w:val="00062F7C"/>
    <w:rsid w:val="00063A77"/>
    <w:rsid w:val="00063CDF"/>
    <w:rsid w:val="0006423A"/>
    <w:rsid w:val="00064581"/>
    <w:rsid w:val="0006470B"/>
    <w:rsid w:val="0006514A"/>
    <w:rsid w:val="0006518F"/>
    <w:rsid w:val="000651F9"/>
    <w:rsid w:val="00065496"/>
    <w:rsid w:val="00065AD3"/>
    <w:rsid w:val="000663E5"/>
    <w:rsid w:val="000673DE"/>
    <w:rsid w:val="0006791F"/>
    <w:rsid w:val="00067998"/>
    <w:rsid w:val="000679A0"/>
    <w:rsid w:val="00067AF5"/>
    <w:rsid w:val="0007021C"/>
    <w:rsid w:val="000703AC"/>
    <w:rsid w:val="0007047C"/>
    <w:rsid w:val="00070F49"/>
    <w:rsid w:val="00071153"/>
    <w:rsid w:val="000715C1"/>
    <w:rsid w:val="00072060"/>
    <w:rsid w:val="0007216E"/>
    <w:rsid w:val="00072AE3"/>
    <w:rsid w:val="00072B7B"/>
    <w:rsid w:val="00073A84"/>
    <w:rsid w:val="00073B7B"/>
    <w:rsid w:val="00073B97"/>
    <w:rsid w:val="00074220"/>
    <w:rsid w:val="0007463A"/>
    <w:rsid w:val="00074FE7"/>
    <w:rsid w:val="00075598"/>
    <w:rsid w:val="00075827"/>
    <w:rsid w:val="00075A83"/>
    <w:rsid w:val="0007662A"/>
    <w:rsid w:val="0007688D"/>
    <w:rsid w:val="00076D77"/>
    <w:rsid w:val="000772AE"/>
    <w:rsid w:val="00077793"/>
    <w:rsid w:val="00077817"/>
    <w:rsid w:val="00077896"/>
    <w:rsid w:val="00077D60"/>
    <w:rsid w:val="00077E0A"/>
    <w:rsid w:val="00080418"/>
    <w:rsid w:val="00080EA2"/>
    <w:rsid w:val="00081941"/>
    <w:rsid w:val="00082035"/>
    <w:rsid w:val="00082104"/>
    <w:rsid w:val="00083734"/>
    <w:rsid w:val="00085805"/>
    <w:rsid w:val="000858E8"/>
    <w:rsid w:val="00086337"/>
    <w:rsid w:val="00086B6B"/>
    <w:rsid w:val="00086BC5"/>
    <w:rsid w:val="00086E59"/>
    <w:rsid w:val="00087346"/>
    <w:rsid w:val="0008761C"/>
    <w:rsid w:val="00087851"/>
    <w:rsid w:val="00087DFB"/>
    <w:rsid w:val="000909A3"/>
    <w:rsid w:val="000909FD"/>
    <w:rsid w:val="0009108B"/>
    <w:rsid w:val="000916A4"/>
    <w:rsid w:val="00091F74"/>
    <w:rsid w:val="0009216D"/>
    <w:rsid w:val="000922E0"/>
    <w:rsid w:val="00092830"/>
    <w:rsid w:val="00093807"/>
    <w:rsid w:val="00093B3E"/>
    <w:rsid w:val="000948A7"/>
    <w:rsid w:val="00094983"/>
    <w:rsid w:val="00095EBA"/>
    <w:rsid w:val="000968D5"/>
    <w:rsid w:val="00096952"/>
    <w:rsid w:val="00096AD4"/>
    <w:rsid w:val="0009711B"/>
    <w:rsid w:val="00097A9D"/>
    <w:rsid w:val="000A0BD5"/>
    <w:rsid w:val="000A0DDC"/>
    <w:rsid w:val="000A11C0"/>
    <w:rsid w:val="000A15C6"/>
    <w:rsid w:val="000A1B8E"/>
    <w:rsid w:val="000A1CCC"/>
    <w:rsid w:val="000A1E78"/>
    <w:rsid w:val="000A2673"/>
    <w:rsid w:val="000A2B9C"/>
    <w:rsid w:val="000A2C2F"/>
    <w:rsid w:val="000A3026"/>
    <w:rsid w:val="000A33A7"/>
    <w:rsid w:val="000A3C36"/>
    <w:rsid w:val="000A3DDF"/>
    <w:rsid w:val="000A3DE1"/>
    <w:rsid w:val="000A411A"/>
    <w:rsid w:val="000A4166"/>
    <w:rsid w:val="000A53C3"/>
    <w:rsid w:val="000A5DEE"/>
    <w:rsid w:val="000A6702"/>
    <w:rsid w:val="000A6809"/>
    <w:rsid w:val="000A6C4F"/>
    <w:rsid w:val="000A6CDD"/>
    <w:rsid w:val="000A6D5A"/>
    <w:rsid w:val="000A750E"/>
    <w:rsid w:val="000A7FBA"/>
    <w:rsid w:val="000A7FD7"/>
    <w:rsid w:val="000B0381"/>
    <w:rsid w:val="000B0A98"/>
    <w:rsid w:val="000B0AEF"/>
    <w:rsid w:val="000B156E"/>
    <w:rsid w:val="000B2DC0"/>
    <w:rsid w:val="000B2FF6"/>
    <w:rsid w:val="000B3C39"/>
    <w:rsid w:val="000B42FC"/>
    <w:rsid w:val="000B43F4"/>
    <w:rsid w:val="000B5094"/>
    <w:rsid w:val="000B5421"/>
    <w:rsid w:val="000B5564"/>
    <w:rsid w:val="000B5652"/>
    <w:rsid w:val="000B5F47"/>
    <w:rsid w:val="000B61CB"/>
    <w:rsid w:val="000B64E1"/>
    <w:rsid w:val="000B6BF1"/>
    <w:rsid w:val="000B76D3"/>
    <w:rsid w:val="000B7AF3"/>
    <w:rsid w:val="000B7B16"/>
    <w:rsid w:val="000B7C3F"/>
    <w:rsid w:val="000C0556"/>
    <w:rsid w:val="000C06E8"/>
    <w:rsid w:val="000C0E22"/>
    <w:rsid w:val="000C100F"/>
    <w:rsid w:val="000C13CE"/>
    <w:rsid w:val="000C1CB2"/>
    <w:rsid w:val="000C1F5C"/>
    <w:rsid w:val="000C21F9"/>
    <w:rsid w:val="000C297E"/>
    <w:rsid w:val="000C399F"/>
    <w:rsid w:val="000C3A76"/>
    <w:rsid w:val="000C3F6A"/>
    <w:rsid w:val="000C410A"/>
    <w:rsid w:val="000C419D"/>
    <w:rsid w:val="000C4379"/>
    <w:rsid w:val="000C456C"/>
    <w:rsid w:val="000C50CC"/>
    <w:rsid w:val="000C57C4"/>
    <w:rsid w:val="000C65B4"/>
    <w:rsid w:val="000C6D49"/>
    <w:rsid w:val="000C6F3E"/>
    <w:rsid w:val="000C7341"/>
    <w:rsid w:val="000C74CA"/>
    <w:rsid w:val="000C78C1"/>
    <w:rsid w:val="000D06D5"/>
    <w:rsid w:val="000D0A15"/>
    <w:rsid w:val="000D0DF4"/>
    <w:rsid w:val="000D11B2"/>
    <w:rsid w:val="000D1479"/>
    <w:rsid w:val="000D14AD"/>
    <w:rsid w:val="000D1CEB"/>
    <w:rsid w:val="000D2136"/>
    <w:rsid w:val="000D2982"/>
    <w:rsid w:val="000D33D9"/>
    <w:rsid w:val="000D34F1"/>
    <w:rsid w:val="000D3959"/>
    <w:rsid w:val="000D39D5"/>
    <w:rsid w:val="000D3B14"/>
    <w:rsid w:val="000D3BB5"/>
    <w:rsid w:val="000D449C"/>
    <w:rsid w:val="000D4965"/>
    <w:rsid w:val="000D5366"/>
    <w:rsid w:val="000D6824"/>
    <w:rsid w:val="000D7C2F"/>
    <w:rsid w:val="000E0F39"/>
    <w:rsid w:val="000E11F5"/>
    <w:rsid w:val="000E1D03"/>
    <w:rsid w:val="000E2664"/>
    <w:rsid w:val="000E30B6"/>
    <w:rsid w:val="000E36A3"/>
    <w:rsid w:val="000E37F7"/>
    <w:rsid w:val="000E3D3E"/>
    <w:rsid w:val="000E4007"/>
    <w:rsid w:val="000E42DA"/>
    <w:rsid w:val="000E4469"/>
    <w:rsid w:val="000E44D6"/>
    <w:rsid w:val="000E451C"/>
    <w:rsid w:val="000E48C1"/>
    <w:rsid w:val="000E490C"/>
    <w:rsid w:val="000E51F3"/>
    <w:rsid w:val="000E5431"/>
    <w:rsid w:val="000E5800"/>
    <w:rsid w:val="000E641D"/>
    <w:rsid w:val="000E7DCD"/>
    <w:rsid w:val="000F0768"/>
    <w:rsid w:val="000F1003"/>
    <w:rsid w:val="000F12BA"/>
    <w:rsid w:val="000F132F"/>
    <w:rsid w:val="000F20BD"/>
    <w:rsid w:val="000F377C"/>
    <w:rsid w:val="000F383B"/>
    <w:rsid w:val="000F397B"/>
    <w:rsid w:val="000F3B4A"/>
    <w:rsid w:val="000F43AC"/>
    <w:rsid w:val="000F4A7B"/>
    <w:rsid w:val="000F4BE5"/>
    <w:rsid w:val="000F564B"/>
    <w:rsid w:val="000F5687"/>
    <w:rsid w:val="000F5972"/>
    <w:rsid w:val="000F5C8B"/>
    <w:rsid w:val="000F6098"/>
    <w:rsid w:val="000F6D22"/>
    <w:rsid w:val="000F7AC6"/>
    <w:rsid w:val="000F7EE2"/>
    <w:rsid w:val="00100854"/>
    <w:rsid w:val="001015A2"/>
    <w:rsid w:val="00101AD2"/>
    <w:rsid w:val="00101F28"/>
    <w:rsid w:val="00102011"/>
    <w:rsid w:val="00102041"/>
    <w:rsid w:val="001021E6"/>
    <w:rsid w:val="00103013"/>
    <w:rsid w:val="00103220"/>
    <w:rsid w:val="0010395D"/>
    <w:rsid w:val="00103B78"/>
    <w:rsid w:val="00103E19"/>
    <w:rsid w:val="00103E29"/>
    <w:rsid w:val="00104666"/>
    <w:rsid w:val="00104AA3"/>
    <w:rsid w:val="00104D5B"/>
    <w:rsid w:val="001052A4"/>
    <w:rsid w:val="001057F8"/>
    <w:rsid w:val="00105EB3"/>
    <w:rsid w:val="00105F33"/>
    <w:rsid w:val="00106DAE"/>
    <w:rsid w:val="001072A6"/>
    <w:rsid w:val="0010760E"/>
    <w:rsid w:val="00107918"/>
    <w:rsid w:val="001105BE"/>
    <w:rsid w:val="001106A2"/>
    <w:rsid w:val="001108C1"/>
    <w:rsid w:val="00110AC0"/>
    <w:rsid w:val="00110BF0"/>
    <w:rsid w:val="00110C61"/>
    <w:rsid w:val="00110E8E"/>
    <w:rsid w:val="00110ECF"/>
    <w:rsid w:val="001113A8"/>
    <w:rsid w:val="00111E29"/>
    <w:rsid w:val="001123E4"/>
    <w:rsid w:val="001128CB"/>
    <w:rsid w:val="00114122"/>
    <w:rsid w:val="00114878"/>
    <w:rsid w:val="00114B46"/>
    <w:rsid w:val="00115C41"/>
    <w:rsid w:val="00115C86"/>
    <w:rsid w:val="00115EA9"/>
    <w:rsid w:val="00116073"/>
    <w:rsid w:val="0011617E"/>
    <w:rsid w:val="001163F6"/>
    <w:rsid w:val="00116677"/>
    <w:rsid w:val="0011756B"/>
    <w:rsid w:val="0011782C"/>
    <w:rsid w:val="001178F8"/>
    <w:rsid w:val="001204FA"/>
    <w:rsid w:val="00120637"/>
    <w:rsid w:val="00120CDD"/>
    <w:rsid w:val="00121218"/>
    <w:rsid w:val="0012161D"/>
    <w:rsid w:val="0012171E"/>
    <w:rsid w:val="001223E3"/>
    <w:rsid w:val="00122412"/>
    <w:rsid w:val="00122421"/>
    <w:rsid w:val="00122826"/>
    <w:rsid w:val="00122AEB"/>
    <w:rsid w:val="00123253"/>
    <w:rsid w:val="001248DF"/>
    <w:rsid w:val="0012491D"/>
    <w:rsid w:val="00124A6F"/>
    <w:rsid w:val="00124C01"/>
    <w:rsid w:val="00124FF2"/>
    <w:rsid w:val="001265E8"/>
    <w:rsid w:val="00126E81"/>
    <w:rsid w:val="00127226"/>
    <w:rsid w:val="001272EA"/>
    <w:rsid w:val="00127400"/>
    <w:rsid w:val="001277CB"/>
    <w:rsid w:val="0012792C"/>
    <w:rsid w:val="00127D77"/>
    <w:rsid w:val="00130189"/>
    <w:rsid w:val="001307ED"/>
    <w:rsid w:val="00131BE1"/>
    <w:rsid w:val="00132266"/>
    <w:rsid w:val="00132337"/>
    <w:rsid w:val="001326DA"/>
    <w:rsid w:val="00133F97"/>
    <w:rsid w:val="001345C0"/>
    <w:rsid w:val="00134BB1"/>
    <w:rsid w:val="001355FA"/>
    <w:rsid w:val="00135773"/>
    <w:rsid w:val="00135E87"/>
    <w:rsid w:val="001371C3"/>
    <w:rsid w:val="00137528"/>
    <w:rsid w:val="00137581"/>
    <w:rsid w:val="001376FD"/>
    <w:rsid w:val="00140485"/>
    <w:rsid w:val="001409B6"/>
    <w:rsid w:val="00141269"/>
    <w:rsid w:val="0014150E"/>
    <w:rsid w:val="00141B4C"/>
    <w:rsid w:val="00141BAF"/>
    <w:rsid w:val="00141F15"/>
    <w:rsid w:val="0014243F"/>
    <w:rsid w:val="00142625"/>
    <w:rsid w:val="001428FB"/>
    <w:rsid w:val="00143668"/>
    <w:rsid w:val="00143E42"/>
    <w:rsid w:val="00144C0D"/>
    <w:rsid w:val="00145EE7"/>
    <w:rsid w:val="00146009"/>
    <w:rsid w:val="001463BF"/>
    <w:rsid w:val="00146EC3"/>
    <w:rsid w:val="00146FF5"/>
    <w:rsid w:val="00147102"/>
    <w:rsid w:val="001471BB"/>
    <w:rsid w:val="00147840"/>
    <w:rsid w:val="00147A5F"/>
    <w:rsid w:val="00147D18"/>
    <w:rsid w:val="00150947"/>
    <w:rsid w:val="001511B1"/>
    <w:rsid w:val="001513B5"/>
    <w:rsid w:val="0015206B"/>
    <w:rsid w:val="001521A6"/>
    <w:rsid w:val="0015279A"/>
    <w:rsid w:val="00152F7B"/>
    <w:rsid w:val="00153E6F"/>
    <w:rsid w:val="0015447E"/>
    <w:rsid w:val="0015456A"/>
    <w:rsid w:val="001547D1"/>
    <w:rsid w:val="00154928"/>
    <w:rsid w:val="00154AD9"/>
    <w:rsid w:val="00154B9D"/>
    <w:rsid w:val="001551BB"/>
    <w:rsid w:val="00155A04"/>
    <w:rsid w:val="00155D29"/>
    <w:rsid w:val="0015601E"/>
    <w:rsid w:val="00156020"/>
    <w:rsid w:val="001562BF"/>
    <w:rsid w:val="001565B5"/>
    <w:rsid w:val="0015682C"/>
    <w:rsid w:val="00156E58"/>
    <w:rsid w:val="001573A2"/>
    <w:rsid w:val="00157461"/>
    <w:rsid w:val="00157E6B"/>
    <w:rsid w:val="00160087"/>
    <w:rsid w:val="00160562"/>
    <w:rsid w:val="0016090A"/>
    <w:rsid w:val="00161327"/>
    <w:rsid w:val="00162019"/>
    <w:rsid w:val="001621B1"/>
    <w:rsid w:val="00162419"/>
    <w:rsid w:val="00162A00"/>
    <w:rsid w:val="00162B3E"/>
    <w:rsid w:val="0016311A"/>
    <w:rsid w:val="0016387A"/>
    <w:rsid w:val="001642D5"/>
    <w:rsid w:val="001648E3"/>
    <w:rsid w:val="0016510E"/>
    <w:rsid w:val="00165245"/>
    <w:rsid w:val="00165979"/>
    <w:rsid w:val="00165B5C"/>
    <w:rsid w:val="001664BA"/>
    <w:rsid w:val="00166877"/>
    <w:rsid w:val="00166956"/>
    <w:rsid w:val="00167B54"/>
    <w:rsid w:val="00167B56"/>
    <w:rsid w:val="00167BEA"/>
    <w:rsid w:val="00167E47"/>
    <w:rsid w:val="00167F76"/>
    <w:rsid w:val="0017012F"/>
    <w:rsid w:val="00170602"/>
    <w:rsid w:val="001707C8"/>
    <w:rsid w:val="0017094D"/>
    <w:rsid w:val="00170E36"/>
    <w:rsid w:val="00171034"/>
    <w:rsid w:val="001712B3"/>
    <w:rsid w:val="00172850"/>
    <w:rsid w:val="00172A27"/>
    <w:rsid w:val="00173D2D"/>
    <w:rsid w:val="00173E59"/>
    <w:rsid w:val="0017403E"/>
    <w:rsid w:val="00174713"/>
    <w:rsid w:val="001748F4"/>
    <w:rsid w:val="00174DD4"/>
    <w:rsid w:val="0017523F"/>
    <w:rsid w:val="001756AF"/>
    <w:rsid w:val="001758F5"/>
    <w:rsid w:val="00175FB4"/>
    <w:rsid w:val="0017663F"/>
    <w:rsid w:val="00176EEE"/>
    <w:rsid w:val="00176FBC"/>
    <w:rsid w:val="001773AE"/>
    <w:rsid w:val="001777E6"/>
    <w:rsid w:val="00177A47"/>
    <w:rsid w:val="00177D14"/>
    <w:rsid w:val="00177E34"/>
    <w:rsid w:val="001800EA"/>
    <w:rsid w:val="001809DA"/>
    <w:rsid w:val="001809E4"/>
    <w:rsid w:val="00180A7C"/>
    <w:rsid w:val="00180B28"/>
    <w:rsid w:val="00180DA4"/>
    <w:rsid w:val="00180F6A"/>
    <w:rsid w:val="00181333"/>
    <w:rsid w:val="001818E6"/>
    <w:rsid w:val="00181B08"/>
    <w:rsid w:val="00182921"/>
    <w:rsid w:val="00182BD0"/>
    <w:rsid w:val="00182E73"/>
    <w:rsid w:val="00182EBB"/>
    <w:rsid w:val="00183437"/>
    <w:rsid w:val="00183AE0"/>
    <w:rsid w:val="00183C36"/>
    <w:rsid w:val="00183CBB"/>
    <w:rsid w:val="00183CCB"/>
    <w:rsid w:val="00183F0C"/>
    <w:rsid w:val="001846C0"/>
    <w:rsid w:val="00185611"/>
    <w:rsid w:val="001859F1"/>
    <w:rsid w:val="001862B0"/>
    <w:rsid w:val="0018685D"/>
    <w:rsid w:val="00186AEC"/>
    <w:rsid w:val="00186C99"/>
    <w:rsid w:val="00186D54"/>
    <w:rsid w:val="00187189"/>
    <w:rsid w:val="001872FD"/>
    <w:rsid w:val="001874F0"/>
    <w:rsid w:val="0018778E"/>
    <w:rsid w:val="00187CAA"/>
    <w:rsid w:val="00187CE7"/>
    <w:rsid w:val="00187EFC"/>
    <w:rsid w:val="00190DF8"/>
    <w:rsid w:val="00190E56"/>
    <w:rsid w:val="00192397"/>
    <w:rsid w:val="001925DE"/>
    <w:rsid w:val="001926CD"/>
    <w:rsid w:val="001934A0"/>
    <w:rsid w:val="001936BA"/>
    <w:rsid w:val="00193C3B"/>
    <w:rsid w:val="001943D9"/>
    <w:rsid w:val="0019475B"/>
    <w:rsid w:val="00194A75"/>
    <w:rsid w:val="00194CE4"/>
    <w:rsid w:val="001951CC"/>
    <w:rsid w:val="001953D1"/>
    <w:rsid w:val="0019637C"/>
    <w:rsid w:val="001964E7"/>
    <w:rsid w:val="00196AA1"/>
    <w:rsid w:val="00196AD3"/>
    <w:rsid w:val="00197251"/>
    <w:rsid w:val="00197955"/>
    <w:rsid w:val="001979D2"/>
    <w:rsid w:val="00197CCA"/>
    <w:rsid w:val="001A0C29"/>
    <w:rsid w:val="001A0E34"/>
    <w:rsid w:val="001A0EE7"/>
    <w:rsid w:val="001A20C3"/>
    <w:rsid w:val="001A257D"/>
    <w:rsid w:val="001A3319"/>
    <w:rsid w:val="001A3620"/>
    <w:rsid w:val="001A3BAC"/>
    <w:rsid w:val="001A3DCE"/>
    <w:rsid w:val="001A468C"/>
    <w:rsid w:val="001A46B9"/>
    <w:rsid w:val="001A519D"/>
    <w:rsid w:val="001A59B7"/>
    <w:rsid w:val="001A61B6"/>
    <w:rsid w:val="001A67F7"/>
    <w:rsid w:val="001A6F4A"/>
    <w:rsid w:val="001A7411"/>
    <w:rsid w:val="001A765F"/>
    <w:rsid w:val="001A7F2A"/>
    <w:rsid w:val="001B025F"/>
    <w:rsid w:val="001B0940"/>
    <w:rsid w:val="001B0AE4"/>
    <w:rsid w:val="001B15D2"/>
    <w:rsid w:val="001B175A"/>
    <w:rsid w:val="001B1A5B"/>
    <w:rsid w:val="001B1BE9"/>
    <w:rsid w:val="001B238E"/>
    <w:rsid w:val="001B3540"/>
    <w:rsid w:val="001B3D9C"/>
    <w:rsid w:val="001B4060"/>
    <w:rsid w:val="001B4290"/>
    <w:rsid w:val="001B44F9"/>
    <w:rsid w:val="001B489F"/>
    <w:rsid w:val="001B4FB7"/>
    <w:rsid w:val="001B50FA"/>
    <w:rsid w:val="001B532F"/>
    <w:rsid w:val="001B57DE"/>
    <w:rsid w:val="001B5FB3"/>
    <w:rsid w:val="001B61B1"/>
    <w:rsid w:val="001B6432"/>
    <w:rsid w:val="001B654B"/>
    <w:rsid w:val="001B6A63"/>
    <w:rsid w:val="001B7594"/>
    <w:rsid w:val="001B765C"/>
    <w:rsid w:val="001B7E8E"/>
    <w:rsid w:val="001B7F37"/>
    <w:rsid w:val="001C0127"/>
    <w:rsid w:val="001C0388"/>
    <w:rsid w:val="001C0CA4"/>
    <w:rsid w:val="001C0ECE"/>
    <w:rsid w:val="001C0F0F"/>
    <w:rsid w:val="001C1198"/>
    <w:rsid w:val="001C121E"/>
    <w:rsid w:val="001C1355"/>
    <w:rsid w:val="001C1442"/>
    <w:rsid w:val="001C1B89"/>
    <w:rsid w:val="001C1CC0"/>
    <w:rsid w:val="001C2531"/>
    <w:rsid w:val="001C2E30"/>
    <w:rsid w:val="001C33AA"/>
    <w:rsid w:val="001C37E1"/>
    <w:rsid w:val="001C3999"/>
    <w:rsid w:val="001C3C1B"/>
    <w:rsid w:val="001C3E94"/>
    <w:rsid w:val="001C515C"/>
    <w:rsid w:val="001C5A25"/>
    <w:rsid w:val="001C608E"/>
    <w:rsid w:val="001C660D"/>
    <w:rsid w:val="001C6DB2"/>
    <w:rsid w:val="001C6DD7"/>
    <w:rsid w:val="001C7277"/>
    <w:rsid w:val="001C77F0"/>
    <w:rsid w:val="001C7863"/>
    <w:rsid w:val="001C7CC6"/>
    <w:rsid w:val="001C7F4D"/>
    <w:rsid w:val="001D04ED"/>
    <w:rsid w:val="001D0E6E"/>
    <w:rsid w:val="001D0F1A"/>
    <w:rsid w:val="001D1F8E"/>
    <w:rsid w:val="001D24C6"/>
    <w:rsid w:val="001D2723"/>
    <w:rsid w:val="001D2A90"/>
    <w:rsid w:val="001D2FE0"/>
    <w:rsid w:val="001D35DE"/>
    <w:rsid w:val="001D3E63"/>
    <w:rsid w:val="001D42C8"/>
    <w:rsid w:val="001D51DA"/>
    <w:rsid w:val="001D5743"/>
    <w:rsid w:val="001D5C0C"/>
    <w:rsid w:val="001D6061"/>
    <w:rsid w:val="001D6188"/>
    <w:rsid w:val="001D6419"/>
    <w:rsid w:val="001D64D6"/>
    <w:rsid w:val="001D67DF"/>
    <w:rsid w:val="001D78D5"/>
    <w:rsid w:val="001D790E"/>
    <w:rsid w:val="001D7F76"/>
    <w:rsid w:val="001E0162"/>
    <w:rsid w:val="001E071F"/>
    <w:rsid w:val="001E1478"/>
    <w:rsid w:val="001E21B3"/>
    <w:rsid w:val="001E2318"/>
    <w:rsid w:val="001E279E"/>
    <w:rsid w:val="001E28F8"/>
    <w:rsid w:val="001E2D9F"/>
    <w:rsid w:val="001E2F63"/>
    <w:rsid w:val="001E304A"/>
    <w:rsid w:val="001E3B3F"/>
    <w:rsid w:val="001E4497"/>
    <w:rsid w:val="001E5954"/>
    <w:rsid w:val="001E634B"/>
    <w:rsid w:val="001E648C"/>
    <w:rsid w:val="001E68C0"/>
    <w:rsid w:val="001E69A3"/>
    <w:rsid w:val="001E6CBE"/>
    <w:rsid w:val="001E74A3"/>
    <w:rsid w:val="001E7973"/>
    <w:rsid w:val="001F0187"/>
    <w:rsid w:val="001F050C"/>
    <w:rsid w:val="001F0DFC"/>
    <w:rsid w:val="001F13E8"/>
    <w:rsid w:val="001F164E"/>
    <w:rsid w:val="001F1694"/>
    <w:rsid w:val="001F1866"/>
    <w:rsid w:val="001F1B88"/>
    <w:rsid w:val="001F1E34"/>
    <w:rsid w:val="001F21C0"/>
    <w:rsid w:val="001F21CE"/>
    <w:rsid w:val="001F2650"/>
    <w:rsid w:val="001F28F5"/>
    <w:rsid w:val="001F2C63"/>
    <w:rsid w:val="001F2CDB"/>
    <w:rsid w:val="001F321D"/>
    <w:rsid w:val="001F3C0C"/>
    <w:rsid w:val="001F3CCE"/>
    <w:rsid w:val="001F3E30"/>
    <w:rsid w:val="001F40B4"/>
    <w:rsid w:val="001F4100"/>
    <w:rsid w:val="001F429A"/>
    <w:rsid w:val="001F4463"/>
    <w:rsid w:val="001F450F"/>
    <w:rsid w:val="001F45F2"/>
    <w:rsid w:val="001F4614"/>
    <w:rsid w:val="001F4CEF"/>
    <w:rsid w:val="001F4D00"/>
    <w:rsid w:val="001F5330"/>
    <w:rsid w:val="001F533E"/>
    <w:rsid w:val="001F5C76"/>
    <w:rsid w:val="001F5C83"/>
    <w:rsid w:val="001F6149"/>
    <w:rsid w:val="001F6606"/>
    <w:rsid w:val="001F6658"/>
    <w:rsid w:val="001F787A"/>
    <w:rsid w:val="00201EA6"/>
    <w:rsid w:val="002022D6"/>
    <w:rsid w:val="0020362E"/>
    <w:rsid w:val="002039BD"/>
    <w:rsid w:val="00203EB6"/>
    <w:rsid w:val="00204595"/>
    <w:rsid w:val="002045FC"/>
    <w:rsid w:val="002049BA"/>
    <w:rsid w:val="00204DDE"/>
    <w:rsid w:val="0020554F"/>
    <w:rsid w:val="002058C4"/>
    <w:rsid w:val="00205ACB"/>
    <w:rsid w:val="0020628F"/>
    <w:rsid w:val="00206D99"/>
    <w:rsid w:val="002070BB"/>
    <w:rsid w:val="00207D5A"/>
    <w:rsid w:val="0021058D"/>
    <w:rsid w:val="0021083B"/>
    <w:rsid w:val="00210987"/>
    <w:rsid w:val="00210F5B"/>
    <w:rsid w:val="002113E7"/>
    <w:rsid w:val="0021182D"/>
    <w:rsid w:val="00211A03"/>
    <w:rsid w:val="00211E09"/>
    <w:rsid w:val="00211F95"/>
    <w:rsid w:val="002124F6"/>
    <w:rsid w:val="00212516"/>
    <w:rsid w:val="00213680"/>
    <w:rsid w:val="00213B92"/>
    <w:rsid w:val="00214014"/>
    <w:rsid w:val="002150D3"/>
    <w:rsid w:val="00215124"/>
    <w:rsid w:val="002152F3"/>
    <w:rsid w:val="00215378"/>
    <w:rsid w:val="00215429"/>
    <w:rsid w:val="00215797"/>
    <w:rsid w:val="00216404"/>
    <w:rsid w:val="0021644B"/>
    <w:rsid w:val="0021659D"/>
    <w:rsid w:val="002165EC"/>
    <w:rsid w:val="0021670F"/>
    <w:rsid w:val="0021691D"/>
    <w:rsid w:val="00216B08"/>
    <w:rsid w:val="00216E3E"/>
    <w:rsid w:val="00216FA0"/>
    <w:rsid w:val="0021751D"/>
    <w:rsid w:val="002177D7"/>
    <w:rsid w:val="00217DF0"/>
    <w:rsid w:val="0022038C"/>
    <w:rsid w:val="002203BC"/>
    <w:rsid w:val="002222D7"/>
    <w:rsid w:val="00222ACA"/>
    <w:rsid w:val="00222C41"/>
    <w:rsid w:val="002234CD"/>
    <w:rsid w:val="00223965"/>
    <w:rsid w:val="0022449F"/>
    <w:rsid w:val="0022461E"/>
    <w:rsid w:val="0022469A"/>
    <w:rsid w:val="00225586"/>
    <w:rsid w:val="002258B3"/>
    <w:rsid w:val="00225F47"/>
    <w:rsid w:val="00226698"/>
    <w:rsid w:val="00226FDA"/>
    <w:rsid w:val="00227291"/>
    <w:rsid w:val="00227637"/>
    <w:rsid w:val="0022768F"/>
    <w:rsid w:val="0022790A"/>
    <w:rsid w:val="00227AF2"/>
    <w:rsid w:val="00227DDC"/>
    <w:rsid w:val="0023002B"/>
    <w:rsid w:val="002300A0"/>
    <w:rsid w:val="002302DC"/>
    <w:rsid w:val="002307C8"/>
    <w:rsid w:val="00230DF0"/>
    <w:rsid w:val="00231641"/>
    <w:rsid w:val="00231BBE"/>
    <w:rsid w:val="00231E31"/>
    <w:rsid w:val="00231E45"/>
    <w:rsid w:val="002322CA"/>
    <w:rsid w:val="00232EA3"/>
    <w:rsid w:val="00233053"/>
    <w:rsid w:val="00233158"/>
    <w:rsid w:val="00233AFE"/>
    <w:rsid w:val="0023439C"/>
    <w:rsid w:val="00234483"/>
    <w:rsid w:val="002360BA"/>
    <w:rsid w:val="00236609"/>
    <w:rsid w:val="00236BF7"/>
    <w:rsid w:val="00236FFE"/>
    <w:rsid w:val="00237538"/>
    <w:rsid w:val="00237F1F"/>
    <w:rsid w:val="00240E94"/>
    <w:rsid w:val="0024178B"/>
    <w:rsid w:val="0024183E"/>
    <w:rsid w:val="0024221A"/>
    <w:rsid w:val="002425F9"/>
    <w:rsid w:val="00242AD7"/>
    <w:rsid w:val="00242B88"/>
    <w:rsid w:val="0024341D"/>
    <w:rsid w:val="00243516"/>
    <w:rsid w:val="00244177"/>
    <w:rsid w:val="002446BD"/>
    <w:rsid w:val="00244905"/>
    <w:rsid w:val="00244FE1"/>
    <w:rsid w:val="00245377"/>
    <w:rsid w:val="00245D32"/>
    <w:rsid w:val="00246249"/>
    <w:rsid w:val="0024634D"/>
    <w:rsid w:val="002464F7"/>
    <w:rsid w:val="00246A55"/>
    <w:rsid w:val="002475C9"/>
    <w:rsid w:val="0025047D"/>
    <w:rsid w:val="002522D2"/>
    <w:rsid w:val="00252DAF"/>
    <w:rsid w:val="00252F06"/>
    <w:rsid w:val="002532AE"/>
    <w:rsid w:val="002533EB"/>
    <w:rsid w:val="00253664"/>
    <w:rsid w:val="00254478"/>
    <w:rsid w:val="002557FF"/>
    <w:rsid w:val="002558B0"/>
    <w:rsid w:val="00256028"/>
    <w:rsid w:val="002562DD"/>
    <w:rsid w:val="00256738"/>
    <w:rsid w:val="00256B32"/>
    <w:rsid w:val="00256BF0"/>
    <w:rsid w:val="00257670"/>
    <w:rsid w:val="00257C42"/>
    <w:rsid w:val="00257DCE"/>
    <w:rsid w:val="002600A2"/>
    <w:rsid w:val="00260F4C"/>
    <w:rsid w:val="00261545"/>
    <w:rsid w:val="002623CC"/>
    <w:rsid w:val="00262A4A"/>
    <w:rsid w:val="00263494"/>
    <w:rsid w:val="002648AB"/>
    <w:rsid w:val="002648BD"/>
    <w:rsid w:val="00265759"/>
    <w:rsid w:val="00265C75"/>
    <w:rsid w:val="00265F57"/>
    <w:rsid w:val="00265F9D"/>
    <w:rsid w:val="0026628E"/>
    <w:rsid w:val="0026694E"/>
    <w:rsid w:val="00267164"/>
    <w:rsid w:val="00267FB2"/>
    <w:rsid w:val="00270A4D"/>
    <w:rsid w:val="00271537"/>
    <w:rsid w:val="002717F1"/>
    <w:rsid w:val="002719CC"/>
    <w:rsid w:val="00271EA7"/>
    <w:rsid w:val="0027234A"/>
    <w:rsid w:val="002725CD"/>
    <w:rsid w:val="00272959"/>
    <w:rsid w:val="00272A1B"/>
    <w:rsid w:val="00272C24"/>
    <w:rsid w:val="00272D5E"/>
    <w:rsid w:val="0027367C"/>
    <w:rsid w:val="00274AA4"/>
    <w:rsid w:val="00274EE0"/>
    <w:rsid w:val="00275535"/>
    <w:rsid w:val="00276AFF"/>
    <w:rsid w:val="0027716D"/>
    <w:rsid w:val="00277212"/>
    <w:rsid w:val="002779B9"/>
    <w:rsid w:val="0028078B"/>
    <w:rsid w:val="002807E3"/>
    <w:rsid w:val="002807FF"/>
    <w:rsid w:val="00280BCB"/>
    <w:rsid w:val="0028103F"/>
    <w:rsid w:val="00281411"/>
    <w:rsid w:val="0028187A"/>
    <w:rsid w:val="0028279C"/>
    <w:rsid w:val="002833A3"/>
    <w:rsid w:val="00283576"/>
    <w:rsid w:val="00284ED9"/>
    <w:rsid w:val="002850E9"/>
    <w:rsid w:val="00285107"/>
    <w:rsid w:val="00285DAC"/>
    <w:rsid w:val="002861E9"/>
    <w:rsid w:val="00286FF6"/>
    <w:rsid w:val="00287285"/>
    <w:rsid w:val="0028746D"/>
    <w:rsid w:val="002877A0"/>
    <w:rsid w:val="00287D16"/>
    <w:rsid w:val="00287D2C"/>
    <w:rsid w:val="002901D9"/>
    <w:rsid w:val="00290701"/>
    <w:rsid w:val="00290876"/>
    <w:rsid w:val="00290C34"/>
    <w:rsid w:val="00290D5A"/>
    <w:rsid w:val="00290E10"/>
    <w:rsid w:val="00290E68"/>
    <w:rsid w:val="00290ED2"/>
    <w:rsid w:val="00291185"/>
    <w:rsid w:val="0029137D"/>
    <w:rsid w:val="00291CBD"/>
    <w:rsid w:val="002920F3"/>
    <w:rsid w:val="00292527"/>
    <w:rsid w:val="0029274E"/>
    <w:rsid w:val="002927B0"/>
    <w:rsid w:val="002927B2"/>
    <w:rsid w:val="00292BE7"/>
    <w:rsid w:val="002932DB"/>
    <w:rsid w:val="00293446"/>
    <w:rsid w:val="002934E5"/>
    <w:rsid w:val="00293A50"/>
    <w:rsid w:val="00294868"/>
    <w:rsid w:val="00294F39"/>
    <w:rsid w:val="002953FA"/>
    <w:rsid w:val="00295B65"/>
    <w:rsid w:val="00295B6E"/>
    <w:rsid w:val="002965BF"/>
    <w:rsid w:val="002968C5"/>
    <w:rsid w:val="002969E5"/>
    <w:rsid w:val="00296A9B"/>
    <w:rsid w:val="00297F1C"/>
    <w:rsid w:val="002A03EC"/>
    <w:rsid w:val="002A055E"/>
    <w:rsid w:val="002A0E29"/>
    <w:rsid w:val="002A124F"/>
    <w:rsid w:val="002A14F2"/>
    <w:rsid w:val="002A151C"/>
    <w:rsid w:val="002A17AA"/>
    <w:rsid w:val="002A1CFE"/>
    <w:rsid w:val="002A1EB3"/>
    <w:rsid w:val="002A1F10"/>
    <w:rsid w:val="002A29A6"/>
    <w:rsid w:val="002A2E28"/>
    <w:rsid w:val="002A35E9"/>
    <w:rsid w:val="002A37B5"/>
    <w:rsid w:val="002A3C42"/>
    <w:rsid w:val="002A3D9C"/>
    <w:rsid w:val="002A3DFA"/>
    <w:rsid w:val="002A40C4"/>
    <w:rsid w:val="002A4393"/>
    <w:rsid w:val="002A439F"/>
    <w:rsid w:val="002A44B0"/>
    <w:rsid w:val="002A45B4"/>
    <w:rsid w:val="002A4C72"/>
    <w:rsid w:val="002A4D02"/>
    <w:rsid w:val="002A529E"/>
    <w:rsid w:val="002A5F1F"/>
    <w:rsid w:val="002A7D3E"/>
    <w:rsid w:val="002B0983"/>
    <w:rsid w:val="002B0A03"/>
    <w:rsid w:val="002B0B96"/>
    <w:rsid w:val="002B0FA1"/>
    <w:rsid w:val="002B1AFA"/>
    <w:rsid w:val="002B1C5D"/>
    <w:rsid w:val="002B2CFA"/>
    <w:rsid w:val="002B34C9"/>
    <w:rsid w:val="002B3ACF"/>
    <w:rsid w:val="002B3B32"/>
    <w:rsid w:val="002B3C5C"/>
    <w:rsid w:val="002B3E6C"/>
    <w:rsid w:val="002B3F19"/>
    <w:rsid w:val="002B44B4"/>
    <w:rsid w:val="002B44DB"/>
    <w:rsid w:val="002B5C70"/>
    <w:rsid w:val="002B5FBB"/>
    <w:rsid w:val="002B627E"/>
    <w:rsid w:val="002B6F4B"/>
    <w:rsid w:val="002B706E"/>
    <w:rsid w:val="002B7205"/>
    <w:rsid w:val="002B7AE8"/>
    <w:rsid w:val="002C0A03"/>
    <w:rsid w:val="002C0FDA"/>
    <w:rsid w:val="002C1AD9"/>
    <w:rsid w:val="002C1C5B"/>
    <w:rsid w:val="002C22AB"/>
    <w:rsid w:val="002C24FC"/>
    <w:rsid w:val="002C29B2"/>
    <w:rsid w:val="002C2D05"/>
    <w:rsid w:val="002C31A7"/>
    <w:rsid w:val="002C39D5"/>
    <w:rsid w:val="002C3CB9"/>
    <w:rsid w:val="002C45AD"/>
    <w:rsid w:val="002C49CB"/>
    <w:rsid w:val="002C4BAE"/>
    <w:rsid w:val="002C4E83"/>
    <w:rsid w:val="002C65FF"/>
    <w:rsid w:val="002C69C7"/>
    <w:rsid w:val="002C6A77"/>
    <w:rsid w:val="002C720A"/>
    <w:rsid w:val="002C7452"/>
    <w:rsid w:val="002C7571"/>
    <w:rsid w:val="002C7883"/>
    <w:rsid w:val="002C7E06"/>
    <w:rsid w:val="002D02DA"/>
    <w:rsid w:val="002D03DB"/>
    <w:rsid w:val="002D140A"/>
    <w:rsid w:val="002D21F9"/>
    <w:rsid w:val="002D2BE2"/>
    <w:rsid w:val="002D307C"/>
    <w:rsid w:val="002D3702"/>
    <w:rsid w:val="002D418C"/>
    <w:rsid w:val="002D548F"/>
    <w:rsid w:val="002D577D"/>
    <w:rsid w:val="002D7171"/>
    <w:rsid w:val="002D7709"/>
    <w:rsid w:val="002E0AA5"/>
    <w:rsid w:val="002E0E64"/>
    <w:rsid w:val="002E1CCA"/>
    <w:rsid w:val="002E219A"/>
    <w:rsid w:val="002E21DB"/>
    <w:rsid w:val="002E21F8"/>
    <w:rsid w:val="002E394F"/>
    <w:rsid w:val="002E5018"/>
    <w:rsid w:val="002E68CF"/>
    <w:rsid w:val="002E7131"/>
    <w:rsid w:val="002E74E5"/>
    <w:rsid w:val="002E75C1"/>
    <w:rsid w:val="002E79A7"/>
    <w:rsid w:val="002E7B2C"/>
    <w:rsid w:val="002F0A9B"/>
    <w:rsid w:val="002F0E27"/>
    <w:rsid w:val="002F0FE5"/>
    <w:rsid w:val="002F112A"/>
    <w:rsid w:val="002F15D7"/>
    <w:rsid w:val="002F2891"/>
    <w:rsid w:val="002F2DDC"/>
    <w:rsid w:val="002F3B21"/>
    <w:rsid w:val="002F3CEA"/>
    <w:rsid w:val="002F4F87"/>
    <w:rsid w:val="002F61B5"/>
    <w:rsid w:val="002F79E1"/>
    <w:rsid w:val="00300E28"/>
    <w:rsid w:val="00301AFB"/>
    <w:rsid w:val="00301D1B"/>
    <w:rsid w:val="00301E6D"/>
    <w:rsid w:val="00301FD4"/>
    <w:rsid w:val="00302456"/>
    <w:rsid w:val="00302712"/>
    <w:rsid w:val="0030337A"/>
    <w:rsid w:val="00303CAD"/>
    <w:rsid w:val="003040F0"/>
    <w:rsid w:val="003046D5"/>
    <w:rsid w:val="003049C8"/>
    <w:rsid w:val="00304A0F"/>
    <w:rsid w:val="00304FA2"/>
    <w:rsid w:val="00305007"/>
    <w:rsid w:val="00305062"/>
    <w:rsid w:val="00305116"/>
    <w:rsid w:val="0030539F"/>
    <w:rsid w:val="00305F5D"/>
    <w:rsid w:val="00306311"/>
    <w:rsid w:val="0030652D"/>
    <w:rsid w:val="003068D0"/>
    <w:rsid w:val="003073A6"/>
    <w:rsid w:val="00307A8E"/>
    <w:rsid w:val="003103BF"/>
    <w:rsid w:val="00310570"/>
    <w:rsid w:val="00310BA3"/>
    <w:rsid w:val="00310F44"/>
    <w:rsid w:val="00311000"/>
    <w:rsid w:val="00311374"/>
    <w:rsid w:val="003115F7"/>
    <w:rsid w:val="003116EA"/>
    <w:rsid w:val="0031194A"/>
    <w:rsid w:val="00311AFB"/>
    <w:rsid w:val="00311B9F"/>
    <w:rsid w:val="00311C62"/>
    <w:rsid w:val="00311D6C"/>
    <w:rsid w:val="0031221C"/>
    <w:rsid w:val="003124F4"/>
    <w:rsid w:val="00313348"/>
    <w:rsid w:val="0031366D"/>
    <w:rsid w:val="00313B27"/>
    <w:rsid w:val="00313BBE"/>
    <w:rsid w:val="00313CD0"/>
    <w:rsid w:val="00313F38"/>
    <w:rsid w:val="00315773"/>
    <w:rsid w:val="0031627E"/>
    <w:rsid w:val="0031628F"/>
    <w:rsid w:val="003167FD"/>
    <w:rsid w:val="00316BCF"/>
    <w:rsid w:val="00317120"/>
    <w:rsid w:val="003171A2"/>
    <w:rsid w:val="003173A1"/>
    <w:rsid w:val="00317A9B"/>
    <w:rsid w:val="00317AAB"/>
    <w:rsid w:val="0032003E"/>
    <w:rsid w:val="00320F2C"/>
    <w:rsid w:val="00320FD1"/>
    <w:rsid w:val="00321B99"/>
    <w:rsid w:val="00321EBD"/>
    <w:rsid w:val="0032269D"/>
    <w:rsid w:val="00322821"/>
    <w:rsid w:val="00322C23"/>
    <w:rsid w:val="00322D95"/>
    <w:rsid w:val="00322E00"/>
    <w:rsid w:val="00322E4C"/>
    <w:rsid w:val="0032371A"/>
    <w:rsid w:val="00324239"/>
    <w:rsid w:val="00324425"/>
    <w:rsid w:val="00324618"/>
    <w:rsid w:val="00324A55"/>
    <w:rsid w:val="00324E82"/>
    <w:rsid w:val="003253AF"/>
    <w:rsid w:val="00325AA5"/>
    <w:rsid w:val="00325D8A"/>
    <w:rsid w:val="003262B8"/>
    <w:rsid w:val="00326634"/>
    <w:rsid w:val="003269F1"/>
    <w:rsid w:val="00326F7D"/>
    <w:rsid w:val="0032714A"/>
    <w:rsid w:val="00327749"/>
    <w:rsid w:val="00327AC7"/>
    <w:rsid w:val="00330323"/>
    <w:rsid w:val="00330A86"/>
    <w:rsid w:val="0033164B"/>
    <w:rsid w:val="00331D8B"/>
    <w:rsid w:val="00331F34"/>
    <w:rsid w:val="00332408"/>
    <w:rsid w:val="00332AEA"/>
    <w:rsid w:val="00332C77"/>
    <w:rsid w:val="00333A45"/>
    <w:rsid w:val="00333E8B"/>
    <w:rsid w:val="00334037"/>
    <w:rsid w:val="00334D94"/>
    <w:rsid w:val="00334FC5"/>
    <w:rsid w:val="0033545E"/>
    <w:rsid w:val="003355E2"/>
    <w:rsid w:val="00335A75"/>
    <w:rsid w:val="003364E8"/>
    <w:rsid w:val="003365C9"/>
    <w:rsid w:val="00337C77"/>
    <w:rsid w:val="00337F32"/>
    <w:rsid w:val="0034009A"/>
    <w:rsid w:val="00340469"/>
    <w:rsid w:val="003409C8"/>
    <w:rsid w:val="003409FE"/>
    <w:rsid w:val="00340CDF"/>
    <w:rsid w:val="003417C4"/>
    <w:rsid w:val="00341873"/>
    <w:rsid w:val="00342844"/>
    <w:rsid w:val="00342A29"/>
    <w:rsid w:val="00342D47"/>
    <w:rsid w:val="00343112"/>
    <w:rsid w:val="003438A4"/>
    <w:rsid w:val="00343ACD"/>
    <w:rsid w:val="003443A7"/>
    <w:rsid w:val="00344A3D"/>
    <w:rsid w:val="00344A44"/>
    <w:rsid w:val="00344E02"/>
    <w:rsid w:val="00345300"/>
    <w:rsid w:val="00345494"/>
    <w:rsid w:val="0034555F"/>
    <w:rsid w:val="003459E3"/>
    <w:rsid w:val="00346455"/>
    <w:rsid w:val="00346915"/>
    <w:rsid w:val="0034703D"/>
    <w:rsid w:val="003477CD"/>
    <w:rsid w:val="00347EEE"/>
    <w:rsid w:val="00347F5D"/>
    <w:rsid w:val="003512FB"/>
    <w:rsid w:val="00351804"/>
    <w:rsid w:val="0035185E"/>
    <w:rsid w:val="0035209E"/>
    <w:rsid w:val="00352734"/>
    <w:rsid w:val="003527C9"/>
    <w:rsid w:val="00352955"/>
    <w:rsid w:val="00352E00"/>
    <w:rsid w:val="00352E40"/>
    <w:rsid w:val="0035330E"/>
    <w:rsid w:val="00353C76"/>
    <w:rsid w:val="00353D02"/>
    <w:rsid w:val="003554AA"/>
    <w:rsid w:val="00355C9A"/>
    <w:rsid w:val="003568FD"/>
    <w:rsid w:val="00356963"/>
    <w:rsid w:val="00356BFD"/>
    <w:rsid w:val="00357377"/>
    <w:rsid w:val="00357702"/>
    <w:rsid w:val="003578AD"/>
    <w:rsid w:val="00360325"/>
    <w:rsid w:val="003613A2"/>
    <w:rsid w:val="003619D8"/>
    <w:rsid w:val="00361AAD"/>
    <w:rsid w:val="00361AB3"/>
    <w:rsid w:val="00362165"/>
    <w:rsid w:val="003621CA"/>
    <w:rsid w:val="00362224"/>
    <w:rsid w:val="003622A6"/>
    <w:rsid w:val="0036255A"/>
    <w:rsid w:val="00362B77"/>
    <w:rsid w:val="00362BBE"/>
    <w:rsid w:val="00362BF8"/>
    <w:rsid w:val="00362CA7"/>
    <w:rsid w:val="0036301B"/>
    <w:rsid w:val="00363AAB"/>
    <w:rsid w:val="00363B30"/>
    <w:rsid w:val="00363C7D"/>
    <w:rsid w:val="0036407B"/>
    <w:rsid w:val="003644AD"/>
    <w:rsid w:val="0036467D"/>
    <w:rsid w:val="00365B50"/>
    <w:rsid w:val="00365D79"/>
    <w:rsid w:val="00366549"/>
    <w:rsid w:val="00366748"/>
    <w:rsid w:val="00366BB6"/>
    <w:rsid w:val="003672AC"/>
    <w:rsid w:val="003678D0"/>
    <w:rsid w:val="003703DB"/>
    <w:rsid w:val="0037096F"/>
    <w:rsid w:val="00370BA7"/>
    <w:rsid w:val="00370C5F"/>
    <w:rsid w:val="00370E99"/>
    <w:rsid w:val="00371C5B"/>
    <w:rsid w:val="00371D82"/>
    <w:rsid w:val="003721A3"/>
    <w:rsid w:val="003725BD"/>
    <w:rsid w:val="00372752"/>
    <w:rsid w:val="003728ED"/>
    <w:rsid w:val="00373571"/>
    <w:rsid w:val="003742DB"/>
    <w:rsid w:val="0037443F"/>
    <w:rsid w:val="00374542"/>
    <w:rsid w:val="0037507C"/>
    <w:rsid w:val="00375653"/>
    <w:rsid w:val="00375B79"/>
    <w:rsid w:val="0037637C"/>
    <w:rsid w:val="0037642D"/>
    <w:rsid w:val="00376606"/>
    <w:rsid w:val="0037773B"/>
    <w:rsid w:val="00377792"/>
    <w:rsid w:val="00377B99"/>
    <w:rsid w:val="00377F50"/>
    <w:rsid w:val="0038014D"/>
    <w:rsid w:val="0038040C"/>
    <w:rsid w:val="003804F1"/>
    <w:rsid w:val="00380541"/>
    <w:rsid w:val="00380805"/>
    <w:rsid w:val="00380B93"/>
    <w:rsid w:val="00380F74"/>
    <w:rsid w:val="003817EF"/>
    <w:rsid w:val="003820FA"/>
    <w:rsid w:val="00382525"/>
    <w:rsid w:val="00384897"/>
    <w:rsid w:val="00384978"/>
    <w:rsid w:val="00384F48"/>
    <w:rsid w:val="003858FF"/>
    <w:rsid w:val="003864A7"/>
    <w:rsid w:val="003867A7"/>
    <w:rsid w:val="00386A6D"/>
    <w:rsid w:val="00387009"/>
    <w:rsid w:val="0038703B"/>
    <w:rsid w:val="00387C31"/>
    <w:rsid w:val="003901D0"/>
    <w:rsid w:val="003902F4"/>
    <w:rsid w:val="003907E3"/>
    <w:rsid w:val="00390A75"/>
    <w:rsid w:val="00390BB1"/>
    <w:rsid w:val="00390FB0"/>
    <w:rsid w:val="003913B9"/>
    <w:rsid w:val="00391681"/>
    <w:rsid w:val="00391991"/>
    <w:rsid w:val="00392266"/>
    <w:rsid w:val="0039235F"/>
    <w:rsid w:val="00392CD4"/>
    <w:rsid w:val="00393321"/>
    <w:rsid w:val="003933F3"/>
    <w:rsid w:val="00393702"/>
    <w:rsid w:val="00393982"/>
    <w:rsid w:val="00393CCA"/>
    <w:rsid w:val="00393D73"/>
    <w:rsid w:val="003945B3"/>
    <w:rsid w:val="00394636"/>
    <w:rsid w:val="00394784"/>
    <w:rsid w:val="00394B05"/>
    <w:rsid w:val="00394B6F"/>
    <w:rsid w:val="00394C69"/>
    <w:rsid w:val="00394DCB"/>
    <w:rsid w:val="00395E14"/>
    <w:rsid w:val="00396DF7"/>
    <w:rsid w:val="00397EA6"/>
    <w:rsid w:val="003A082F"/>
    <w:rsid w:val="003A08BA"/>
    <w:rsid w:val="003A099F"/>
    <w:rsid w:val="003A1158"/>
    <w:rsid w:val="003A1DEE"/>
    <w:rsid w:val="003A1F15"/>
    <w:rsid w:val="003A2F02"/>
    <w:rsid w:val="003A3EC1"/>
    <w:rsid w:val="003A409B"/>
    <w:rsid w:val="003A47D8"/>
    <w:rsid w:val="003A4CC8"/>
    <w:rsid w:val="003A525E"/>
    <w:rsid w:val="003A583E"/>
    <w:rsid w:val="003A5B67"/>
    <w:rsid w:val="003A5C5E"/>
    <w:rsid w:val="003A63B0"/>
    <w:rsid w:val="003A64FB"/>
    <w:rsid w:val="003A6590"/>
    <w:rsid w:val="003A6650"/>
    <w:rsid w:val="003A688D"/>
    <w:rsid w:val="003A6905"/>
    <w:rsid w:val="003A6D41"/>
    <w:rsid w:val="003A6E2E"/>
    <w:rsid w:val="003A7027"/>
    <w:rsid w:val="003A70FD"/>
    <w:rsid w:val="003A72F6"/>
    <w:rsid w:val="003A784A"/>
    <w:rsid w:val="003A7E13"/>
    <w:rsid w:val="003B0396"/>
    <w:rsid w:val="003B0C71"/>
    <w:rsid w:val="003B14E2"/>
    <w:rsid w:val="003B1585"/>
    <w:rsid w:val="003B15EC"/>
    <w:rsid w:val="003B1776"/>
    <w:rsid w:val="003B1797"/>
    <w:rsid w:val="003B189C"/>
    <w:rsid w:val="003B1A2B"/>
    <w:rsid w:val="003B24CF"/>
    <w:rsid w:val="003B295D"/>
    <w:rsid w:val="003B2A7A"/>
    <w:rsid w:val="003B2ACC"/>
    <w:rsid w:val="003B322E"/>
    <w:rsid w:val="003B32F4"/>
    <w:rsid w:val="003B3BF7"/>
    <w:rsid w:val="003B3C20"/>
    <w:rsid w:val="003B468D"/>
    <w:rsid w:val="003B48F4"/>
    <w:rsid w:val="003B4967"/>
    <w:rsid w:val="003B4F2E"/>
    <w:rsid w:val="003B5A36"/>
    <w:rsid w:val="003B5C38"/>
    <w:rsid w:val="003B5D89"/>
    <w:rsid w:val="003B5EF8"/>
    <w:rsid w:val="003B61B2"/>
    <w:rsid w:val="003B61D0"/>
    <w:rsid w:val="003B62C4"/>
    <w:rsid w:val="003B642D"/>
    <w:rsid w:val="003B6600"/>
    <w:rsid w:val="003B6B2D"/>
    <w:rsid w:val="003B6BDD"/>
    <w:rsid w:val="003B7B5B"/>
    <w:rsid w:val="003B7D69"/>
    <w:rsid w:val="003B7D96"/>
    <w:rsid w:val="003C0503"/>
    <w:rsid w:val="003C1CB8"/>
    <w:rsid w:val="003C22A1"/>
    <w:rsid w:val="003C3B63"/>
    <w:rsid w:val="003C4916"/>
    <w:rsid w:val="003C4E02"/>
    <w:rsid w:val="003C5516"/>
    <w:rsid w:val="003C57AD"/>
    <w:rsid w:val="003C5FAF"/>
    <w:rsid w:val="003C6139"/>
    <w:rsid w:val="003C6631"/>
    <w:rsid w:val="003C6841"/>
    <w:rsid w:val="003C69D4"/>
    <w:rsid w:val="003C6D2B"/>
    <w:rsid w:val="003C707A"/>
    <w:rsid w:val="003C70A0"/>
    <w:rsid w:val="003C75F6"/>
    <w:rsid w:val="003C791C"/>
    <w:rsid w:val="003C7C5D"/>
    <w:rsid w:val="003D0207"/>
    <w:rsid w:val="003D0B8C"/>
    <w:rsid w:val="003D0C07"/>
    <w:rsid w:val="003D1438"/>
    <w:rsid w:val="003D20F1"/>
    <w:rsid w:val="003D2438"/>
    <w:rsid w:val="003D2725"/>
    <w:rsid w:val="003D2CFB"/>
    <w:rsid w:val="003D3229"/>
    <w:rsid w:val="003D3D6F"/>
    <w:rsid w:val="003D3DC6"/>
    <w:rsid w:val="003D3EB3"/>
    <w:rsid w:val="003D3FB5"/>
    <w:rsid w:val="003D421F"/>
    <w:rsid w:val="003D48AC"/>
    <w:rsid w:val="003D5C75"/>
    <w:rsid w:val="003D5F09"/>
    <w:rsid w:val="003D6195"/>
    <w:rsid w:val="003D65DC"/>
    <w:rsid w:val="003D6998"/>
    <w:rsid w:val="003D6A2E"/>
    <w:rsid w:val="003D75CE"/>
    <w:rsid w:val="003D77DC"/>
    <w:rsid w:val="003D77DE"/>
    <w:rsid w:val="003E04FF"/>
    <w:rsid w:val="003E0B41"/>
    <w:rsid w:val="003E0E8B"/>
    <w:rsid w:val="003E126C"/>
    <w:rsid w:val="003E12A3"/>
    <w:rsid w:val="003E13C0"/>
    <w:rsid w:val="003E1522"/>
    <w:rsid w:val="003E1F82"/>
    <w:rsid w:val="003E23E8"/>
    <w:rsid w:val="003E26EB"/>
    <w:rsid w:val="003E30FF"/>
    <w:rsid w:val="003E3807"/>
    <w:rsid w:val="003E4A4F"/>
    <w:rsid w:val="003E5683"/>
    <w:rsid w:val="003E57DD"/>
    <w:rsid w:val="003E5ABF"/>
    <w:rsid w:val="003E5C3F"/>
    <w:rsid w:val="003E5F71"/>
    <w:rsid w:val="003E7670"/>
    <w:rsid w:val="003E78B9"/>
    <w:rsid w:val="003F0430"/>
    <w:rsid w:val="003F0711"/>
    <w:rsid w:val="003F0722"/>
    <w:rsid w:val="003F1353"/>
    <w:rsid w:val="003F146B"/>
    <w:rsid w:val="003F1725"/>
    <w:rsid w:val="003F1C91"/>
    <w:rsid w:val="003F208E"/>
    <w:rsid w:val="003F20C0"/>
    <w:rsid w:val="003F29FD"/>
    <w:rsid w:val="003F2E8F"/>
    <w:rsid w:val="003F313C"/>
    <w:rsid w:val="003F31ED"/>
    <w:rsid w:val="003F38BC"/>
    <w:rsid w:val="003F3D0A"/>
    <w:rsid w:val="003F422E"/>
    <w:rsid w:val="003F42EB"/>
    <w:rsid w:val="003F479B"/>
    <w:rsid w:val="003F4BDB"/>
    <w:rsid w:val="003F5898"/>
    <w:rsid w:val="003F654B"/>
    <w:rsid w:val="003F6D2B"/>
    <w:rsid w:val="003F6D3F"/>
    <w:rsid w:val="003F6F9D"/>
    <w:rsid w:val="003F710D"/>
    <w:rsid w:val="003F7620"/>
    <w:rsid w:val="003F7B7C"/>
    <w:rsid w:val="004007A9"/>
    <w:rsid w:val="00400E70"/>
    <w:rsid w:val="00402B9B"/>
    <w:rsid w:val="00402FE7"/>
    <w:rsid w:val="00403495"/>
    <w:rsid w:val="004034D2"/>
    <w:rsid w:val="00404A77"/>
    <w:rsid w:val="00404AE3"/>
    <w:rsid w:val="00405709"/>
    <w:rsid w:val="00405762"/>
    <w:rsid w:val="004058AB"/>
    <w:rsid w:val="00405A53"/>
    <w:rsid w:val="00405ADA"/>
    <w:rsid w:val="004066A2"/>
    <w:rsid w:val="0040685D"/>
    <w:rsid w:val="004069EB"/>
    <w:rsid w:val="004074BE"/>
    <w:rsid w:val="004074E5"/>
    <w:rsid w:val="0040785A"/>
    <w:rsid w:val="00407E46"/>
    <w:rsid w:val="00407FB2"/>
    <w:rsid w:val="0041015A"/>
    <w:rsid w:val="0041067B"/>
    <w:rsid w:val="00410E21"/>
    <w:rsid w:val="00411A95"/>
    <w:rsid w:val="00411A96"/>
    <w:rsid w:val="00411ADD"/>
    <w:rsid w:val="00411F18"/>
    <w:rsid w:val="00412226"/>
    <w:rsid w:val="004126BE"/>
    <w:rsid w:val="0041278F"/>
    <w:rsid w:val="00412892"/>
    <w:rsid w:val="00412935"/>
    <w:rsid w:val="00412B5A"/>
    <w:rsid w:val="00413881"/>
    <w:rsid w:val="00413E62"/>
    <w:rsid w:val="00413F9F"/>
    <w:rsid w:val="0041410E"/>
    <w:rsid w:val="00414256"/>
    <w:rsid w:val="0041430E"/>
    <w:rsid w:val="004146A5"/>
    <w:rsid w:val="00414784"/>
    <w:rsid w:val="00414955"/>
    <w:rsid w:val="00414BD7"/>
    <w:rsid w:val="00414DD5"/>
    <w:rsid w:val="0041517C"/>
    <w:rsid w:val="00415C98"/>
    <w:rsid w:val="00415FFA"/>
    <w:rsid w:val="0041697D"/>
    <w:rsid w:val="00416AAF"/>
    <w:rsid w:val="004170B4"/>
    <w:rsid w:val="004171C9"/>
    <w:rsid w:val="00420348"/>
    <w:rsid w:val="004207EF"/>
    <w:rsid w:val="00420883"/>
    <w:rsid w:val="00420E03"/>
    <w:rsid w:val="004212BC"/>
    <w:rsid w:val="00421531"/>
    <w:rsid w:val="0042160E"/>
    <w:rsid w:val="004225F8"/>
    <w:rsid w:val="00422BBE"/>
    <w:rsid w:val="00423628"/>
    <w:rsid w:val="004244BC"/>
    <w:rsid w:val="004266ED"/>
    <w:rsid w:val="00426F25"/>
    <w:rsid w:val="00427913"/>
    <w:rsid w:val="00427E17"/>
    <w:rsid w:val="00430281"/>
    <w:rsid w:val="00430850"/>
    <w:rsid w:val="004308FA"/>
    <w:rsid w:val="00430A24"/>
    <w:rsid w:val="00431126"/>
    <w:rsid w:val="00432747"/>
    <w:rsid w:val="00432C77"/>
    <w:rsid w:val="004333D8"/>
    <w:rsid w:val="00433BED"/>
    <w:rsid w:val="00433D7C"/>
    <w:rsid w:val="00434598"/>
    <w:rsid w:val="00434A34"/>
    <w:rsid w:val="004354B3"/>
    <w:rsid w:val="00436040"/>
    <w:rsid w:val="004365DB"/>
    <w:rsid w:val="00436765"/>
    <w:rsid w:val="00436E46"/>
    <w:rsid w:val="00436F22"/>
    <w:rsid w:val="0043709B"/>
    <w:rsid w:val="0043756D"/>
    <w:rsid w:val="004375DA"/>
    <w:rsid w:val="004377E9"/>
    <w:rsid w:val="00437B25"/>
    <w:rsid w:val="00437B72"/>
    <w:rsid w:val="0044107B"/>
    <w:rsid w:val="00441659"/>
    <w:rsid w:val="00441865"/>
    <w:rsid w:val="0044196E"/>
    <w:rsid w:val="00441B07"/>
    <w:rsid w:val="00441C72"/>
    <w:rsid w:val="00442338"/>
    <w:rsid w:val="00443078"/>
    <w:rsid w:val="0044314D"/>
    <w:rsid w:val="00443194"/>
    <w:rsid w:val="00443CD1"/>
    <w:rsid w:val="00443E62"/>
    <w:rsid w:val="0044526B"/>
    <w:rsid w:val="00446F8A"/>
    <w:rsid w:val="0044777C"/>
    <w:rsid w:val="00447A63"/>
    <w:rsid w:val="00447E77"/>
    <w:rsid w:val="00450645"/>
    <w:rsid w:val="0045161A"/>
    <w:rsid w:val="0045179B"/>
    <w:rsid w:val="004519C7"/>
    <w:rsid w:val="00451B76"/>
    <w:rsid w:val="00451E56"/>
    <w:rsid w:val="0045243A"/>
    <w:rsid w:val="00452F72"/>
    <w:rsid w:val="004534F1"/>
    <w:rsid w:val="004536C1"/>
    <w:rsid w:val="00453D61"/>
    <w:rsid w:val="00454209"/>
    <w:rsid w:val="004543B1"/>
    <w:rsid w:val="0045542E"/>
    <w:rsid w:val="00455592"/>
    <w:rsid w:val="00455729"/>
    <w:rsid w:val="00455B13"/>
    <w:rsid w:val="00456286"/>
    <w:rsid w:val="004562E2"/>
    <w:rsid w:val="0045728F"/>
    <w:rsid w:val="004576DE"/>
    <w:rsid w:val="00457AC4"/>
    <w:rsid w:val="004611CE"/>
    <w:rsid w:val="0046130D"/>
    <w:rsid w:val="0046154E"/>
    <w:rsid w:val="0046178D"/>
    <w:rsid w:val="00461B08"/>
    <w:rsid w:val="00461D6D"/>
    <w:rsid w:val="00461EF4"/>
    <w:rsid w:val="00461F22"/>
    <w:rsid w:val="00461F6E"/>
    <w:rsid w:val="00462120"/>
    <w:rsid w:val="00462485"/>
    <w:rsid w:val="00462793"/>
    <w:rsid w:val="00463145"/>
    <w:rsid w:val="004637AA"/>
    <w:rsid w:val="00463C1F"/>
    <w:rsid w:val="00464404"/>
    <w:rsid w:val="00465138"/>
    <w:rsid w:val="004651DD"/>
    <w:rsid w:val="0046527C"/>
    <w:rsid w:val="004652B9"/>
    <w:rsid w:val="00466030"/>
    <w:rsid w:val="00466FB2"/>
    <w:rsid w:val="004677A8"/>
    <w:rsid w:val="00467B67"/>
    <w:rsid w:val="004701C0"/>
    <w:rsid w:val="0047026C"/>
    <w:rsid w:val="00470B75"/>
    <w:rsid w:val="00470C5D"/>
    <w:rsid w:val="004712B8"/>
    <w:rsid w:val="00471789"/>
    <w:rsid w:val="00471902"/>
    <w:rsid w:val="00471B29"/>
    <w:rsid w:val="0047247D"/>
    <w:rsid w:val="004734C9"/>
    <w:rsid w:val="00473949"/>
    <w:rsid w:val="00473A84"/>
    <w:rsid w:val="00473C50"/>
    <w:rsid w:val="00475734"/>
    <w:rsid w:val="00475831"/>
    <w:rsid w:val="004764D2"/>
    <w:rsid w:val="00477185"/>
    <w:rsid w:val="004773BF"/>
    <w:rsid w:val="00477686"/>
    <w:rsid w:val="00477777"/>
    <w:rsid w:val="00480119"/>
    <w:rsid w:val="00480B3D"/>
    <w:rsid w:val="0048148A"/>
    <w:rsid w:val="004814E2"/>
    <w:rsid w:val="00481556"/>
    <w:rsid w:val="00481942"/>
    <w:rsid w:val="00481B98"/>
    <w:rsid w:val="0048207C"/>
    <w:rsid w:val="004820D3"/>
    <w:rsid w:val="00482573"/>
    <w:rsid w:val="004829DF"/>
    <w:rsid w:val="00482C53"/>
    <w:rsid w:val="00483B87"/>
    <w:rsid w:val="00483D62"/>
    <w:rsid w:val="004844C8"/>
    <w:rsid w:val="00484FC6"/>
    <w:rsid w:val="00485098"/>
    <w:rsid w:val="0048614F"/>
    <w:rsid w:val="00486187"/>
    <w:rsid w:val="0048651A"/>
    <w:rsid w:val="0048658B"/>
    <w:rsid w:val="00486B2D"/>
    <w:rsid w:val="004875B2"/>
    <w:rsid w:val="00487B92"/>
    <w:rsid w:val="00490145"/>
    <w:rsid w:val="00490DC5"/>
    <w:rsid w:val="00491A30"/>
    <w:rsid w:val="00491E2B"/>
    <w:rsid w:val="00492184"/>
    <w:rsid w:val="00492474"/>
    <w:rsid w:val="00492AFF"/>
    <w:rsid w:val="00492B71"/>
    <w:rsid w:val="00492CEE"/>
    <w:rsid w:val="00493542"/>
    <w:rsid w:val="00493D30"/>
    <w:rsid w:val="004945B1"/>
    <w:rsid w:val="0049460D"/>
    <w:rsid w:val="00494EA9"/>
    <w:rsid w:val="00494F2D"/>
    <w:rsid w:val="0049527D"/>
    <w:rsid w:val="004953F2"/>
    <w:rsid w:val="004955BE"/>
    <w:rsid w:val="004957C4"/>
    <w:rsid w:val="0049585B"/>
    <w:rsid w:val="00495F51"/>
    <w:rsid w:val="00497011"/>
    <w:rsid w:val="00497884"/>
    <w:rsid w:val="004979E9"/>
    <w:rsid w:val="004A0573"/>
    <w:rsid w:val="004A1257"/>
    <w:rsid w:val="004A16BA"/>
    <w:rsid w:val="004A1B9A"/>
    <w:rsid w:val="004A1FEB"/>
    <w:rsid w:val="004A233D"/>
    <w:rsid w:val="004A2C77"/>
    <w:rsid w:val="004A3268"/>
    <w:rsid w:val="004A3810"/>
    <w:rsid w:val="004A3DAE"/>
    <w:rsid w:val="004A3DAF"/>
    <w:rsid w:val="004A3E8E"/>
    <w:rsid w:val="004A3FA5"/>
    <w:rsid w:val="004A446B"/>
    <w:rsid w:val="004A54D8"/>
    <w:rsid w:val="004A57D8"/>
    <w:rsid w:val="004A5940"/>
    <w:rsid w:val="004A650D"/>
    <w:rsid w:val="004A6B93"/>
    <w:rsid w:val="004A6BFE"/>
    <w:rsid w:val="004A6E5D"/>
    <w:rsid w:val="004A7708"/>
    <w:rsid w:val="004A7A3C"/>
    <w:rsid w:val="004A7DE1"/>
    <w:rsid w:val="004B047A"/>
    <w:rsid w:val="004B0505"/>
    <w:rsid w:val="004B094D"/>
    <w:rsid w:val="004B174C"/>
    <w:rsid w:val="004B1898"/>
    <w:rsid w:val="004B1A02"/>
    <w:rsid w:val="004B1A49"/>
    <w:rsid w:val="004B237E"/>
    <w:rsid w:val="004B26F0"/>
    <w:rsid w:val="004B2D6C"/>
    <w:rsid w:val="004B2EDF"/>
    <w:rsid w:val="004B2F8B"/>
    <w:rsid w:val="004B3527"/>
    <w:rsid w:val="004B38E9"/>
    <w:rsid w:val="004B3C4F"/>
    <w:rsid w:val="004B40B7"/>
    <w:rsid w:val="004B4605"/>
    <w:rsid w:val="004B4793"/>
    <w:rsid w:val="004B4AB6"/>
    <w:rsid w:val="004B4B2B"/>
    <w:rsid w:val="004B5C59"/>
    <w:rsid w:val="004B5D6A"/>
    <w:rsid w:val="004B6197"/>
    <w:rsid w:val="004B61E6"/>
    <w:rsid w:val="004B62BA"/>
    <w:rsid w:val="004B6517"/>
    <w:rsid w:val="004B6765"/>
    <w:rsid w:val="004B6C0C"/>
    <w:rsid w:val="004B6C21"/>
    <w:rsid w:val="004B7532"/>
    <w:rsid w:val="004B758B"/>
    <w:rsid w:val="004B76C7"/>
    <w:rsid w:val="004B7831"/>
    <w:rsid w:val="004B7877"/>
    <w:rsid w:val="004C061C"/>
    <w:rsid w:val="004C0B3A"/>
    <w:rsid w:val="004C1DFC"/>
    <w:rsid w:val="004C28F4"/>
    <w:rsid w:val="004C2B53"/>
    <w:rsid w:val="004C2CBE"/>
    <w:rsid w:val="004C2FB2"/>
    <w:rsid w:val="004C301D"/>
    <w:rsid w:val="004C3313"/>
    <w:rsid w:val="004C3554"/>
    <w:rsid w:val="004C3A18"/>
    <w:rsid w:val="004C4348"/>
    <w:rsid w:val="004C48BA"/>
    <w:rsid w:val="004C4C10"/>
    <w:rsid w:val="004C50BC"/>
    <w:rsid w:val="004C5ABC"/>
    <w:rsid w:val="004C5D7A"/>
    <w:rsid w:val="004C5F60"/>
    <w:rsid w:val="004C63E4"/>
    <w:rsid w:val="004C6D5C"/>
    <w:rsid w:val="004C786D"/>
    <w:rsid w:val="004C7DFA"/>
    <w:rsid w:val="004D06F7"/>
    <w:rsid w:val="004D0CE9"/>
    <w:rsid w:val="004D0F10"/>
    <w:rsid w:val="004D1D82"/>
    <w:rsid w:val="004D1F4F"/>
    <w:rsid w:val="004D2703"/>
    <w:rsid w:val="004D2A08"/>
    <w:rsid w:val="004D3C10"/>
    <w:rsid w:val="004D441F"/>
    <w:rsid w:val="004D44FA"/>
    <w:rsid w:val="004D49C6"/>
    <w:rsid w:val="004D4A45"/>
    <w:rsid w:val="004D4DA1"/>
    <w:rsid w:val="004D509F"/>
    <w:rsid w:val="004D5175"/>
    <w:rsid w:val="004D56B0"/>
    <w:rsid w:val="004D5B34"/>
    <w:rsid w:val="004D5BC9"/>
    <w:rsid w:val="004D6991"/>
    <w:rsid w:val="004D6B5B"/>
    <w:rsid w:val="004D7978"/>
    <w:rsid w:val="004E045C"/>
    <w:rsid w:val="004E0984"/>
    <w:rsid w:val="004E0D27"/>
    <w:rsid w:val="004E0E62"/>
    <w:rsid w:val="004E0F73"/>
    <w:rsid w:val="004E20F6"/>
    <w:rsid w:val="004E2216"/>
    <w:rsid w:val="004E2BA2"/>
    <w:rsid w:val="004E3089"/>
    <w:rsid w:val="004E311F"/>
    <w:rsid w:val="004E3634"/>
    <w:rsid w:val="004E37ED"/>
    <w:rsid w:val="004E3824"/>
    <w:rsid w:val="004E38B1"/>
    <w:rsid w:val="004E3EC3"/>
    <w:rsid w:val="004E4158"/>
    <w:rsid w:val="004E4412"/>
    <w:rsid w:val="004E4712"/>
    <w:rsid w:val="004E52AF"/>
    <w:rsid w:val="004E59BA"/>
    <w:rsid w:val="004E6686"/>
    <w:rsid w:val="004E70CA"/>
    <w:rsid w:val="004E7616"/>
    <w:rsid w:val="004E779E"/>
    <w:rsid w:val="004F02D1"/>
    <w:rsid w:val="004F105D"/>
    <w:rsid w:val="004F1A15"/>
    <w:rsid w:val="004F2039"/>
    <w:rsid w:val="004F219D"/>
    <w:rsid w:val="004F25C6"/>
    <w:rsid w:val="004F311F"/>
    <w:rsid w:val="004F3596"/>
    <w:rsid w:val="004F3601"/>
    <w:rsid w:val="004F3730"/>
    <w:rsid w:val="004F420A"/>
    <w:rsid w:val="004F454D"/>
    <w:rsid w:val="004F479F"/>
    <w:rsid w:val="004F4CA0"/>
    <w:rsid w:val="004F4DCB"/>
    <w:rsid w:val="004F595C"/>
    <w:rsid w:val="004F5C25"/>
    <w:rsid w:val="004F6E87"/>
    <w:rsid w:val="004F7BCD"/>
    <w:rsid w:val="004F7EFA"/>
    <w:rsid w:val="0050007B"/>
    <w:rsid w:val="00500531"/>
    <w:rsid w:val="00500540"/>
    <w:rsid w:val="00500615"/>
    <w:rsid w:val="0050068E"/>
    <w:rsid w:val="0050076B"/>
    <w:rsid w:val="005009F2"/>
    <w:rsid w:val="00500D12"/>
    <w:rsid w:val="0050136E"/>
    <w:rsid w:val="00501CC9"/>
    <w:rsid w:val="0050230E"/>
    <w:rsid w:val="00502D52"/>
    <w:rsid w:val="00502F77"/>
    <w:rsid w:val="00503378"/>
    <w:rsid w:val="00503D75"/>
    <w:rsid w:val="0050493A"/>
    <w:rsid w:val="005050EC"/>
    <w:rsid w:val="0050555F"/>
    <w:rsid w:val="00505782"/>
    <w:rsid w:val="005064A2"/>
    <w:rsid w:val="00506AB7"/>
    <w:rsid w:val="00506F39"/>
    <w:rsid w:val="0050705C"/>
    <w:rsid w:val="00507402"/>
    <w:rsid w:val="00507A04"/>
    <w:rsid w:val="00507A64"/>
    <w:rsid w:val="005106E2"/>
    <w:rsid w:val="00510FA8"/>
    <w:rsid w:val="0051102E"/>
    <w:rsid w:val="005112C6"/>
    <w:rsid w:val="00511500"/>
    <w:rsid w:val="0051192F"/>
    <w:rsid w:val="00511992"/>
    <w:rsid w:val="00511EB5"/>
    <w:rsid w:val="005122B4"/>
    <w:rsid w:val="00512A4C"/>
    <w:rsid w:val="00513032"/>
    <w:rsid w:val="0051339F"/>
    <w:rsid w:val="005142A0"/>
    <w:rsid w:val="00514370"/>
    <w:rsid w:val="00514861"/>
    <w:rsid w:val="00514A1D"/>
    <w:rsid w:val="005156CA"/>
    <w:rsid w:val="00515BB3"/>
    <w:rsid w:val="00516052"/>
    <w:rsid w:val="00516E39"/>
    <w:rsid w:val="00517413"/>
    <w:rsid w:val="005178BA"/>
    <w:rsid w:val="005178CD"/>
    <w:rsid w:val="00517EBE"/>
    <w:rsid w:val="005207B9"/>
    <w:rsid w:val="005209CB"/>
    <w:rsid w:val="00520A5D"/>
    <w:rsid w:val="00520AA9"/>
    <w:rsid w:val="00520B32"/>
    <w:rsid w:val="00520C58"/>
    <w:rsid w:val="00520F40"/>
    <w:rsid w:val="00521380"/>
    <w:rsid w:val="0052151F"/>
    <w:rsid w:val="00521ABF"/>
    <w:rsid w:val="00522079"/>
    <w:rsid w:val="0052261E"/>
    <w:rsid w:val="00522810"/>
    <w:rsid w:val="005229B8"/>
    <w:rsid w:val="00522B85"/>
    <w:rsid w:val="00522CBE"/>
    <w:rsid w:val="00522CF3"/>
    <w:rsid w:val="00523918"/>
    <w:rsid w:val="00524151"/>
    <w:rsid w:val="0052473F"/>
    <w:rsid w:val="0052497C"/>
    <w:rsid w:val="00524AA5"/>
    <w:rsid w:val="00524B77"/>
    <w:rsid w:val="00524D9C"/>
    <w:rsid w:val="00524DA9"/>
    <w:rsid w:val="005254F1"/>
    <w:rsid w:val="00525DC6"/>
    <w:rsid w:val="00525E2B"/>
    <w:rsid w:val="00525EC6"/>
    <w:rsid w:val="00525F39"/>
    <w:rsid w:val="0052632A"/>
    <w:rsid w:val="005270AF"/>
    <w:rsid w:val="0052749D"/>
    <w:rsid w:val="0052780E"/>
    <w:rsid w:val="0052789D"/>
    <w:rsid w:val="00527C25"/>
    <w:rsid w:val="00530838"/>
    <w:rsid w:val="00530D5B"/>
    <w:rsid w:val="0053160D"/>
    <w:rsid w:val="005317E6"/>
    <w:rsid w:val="00531EEA"/>
    <w:rsid w:val="0053209C"/>
    <w:rsid w:val="005327EB"/>
    <w:rsid w:val="00532EAB"/>
    <w:rsid w:val="00532EAC"/>
    <w:rsid w:val="005330E4"/>
    <w:rsid w:val="00533234"/>
    <w:rsid w:val="0053345A"/>
    <w:rsid w:val="00533983"/>
    <w:rsid w:val="00533C53"/>
    <w:rsid w:val="00533CF7"/>
    <w:rsid w:val="00534D21"/>
    <w:rsid w:val="0053535D"/>
    <w:rsid w:val="005355AC"/>
    <w:rsid w:val="005363BA"/>
    <w:rsid w:val="005367B9"/>
    <w:rsid w:val="00536F0C"/>
    <w:rsid w:val="0053755A"/>
    <w:rsid w:val="00537DA1"/>
    <w:rsid w:val="00537DB0"/>
    <w:rsid w:val="00540118"/>
    <w:rsid w:val="005402F6"/>
    <w:rsid w:val="0054069C"/>
    <w:rsid w:val="005408CA"/>
    <w:rsid w:val="00540DE2"/>
    <w:rsid w:val="00541400"/>
    <w:rsid w:val="0054186D"/>
    <w:rsid w:val="00541DE4"/>
    <w:rsid w:val="0054217F"/>
    <w:rsid w:val="00542653"/>
    <w:rsid w:val="0054288D"/>
    <w:rsid w:val="005428D4"/>
    <w:rsid w:val="00542C06"/>
    <w:rsid w:val="005436BF"/>
    <w:rsid w:val="00543953"/>
    <w:rsid w:val="00543C7E"/>
    <w:rsid w:val="00543D63"/>
    <w:rsid w:val="00543FBE"/>
    <w:rsid w:val="00543FDB"/>
    <w:rsid w:val="005445CB"/>
    <w:rsid w:val="00544DA9"/>
    <w:rsid w:val="00545083"/>
    <w:rsid w:val="0054538A"/>
    <w:rsid w:val="005459A4"/>
    <w:rsid w:val="005459D3"/>
    <w:rsid w:val="005461BB"/>
    <w:rsid w:val="00546711"/>
    <w:rsid w:val="00547290"/>
    <w:rsid w:val="0054749B"/>
    <w:rsid w:val="00547667"/>
    <w:rsid w:val="005501EC"/>
    <w:rsid w:val="005505E2"/>
    <w:rsid w:val="0055061C"/>
    <w:rsid w:val="00550EAA"/>
    <w:rsid w:val="00551BD1"/>
    <w:rsid w:val="00552453"/>
    <w:rsid w:val="00552FA2"/>
    <w:rsid w:val="00553245"/>
    <w:rsid w:val="005536B5"/>
    <w:rsid w:val="00553B31"/>
    <w:rsid w:val="00553D0E"/>
    <w:rsid w:val="005542A4"/>
    <w:rsid w:val="005542F5"/>
    <w:rsid w:val="00554759"/>
    <w:rsid w:val="00555326"/>
    <w:rsid w:val="0055551B"/>
    <w:rsid w:val="00555BC1"/>
    <w:rsid w:val="00555CAA"/>
    <w:rsid w:val="00555EBF"/>
    <w:rsid w:val="00556AF9"/>
    <w:rsid w:val="00557176"/>
    <w:rsid w:val="00557283"/>
    <w:rsid w:val="00557328"/>
    <w:rsid w:val="00557728"/>
    <w:rsid w:val="005577F5"/>
    <w:rsid w:val="00557B3F"/>
    <w:rsid w:val="0056061B"/>
    <w:rsid w:val="00560667"/>
    <w:rsid w:val="00560D44"/>
    <w:rsid w:val="00560DAA"/>
    <w:rsid w:val="00560FCA"/>
    <w:rsid w:val="00561A1B"/>
    <w:rsid w:val="00561B4C"/>
    <w:rsid w:val="00561CE1"/>
    <w:rsid w:val="00562184"/>
    <w:rsid w:val="00562580"/>
    <w:rsid w:val="00562975"/>
    <w:rsid w:val="00563088"/>
    <w:rsid w:val="0056319B"/>
    <w:rsid w:val="005638FD"/>
    <w:rsid w:val="00563A74"/>
    <w:rsid w:val="00563C04"/>
    <w:rsid w:val="0056454B"/>
    <w:rsid w:val="00564914"/>
    <w:rsid w:val="00564D87"/>
    <w:rsid w:val="005650B0"/>
    <w:rsid w:val="005653FA"/>
    <w:rsid w:val="00566B08"/>
    <w:rsid w:val="00566C9E"/>
    <w:rsid w:val="00566F83"/>
    <w:rsid w:val="0056721A"/>
    <w:rsid w:val="00570791"/>
    <w:rsid w:val="0057084D"/>
    <w:rsid w:val="00570D0F"/>
    <w:rsid w:val="0057161C"/>
    <w:rsid w:val="005725BB"/>
    <w:rsid w:val="00572BE3"/>
    <w:rsid w:val="00572C04"/>
    <w:rsid w:val="00573359"/>
    <w:rsid w:val="005734AA"/>
    <w:rsid w:val="00573A64"/>
    <w:rsid w:val="00573C66"/>
    <w:rsid w:val="00573EAF"/>
    <w:rsid w:val="005742ED"/>
    <w:rsid w:val="005746E1"/>
    <w:rsid w:val="00574A3C"/>
    <w:rsid w:val="00576D7B"/>
    <w:rsid w:val="005771F7"/>
    <w:rsid w:val="00577463"/>
    <w:rsid w:val="0057764E"/>
    <w:rsid w:val="00580AAA"/>
    <w:rsid w:val="00581A04"/>
    <w:rsid w:val="00581AD2"/>
    <w:rsid w:val="00581E34"/>
    <w:rsid w:val="0058235B"/>
    <w:rsid w:val="00583004"/>
    <w:rsid w:val="0058306C"/>
    <w:rsid w:val="005839FF"/>
    <w:rsid w:val="0058477F"/>
    <w:rsid w:val="005848FD"/>
    <w:rsid w:val="00584F2A"/>
    <w:rsid w:val="00585487"/>
    <w:rsid w:val="00585533"/>
    <w:rsid w:val="00585A1A"/>
    <w:rsid w:val="00585F61"/>
    <w:rsid w:val="00585FA9"/>
    <w:rsid w:val="0058619F"/>
    <w:rsid w:val="0058633F"/>
    <w:rsid w:val="00587BB6"/>
    <w:rsid w:val="00587BC2"/>
    <w:rsid w:val="00587E74"/>
    <w:rsid w:val="00587E7A"/>
    <w:rsid w:val="00590253"/>
    <w:rsid w:val="00590595"/>
    <w:rsid w:val="005907B3"/>
    <w:rsid w:val="005907E1"/>
    <w:rsid w:val="00591E60"/>
    <w:rsid w:val="00593EC8"/>
    <w:rsid w:val="005944CE"/>
    <w:rsid w:val="0059521F"/>
    <w:rsid w:val="0059565F"/>
    <w:rsid w:val="00595877"/>
    <w:rsid w:val="00595D28"/>
    <w:rsid w:val="005962FE"/>
    <w:rsid w:val="00596367"/>
    <w:rsid w:val="00596434"/>
    <w:rsid w:val="00596A8C"/>
    <w:rsid w:val="005971AB"/>
    <w:rsid w:val="0059777A"/>
    <w:rsid w:val="00597D21"/>
    <w:rsid w:val="005A10CD"/>
    <w:rsid w:val="005A1677"/>
    <w:rsid w:val="005A1A3F"/>
    <w:rsid w:val="005A23DF"/>
    <w:rsid w:val="005A325C"/>
    <w:rsid w:val="005A38B9"/>
    <w:rsid w:val="005A3C77"/>
    <w:rsid w:val="005A4144"/>
    <w:rsid w:val="005A4292"/>
    <w:rsid w:val="005A4445"/>
    <w:rsid w:val="005A462B"/>
    <w:rsid w:val="005A4D5A"/>
    <w:rsid w:val="005A562C"/>
    <w:rsid w:val="005A6B83"/>
    <w:rsid w:val="005A6DC3"/>
    <w:rsid w:val="005A76CE"/>
    <w:rsid w:val="005A799A"/>
    <w:rsid w:val="005A7B70"/>
    <w:rsid w:val="005A7D0A"/>
    <w:rsid w:val="005B0367"/>
    <w:rsid w:val="005B1204"/>
    <w:rsid w:val="005B1945"/>
    <w:rsid w:val="005B1D97"/>
    <w:rsid w:val="005B1DA4"/>
    <w:rsid w:val="005B1EDD"/>
    <w:rsid w:val="005B2F89"/>
    <w:rsid w:val="005B32B8"/>
    <w:rsid w:val="005B3592"/>
    <w:rsid w:val="005B4384"/>
    <w:rsid w:val="005B49C8"/>
    <w:rsid w:val="005B4D24"/>
    <w:rsid w:val="005B4EF7"/>
    <w:rsid w:val="005B51A5"/>
    <w:rsid w:val="005B51D4"/>
    <w:rsid w:val="005B5441"/>
    <w:rsid w:val="005B5635"/>
    <w:rsid w:val="005B6050"/>
    <w:rsid w:val="005B6AC8"/>
    <w:rsid w:val="005B73FB"/>
    <w:rsid w:val="005B7669"/>
    <w:rsid w:val="005C04D1"/>
    <w:rsid w:val="005C078E"/>
    <w:rsid w:val="005C0C76"/>
    <w:rsid w:val="005C1274"/>
    <w:rsid w:val="005C18D0"/>
    <w:rsid w:val="005C1B05"/>
    <w:rsid w:val="005C1C0F"/>
    <w:rsid w:val="005C2265"/>
    <w:rsid w:val="005C314A"/>
    <w:rsid w:val="005C3A6A"/>
    <w:rsid w:val="005C3AEB"/>
    <w:rsid w:val="005C45DC"/>
    <w:rsid w:val="005C4725"/>
    <w:rsid w:val="005C4CC2"/>
    <w:rsid w:val="005C4CF4"/>
    <w:rsid w:val="005C4DB7"/>
    <w:rsid w:val="005C4DDB"/>
    <w:rsid w:val="005C522C"/>
    <w:rsid w:val="005C68D8"/>
    <w:rsid w:val="005C69B7"/>
    <w:rsid w:val="005C6D0F"/>
    <w:rsid w:val="005C6DD5"/>
    <w:rsid w:val="005C6E3C"/>
    <w:rsid w:val="005C6EA9"/>
    <w:rsid w:val="005C738D"/>
    <w:rsid w:val="005C78E5"/>
    <w:rsid w:val="005C7DA7"/>
    <w:rsid w:val="005D07C1"/>
    <w:rsid w:val="005D159D"/>
    <w:rsid w:val="005D1990"/>
    <w:rsid w:val="005D1B8F"/>
    <w:rsid w:val="005D2F42"/>
    <w:rsid w:val="005D326D"/>
    <w:rsid w:val="005D36C0"/>
    <w:rsid w:val="005D40C0"/>
    <w:rsid w:val="005D4291"/>
    <w:rsid w:val="005D4B64"/>
    <w:rsid w:val="005D4E4C"/>
    <w:rsid w:val="005D50B0"/>
    <w:rsid w:val="005D5814"/>
    <w:rsid w:val="005D5A84"/>
    <w:rsid w:val="005D5C40"/>
    <w:rsid w:val="005D5C5E"/>
    <w:rsid w:val="005D5DA3"/>
    <w:rsid w:val="005D6736"/>
    <w:rsid w:val="005D6850"/>
    <w:rsid w:val="005D7CCA"/>
    <w:rsid w:val="005D7E6B"/>
    <w:rsid w:val="005E0B45"/>
    <w:rsid w:val="005E0E7C"/>
    <w:rsid w:val="005E1DA7"/>
    <w:rsid w:val="005E1EB5"/>
    <w:rsid w:val="005E1F56"/>
    <w:rsid w:val="005E298B"/>
    <w:rsid w:val="005E2C84"/>
    <w:rsid w:val="005E3617"/>
    <w:rsid w:val="005E3E69"/>
    <w:rsid w:val="005E4074"/>
    <w:rsid w:val="005E41D1"/>
    <w:rsid w:val="005E447A"/>
    <w:rsid w:val="005E460B"/>
    <w:rsid w:val="005E4DFC"/>
    <w:rsid w:val="005E504C"/>
    <w:rsid w:val="005E5543"/>
    <w:rsid w:val="005E6499"/>
    <w:rsid w:val="005E64E1"/>
    <w:rsid w:val="005E6716"/>
    <w:rsid w:val="005E67CA"/>
    <w:rsid w:val="005E6913"/>
    <w:rsid w:val="005E6C35"/>
    <w:rsid w:val="005E71F7"/>
    <w:rsid w:val="005F05B8"/>
    <w:rsid w:val="005F07A9"/>
    <w:rsid w:val="005F12FC"/>
    <w:rsid w:val="005F1C2E"/>
    <w:rsid w:val="005F28BD"/>
    <w:rsid w:val="005F3512"/>
    <w:rsid w:val="005F3AD6"/>
    <w:rsid w:val="005F3E91"/>
    <w:rsid w:val="005F3F3F"/>
    <w:rsid w:val="005F5736"/>
    <w:rsid w:val="005F6113"/>
    <w:rsid w:val="005F634B"/>
    <w:rsid w:val="005F6400"/>
    <w:rsid w:val="005F67CC"/>
    <w:rsid w:val="005F723C"/>
    <w:rsid w:val="005F7AF1"/>
    <w:rsid w:val="005F7B3B"/>
    <w:rsid w:val="0060012F"/>
    <w:rsid w:val="0060017F"/>
    <w:rsid w:val="0060032C"/>
    <w:rsid w:val="00600502"/>
    <w:rsid w:val="00600523"/>
    <w:rsid w:val="0060059C"/>
    <w:rsid w:val="006007C8"/>
    <w:rsid w:val="00601E0B"/>
    <w:rsid w:val="00601F39"/>
    <w:rsid w:val="006021ED"/>
    <w:rsid w:val="00602C4A"/>
    <w:rsid w:val="006030FC"/>
    <w:rsid w:val="006037D9"/>
    <w:rsid w:val="00603CB9"/>
    <w:rsid w:val="00604A8D"/>
    <w:rsid w:val="00604CF8"/>
    <w:rsid w:val="00604D16"/>
    <w:rsid w:val="00605343"/>
    <w:rsid w:val="00606218"/>
    <w:rsid w:val="00606798"/>
    <w:rsid w:val="006071B9"/>
    <w:rsid w:val="006074FB"/>
    <w:rsid w:val="00607FD1"/>
    <w:rsid w:val="00610527"/>
    <w:rsid w:val="00610A3A"/>
    <w:rsid w:val="00610A3C"/>
    <w:rsid w:val="00610A42"/>
    <w:rsid w:val="006116FB"/>
    <w:rsid w:val="00611804"/>
    <w:rsid w:val="00611AA6"/>
    <w:rsid w:val="00612039"/>
    <w:rsid w:val="00612081"/>
    <w:rsid w:val="0061221B"/>
    <w:rsid w:val="00612691"/>
    <w:rsid w:val="00613036"/>
    <w:rsid w:val="00613121"/>
    <w:rsid w:val="00613A72"/>
    <w:rsid w:val="00613B9C"/>
    <w:rsid w:val="00614101"/>
    <w:rsid w:val="00614478"/>
    <w:rsid w:val="00614F4D"/>
    <w:rsid w:val="00615500"/>
    <w:rsid w:val="00615598"/>
    <w:rsid w:val="00615CE5"/>
    <w:rsid w:val="00615EFE"/>
    <w:rsid w:val="00616126"/>
    <w:rsid w:val="006166DD"/>
    <w:rsid w:val="00616CA4"/>
    <w:rsid w:val="00616D44"/>
    <w:rsid w:val="006179CE"/>
    <w:rsid w:val="00620191"/>
    <w:rsid w:val="00620CFA"/>
    <w:rsid w:val="0062154F"/>
    <w:rsid w:val="006226B5"/>
    <w:rsid w:val="0062286C"/>
    <w:rsid w:val="00624345"/>
    <w:rsid w:val="00625171"/>
    <w:rsid w:val="00625BD7"/>
    <w:rsid w:val="00625C27"/>
    <w:rsid w:val="00626634"/>
    <w:rsid w:val="006269FC"/>
    <w:rsid w:val="00626B33"/>
    <w:rsid w:val="00627E34"/>
    <w:rsid w:val="00627F6C"/>
    <w:rsid w:val="00630330"/>
    <w:rsid w:val="0063037A"/>
    <w:rsid w:val="0063082C"/>
    <w:rsid w:val="00631D01"/>
    <w:rsid w:val="00632157"/>
    <w:rsid w:val="0063235D"/>
    <w:rsid w:val="00632F1C"/>
    <w:rsid w:val="006337E2"/>
    <w:rsid w:val="00633CCE"/>
    <w:rsid w:val="00633ED2"/>
    <w:rsid w:val="006344C5"/>
    <w:rsid w:val="0063497C"/>
    <w:rsid w:val="006358B6"/>
    <w:rsid w:val="00635D69"/>
    <w:rsid w:val="00636398"/>
    <w:rsid w:val="0063676A"/>
    <w:rsid w:val="006368A2"/>
    <w:rsid w:val="00636C67"/>
    <w:rsid w:val="0063716A"/>
    <w:rsid w:val="006372A8"/>
    <w:rsid w:val="00637378"/>
    <w:rsid w:val="006379DE"/>
    <w:rsid w:val="00640245"/>
    <w:rsid w:val="0064193A"/>
    <w:rsid w:val="00641C20"/>
    <w:rsid w:val="00641E78"/>
    <w:rsid w:val="0064262C"/>
    <w:rsid w:val="00642FBF"/>
    <w:rsid w:val="006433AB"/>
    <w:rsid w:val="00643AE9"/>
    <w:rsid w:val="00643B3C"/>
    <w:rsid w:val="006447E9"/>
    <w:rsid w:val="006447ED"/>
    <w:rsid w:val="00644827"/>
    <w:rsid w:val="00644DD5"/>
    <w:rsid w:val="00645503"/>
    <w:rsid w:val="006469CB"/>
    <w:rsid w:val="00646D31"/>
    <w:rsid w:val="00646E1B"/>
    <w:rsid w:val="00646E8E"/>
    <w:rsid w:val="006471A3"/>
    <w:rsid w:val="0064732E"/>
    <w:rsid w:val="006473B5"/>
    <w:rsid w:val="0064747D"/>
    <w:rsid w:val="0064758E"/>
    <w:rsid w:val="006507F3"/>
    <w:rsid w:val="00651384"/>
    <w:rsid w:val="006513A9"/>
    <w:rsid w:val="0065167E"/>
    <w:rsid w:val="00651D56"/>
    <w:rsid w:val="006520F9"/>
    <w:rsid w:val="00652ABC"/>
    <w:rsid w:val="00653297"/>
    <w:rsid w:val="0065336C"/>
    <w:rsid w:val="00653595"/>
    <w:rsid w:val="00653636"/>
    <w:rsid w:val="00653FE1"/>
    <w:rsid w:val="00654A31"/>
    <w:rsid w:val="00654CE7"/>
    <w:rsid w:val="006550DC"/>
    <w:rsid w:val="00655192"/>
    <w:rsid w:val="00655B7F"/>
    <w:rsid w:val="00655F16"/>
    <w:rsid w:val="00656258"/>
    <w:rsid w:val="00657774"/>
    <w:rsid w:val="006608FE"/>
    <w:rsid w:val="00660962"/>
    <w:rsid w:val="0066110B"/>
    <w:rsid w:val="00661A42"/>
    <w:rsid w:val="00661E15"/>
    <w:rsid w:val="006629F1"/>
    <w:rsid w:val="00662A35"/>
    <w:rsid w:val="00662C5B"/>
    <w:rsid w:val="00662E64"/>
    <w:rsid w:val="00662FE8"/>
    <w:rsid w:val="006633B9"/>
    <w:rsid w:val="00663CD3"/>
    <w:rsid w:val="00663FAB"/>
    <w:rsid w:val="00664B81"/>
    <w:rsid w:val="00665A97"/>
    <w:rsid w:val="0066664B"/>
    <w:rsid w:val="0066665E"/>
    <w:rsid w:val="00667A36"/>
    <w:rsid w:val="0067079E"/>
    <w:rsid w:val="00670A47"/>
    <w:rsid w:val="00670F96"/>
    <w:rsid w:val="006712B9"/>
    <w:rsid w:val="00671658"/>
    <w:rsid w:val="00671B6C"/>
    <w:rsid w:val="00671CC4"/>
    <w:rsid w:val="006723A5"/>
    <w:rsid w:val="0067275C"/>
    <w:rsid w:val="0067288B"/>
    <w:rsid w:val="00672A0E"/>
    <w:rsid w:val="00672AF0"/>
    <w:rsid w:val="00672EAA"/>
    <w:rsid w:val="00673563"/>
    <w:rsid w:val="0067381B"/>
    <w:rsid w:val="006738A1"/>
    <w:rsid w:val="00674886"/>
    <w:rsid w:val="00674965"/>
    <w:rsid w:val="00674C03"/>
    <w:rsid w:val="00674E37"/>
    <w:rsid w:val="00674F0E"/>
    <w:rsid w:val="006751CC"/>
    <w:rsid w:val="0067592C"/>
    <w:rsid w:val="00675DF1"/>
    <w:rsid w:val="00676B69"/>
    <w:rsid w:val="006771FA"/>
    <w:rsid w:val="0067720E"/>
    <w:rsid w:val="00677E6C"/>
    <w:rsid w:val="0068043C"/>
    <w:rsid w:val="00680C36"/>
    <w:rsid w:val="006816CE"/>
    <w:rsid w:val="006818A6"/>
    <w:rsid w:val="00681C2B"/>
    <w:rsid w:val="006822CB"/>
    <w:rsid w:val="0068258C"/>
    <w:rsid w:val="00682D74"/>
    <w:rsid w:val="006830CC"/>
    <w:rsid w:val="00683A50"/>
    <w:rsid w:val="006846B9"/>
    <w:rsid w:val="00684817"/>
    <w:rsid w:val="00684CA5"/>
    <w:rsid w:val="00685134"/>
    <w:rsid w:val="006855FB"/>
    <w:rsid w:val="00685B94"/>
    <w:rsid w:val="00685EE0"/>
    <w:rsid w:val="00685FB7"/>
    <w:rsid w:val="0068768E"/>
    <w:rsid w:val="006876DB"/>
    <w:rsid w:val="0068780A"/>
    <w:rsid w:val="00690231"/>
    <w:rsid w:val="00691193"/>
    <w:rsid w:val="00691442"/>
    <w:rsid w:val="006915F4"/>
    <w:rsid w:val="00691709"/>
    <w:rsid w:val="006918A3"/>
    <w:rsid w:val="00691CF8"/>
    <w:rsid w:val="00692504"/>
    <w:rsid w:val="00693D0D"/>
    <w:rsid w:val="00693F2C"/>
    <w:rsid w:val="00693F8A"/>
    <w:rsid w:val="00694619"/>
    <w:rsid w:val="006950E9"/>
    <w:rsid w:val="00695387"/>
    <w:rsid w:val="0069576D"/>
    <w:rsid w:val="00695787"/>
    <w:rsid w:val="00695C17"/>
    <w:rsid w:val="006962F6"/>
    <w:rsid w:val="006967C9"/>
    <w:rsid w:val="00696AAA"/>
    <w:rsid w:val="00696E29"/>
    <w:rsid w:val="00696E43"/>
    <w:rsid w:val="0069749C"/>
    <w:rsid w:val="00697FD4"/>
    <w:rsid w:val="006A0912"/>
    <w:rsid w:val="006A11D3"/>
    <w:rsid w:val="006A1540"/>
    <w:rsid w:val="006A16DB"/>
    <w:rsid w:val="006A257C"/>
    <w:rsid w:val="006A2684"/>
    <w:rsid w:val="006A26F4"/>
    <w:rsid w:val="006A28FC"/>
    <w:rsid w:val="006A2ED4"/>
    <w:rsid w:val="006A3119"/>
    <w:rsid w:val="006A31B4"/>
    <w:rsid w:val="006A36DB"/>
    <w:rsid w:val="006A3FC4"/>
    <w:rsid w:val="006A4FE9"/>
    <w:rsid w:val="006A5244"/>
    <w:rsid w:val="006A5858"/>
    <w:rsid w:val="006A5AB4"/>
    <w:rsid w:val="006A5B8A"/>
    <w:rsid w:val="006A5BA1"/>
    <w:rsid w:val="006A5E20"/>
    <w:rsid w:val="006A5F93"/>
    <w:rsid w:val="006A6833"/>
    <w:rsid w:val="006A69E3"/>
    <w:rsid w:val="006A6C90"/>
    <w:rsid w:val="006A72F7"/>
    <w:rsid w:val="006A7B5C"/>
    <w:rsid w:val="006A7DA4"/>
    <w:rsid w:val="006A7F77"/>
    <w:rsid w:val="006B071F"/>
    <w:rsid w:val="006B0CC5"/>
    <w:rsid w:val="006B0EDB"/>
    <w:rsid w:val="006B12FE"/>
    <w:rsid w:val="006B17F4"/>
    <w:rsid w:val="006B200E"/>
    <w:rsid w:val="006B3DDF"/>
    <w:rsid w:val="006B3DE9"/>
    <w:rsid w:val="006B40F3"/>
    <w:rsid w:val="006B4B84"/>
    <w:rsid w:val="006B5413"/>
    <w:rsid w:val="006B545C"/>
    <w:rsid w:val="006B667A"/>
    <w:rsid w:val="006B6918"/>
    <w:rsid w:val="006B6B03"/>
    <w:rsid w:val="006B778A"/>
    <w:rsid w:val="006B7BCF"/>
    <w:rsid w:val="006B7EBA"/>
    <w:rsid w:val="006C0C12"/>
    <w:rsid w:val="006C103A"/>
    <w:rsid w:val="006C1ECA"/>
    <w:rsid w:val="006C3784"/>
    <w:rsid w:val="006C3B7D"/>
    <w:rsid w:val="006C3EFA"/>
    <w:rsid w:val="006C4513"/>
    <w:rsid w:val="006C4772"/>
    <w:rsid w:val="006C5367"/>
    <w:rsid w:val="006C621D"/>
    <w:rsid w:val="006C6CF5"/>
    <w:rsid w:val="006C79ED"/>
    <w:rsid w:val="006C7C7F"/>
    <w:rsid w:val="006C7E4A"/>
    <w:rsid w:val="006D00D2"/>
    <w:rsid w:val="006D04E8"/>
    <w:rsid w:val="006D0684"/>
    <w:rsid w:val="006D07AF"/>
    <w:rsid w:val="006D07ED"/>
    <w:rsid w:val="006D099E"/>
    <w:rsid w:val="006D0EB6"/>
    <w:rsid w:val="006D1195"/>
    <w:rsid w:val="006D129C"/>
    <w:rsid w:val="006D1DF4"/>
    <w:rsid w:val="006D23B5"/>
    <w:rsid w:val="006D2A81"/>
    <w:rsid w:val="006D2B72"/>
    <w:rsid w:val="006D2BEB"/>
    <w:rsid w:val="006D2C1D"/>
    <w:rsid w:val="006D3522"/>
    <w:rsid w:val="006D39B0"/>
    <w:rsid w:val="006D42B8"/>
    <w:rsid w:val="006D4398"/>
    <w:rsid w:val="006D480B"/>
    <w:rsid w:val="006D4827"/>
    <w:rsid w:val="006D4CA0"/>
    <w:rsid w:val="006D4D6D"/>
    <w:rsid w:val="006D5152"/>
    <w:rsid w:val="006D527E"/>
    <w:rsid w:val="006D5C77"/>
    <w:rsid w:val="006D6885"/>
    <w:rsid w:val="006D698C"/>
    <w:rsid w:val="006D6BF5"/>
    <w:rsid w:val="006D6C3A"/>
    <w:rsid w:val="006E06AC"/>
    <w:rsid w:val="006E094B"/>
    <w:rsid w:val="006E0DD9"/>
    <w:rsid w:val="006E1BD9"/>
    <w:rsid w:val="006E1C1B"/>
    <w:rsid w:val="006E1C1C"/>
    <w:rsid w:val="006E1EB0"/>
    <w:rsid w:val="006E2266"/>
    <w:rsid w:val="006E23F2"/>
    <w:rsid w:val="006E2AA2"/>
    <w:rsid w:val="006E2C9D"/>
    <w:rsid w:val="006E323D"/>
    <w:rsid w:val="006E3BA7"/>
    <w:rsid w:val="006E3DEA"/>
    <w:rsid w:val="006E4132"/>
    <w:rsid w:val="006E4258"/>
    <w:rsid w:val="006E4711"/>
    <w:rsid w:val="006E4C90"/>
    <w:rsid w:val="006E4D86"/>
    <w:rsid w:val="006E620B"/>
    <w:rsid w:val="006E6473"/>
    <w:rsid w:val="006E6999"/>
    <w:rsid w:val="006E6AB2"/>
    <w:rsid w:val="006E73ED"/>
    <w:rsid w:val="006E7710"/>
    <w:rsid w:val="006E790F"/>
    <w:rsid w:val="006E7BCF"/>
    <w:rsid w:val="006F08F9"/>
    <w:rsid w:val="006F0D96"/>
    <w:rsid w:val="006F109B"/>
    <w:rsid w:val="006F149B"/>
    <w:rsid w:val="006F18F6"/>
    <w:rsid w:val="006F1D44"/>
    <w:rsid w:val="006F1D76"/>
    <w:rsid w:val="006F1DE6"/>
    <w:rsid w:val="006F26E5"/>
    <w:rsid w:val="006F2A6A"/>
    <w:rsid w:val="006F2D4A"/>
    <w:rsid w:val="006F31FB"/>
    <w:rsid w:val="006F3628"/>
    <w:rsid w:val="006F3982"/>
    <w:rsid w:val="006F3AAC"/>
    <w:rsid w:val="006F420F"/>
    <w:rsid w:val="006F4611"/>
    <w:rsid w:val="006F4806"/>
    <w:rsid w:val="006F4830"/>
    <w:rsid w:val="006F4E1B"/>
    <w:rsid w:val="006F556A"/>
    <w:rsid w:val="006F5A34"/>
    <w:rsid w:val="006F5C93"/>
    <w:rsid w:val="006F638A"/>
    <w:rsid w:val="006F63E4"/>
    <w:rsid w:val="006F6957"/>
    <w:rsid w:val="006F6A54"/>
    <w:rsid w:val="006F6B1D"/>
    <w:rsid w:val="006F6BDF"/>
    <w:rsid w:val="006F6D3E"/>
    <w:rsid w:val="006F6F85"/>
    <w:rsid w:val="006F700C"/>
    <w:rsid w:val="006F7E98"/>
    <w:rsid w:val="007006BD"/>
    <w:rsid w:val="00700882"/>
    <w:rsid w:val="00701735"/>
    <w:rsid w:val="00702025"/>
    <w:rsid w:val="0070238A"/>
    <w:rsid w:val="00702471"/>
    <w:rsid w:val="007025E6"/>
    <w:rsid w:val="007026FF"/>
    <w:rsid w:val="00702EA5"/>
    <w:rsid w:val="00703216"/>
    <w:rsid w:val="00703254"/>
    <w:rsid w:val="00703B9E"/>
    <w:rsid w:val="00703DF6"/>
    <w:rsid w:val="00704010"/>
    <w:rsid w:val="007041F5"/>
    <w:rsid w:val="00704353"/>
    <w:rsid w:val="007045E1"/>
    <w:rsid w:val="00704AB2"/>
    <w:rsid w:val="00704BAB"/>
    <w:rsid w:val="00704DEE"/>
    <w:rsid w:val="0070542D"/>
    <w:rsid w:val="00706996"/>
    <w:rsid w:val="007069AB"/>
    <w:rsid w:val="00706D59"/>
    <w:rsid w:val="00706E9A"/>
    <w:rsid w:val="00707118"/>
    <w:rsid w:val="007078D8"/>
    <w:rsid w:val="00707A06"/>
    <w:rsid w:val="00707C1F"/>
    <w:rsid w:val="00707FBB"/>
    <w:rsid w:val="0071076B"/>
    <w:rsid w:val="007113FD"/>
    <w:rsid w:val="00711EA2"/>
    <w:rsid w:val="00712452"/>
    <w:rsid w:val="007124B5"/>
    <w:rsid w:val="007124B7"/>
    <w:rsid w:val="0071250C"/>
    <w:rsid w:val="00712A7A"/>
    <w:rsid w:val="00712C51"/>
    <w:rsid w:val="00712C87"/>
    <w:rsid w:val="00712C97"/>
    <w:rsid w:val="00712CA6"/>
    <w:rsid w:val="00712CD3"/>
    <w:rsid w:val="00712E9F"/>
    <w:rsid w:val="007137DA"/>
    <w:rsid w:val="0071396C"/>
    <w:rsid w:val="00713A7F"/>
    <w:rsid w:val="007144F4"/>
    <w:rsid w:val="00714621"/>
    <w:rsid w:val="007149CE"/>
    <w:rsid w:val="00715849"/>
    <w:rsid w:val="00716388"/>
    <w:rsid w:val="00716613"/>
    <w:rsid w:val="00716752"/>
    <w:rsid w:val="00717486"/>
    <w:rsid w:val="007177B7"/>
    <w:rsid w:val="00717E51"/>
    <w:rsid w:val="00717F59"/>
    <w:rsid w:val="00720029"/>
    <w:rsid w:val="00720916"/>
    <w:rsid w:val="0072177A"/>
    <w:rsid w:val="00721933"/>
    <w:rsid w:val="00721C63"/>
    <w:rsid w:val="007222E4"/>
    <w:rsid w:val="00722A8F"/>
    <w:rsid w:val="00722FE8"/>
    <w:rsid w:val="00722FFB"/>
    <w:rsid w:val="007233F4"/>
    <w:rsid w:val="0072357E"/>
    <w:rsid w:val="0072389D"/>
    <w:rsid w:val="007238A0"/>
    <w:rsid w:val="00724222"/>
    <w:rsid w:val="0072472A"/>
    <w:rsid w:val="0072496E"/>
    <w:rsid w:val="00725026"/>
    <w:rsid w:val="007250A6"/>
    <w:rsid w:val="00725300"/>
    <w:rsid w:val="0072533C"/>
    <w:rsid w:val="007258EB"/>
    <w:rsid w:val="007259C9"/>
    <w:rsid w:val="00725A01"/>
    <w:rsid w:val="00725D55"/>
    <w:rsid w:val="00725E83"/>
    <w:rsid w:val="007261CC"/>
    <w:rsid w:val="00726227"/>
    <w:rsid w:val="007266C8"/>
    <w:rsid w:val="00727062"/>
    <w:rsid w:val="00727584"/>
    <w:rsid w:val="007302E9"/>
    <w:rsid w:val="00730590"/>
    <w:rsid w:val="00730BB3"/>
    <w:rsid w:val="00731134"/>
    <w:rsid w:val="007311CE"/>
    <w:rsid w:val="00731452"/>
    <w:rsid w:val="00731F78"/>
    <w:rsid w:val="007327E0"/>
    <w:rsid w:val="00732A17"/>
    <w:rsid w:val="00732A39"/>
    <w:rsid w:val="00733026"/>
    <w:rsid w:val="007337F1"/>
    <w:rsid w:val="00734D66"/>
    <w:rsid w:val="00734E69"/>
    <w:rsid w:val="00735959"/>
    <w:rsid w:val="00735A3C"/>
    <w:rsid w:val="00736315"/>
    <w:rsid w:val="007366A5"/>
    <w:rsid w:val="00736960"/>
    <w:rsid w:val="00736988"/>
    <w:rsid w:val="00736CEF"/>
    <w:rsid w:val="00736F66"/>
    <w:rsid w:val="0073777F"/>
    <w:rsid w:val="007378A6"/>
    <w:rsid w:val="0074010B"/>
    <w:rsid w:val="0074054D"/>
    <w:rsid w:val="00740649"/>
    <w:rsid w:val="00740913"/>
    <w:rsid w:val="00740974"/>
    <w:rsid w:val="00740A38"/>
    <w:rsid w:val="00741D7C"/>
    <w:rsid w:val="007422D8"/>
    <w:rsid w:val="00742AA0"/>
    <w:rsid w:val="00742C4C"/>
    <w:rsid w:val="00743906"/>
    <w:rsid w:val="00743CF9"/>
    <w:rsid w:val="00744004"/>
    <w:rsid w:val="00744267"/>
    <w:rsid w:val="00744BC8"/>
    <w:rsid w:val="00745A1B"/>
    <w:rsid w:val="00746005"/>
    <w:rsid w:val="00746CF2"/>
    <w:rsid w:val="0074778A"/>
    <w:rsid w:val="0074783E"/>
    <w:rsid w:val="00747EBB"/>
    <w:rsid w:val="00747FBC"/>
    <w:rsid w:val="007501BE"/>
    <w:rsid w:val="00750477"/>
    <w:rsid w:val="00750558"/>
    <w:rsid w:val="00750593"/>
    <w:rsid w:val="00750B9B"/>
    <w:rsid w:val="007513FB"/>
    <w:rsid w:val="007519BA"/>
    <w:rsid w:val="00751D0E"/>
    <w:rsid w:val="00752E48"/>
    <w:rsid w:val="0075304A"/>
    <w:rsid w:val="007531F3"/>
    <w:rsid w:val="00753B0B"/>
    <w:rsid w:val="007549E9"/>
    <w:rsid w:val="00754D7A"/>
    <w:rsid w:val="0075544C"/>
    <w:rsid w:val="00755899"/>
    <w:rsid w:val="00755C67"/>
    <w:rsid w:val="0075664B"/>
    <w:rsid w:val="007606CD"/>
    <w:rsid w:val="007607BE"/>
    <w:rsid w:val="007607C6"/>
    <w:rsid w:val="0076089C"/>
    <w:rsid w:val="0076099E"/>
    <w:rsid w:val="007619E2"/>
    <w:rsid w:val="00761D40"/>
    <w:rsid w:val="007625B1"/>
    <w:rsid w:val="00762663"/>
    <w:rsid w:val="00763AD5"/>
    <w:rsid w:val="00764543"/>
    <w:rsid w:val="00765265"/>
    <w:rsid w:val="00765631"/>
    <w:rsid w:val="00766023"/>
    <w:rsid w:val="007662C7"/>
    <w:rsid w:val="0076656C"/>
    <w:rsid w:val="007669D6"/>
    <w:rsid w:val="00766BAF"/>
    <w:rsid w:val="00766FE7"/>
    <w:rsid w:val="00770143"/>
    <w:rsid w:val="00770352"/>
    <w:rsid w:val="00770772"/>
    <w:rsid w:val="00771019"/>
    <w:rsid w:val="00771682"/>
    <w:rsid w:val="00771B08"/>
    <w:rsid w:val="00772355"/>
    <w:rsid w:val="00773C63"/>
    <w:rsid w:val="00774165"/>
    <w:rsid w:val="007744F6"/>
    <w:rsid w:val="00774832"/>
    <w:rsid w:val="00775DCB"/>
    <w:rsid w:val="007763DC"/>
    <w:rsid w:val="007763E0"/>
    <w:rsid w:val="0077739A"/>
    <w:rsid w:val="00780310"/>
    <w:rsid w:val="007805BC"/>
    <w:rsid w:val="007805D8"/>
    <w:rsid w:val="00780EFC"/>
    <w:rsid w:val="007815E6"/>
    <w:rsid w:val="007815F5"/>
    <w:rsid w:val="00781C71"/>
    <w:rsid w:val="00781EC8"/>
    <w:rsid w:val="007828D8"/>
    <w:rsid w:val="00782A9E"/>
    <w:rsid w:val="00783195"/>
    <w:rsid w:val="007834F3"/>
    <w:rsid w:val="00783559"/>
    <w:rsid w:val="00783737"/>
    <w:rsid w:val="00783BCA"/>
    <w:rsid w:val="00784881"/>
    <w:rsid w:val="00784929"/>
    <w:rsid w:val="00784C54"/>
    <w:rsid w:val="007862C7"/>
    <w:rsid w:val="007867DB"/>
    <w:rsid w:val="0078696A"/>
    <w:rsid w:val="007869C4"/>
    <w:rsid w:val="00787085"/>
    <w:rsid w:val="007873BC"/>
    <w:rsid w:val="00787E92"/>
    <w:rsid w:val="0079003A"/>
    <w:rsid w:val="00790400"/>
    <w:rsid w:val="0079056D"/>
    <w:rsid w:val="0079072D"/>
    <w:rsid w:val="00790E32"/>
    <w:rsid w:val="007910B8"/>
    <w:rsid w:val="007918DA"/>
    <w:rsid w:val="00792585"/>
    <w:rsid w:val="00792EAA"/>
    <w:rsid w:val="007930B7"/>
    <w:rsid w:val="00793437"/>
    <w:rsid w:val="007934FE"/>
    <w:rsid w:val="00793894"/>
    <w:rsid w:val="00793F91"/>
    <w:rsid w:val="00794DE7"/>
    <w:rsid w:val="0079501E"/>
    <w:rsid w:val="007953D5"/>
    <w:rsid w:val="007959F2"/>
    <w:rsid w:val="00795A45"/>
    <w:rsid w:val="00796370"/>
    <w:rsid w:val="0079650F"/>
    <w:rsid w:val="007968FF"/>
    <w:rsid w:val="007969CD"/>
    <w:rsid w:val="00796B68"/>
    <w:rsid w:val="00796BB0"/>
    <w:rsid w:val="00796BEC"/>
    <w:rsid w:val="0079707F"/>
    <w:rsid w:val="007979FB"/>
    <w:rsid w:val="00797D77"/>
    <w:rsid w:val="007A0125"/>
    <w:rsid w:val="007A0617"/>
    <w:rsid w:val="007A0D33"/>
    <w:rsid w:val="007A0D99"/>
    <w:rsid w:val="007A1500"/>
    <w:rsid w:val="007A1561"/>
    <w:rsid w:val="007A16A4"/>
    <w:rsid w:val="007A16AC"/>
    <w:rsid w:val="007A1CC8"/>
    <w:rsid w:val="007A1E38"/>
    <w:rsid w:val="007A2501"/>
    <w:rsid w:val="007A2683"/>
    <w:rsid w:val="007A47A3"/>
    <w:rsid w:val="007A5361"/>
    <w:rsid w:val="007A54D8"/>
    <w:rsid w:val="007A5F24"/>
    <w:rsid w:val="007A5F93"/>
    <w:rsid w:val="007A622C"/>
    <w:rsid w:val="007A68AB"/>
    <w:rsid w:val="007A697A"/>
    <w:rsid w:val="007A6D4D"/>
    <w:rsid w:val="007A6E3A"/>
    <w:rsid w:val="007B024E"/>
    <w:rsid w:val="007B03C0"/>
    <w:rsid w:val="007B0F99"/>
    <w:rsid w:val="007B1169"/>
    <w:rsid w:val="007B1881"/>
    <w:rsid w:val="007B21A2"/>
    <w:rsid w:val="007B2925"/>
    <w:rsid w:val="007B2E87"/>
    <w:rsid w:val="007B3A34"/>
    <w:rsid w:val="007B3BDF"/>
    <w:rsid w:val="007B451D"/>
    <w:rsid w:val="007B48A4"/>
    <w:rsid w:val="007B53CF"/>
    <w:rsid w:val="007B5C66"/>
    <w:rsid w:val="007B5F3A"/>
    <w:rsid w:val="007B612C"/>
    <w:rsid w:val="007B6B85"/>
    <w:rsid w:val="007B7086"/>
    <w:rsid w:val="007B70CF"/>
    <w:rsid w:val="007B71B0"/>
    <w:rsid w:val="007C00C0"/>
    <w:rsid w:val="007C0533"/>
    <w:rsid w:val="007C0F61"/>
    <w:rsid w:val="007C1027"/>
    <w:rsid w:val="007C12F0"/>
    <w:rsid w:val="007C156E"/>
    <w:rsid w:val="007C174B"/>
    <w:rsid w:val="007C2019"/>
    <w:rsid w:val="007C2CA1"/>
    <w:rsid w:val="007C2FE9"/>
    <w:rsid w:val="007C354D"/>
    <w:rsid w:val="007C35C1"/>
    <w:rsid w:val="007C3DE3"/>
    <w:rsid w:val="007C4332"/>
    <w:rsid w:val="007C4FA9"/>
    <w:rsid w:val="007C5836"/>
    <w:rsid w:val="007C5F03"/>
    <w:rsid w:val="007C65AF"/>
    <w:rsid w:val="007C6A5E"/>
    <w:rsid w:val="007C6E22"/>
    <w:rsid w:val="007C6F4C"/>
    <w:rsid w:val="007C79AE"/>
    <w:rsid w:val="007C79DF"/>
    <w:rsid w:val="007C7C3B"/>
    <w:rsid w:val="007C7C5E"/>
    <w:rsid w:val="007C7CCB"/>
    <w:rsid w:val="007D0750"/>
    <w:rsid w:val="007D0A58"/>
    <w:rsid w:val="007D13BE"/>
    <w:rsid w:val="007D1AA6"/>
    <w:rsid w:val="007D1F86"/>
    <w:rsid w:val="007D2621"/>
    <w:rsid w:val="007D2B32"/>
    <w:rsid w:val="007D2BAB"/>
    <w:rsid w:val="007D3022"/>
    <w:rsid w:val="007D3085"/>
    <w:rsid w:val="007D3D5E"/>
    <w:rsid w:val="007D3F5C"/>
    <w:rsid w:val="007D4294"/>
    <w:rsid w:val="007D4755"/>
    <w:rsid w:val="007D4A2C"/>
    <w:rsid w:val="007D4BEA"/>
    <w:rsid w:val="007D50E6"/>
    <w:rsid w:val="007D541A"/>
    <w:rsid w:val="007D5FA7"/>
    <w:rsid w:val="007D6550"/>
    <w:rsid w:val="007D6B25"/>
    <w:rsid w:val="007D7050"/>
    <w:rsid w:val="007D7740"/>
    <w:rsid w:val="007D77B4"/>
    <w:rsid w:val="007D780E"/>
    <w:rsid w:val="007D794D"/>
    <w:rsid w:val="007E0637"/>
    <w:rsid w:val="007E1039"/>
    <w:rsid w:val="007E10F0"/>
    <w:rsid w:val="007E1618"/>
    <w:rsid w:val="007E1DF4"/>
    <w:rsid w:val="007E28D8"/>
    <w:rsid w:val="007E2A8A"/>
    <w:rsid w:val="007E2E90"/>
    <w:rsid w:val="007E36CE"/>
    <w:rsid w:val="007E3733"/>
    <w:rsid w:val="007E37AE"/>
    <w:rsid w:val="007E37BE"/>
    <w:rsid w:val="007E3A1A"/>
    <w:rsid w:val="007E4441"/>
    <w:rsid w:val="007E5068"/>
    <w:rsid w:val="007E63EB"/>
    <w:rsid w:val="007E66FC"/>
    <w:rsid w:val="007E73C6"/>
    <w:rsid w:val="007E7948"/>
    <w:rsid w:val="007F175D"/>
    <w:rsid w:val="007F1FCC"/>
    <w:rsid w:val="007F2525"/>
    <w:rsid w:val="007F2C51"/>
    <w:rsid w:val="007F33E3"/>
    <w:rsid w:val="007F3A7C"/>
    <w:rsid w:val="007F3C59"/>
    <w:rsid w:val="007F4183"/>
    <w:rsid w:val="007F4591"/>
    <w:rsid w:val="007F45A5"/>
    <w:rsid w:val="007F4856"/>
    <w:rsid w:val="007F4B60"/>
    <w:rsid w:val="007F4EFC"/>
    <w:rsid w:val="007F538C"/>
    <w:rsid w:val="007F572B"/>
    <w:rsid w:val="007F57A5"/>
    <w:rsid w:val="007F5E8C"/>
    <w:rsid w:val="007F60DA"/>
    <w:rsid w:val="007F63EA"/>
    <w:rsid w:val="007F6C1A"/>
    <w:rsid w:val="007F73F7"/>
    <w:rsid w:val="007F775E"/>
    <w:rsid w:val="007F7EB3"/>
    <w:rsid w:val="00800DC0"/>
    <w:rsid w:val="00800FD6"/>
    <w:rsid w:val="0080163C"/>
    <w:rsid w:val="008024E3"/>
    <w:rsid w:val="008024F6"/>
    <w:rsid w:val="008025F7"/>
    <w:rsid w:val="00802C8E"/>
    <w:rsid w:val="008032A8"/>
    <w:rsid w:val="008035F0"/>
    <w:rsid w:val="00803852"/>
    <w:rsid w:val="00803B8B"/>
    <w:rsid w:val="00803BF7"/>
    <w:rsid w:val="00804094"/>
    <w:rsid w:val="00804098"/>
    <w:rsid w:val="00804151"/>
    <w:rsid w:val="0080448B"/>
    <w:rsid w:val="0080550F"/>
    <w:rsid w:val="00805DCE"/>
    <w:rsid w:val="0080601A"/>
    <w:rsid w:val="00806CA0"/>
    <w:rsid w:val="00807957"/>
    <w:rsid w:val="008112DF"/>
    <w:rsid w:val="008115FE"/>
    <w:rsid w:val="0081201F"/>
    <w:rsid w:val="0081241D"/>
    <w:rsid w:val="00812632"/>
    <w:rsid w:val="008135C6"/>
    <w:rsid w:val="008136F8"/>
    <w:rsid w:val="00813CED"/>
    <w:rsid w:val="0081444D"/>
    <w:rsid w:val="0081461F"/>
    <w:rsid w:val="00814A6E"/>
    <w:rsid w:val="008157DF"/>
    <w:rsid w:val="008157FE"/>
    <w:rsid w:val="00815D2A"/>
    <w:rsid w:val="0081628A"/>
    <w:rsid w:val="00816758"/>
    <w:rsid w:val="00816B40"/>
    <w:rsid w:val="00817C8D"/>
    <w:rsid w:val="00817D24"/>
    <w:rsid w:val="00817F7F"/>
    <w:rsid w:val="008218BC"/>
    <w:rsid w:val="008221CA"/>
    <w:rsid w:val="008234A9"/>
    <w:rsid w:val="00823BE4"/>
    <w:rsid w:val="008241FD"/>
    <w:rsid w:val="00824A2D"/>
    <w:rsid w:val="00824ABB"/>
    <w:rsid w:val="00824C1D"/>
    <w:rsid w:val="00824DE1"/>
    <w:rsid w:val="00824F58"/>
    <w:rsid w:val="008258E4"/>
    <w:rsid w:val="00826CA9"/>
    <w:rsid w:val="00827790"/>
    <w:rsid w:val="00827DCF"/>
    <w:rsid w:val="00827F86"/>
    <w:rsid w:val="00830528"/>
    <w:rsid w:val="0083084A"/>
    <w:rsid w:val="00830A1D"/>
    <w:rsid w:val="00830A61"/>
    <w:rsid w:val="00830EC4"/>
    <w:rsid w:val="008312A9"/>
    <w:rsid w:val="00831367"/>
    <w:rsid w:val="0083140A"/>
    <w:rsid w:val="008316A6"/>
    <w:rsid w:val="008329AB"/>
    <w:rsid w:val="00832DC7"/>
    <w:rsid w:val="00833129"/>
    <w:rsid w:val="00834069"/>
    <w:rsid w:val="00834F58"/>
    <w:rsid w:val="0083574E"/>
    <w:rsid w:val="008358A4"/>
    <w:rsid w:val="00835B7F"/>
    <w:rsid w:val="00835C83"/>
    <w:rsid w:val="00835F97"/>
    <w:rsid w:val="00836067"/>
    <w:rsid w:val="00836221"/>
    <w:rsid w:val="008368C0"/>
    <w:rsid w:val="00836CEE"/>
    <w:rsid w:val="00836D53"/>
    <w:rsid w:val="00837415"/>
    <w:rsid w:val="00840442"/>
    <w:rsid w:val="0084046D"/>
    <w:rsid w:val="00840782"/>
    <w:rsid w:val="008408DE"/>
    <w:rsid w:val="008409C0"/>
    <w:rsid w:val="00840F9B"/>
    <w:rsid w:val="0084178E"/>
    <w:rsid w:val="008419B0"/>
    <w:rsid w:val="00841D6B"/>
    <w:rsid w:val="00841DD7"/>
    <w:rsid w:val="00842952"/>
    <w:rsid w:val="00843704"/>
    <w:rsid w:val="00843DB7"/>
    <w:rsid w:val="00845AB6"/>
    <w:rsid w:val="00845F90"/>
    <w:rsid w:val="008464D6"/>
    <w:rsid w:val="008468F1"/>
    <w:rsid w:val="00846C43"/>
    <w:rsid w:val="008472B4"/>
    <w:rsid w:val="00847F6D"/>
    <w:rsid w:val="008501B2"/>
    <w:rsid w:val="008506E6"/>
    <w:rsid w:val="00850F19"/>
    <w:rsid w:val="0085119D"/>
    <w:rsid w:val="00851A80"/>
    <w:rsid w:val="008522D1"/>
    <w:rsid w:val="00852DB7"/>
    <w:rsid w:val="00853472"/>
    <w:rsid w:val="00853612"/>
    <w:rsid w:val="00853F65"/>
    <w:rsid w:val="008541BD"/>
    <w:rsid w:val="008543E2"/>
    <w:rsid w:val="0085491F"/>
    <w:rsid w:val="00854DB5"/>
    <w:rsid w:val="0085509B"/>
    <w:rsid w:val="0085510D"/>
    <w:rsid w:val="00855B16"/>
    <w:rsid w:val="00855C4D"/>
    <w:rsid w:val="00855F49"/>
    <w:rsid w:val="00855FF7"/>
    <w:rsid w:val="0085621B"/>
    <w:rsid w:val="00856D7C"/>
    <w:rsid w:val="00856F88"/>
    <w:rsid w:val="0085724E"/>
    <w:rsid w:val="00857527"/>
    <w:rsid w:val="008578BD"/>
    <w:rsid w:val="00857A3B"/>
    <w:rsid w:val="00857AFA"/>
    <w:rsid w:val="008606B6"/>
    <w:rsid w:val="008606C2"/>
    <w:rsid w:val="00861179"/>
    <w:rsid w:val="0086179D"/>
    <w:rsid w:val="00862C10"/>
    <w:rsid w:val="0086307A"/>
    <w:rsid w:val="00863402"/>
    <w:rsid w:val="008634E6"/>
    <w:rsid w:val="00863529"/>
    <w:rsid w:val="00863944"/>
    <w:rsid w:val="00863EE7"/>
    <w:rsid w:val="008645BB"/>
    <w:rsid w:val="00864A70"/>
    <w:rsid w:val="00865272"/>
    <w:rsid w:val="00865458"/>
    <w:rsid w:val="008661AC"/>
    <w:rsid w:val="00866322"/>
    <w:rsid w:val="008664CA"/>
    <w:rsid w:val="008666D9"/>
    <w:rsid w:val="00866B60"/>
    <w:rsid w:val="00866FBE"/>
    <w:rsid w:val="008674C9"/>
    <w:rsid w:val="00867AF5"/>
    <w:rsid w:val="008701A6"/>
    <w:rsid w:val="00870351"/>
    <w:rsid w:val="0087063F"/>
    <w:rsid w:val="00870A00"/>
    <w:rsid w:val="00870B0A"/>
    <w:rsid w:val="00870D54"/>
    <w:rsid w:val="008710FF"/>
    <w:rsid w:val="008713C2"/>
    <w:rsid w:val="0087157A"/>
    <w:rsid w:val="00871B0B"/>
    <w:rsid w:val="00871D31"/>
    <w:rsid w:val="0087227F"/>
    <w:rsid w:val="00872416"/>
    <w:rsid w:val="0087280B"/>
    <w:rsid w:val="00872855"/>
    <w:rsid w:val="00872A8E"/>
    <w:rsid w:val="00872E8E"/>
    <w:rsid w:val="0087355D"/>
    <w:rsid w:val="00873ACC"/>
    <w:rsid w:val="00874C1E"/>
    <w:rsid w:val="00874FCB"/>
    <w:rsid w:val="00875255"/>
    <w:rsid w:val="00875592"/>
    <w:rsid w:val="00875E37"/>
    <w:rsid w:val="0087681E"/>
    <w:rsid w:val="008768B9"/>
    <w:rsid w:val="00876B14"/>
    <w:rsid w:val="008776CC"/>
    <w:rsid w:val="00877F2E"/>
    <w:rsid w:val="00880286"/>
    <w:rsid w:val="00880637"/>
    <w:rsid w:val="00880BDF"/>
    <w:rsid w:val="00880E7E"/>
    <w:rsid w:val="00880F06"/>
    <w:rsid w:val="00880FFA"/>
    <w:rsid w:val="0088125B"/>
    <w:rsid w:val="008814D6"/>
    <w:rsid w:val="0088159D"/>
    <w:rsid w:val="00881E54"/>
    <w:rsid w:val="00882D48"/>
    <w:rsid w:val="0088309C"/>
    <w:rsid w:val="00883145"/>
    <w:rsid w:val="008834A4"/>
    <w:rsid w:val="008835B8"/>
    <w:rsid w:val="00883A90"/>
    <w:rsid w:val="00883EBD"/>
    <w:rsid w:val="00884430"/>
    <w:rsid w:val="008854A8"/>
    <w:rsid w:val="00885D73"/>
    <w:rsid w:val="0088628D"/>
    <w:rsid w:val="008863CE"/>
    <w:rsid w:val="00886AC5"/>
    <w:rsid w:val="00886F6C"/>
    <w:rsid w:val="008870B1"/>
    <w:rsid w:val="008870BC"/>
    <w:rsid w:val="008871C1"/>
    <w:rsid w:val="00887867"/>
    <w:rsid w:val="00887AA4"/>
    <w:rsid w:val="00887CAA"/>
    <w:rsid w:val="008909CF"/>
    <w:rsid w:val="00890B4F"/>
    <w:rsid w:val="00890E24"/>
    <w:rsid w:val="00891A64"/>
    <w:rsid w:val="00891CC0"/>
    <w:rsid w:val="00891EC4"/>
    <w:rsid w:val="00891F73"/>
    <w:rsid w:val="00891FDF"/>
    <w:rsid w:val="0089217C"/>
    <w:rsid w:val="00892AFB"/>
    <w:rsid w:val="00892E7C"/>
    <w:rsid w:val="00894008"/>
    <w:rsid w:val="00894DB2"/>
    <w:rsid w:val="00895129"/>
    <w:rsid w:val="008953B2"/>
    <w:rsid w:val="00895A1F"/>
    <w:rsid w:val="00895A3D"/>
    <w:rsid w:val="00895F5E"/>
    <w:rsid w:val="00895FAA"/>
    <w:rsid w:val="008962F5"/>
    <w:rsid w:val="00896411"/>
    <w:rsid w:val="00896E08"/>
    <w:rsid w:val="00896FC4"/>
    <w:rsid w:val="008976B3"/>
    <w:rsid w:val="008A0214"/>
    <w:rsid w:val="008A05FE"/>
    <w:rsid w:val="008A0763"/>
    <w:rsid w:val="008A16E9"/>
    <w:rsid w:val="008A183B"/>
    <w:rsid w:val="008A1A16"/>
    <w:rsid w:val="008A2913"/>
    <w:rsid w:val="008A2AB0"/>
    <w:rsid w:val="008A2C8F"/>
    <w:rsid w:val="008A3053"/>
    <w:rsid w:val="008A305C"/>
    <w:rsid w:val="008A394F"/>
    <w:rsid w:val="008A4120"/>
    <w:rsid w:val="008A4C0C"/>
    <w:rsid w:val="008A4FE6"/>
    <w:rsid w:val="008A563D"/>
    <w:rsid w:val="008A56EA"/>
    <w:rsid w:val="008A634C"/>
    <w:rsid w:val="008A6D0B"/>
    <w:rsid w:val="008B0801"/>
    <w:rsid w:val="008B092A"/>
    <w:rsid w:val="008B10F7"/>
    <w:rsid w:val="008B1D22"/>
    <w:rsid w:val="008B2152"/>
    <w:rsid w:val="008B24E4"/>
    <w:rsid w:val="008B25D8"/>
    <w:rsid w:val="008B3DDD"/>
    <w:rsid w:val="008B3DEB"/>
    <w:rsid w:val="008B40BB"/>
    <w:rsid w:val="008B450C"/>
    <w:rsid w:val="008B4C0F"/>
    <w:rsid w:val="008B502A"/>
    <w:rsid w:val="008B502B"/>
    <w:rsid w:val="008B53F0"/>
    <w:rsid w:val="008B5D4A"/>
    <w:rsid w:val="008B5D8C"/>
    <w:rsid w:val="008B61B9"/>
    <w:rsid w:val="008B61E6"/>
    <w:rsid w:val="008B62C6"/>
    <w:rsid w:val="008B6745"/>
    <w:rsid w:val="008B7079"/>
    <w:rsid w:val="008B71EA"/>
    <w:rsid w:val="008B7460"/>
    <w:rsid w:val="008B7C5B"/>
    <w:rsid w:val="008B7EA8"/>
    <w:rsid w:val="008C0954"/>
    <w:rsid w:val="008C0B7C"/>
    <w:rsid w:val="008C0C70"/>
    <w:rsid w:val="008C11AC"/>
    <w:rsid w:val="008C1983"/>
    <w:rsid w:val="008C1E02"/>
    <w:rsid w:val="008C1FFB"/>
    <w:rsid w:val="008C3004"/>
    <w:rsid w:val="008C31D6"/>
    <w:rsid w:val="008C32D6"/>
    <w:rsid w:val="008C3387"/>
    <w:rsid w:val="008C3390"/>
    <w:rsid w:val="008C34EF"/>
    <w:rsid w:val="008C3F55"/>
    <w:rsid w:val="008C4516"/>
    <w:rsid w:val="008C4542"/>
    <w:rsid w:val="008C547B"/>
    <w:rsid w:val="008C5727"/>
    <w:rsid w:val="008C6DC7"/>
    <w:rsid w:val="008C70EC"/>
    <w:rsid w:val="008C7286"/>
    <w:rsid w:val="008C76E1"/>
    <w:rsid w:val="008C7763"/>
    <w:rsid w:val="008C7B3E"/>
    <w:rsid w:val="008D16E0"/>
    <w:rsid w:val="008D1C9D"/>
    <w:rsid w:val="008D1F14"/>
    <w:rsid w:val="008D2066"/>
    <w:rsid w:val="008D26D2"/>
    <w:rsid w:val="008D30BF"/>
    <w:rsid w:val="008D3299"/>
    <w:rsid w:val="008D3445"/>
    <w:rsid w:val="008D3AE3"/>
    <w:rsid w:val="008D3D11"/>
    <w:rsid w:val="008D4BB1"/>
    <w:rsid w:val="008D4D1F"/>
    <w:rsid w:val="008D4F70"/>
    <w:rsid w:val="008D538E"/>
    <w:rsid w:val="008D58F1"/>
    <w:rsid w:val="008D6166"/>
    <w:rsid w:val="008D66A9"/>
    <w:rsid w:val="008D758E"/>
    <w:rsid w:val="008D795A"/>
    <w:rsid w:val="008D7D6E"/>
    <w:rsid w:val="008E1071"/>
    <w:rsid w:val="008E15A7"/>
    <w:rsid w:val="008E182D"/>
    <w:rsid w:val="008E1DAF"/>
    <w:rsid w:val="008E22C7"/>
    <w:rsid w:val="008E22E3"/>
    <w:rsid w:val="008E2D06"/>
    <w:rsid w:val="008E2D9A"/>
    <w:rsid w:val="008E3045"/>
    <w:rsid w:val="008E3332"/>
    <w:rsid w:val="008E3510"/>
    <w:rsid w:val="008E3F4F"/>
    <w:rsid w:val="008E4909"/>
    <w:rsid w:val="008E4FF6"/>
    <w:rsid w:val="008E5685"/>
    <w:rsid w:val="008E59B1"/>
    <w:rsid w:val="008E5BD0"/>
    <w:rsid w:val="008E5D6A"/>
    <w:rsid w:val="008E67F4"/>
    <w:rsid w:val="008E69D1"/>
    <w:rsid w:val="008E6DDE"/>
    <w:rsid w:val="008E7B31"/>
    <w:rsid w:val="008F0073"/>
    <w:rsid w:val="008F020E"/>
    <w:rsid w:val="008F0231"/>
    <w:rsid w:val="008F02DA"/>
    <w:rsid w:val="008F05C5"/>
    <w:rsid w:val="008F09B8"/>
    <w:rsid w:val="008F146C"/>
    <w:rsid w:val="008F1544"/>
    <w:rsid w:val="008F198B"/>
    <w:rsid w:val="008F1992"/>
    <w:rsid w:val="008F1B5F"/>
    <w:rsid w:val="008F219C"/>
    <w:rsid w:val="008F2446"/>
    <w:rsid w:val="008F2867"/>
    <w:rsid w:val="008F3023"/>
    <w:rsid w:val="008F3436"/>
    <w:rsid w:val="008F395F"/>
    <w:rsid w:val="008F45F3"/>
    <w:rsid w:val="008F4B92"/>
    <w:rsid w:val="008F4DF7"/>
    <w:rsid w:val="008F4F48"/>
    <w:rsid w:val="008F4FC4"/>
    <w:rsid w:val="008F51AB"/>
    <w:rsid w:val="008F53D8"/>
    <w:rsid w:val="008F5412"/>
    <w:rsid w:val="008F5598"/>
    <w:rsid w:val="008F5A99"/>
    <w:rsid w:val="008F5AF0"/>
    <w:rsid w:val="008F68AE"/>
    <w:rsid w:val="008F6A1F"/>
    <w:rsid w:val="008F6BDC"/>
    <w:rsid w:val="008F6E68"/>
    <w:rsid w:val="008F6F03"/>
    <w:rsid w:val="008F7155"/>
    <w:rsid w:val="008F7384"/>
    <w:rsid w:val="008F738E"/>
    <w:rsid w:val="009003A5"/>
    <w:rsid w:val="00900469"/>
    <w:rsid w:val="009006AD"/>
    <w:rsid w:val="00900B33"/>
    <w:rsid w:val="00900DF8"/>
    <w:rsid w:val="00900EB9"/>
    <w:rsid w:val="00900F9C"/>
    <w:rsid w:val="009012DC"/>
    <w:rsid w:val="0090132B"/>
    <w:rsid w:val="00901494"/>
    <w:rsid w:val="00901495"/>
    <w:rsid w:val="00901498"/>
    <w:rsid w:val="00901558"/>
    <w:rsid w:val="009017EE"/>
    <w:rsid w:val="00901937"/>
    <w:rsid w:val="00901CDA"/>
    <w:rsid w:val="00901FA4"/>
    <w:rsid w:val="00902182"/>
    <w:rsid w:val="009022A0"/>
    <w:rsid w:val="009025C2"/>
    <w:rsid w:val="009028F7"/>
    <w:rsid w:val="00902D10"/>
    <w:rsid w:val="009036D4"/>
    <w:rsid w:val="00903A35"/>
    <w:rsid w:val="00903F67"/>
    <w:rsid w:val="0090426D"/>
    <w:rsid w:val="009043A4"/>
    <w:rsid w:val="00904B60"/>
    <w:rsid w:val="00905CA4"/>
    <w:rsid w:val="0090609E"/>
    <w:rsid w:val="009062CC"/>
    <w:rsid w:val="0090631E"/>
    <w:rsid w:val="009064FE"/>
    <w:rsid w:val="00906679"/>
    <w:rsid w:val="00906997"/>
    <w:rsid w:val="0090699B"/>
    <w:rsid w:val="00906B5E"/>
    <w:rsid w:val="00906EE9"/>
    <w:rsid w:val="009070A4"/>
    <w:rsid w:val="009102E4"/>
    <w:rsid w:val="00910752"/>
    <w:rsid w:val="00910E21"/>
    <w:rsid w:val="009113C8"/>
    <w:rsid w:val="00911C6C"/>
    <w:rsid w:val="00912995"/>
    <w:rsid w:val="009134D9"/>
    <w:rsid w:val="00913599"/>
    <w:rsid w:val="009144FC"/>
    <w:rsid w:val="009150FA"/>
    <w:rsid w:val="00915290"/>
    <w:rsid w:val="00915A79"/>
    <w:rsid w:val="009160A0"/>
    <w:rsid w:val="009171D9"/>
    <w:rsid w:val="0091752A"/>
    <w:rsid w:val="00920042"/>
    <w:rsid w:val="009202A8"/>
    <w:rsid w:val="00921205"/>
    <w:rsid w:val="00921525"/>
    <w:rsid w:val="00921828"/>
    <w:rsid w:val="00921EA7"/>
    <w:rsid w:val="00922376"/>
    <w:rsid w:val="009224CC"/>
    <w:rsid w:val="009227D9"/>
    <w:rsid w:val="009231DE"/>
    <w:rsid w:val="00923346"/>
    <w:rsid w:val="00923921"/>
    <w:rsid w:val="00924034"/>
    <w:rsid w:val="009250D0"/>
    <w:rsid w:val="00925B6B"/>
    <w:rsid w:val="00925D8E"/>
    <w:rsid w:val="00925DE4"/>
    <w:rsid w:val="009261F0"/>
    <w:rsid w:val="0092682F"/>
    <w:rsid w:val="0092792D"/>
    <w:rsid w:val="00927AF5"/>
    <w:rsid w:val="00930457"/>
    <w:rsid w:val="00930609"/>
    <w:rsid w:val="00930CF6"/>
    <w:rsid w:val="00931108"/>
    <w:rsid w:val="00932038"/>
    <w:rsid w:val="00932680"/>
    <w:rsid w:val="00932835"/>
    <w:rsid w:val="00932C69"/>
    <w:rsid w:val="00932FA6"/>
    <w:rsid w:val="009336AF"/>
    <w:rsid w:val="00933E1D"/>
    <w:rsid w:val="0093414F"/>
    <w:rsid w:val="00934CB2"/>
    <w:rsid w:val="009358F3"/>
    <w:rsid w:val="009359D1"/>
    <w:rsid w:val="00936178"/>
    <w:rsid w:val="0093639D"/>
    <w:rsid w:val="00936865"/>
    <w:rsid w:val="00936AD1"/>
    <w:rsid w:val="00937F97"/>
    <w:rsid w:val="009401D6"/>
    <w:rsid w:val="00940D26"/>
    <w:rsid w:val="009412F6"/>
    <w:rsid w:val="009419F6"/>
    <w:rsid w:val="00941A5F"/>
    <w:rsid w:val="00942223"/>
    <w:rsid w:val="0094268B"/>
    <w:rsid w:val="00942ED1"/>
    <w:rsid w:val="00943069"/>
    <w:rsid w:val="0094352B"/>
    <w:rsid w:val="00943B83"/>
    <w:rsid w:val="00943E50"/>
    <w:rsid w:val="009442B9"/>
    <w:rsid w:val="00944AC0"/>
    <w:rsid w:val="00945BCC"/>
    <w:rsid w:val="00946B45"/>
    <w:rsid w:val="00946EA0"/>
    <w:rsid w:val="00946EAC"/>
    <w:rsid w:val="009474FB"/>
    <w:rsid w:val="00947C62"/>
    <w:rsid w:val="00947FAC"/>
    <w:rsid w:val="00950353"/>
    <w:rsid w:val="00950E0E"/>
    <w:rsid w:val="00950EC2"/>
    <w:rsid w:val="00950F03"/>
    <w:rsid w:val="00951067"/>
    <w:rsid w:val="00951463"/>
    <w:rsid w:val="0095261C"/>
    <w:rsid w:val="009529ED"/>
    <w:rsid w:val="00952D40"/>
    <w:rsid w:val="00953925"/>
    <w:rsid w:val="009539FB"/>
    <w:rsid w:val="00953F1C"/>
    <w:rsid w:val="00953FF7"/>
    <w:rsid w:val="00954BC0"/>
    <w:rsid w:val="00955345"/>
    <w:rsid w:val="00955704"/>
    <w:rsid w:val="00955D64"/>
    <w:rsid w:val="0095635A"/>
    <w:rsid w:val="009564CE"/>
    <w:rsid w:val="00956779"/>
    <w:rsid w:val="009567F0"/>
    <w:rsid w:val="00957B0A"/>
    <w:rsid w:val="00957E33"/>
    <w:rsid w:val="0096045C"/>
    <w:rsid w:val="00960D70"/>
    <w:rsid w:val="00961414"/>
    <w:rsid w:val="0096186E"/>
    <w:rsid w:val="0096274D"/>
    <w:rsid w:val="00962EFA"/>
    <w:rsid w:val="00962FE0"/>
    <w:rsid w:val="009630E1"/>
    <w:rsid w:val="009634C9"/>
    <w:rsid w:val="009635B9"/>
    <w:rsid w:val="00963A9E"/>
    <w:rsid w:val="0096458C"/>
    <w:rsid w:val="00965824"/>
    <w:rsid w:val="009659D3"/>
    <w:rsid w:val="00965DF1"/>
    <w:rsid w:val="009670D1"/>
    <w:rsid w:val="009673A6"/>
    <w:rsid w:val="00967407"/>
    <w:rsid w:val="0096745F"/>
    <w:rsid w:val="00970049"/>
    <w:rsid w:val="00970C28"/>
    <w:rsid w:val="00970CD7"/>
    <w:rsid w:val="00970F37"/>
    <w:rsid w:val="00971400"/>
    <w:rsid w:val="0097170A"/>
    <w:rsid w:val="00971CEC"/>
    <w:rsid w:val="00971D05"/>
    <w:rsid w:val="00972102"/>
    <w:rsid w:val="00972138"/>
    <w:rsid w:val="00973198"/>
    <w:rsid w:val="00973772"/>
    <w:rsid w:val="00973B5C"/>
    <w:rsid w:val="00973C2B"/>
    <w:rsid w:val="00973C4E"/>
    <w:rsid w:val="00973CCD"/>
    <w:rsid w:val="00973D94"/>
    <w:rsid w:val="009743BB"/>
    <w:rsid w:val="0097474E"/>
    <w:rsid w:val="00974E39"/>
    <w:rsid w:val="00975002"/>
    <w:rsid w:val="0097555C"/>
    <w:rsid w:val="00975DF7"/>
    <w:rsid w:val="00975F39"/>
    <w:rsid w:val="00976601"/>
    <w:rsid w:val="00976B68"/>
    <w:rsid w:val="009771B9"/>
    <w:rsid w:val="00977583"/>
    <w:rsid w:val="00980526"/>
    <w:rsid w:val="00980627"/>
    <w:rsid w:val="00980789"/>
    <w:rsid w:val="00981011"/>
    <w:rsid w:val="0098149B"/>
    <w:rsid w:val="00981D2F"/>
    <w:rsid w:val="0098233E"/>
    <w:rsid w:val="00982439"/>
    <w:rsid w:val="00982710"/>
    <w:rsid w:val="009828DA"/>
    <w:rsid w:val="00982DFE"/>
    <w:rsid w:val="009837D5"/>
    <w:rsid w:val="00983B9F"/>
    <w:rsid w:val="00983C4A"/>
    <w:rsid w:val="009844DA"/>
    <w:rsid w:val="009846AC"/>
    <w:rsid w:val="00984801"/>
    <w:rsid w:val="00984B2E"/>
    <w:rsid w:val="00984D33"/>
    <w:rsid w:val="00986380"/>
    <w:rsid w:val="00986428"/>
    <w:rsid w:val="00986895"/>
    <w:rsid w:val="00986ACB"/>
    <w:rsid w:val="00987C65"/>
    <w:rsid w:val="009903C9"/>
    <w:rsid w:val="00990D66"/>
    <w:rsid w:val="00991AA6"/>
    <w:rsid w:val="00991BAF"/>
    <w:rsid w:val="00991E7F"/>
    <w:rsid w:val="00992391"/>
    <w:rsid w:val="00992C19"/>
    <w:rsid w:val="00992EF4"/>
    <w:rsid w:val="0099463D"/>
    <w:rsid w:val="00994D13"/>
    <w:rsid w:val="00994EE2"/>
    <w:rsid w:val="00995BEC"/>
    <w:rsid w:val="009967D7"/>
    <w:rsid w:val="00996CD0"/>
    <w:rsid w:val="00996D22"/>
    <w:rsid w:val="00997028"/>
    <w:rsid w:val="00997320"/>
    <w:rsid w:val="00997781"/>
    <w:rsid w:val="009978D9"/>
    <w:rsid w:val="009A068E"/>
    <w:rsid w:val="009A1156"/>
    <w:rsid w:val="009A13A4"/>
    <w:rsid w:val="009A1D48"/>
    <w:rsid w:val="009A25D4"/>
    <w:rsid w:val="009A2A3D"/>
    <w:rsid w:val="009A3CE4"/>
    <w:rsid w:val="009A3E96"/>
    <w:rsid w:val="009A49BF"/>
    <w:rsid w:val="009A5276"/>
    <w:rsid w:val="009A5350"/>
    <w:rsid w:val="009A5503"/>
    <w:rsid w:val="009A5673"/>
    <w:rsid w:val="009A594D"/>
    <w:rsid w:val="009A599F"/>
    <w:rsid w:val="009A5C4A"/>
    <w:rsid w:val="009A62F8"/>
    <w:rsid w:val="009A7ADF"/>
    <w:rsid w:val="009B00CC"/>
    <w:rsid w:val="009B0932"/>
    <w:rsid w:val="009B0AD2"/>
    <w:rsid w:val="009B12BA"/>
    <w:rsid w:val="009B183D"/>
    <w:rsid w:val="009B1D6D"/>
    <w:rsid w:val="009B23B0"/>
    <w:rsid w:val="009B2DC2"/>
    <w:rsid w:val="009B32F0"/>
    <w:rsid w:val="009B3738"/>
    <w:rsid w:val="009B37A1"/>
    <w:rsid w:val="009B3D83"/>
    <w:rsid w:val="009B40B6"/>
    <w:rsid w:val="009B4B05"/>
    <w:rsid w:val="009B543A"/>
    <w:rsid w:val="009B5ADF"/>
    <w:rsid w:val="009B6A5B"/>
    <w:rsid w:val="009B7008"/>
    <w:rsid w:val="009B76F1"/>
    <w:rsid w:val="009B7D03"/>
    <w:rsid w:val="009B7F70"/>
    <w:rsid w:val="009B7FF7"/>
    <w:rsid w:val="009C00D0"/>
    <w:rsid w:val="009C0C4C"/>
    <w:rsid w:val="009C1819"/>
    <w:rsid w:val="009C1897"/>
    <w:rsid w:val="009C21C6"/>
    <w:rsid w:val="009C24AA"/>
    <w:rsid w:val="009C2A34"/>
    <w:rsid w:val="009C3173"/>
    <w:rsid w:val="009C44DF"/>
    <w:rsid w:val="009C49EB"/>
    <w:rsid w:val="009C4CF7"/>
    <w:rsid w:val="009C4F5F"/>
    <w:rsid w:val="009C5186"/>
    <w:rsid w:val="009C564D"/>
    <w:rsid w:val="009C57D2"/>
    <w:rsid w:val="009C5E78"/>
    <w:rsid w:val="009C5F58"/>
    <w:rsid w:val="009C70A7"/>
    <w:rsid w:val="009C70EA"/>
    <w:rsid w:val="009C7136"/>
    <w:rsid w:val="009C72BA"/>
    <w:rsid w:val="009C7348"/>
    <w:rsid w:val="009C783C"/>
    <w:rsid w:val="009C7CF2"/>
    <w:rsid w:val="009C7E5E"/>
    <w:rsid w:val="009C7FC0"/>
    <w:rsid w:val="009D008B"/>
    <w:rsid w:val="009D05B5"/>
    <w:rsid w:val="009D09A5"/>
    <w:rsid w:val="009D0A5C"/>
    <w:rsid w:val="009D12AD"/>
    <w:rsid w:val="009D1965"/>
    <w:rsid w:val="009D1B3B"/>
    <w:rsid w:val="009D1DE4"/>
    <w:rsid w:val="009D2219"/>
    <w:rsid w:val="009D2AD4"/>
    <w:rsid w:val="009D356C"/>
    <w:rsid w:val="009D379F"/>
    <w:rsid w:val="009D4401"/>
    <w:rsid w:val="009D6306"/>
    <w:rsid w:val="009D671D"/>
    <w:rsid w:val="009D6D55"/>
    <w:rsid w:val="009D78E5"/>
    <w:rsid w:val="009D7AD6"/>
    <w:rsid w:val="009D7ED5"/>
    <w:rsid w:val="009E01F4"/>
    <w:rsid w:val="009E0530"/>
    <w:rsid w:val="009E0953"/>
    <w:rsid w:val="009E0DF0"/>
    <w:rsid w:val="009E1083"/>
    <w:rsid w:val="009E1DB6"/>
    <w:rsid w:val="009E2628"/>
    <w:rsid w:val="009E287B"/>
    <w:rsid w:val="009E2BC6"/>
    <w:rsid w:val="009E38CE"/>
    <w:rsid w:val="009E3E95"/>
    <w:rsid w:val="009E4851"/>
    <w:rsid w:val="009E5049"/>
    <w:rsid w:val="009E5959"/>
    <w:rsid w:val="009E5A8D"/>
    <w:rsid w:val="009E61CE"/>
    <w:rsid w:val="009E6CC9"/>
    <w:rsid w:val="009E70C5"/>
    <w:rsid w:val="009E738F"/>
    <w:rsid w:val="009E79AA"/>
    <w:rsid w:val="009E7B13"/>
    <w:rsid w:val="009E7C05"/>
    <w:rsid w:val="009E7D84"/>
    <w:rsid w:val="009F036B"/>
    <w:rsid w:val="009F122F"/>
    <w:rsid w:val="009F2CD2"/>
    <w:rsid w:val="009F32F3"/>
    <w:rsid w:val="009F3EAB"/>
    <w:rsid w:val="009F4228"/>
    <w:rsid w:val="009F499A"/>
    <w:rsid w:val="009F4E11"/>
    <w:rsid w:val="009F526E"/>
    <w:rsid w:val="009F547C"/>
    <w:rsid w:val="009F567D"/>
    <w:rsid w:val="009F57EF"/>
    <w:rsid w:val="009F59F3"/>
    <w:rsid w:val="009F5AC1"/>
    <w:rsid w:val="009F68AC"/>
    <w:rsid w:val="009F7301"/>
    <w:rsid w:val="009F78C4"/>
    <w:rsid w:val="00A003F4"/>
    <w:rsid w:val="00A00C58"/>
    <w:rsid w:val="00A00D26"/>
    <w:rsid w:val="00A0117D"/>
    <w:rsid w:val="00A02063"/>
    <w:rsid w:val="00A021F7"/>
    <w:rsid w:val="00A0260C"/>
    <w:rsid w:val="00A02947"/>
    <w:rsid w:val="00A02D52"/>
    <w:rsid w:val="00A02FC4"/>
    <w:rsid w:val="00A03A4E"/>
    <w:rsid w:val="00A03C64"/>
    <w:rsid w:val="00A04604"/>
    <w:rsid w:val="00A04647"/>
    <w:rsid w:val="00A049E6"/>
    <w:rsid w:val="00A05251"/>
    <w:rsid w:val="00A052AB"/>
    <w:rsid w:val="00A057F8"/>
    <w:rsid w:val="00A05B98"/>
    <w:rsid w:val="00A065DE"/>
    <w:rsid w:val="00A068C2"/>
    <w:rsid w:val="00A06EBB"/>
    <w:rsid w:val="00A06F76"/>
    <w:rsid w:val="00A06FF7"/>
    <w:rsid w:val="00A0778B"/>
    <w:rsid w:val="00A07902"/>
    <w:rsid w:val="00A07A42"/>
    <w:rsid w:val="00A07BE7"/>
    <w:rsid w:val="00A10A84"/>
    <w:rsid w:val="00A10C53"/>
    <w:rsid w:val="00A11805"/>
    <w:rsid w:val="00A119C0"/>
    <w:rsid w:val="00A12139"/>
    <w:rsid w:val="00A12B4C"/>
    <w:rsid w:val="00A12B96"/>
    <w:rsid w:val="00A13077"/>
    <w:rsid w:val="00A13267"/>
    <w:rsid w:val="00A1338E"/>
    <w:rsid w:val="00A1344A"/>
    <w:rsid w:val="00A13712"/>
    <w:rsid w:val="00A13714"/>
    <w:rsid w:val="00A13872"/>
    <w:rsid w:val="00A13D1C"/>
    <w:rsid w:val="00A14058"/>
    <w:rsid w:val="00A1411A"/>
    <w:rsid w:val="00A14A50"/>
    <w:rsid w:val="00A14B47"/>
    <w:rsid w:val="00A14B62"/>
    <w:rsid w:val="00A1525F"/>
    <w:rsid w:val="00A152B5"/>
    <w:rsid w:val="00A16D15"/>
    <w:rsid w:val="00A16F57"/>
    <w:rsid w:val="00A17135"/>
    <w:rsid w:val="00A171DE"/>
    <w:rsid w:val="00A17A18"/>
    <w:rsid w:val="00A17C1F"/>
    <w:rsid w:val="00A17F46"/>
    <w:rsid w:val="00A202A1"/>
    <w:rsid w:val="00A20C40"/>
    <w:rsid w:val="00A21ADE"/>
    <w:rsid w:val="00A21EED"/>
    <w:rsid w:val="00A22AC0"/>
    <w:rsid w:val="00A22B93"/>
    <w:rsid w:val="00A2379D"/>
    <w:rsid w:val="00A240CE"/>
    <w:rsid w:val="00A25064"/>
    <w:rsid w:val="00A2530C"/>
    <w:rsid w:val="00A25399"/>
    <w:rsid w:val="00A25612"/>
    <w:rsid w:val="00A25629"/>
    <w:rsid w:val="00A26107"/>
    <w:rsid w:val="00A261F1"/>
    <w:rsid w:val="00A262C1"/>
    <w:rsid w:val="00A2631B"/>
    <w:rsid w:val="00A26458"/>
    <w:rsid w:val="00A26CF5"/>
    <w:rsid w:val="00A274B2"/>
    <w:rsid w:val="00A2752D"/>
    <w:rsid w:val="00A277B9"/>
    <w:rsid w:val="00A27E25"/>
    <w:rsid w:val="00A27FD0"/>
    <w:rsid w:val="00A301C2"/>
    <w:rsid w:val="00A30474"/>
    <w:rsid w:val="00A30C39"/>
    <w:rsid w:val="00A318E2"/>
    <w:rsid w:val="00A320C0"/>
    <w:rsid w:val="00A328C3"/>
    <w:rsid w:val="00A32B6B"/>
    <w:rsid w:val="00A33225"/>
    <w:rsid w:val="00A3365F"/>
    <w:rsid w:val="00A33FD4"/>
    <w:rsid w:val="00A345D5"/>
    <w:rsid w:val="00A3492C"/>
    <w:rsid w:val="00A34AEC"/>
    <w:rsid w:val="00A35870"/>
    <w:rsid w:val="00A35C89"/>
    <w:rsid w:val="00A35D5B"/>
    <w:rsid w:val="00A366EA"/>
    <w:rsid w:val="00A36806"/>
    <w:rsid w:val="00A36E91"/>
    <w:rsid w:val="00A4014A"/>
    <w:rsid w:val="00A401F3"/>
    <w:rsid w:val="00A403D0"/>
    <w:rsid w:val="00A4116F"/>
    <w:rsid w:val="00A4186A"/>
    <w:rsid w:val="00A41C6A"/>
    <w:rsid w:val="00A41CBB"/>
    <w:rsid w:val="00A424AF"/>
    <w:rsid w:val="00A42940"/>
    <w:rsid w:val="00A43D5E"/>
    <w:rsid w:val="00A440D1"/>
    <w:rsid w:val="00A440F0"/>
    <w:rsid w:val="00A441C1"/>
    <w:rsid w:val="00A4425D"/>
    <w:rsid w:val="00A44278"/>
    <w:rsid w:val="00A44801"/>
    <w:rsid w:val="00A448A0"/>
    <w:rsid w:val="00A44D34"/>
    <w:rsid w:val="00A450E4"/>
    <w:rsid w:val="00A45386"/>
    <w:rsid w:val="00A45892"/>
    <w:rsid w:val="00A4589A"/>
    <w:rsid w:val="00A45CF4"/>
    <w:rsid w:val="00A45EE4"/>
    <w:rsid w:val="00A45FB7"/>
    <w:rsid w:val="00A4621D"/>
    <w:rsid w:val="00A463AA"/>
    <w:rsid w:val="00A47475"/>
    <w:rsid w:val="00A4753B"/>
    <w:rsid w:val="00A476FD"/>
    <w:rsid w:val="00A47890"/>
    <w:rsid w:val="00A51106"/>
    <w:rsid w:val="00A51D45"/>
    <w:rsid w:val="00A51F88"/>
    <w:rsid w:val="00A52126"/>
    <w:rsid w:val="00A52659"/>
    <w:rsid w:val="00A5490D"/>
    <w:rsid w:val="00A54C05"/>
    <w:rsid w:val="00A54C84"/>
    <w:rsid w:val="00A54F37"/>
    <w:rsid w:val="00A5557F"/>
    <w:rsid w:val="00A55AB0"/>
    <w:rsid w:val="00A55C14"/>
    <w:rsid w:val="00A55F67"/>
    <w:rsid w:val="00A56955"/>
    <w:rsid w:val="00A56E84"/>
    <w:rsid w:val="00A57006"/>
    <w:rsid w:val="00A57392"/>
    <w:rsid w:val="00A573BE"/>
    <w:rsid w:val="00A57669"/>
    <w:rsid w:val="00A57725"/>
    <w:rsid w:val="00A57856"/>
    <w:rsid w:val="00A601F2"/>
    <w:rsid w:val="00A602B7"/>
    <w:rsid w:val="00A6177F"/>
    <w:rsid w:val="00A61AAA"/>
    <w:rsid w:val="00A61FC3"/>
    <w:rsid w:val="00A624D9"/>
    <w:rsid w:val="00A626F1"/>
    <w:rsid w:val="00A62D37"/>
    <w:rsid w:val="00A6319F"/>
    <w:rsid w:val="00A63AC0"/>
    <w:rsid w:val="00A64529"/>
    <w:rsid w:val="00A64AF0"/>
    <w:rsid w:val="00A64B0B"/>
    <w:rsid w:val="00A64F6B"/>
    <w:rsid w:val="00A65F4D"/>
    <w:rsid w:val="00A66C09"/>
    <w:rsid w:val="00A67218"/>
    <w:rsid w:val="00A677F7"/>
    <w:rsid w:val="00A67C5A"/>
    <w:rsid w:val="00A67DF8"/>
    <w:rsid w:val="00A707F7"/>
    <w:rsid w:val="00A70E78"/>
    <w:rsid w:val="00A717B1"/>
    <w:rsid w:val="00A7181E"/>
    <w:rsid w:val="00A71BC1"/>
    <w:rsid w:val="00A720CC"/>
    <w:rsid w:val="00A72525"/>
    <w:rsid w:val="00A7267A"/>
    <w:rsid w:val="00A7287D"/>
    <w:rsid w:val="00A731BB"/>
    <w:rsid w:val="00A73644"/>
    <w:rsid w:val="00A73891"/>
    <w:rsid w:val="00A738F9"/>
    <w:rsid w:val="00A74219"/>
    <w:rsid w:val="00A7442A"/>
    <w:rsid w:val="00A7453F"/>
    <w:rsid w:val="00A74D0F"/>
    <w:rsid w:val="00A752E6"/>
    <w:rsid w:val="00A753F9"/>
    <w:rsid w:val="00A756A7"/>
    <w:rsid w:val="00A756D2"/>
    <w:rsid w:val="00A75C93"/>
    <w:rsid w:val="00A75E95"/>
    <w:rsid w:val="00A75EA2"/>
    <w:rsid w:val="00A760C1"/>
    <w:rsid w:val="00A760D7"/>
    <w:rsid w:val="00A76579"/>
    <w:rsid w:val="00A76925"/>
    <w:rsid w:val="00A76D66"/>
    <w:rsid w:val="00A76E19"/>
    <w:rsid w:val="00A805E3"/>
    <w:rsid w:val="00A81222"/>
    <w:rsid w:val="00A82502"/>
    <w:rsid w:val="00A82E40"/>
    <w:rsid w:val="00A83101"/>
    <w:rsid w:val="00A83581"/>
    <w:rsid w:val="00A837B5"/>
    <w:rsid w:val="00A837B7"/>
    <w:rsid w:val="00A83BB2"/>
    <w:rsid w:val="00A84505"/>
    <w:rsid w:val="00A84DAF"/>
    <w:rsid w:val="00A84EC5"/>
    <w:rsid w:val="00A85177"/>
    <w:rsid w:val="00A858A9"/>
    <w:rsid w:val="00A859CE"/>
    <w:rsid w:val="00A85E97"/>
    <w:rsid w:val="00A86178"/>
    <w:rsid w:val="00A86682"/>
    <w:rsid w:val="00A86DFA"/>
    <w:rsid w:val="00A878B8"/>
    <w:rsid w:val="00A87C04"/>
    <w:rsid w:val="00A90238"/>
    <w:rsid w:val="00A90CFF"/>
    <w:rsid w:val="00A90D1A"/>
    <w:rsid w:val="00A913FA"/>
    <w:rsid w:val="00A9270E"/>
    <w:rsid w:val="00A928EA"/>
    <w:rsid w:val="00A92E32"/>
    <w:rsid w:val="00A93710"/>
    <w:rsid w:val="00A93A1D"/>
    <w:rsid w:val="00A94D95"/>
    <w:rsid w:val="00A9558C"/>
    <w:rsid w:val="00A95843"/>
    <w:rsid w:val="00A96229"/>
    <w:rsid w:val="00A96715"/>
    <w:rsid w:val="00A96874"/>
    <w:rsid w:val="00A96D26"/>
    <w:rsid w:val="00A97249"/>
    <w:rsid w:val="00A9795C"/>
    <w:rsid w:val="00A97D20"/>
    <w:rsid w:val="00AA004C"/>
    <w:rsid w:val="00AA02AA"/>
    <w:rsid w:val="00AA1128"/>
    <w:rsid w:val="00AA154A"/>
    <w:rsid w:val="00AA1DFC"/>
    <w:rsid w:val="00AA2293"/>
    <w:rsid w:val="00AA28FC"/>
    <w:rsid w:val="00AA2946"/>
    <w:rsid w:val="00AA3580"/>
    <w:rsid w:val="00AA3A00"/>
    <w:rsid w:val="00AA3A6B"/>
    <w:rsid w:val="00AA3D50"/>
    <w:rsid w:val="00AA437D"/>
    <w:rsid w:val="00AA4398"/>
    <w:rsid w:val="00AA464D"/>
    <w:rsid w:val="00AA4DAA"/>
    <w:rsid w:val="00AA5657"/>
    <w:rsid w:val="00AA58E5"/>
    <w:rsid w:val="00AA5B98"/>
    <w:rsid w:val="00AA651B"/>
    <w:rsid w:val="00AA669A"/>
    <w:rsid w:val="00AA6C7C"/>
    <w:rsid w:val="00AA71E5"/>
    <w:rsid w:val="00AA72CF"/>
    <w:rsid w:val="00AA731E"/>
    <w:rsid w:val="00AA75F0"/>
    <w:rsid w:val="00AA7781"/>
    <w:rsid w:val="00AB0D99"/>
    <w:rsid w:val="00AB1F6D"/>
    <w:rsid w:val="00AB27A3"/>
    <w:rsid w:val="00AB2988"/>
    <w:rsid w:val="00AB2D00"/>
    <w:rsid w:val="00AB3058"/>
    <w:rsid w:val="00AB3CFC"/>
    <w:rsid w:val="00AB406B"/>
    <w:rsid w:val="00AB490B"/>
    <w:rsid w:val="00AB4A9E"/>
    <w:rsid w:val="00AB4F46"/>
    <w:rsid w:val="00AB542D"/>
    <w:rsid w:val="00AB555A"/>
    <w:rsid w:val="00AB597B"/>
    <w:rsid w:val="00AB5A0C"/>
    <w:rsid w:val="00AB5B55"/>
    <w:rsid w:val="00AB5EA4"/>
    <w:rsid w:val="00AB63B0"/>
    <w:rsid w:val="00AB6C6D"/>
    <w:rsid w:val="00AB6D43"/>
    <w:rsid w:val="00AB77E1"/>
    <w:rsid w:val="00AB790E"/>
    <w:rsid w:val="00AC0550"/>
    <w:rsid w:val="00AC057F"/>
    <w:rsid w:val="00AC05BC"/>
    <w:rsid w:val="00AC0BA4"/>
    <w:rsid w:val="00AC1C4F"/>
    <w:rsid w:val="00AC2123"/>
    <w:rsid w:val="00AC2759"/>
    <w:rsid w:val="00AC27A4"/>
    <w:rsid w:val="00AC2AE7"/>
    <w:rsid w:val="00AC2F11"/>
    <w:rsid w:val="00AC31EF"/>
    <w:rsid w:val="00AC3669"/>
    <w:rsid w:val="00AC3C90"/>
    <w:rsid w:val="00AC458C"/>
    <w:rsid w:val="00AC4C34"/>
    <w:rsid w:val="00AC5BA7"/>
    <w:rsid w:val="00AC60D3"/>
    <w:rsid w:val="00AC6503"/>
    <w:rsid w:val="00AC6A57"/>
    <w:rsid w:val="00AC6D5B"/>
    <w:rsid w:val="00AC729F"/>
    <w:rsid w:val="00AC735B"/>
    <w:rsid w:val="00AC77C8"/>
    <w:rsid w:val="00AD0782"/>
    <w:rsid w:val="00AD092A"/>
    <w:rsid w:val="00AD12C4"/>
    <w:rsid w:val="00AD137D"/>
    <w:rsid w:val="00AD1A70"/>
    <w:rsid w:val="00AD1EBC"/>
    <w:rsid w:val="00AD1EFE"/>
    <w:rsid w:val="00AD24F0"/>
    <w:rsid w:val="00AD268B"/>
    <w:rsid w:val="00AD2E61"/>
    <w:rsid w:val="00AD327E"/>
    <w:rsid w:val="00AD3401"/>
    <w:rsid w:val="00AD34C4"/>
    <w:rsid w:val="00AD3DCA"/>
    <w:rsid w:val="00AD410A"/>
    <w:rsid w:val="00AD4534"/>
    <w:rsid w:val="00AD4626"/>
    <w:rsid w:val="00AD5DAA"/>
    <w:rsid w:val="00AD5EB5"/>
    <w:rsid w:val="00AD68A2"/>
    <w:rsid w:val="00AD6ABD"/>
    <w:rsid w:val="00AD6CD3"/>
    <w:rsid w:val="00AD709D"/>
    <w:rsid w:val="00AD7CD7"/>
    <w:rsid w:val="00AE0B8F"/>
    <w:rsid w:val="00AE13CA"/>
    <w:rsid w:val="00AE1B6B"/>
    <w:rsid w:val="00AE2378"/>
    <w:rsid w:val="00AE2445"/>
    <w:rsid w:val="00AE2CC6"/>
    <w:rsid w:val="00AE3C1F"/>
    <w:rsid w:val="00AE4304"/>
    <w:rsid w:val="00AE44BE"/>
    <w:rsid w:val="00AE47EA"/>
    <w:rsid w:val="00AE487B"/>
    <w:rsid w:val="00AE4AF9"/>
    <w:rsid w:val="00AE5D5F"/>
    <w:rsid w:val="00AE606A"/>
    <w:rsid w:val="00AE621E"/>
    <w:rsid w:val="00AE6734"/>
    <w:rsid w:val="00AE6912"/>
    <w:rsid w:val="00AE6EA8"/>
    <w:rsid w:val="00AE7237"/>
    <w:rsid w:val="00AE739B"/>
    <w:rsid w:val="00AE75B6"/>
    <w:rsid w:val="00AE7785"/>
    <w:rsid w:val="00AF006B"/>
    <w:rsid w:val="00AF011F"/>
    <w:rsid w:val="00AF0305"/>
    <w:rsid w:val="00AF038E"/>
    <w:rsid w:val="00AF0E53"/>
    <w:rsid w:val="00AF0FF5"/>
    <w:rsid w:val="00AF175E"/>
    <w:rsid w:val="00AF1B30"/>
    <w:rsid w:val="00AF2735"/>
    <w:rsid w:val="00AF284A"/>
    <w:rsid w:val="00AF2B80"/>
    <w:rsid w:val="00AF3FAE"/>
    <w:rsid w:val="00AF4CF8"/>
    <w:rsid w:val="00AF4E73"/>
    <w:rsid w:val="00AF4E9F"/>
    <w:rsid w:val="00AF6281"/>
    <w:rsid w:val="00AF6510"/>
    <w:rsid w:val="00AF686B"/>
    <w:rsid w:val="00AF6A32"/>
    <w:rsid w:val="00AF6A35"/>
    <w:rsid w:val="00AF6BCE"/>
    <w:rsid w:val="00AF6F09"/>
    <w:rsid w:val="00AF750C"/>
    <w:rsid w:val="00AF7876"/>
    <w:rsid w:val="00AF7E4D"/>
    <w:rsid w:val="00B00D14"/>
    <w:rsid w:val="00B010AB"/>
    <w:rsid w:val="00B0110D"/>
    <w:rsid w:val="00B01363"/>
    <w:rsid w:val="00B01510"/>
    <w:rsid w:val="00B01555"/>
    <w:rsid w:val="00B01596"/>
    <w:rsid w:val="00B01D09"/>
    <w:rsid w:val="00B01E8D"/>
    <w:rsid w:val="00B02BFB"/>
    <w:rsid w:val="00B02C79"/>
    <w:rsid w:val="00B03066"/>
    <w:rsid w:val="00B031D7"/>
    <w:rsid w:val="00B0322A"/>
    <w:rsid w:val="00B03737"/>
    <w:rsid w:val="00B03869"/>
    <w:rsid w:val="00B03AD9"/>
    <w:rsid w:val="00B0474C"/>
    <w:rsid w:val="00B04955"/>
    <w:rsid w:val="00B04CED"/>
    <w:rsid w:val="00B0581D"/>
    <w:rsid w:val="00B05C89"/>
    <w:rsid w:val="00B05DB6"/>
    <w:rsid w:val="00B06451"/>
    <w:rsid w:val="00B0673A"/>
    <w:rsid w:val="00B06D90"/>
    <w:rsid w:val="00B06E32"/>
    <w:rsid w:val="00B077EE"/>
    <w:rsid w:val="00B07CE3"/>
    <w:rsid w:val="00B1069F"/>
    <w:rsid w:val="00B118A1"/>
    <w:rsid w:val="00B11CEE"/>
    <w:rsid w:val="00B11D07"/>
    <w:rsid w:val="00B120BE"/>
    <w:rsid w:val="00B12D1C"/>
    <w:rsid w:val="00B12F13"/>
    <w:rsid w:val="00B12F78"/>
    <w:rsid w:val="00B13676"/>
    <w:rsid w:val="00B136B7"/>
    <w:rsid w:val="00B14515"/>
    <w:rsid w:val="00B1471D"/>
    <w:rsid w:val="00B1485B"/>
    <w:rsid w:val="00B14897"/>
    <w:rsid w:val="00B14F38"/>
    <w:rsid w:val="00B14FBC"/>
    <w:rsid w:val="00B150C6"/>
    <w:rsid w:val="00B150F6"/>
    <w:rsid w:val="00B15292"/>
    <w:rsid w:val="00B155C4"/>
    <w:rsid w:val="00B15835"/>
    <w:rsid w:val="00B15AB3"/>
    <w:rsid w:val="00B15ED0"/>
    <w:rsid w:val="00B1603C"/>
    <w:rsid w:val="00B1665C"/>
    <w:rsid w:val="00B16709"/>
    <w:rsid w:val="00B175D2"/>
    <w:rsid w:val="00B17AE7"/>
    <w:rsid w:val="00B17F45"/>
    <w:rsid w:val="00B200A6"/>
    <w:rsid w:val="00B2068C"/>
    <w:rsid w:val="00B2079A"/>
    <w:rsid w:val="00B21213"/>
    <w:rsid w:val="00B2128F"/>
    <w:rsid w:val="00B2173A"/>
    <w:rsid w:val="00B21B54"/>
    <w:rsid w:val="00B21BAF"/>
    <w:rsid w:val="00B22263"/>
    <w:rsid w:val="00B230CB"/>
    <w:rsid w:val="00B2368A"/>
    <w:rsid w:val="00B23753"/>
    <w:rsid w:val="00B2386B"/>
    <w:rsid w:val="00B255AB"/>
    <w:rsid w:val="00B25923"/>
    <w:rsid w:val="00B25A5C"/>
    <w:rsid w:val="00B2651F"/>
    <w:rsid w:val="00B265E9"/>
    <w:rsid w:val="00B26B29"/>
    <w:rsid w:val="00B26DB2"/>
    <w:rsid w:val="00B2746D"/>
    <w:rsid w:val="00B300EF"/>
    <w:rsid w:val="00B30225"/>
    <w:rsid w:val="00B308CF"/>
    <w:rsid w:val="00B31E1B"/>
    <w:rsid w:val="00B32006"/>
    <w:rsid w:val="00B32F1E"/>
    <w:rsid w:val="00B33577"/>
    <w:rsid w:val="00B3374E"/>
    <w:rsid w:val="00B33A4A"/>
    <w:rsid w:val="00B3413D"/>
    <w:rsid w:val="00B34405"/>
    <w:rsid w:val="00B34593"/>
    <w:rsid w:val="00B3484F"/>
    <w:rsid w:val="00B34B97"/>
    <w:rsid w:val="00B34C32"/>
    <w:rsid w:val="00B34CFD"/>
    <w:rsid w:val="00B34F82"/>
    <w:rsid w:val="00B34FA1"/>
    <w:rsid w:val="00B35BCF"/>
    <w:rsid w:val="00B36468"/>
    <w:rsid w:val="00B36959"/>
    <w:rsid w:val="00B36C2F"/>
    <w:rsid w:val="00B371A1"/>
    <w:rsid w:val="00B37D9F"/>
    <w:rsid w:val="00B37F95"/>
    <w:rsid w:val="00B41188"/>
    <w:rsid w:val="00B41731"/>
    <w:rsid w:val="00B417EC"/>
    <w:rsid w:val="00B421F1"/>
    <w:rsid w:val="00B42991"/>
    <w:rsid w:val="00B42C5D"/>
    <w:rsid w:val="00B42D42"/>
    <w:rsid w:val="00B42DC9"/>
    <w:rsid w:val="00B43037"/>
    <w:rsid w:val="00B43800"/>
    <w:rsid w:val="00B43A52"/>
    <w:rsid w:val="00B43FEB"/>
    <w:rsid w:val="00B440BE"/>
    <w:rsid w:val="00B44A01"/>
    <w:rsid w:val="00B44C5B"/>
    <w:rsid w:val="00B45BAD"/>
    <w:rsid w:val="00B45D95"/>
    <w:rsid w:val="00B4694C"/>
    <w:rsid w:val="00B46953"/>
    <w:rsid w:val="00B4706F"/>
    <w:rsid w:val="00B4738D"/>
    <w:rsid w:val="00B4760B"/>
    <w:rsid w:val="00B5075D"/>
    <w:rsid w:val="00B50E28"/>
    <w:rsid w:val="00B5230A"/>
    <w:rsid w:val="00B5233C"/>
    <w:rsid w:val="00B52423"/>
    <w:rsid w:val="00B52602"/>
    <w:rsid w:val="00B52689"/>
    <w:rsid w:val="00B52A1D"/>
    <w:rsid w:val="00B52AA5"/>
    <w:rsid w:val="00B52CAA"/>
    <w:rsid w:val="00B53380"/>
    <w:rsid w:val="00B53D0B"/>
    <w:rsid w:val="00B54599"/>
    <w:rsid w:val="00B547BA"/>
    <w:rsid w:val="00B549C6"/>
    <w:rsid w:val="00B55156"/>
    <w:rsid w:val="00B55439"/>
    <w:rsid w:val="00B5552F"/>
    <w:rsid w:val="00B5587E"/>
    <w:rsid w:val="00B55CDC"/>
    <w:rsid w:val="00B55F37"/>
    <w:rsid w:val="00B56CD5"/>
    <w:rsid w:val="00B56D1B"/>
    <w:rsid w:val="00B56F00"/>
    <w:rsid w:val="00B573E0"/>
    <w:rsid w:val="00B60423"/>
    <w:rsid w:val="00B60C7C"/>
    <w:rsid w:val="00B61025"/>
    <w:rsid w:val="00B61A79"/>
    <w:rsid w:val="00B61E45"/>
    <w:rsid w:val="00B61ECE"/>
    <w:rsid w:val="00B62234"/>
    <w:rsid w:val="00B62FE8"/>
    <w:rsid w:val="00B635A6"/>
    <w:rsid w:val="00B63692"/>
    <w:rsid w:val="00B646FC"/>
    <w:rsid w:val="00B64C8D"/>
    <w:rsid w:val="00B65513"/>
    <w:rsid w:val="00B656CC"/>
    <w:rsid w:val="00B665EA"/>
    <w:rsid w:val="00B66CE5"/>
    <w:rsid w:val="00B66ECA"/>
    <w:rsid w:val="00B66ED1"/>
    <w:rsid w:val="00B66FB3"/>
    <w:rsid w:val="00B67561"/>
    <w:rsid w:val="00B67BF8"/>
    <w:rsid w:val="00B67C1B"/>
    <w:rsid w:val="00B70060"/>
    <w:rsid w:val="00B70072"/>
    <w:rsid w:val="00B70880"/>
    <w:rsid w:val="00B70D33"/>
    <w:rsid w:val="00B70D4F"/>
    <w:rsid w:val="00B71AF2"/>
    <w:rsid w:val="00B72148"/>
    <w:rsid w:val="00B7225F"/>
    <w:rsid w:val="00B7333E"/>
    <w:rsid w:val="00B738B6"/>
    <w:rsid w:val="00B73E8C"/>
    <w:rsid w:val="00B73FB4"/>
    <w:rsid w:val="00B74B9F"/>
    <w:rsid w:val="00B74C64"/>
    <w:rsid w:val="00B75A49"/>
    <w:rsid w:val="00B75D31"/>
    <w:rsid w:val="00B771EC"/>
    <w:rsid w:val="00B77E4C"/>
    <w:rsid w:val="00B77FD2"/>
    <w:rsid w:val="00B80413"/>
    <w:rsid w:val="00B80A63"/>
    <w:rsid w:val="00B8154F"/>
    <w:rsid w:val="00B8160D"/>
    <w:rsid w:val="00B81795"/>
    <w:rsid w:val="00B81FEE"/>
    <w:rsid w:val="00B823DD"/>
    <w:rsid w:val="00B82600"/>
    <w:rsid w:val="00B82861"/>
    <w:rsid w:val="00B82C26"/>
    <w:rsid w:val="00B837E0"/>
    <w:rsid w:val="00B839D0"/>
    <w:rsid w:val="00B83B89"/>
    <w:rsid w:val="00B84397"/>
    <w:rsid w:val="00B859A6"/>
    <w:rsid w:val="00B863C1"/>
    <w:rsid w:val="00B86EDC"/>
    <w:rsid w:val="00B876AA"/>
    <w:rsid w:val="00B87F3C"/>
    <w:rsid w:val="00B90713"/>
    <w:rsid w:val="00B908E5"/>
    <w:rsid w:val="00B90FA5"/>
    <w:rsid w:val="00B9174A"/>
    <w:rsid w:val="00B9181D"/>
    <w:rsid w:val="00B918EC"/>
    <w:rsid w:val="00B91ACA"/>
    <w:rsid w:val="00B926F2"/>
    <w:rsid w:val="00B92CC8"/>
    <w:rsid w:val="00B93F10"/>
    <w:rsid w:val="00B944E2"/>
    <w:rsid w:val="00B946BA"/>
    <w:rsid w:val="00B94D38"/>
    <w:rsid w:val="00B950F0"/>
    <w:rsid w:val="00B952DA"/>
    <w:rsid w:val="00B959CA"/>
    <w:rsid w:val="00B96442"/>
    <w:rsid w:val="00B975A6"/>
    <w:rsid w:val="00B97FBC"/>
    <w:rsid w:val="00BA062C"/>
    <w:rsid w:val="00BA096D"/>
    <w:rsid w:val="00BA0F4B"/>
    <w:rsid w:val="00BA1104"/>
    <w:rsid w:val="00BA110B"/>
    <w:rsid w:val="00BA1117"/>
    <w:rsid w:val="00BA1B20"/>
    <w:rsid w:val="00BA1C6B"/>
    <w:rsid w:val="00BA1C78"/>
    <w:rsid w:val="00BA1E06"/>
    <w:rsid w:val="00BA2326"/>
    <w:rsid w:val="00BA263D"/>
    <w:rsid w:val="00BA27E1"/>
    <w:rsid w:val="00BA2B06"/>
    <w:rsid w:val="00BA30A6"/>
    <w:rsid w:val="00BA330C"/>
    <w:rsid w:val="00BA4BC8"/>
    <w:rsid w:val="00BA5A04"/>
    <w:rsid w:val="00BA5B71"/>
    <w:rsid w:val="00BA5CCC"/>
    <w:rsid w:val="00BA5FE6"/>
    <w:rsid w:val="00BA6253"/>
    <w:rsid w:val="00BA62C1"/>
    <w:rsid w:val="00BA6A3A"/>
    <w:rsid w:val="00BA752A"/>
    <w:rsid w:val="00BA75F4"/>
    <w:rsid w:val="00BB0091"/>
    <w:rsid w:val="00BB0738"/>
    <w:rsid w:val="00BB0964"/>
    <w:rsid w:val="00BB1149"/>
    <w:rsid w:val="00BB17E1"/>
    <w:rsid w:val="00BB185A"/>
    <w:rsid w:val="00BB21A2"/>
    <w:rsid w:val="00BB28C3"/>
    <w:rsid w:val="00BB2A20"/>
    <w:rsid w:val="00BB2D87"/>
    <w:rsid w:val="00BB3643"/>
    <w:rsid w:val="00BB3C28"/>
    <w:rsid w:val="00BB3DB8"/>
    <w:rsid w:val="00BB42BD"/>
    <w:rsid w:val="00BB5CEB"/>
    <w:rsid w:val="00BB5D3E"/>
    <w:rsid w:val="00BB5EF3"/>
    <w:rsid w:val="00BB5F04"/>
    <w:rsid w:val="00BB6421"/>
    <w:rsid w:val="00BB6444"/>
    <w:rsid w:val="00BB6728"/>
    <w:rsid w:val="00BB6CD5"/>
    <w:rsid w:val="00BB6D07"/>
    <w:rsid w:val="00BB71DF"/>
    <w:rsid w:val="00BB7543"/>
    <w:rsid w:val="00BB7BE5"/>
    <w:rsid w:val="00BB7DE0"/>
    <w:rsid w:val="00BB7E8C"/>
    <w:rsid w:val="00BC012C"/>
    <w:rsid w:val="00BC0653"/>
    <w:rsid w:val="00BC0C1D"/>
    <w:rsid w:val="00BC0D0F"/>
    <w:rsid w:val="00BC0EEC"/>
    <w:rsid w:val="00BC15E2"/>
    <w:rsid w:val="00BC1738"/>
    <w:rsid w:val="00BC1C69"/>
    <w:rsid w:val="00BC2035"/>
    <w:rsid w:val="00BC2F4A"/>
    <w:rsid w:val="00BC3EAB"/>
    <w:rsid w:val="00BC45E5"/>
    <w:rsid w:val="00BC49EF"/>
    <w:rsid w:val="00BC4B88"/>
    <w:rsid w:val="00BC4BE6"/>
    <w:rsid w:val="00BC4C93"/>
    <w:rsid w:val="00BC4DD7"/>
    <w:rsid w:val="00BC4F3A"/>
    <w:rsid w:val="00BC6054"/>
    <w:rsid w:val="00BC624D"/>
    <w:rsid w:val="00BC6CF5"/>
    <w:rsid w:val="00BC7314"/>
    <w:rsid w:val="00BC75C0"/>
    <w:rsid w:val="00BC77A8"/>
    <w:rsid w:val="00BC7B59"/>
    <w:rsid w:val="00BC7B8A"/>
    <w:rsid w:val="00BC7CE0"/>
    <w:rsid w:val="00BD0864"/>
    <w:rsid w:val="00BD0E03"/>
    <w:rsid w:val="00BD175B"/>
    <w:rsid w:val="00BD1AA6"/>
    <w:rsid w:val="00BD1D64"/>
    <w:rsid w:val="00BD208B"/>
    <w:rsid w:val="00BD295F"/>
    <w:rsid w:val="00BD2A63"/>
    <w:rsid w:val="00BD310D"/>
    <w:rsid w:val="00BD3FD3"/>
    <w:rsid w:val="00BD44DA"/>
    <w:rsid w:val="00BD481D"/>
    <w:rsid w:val="00BD4955"/>
    <w:rsid w:val="00BD54BE"/>
    <w:rsid w:val="00BD5697"/>
    <w:rsid w:val="00BD5975"/>
    <w:rsid w:val="00BD5B2B"/>
    <w:rsid w:val="00BD5E01"/>
    <w:rsid w:val="00BD5F79"/>
    <w:rsid w:val="00BD66F8"/>
    <w:rsid w:val="00BD6CD1"/>
    <w:rsid w:val="00BD712E"/>
    <w:rsid w:val="00BD715D"/>
    <w:rsid w:val="00BD76C0"/>
    <w:rsid w:val="00BD7B3C"/>
    <w:rsid w:val="00BE04D9"/>
    <w:rsid w:val="00BE0AE7"/>
    <w:rsid w:val="00BE0D94"/>
    <w:rsid w:val="00BE12B6"/>
    <w:rsid w:val="00BE1731"/>
    <w:rsid w:val="00BE1AB5"/>
    <w:rsid w:val="00BE1C7D"/>
    <w:rsid w:val="00BE1F94"/>
    <w:rsid w:val="00BE22AD"/>
    <w:rsid w:val="00BE2430"/>
    <w:rsid w:val="00BE2763"/>
    <w:rsid w:val="00BE2F04"/>
    <w:rsid w:val="00BE31C5"/>
    <w:rsid w:val="00BE35EB"/>
    <w:rsid w:val="00BE435B"/>
    <w:rsid w:val="00BE4470"/>
    <w:rsid w:val="00BE5447"/>
    <w:rsid w:val="00BE5F20"/>
    <w:rsid w:val="00BE5F45"/>
    <w:rsid w:val="00BE6E97"/>
    <w:rsid w:val="00BE7290"/>
    <w:rsid w:val="00BE7333"/>
    <w:rsid w:val="00BE738D"/>
    <w:rsid w:val="00BE75AE"/>
    <w:rsid w:val="00BE7771"/>
    <w:rsid w:val="00BF006F"/>
    <w:rsid w:val="00BF13B3"/>
    <w:rsid w:val="00BF1C50"/>
    <w:rsid w:val="00BF1E67"/>
    <w:rsid w:val="00BF20B7"/>
    <w:rsid w:val="00BF2516"/>
    <w:rsid w:val="00BF330E"/>
    <w:rsid w:val="00BF3760"/>
    <w:rsid w:val="00BF3B1E"/>
    <w:rsid w:val="00BF3FA6"/>
    <w:rsid w:val="00BF4F5F"/>
    <w:rsid w:val="00BF6569"/>
    <w:rsid w:val="00BF67E0"/>
    <w:rsid w:val="00BF6BF4"/>
    <w:rsid w:val="00BF6C08"/>
    <w:rsid w:val="00BF6E93"/>
    <w:rsid w:val="00C00EF3"/>
    <w:rsid w:val="00C00F01"/>
    <w:rsid w:val="00C01514"/>
    <w:rsid w:val="00C01A1B"/>
    <w:rsid w:val="00C01E5C"/>
    <w:rsid w:val="00C020CD"/>
    <w:rsid w:val="00C0226E"/>
    <w:rsid w:val="00C022EF"/>
    <w:rsid w:val="00C02AE6"/>
    <w:rsid w:val="00C02B6A"/>
    <w:rsid w:val="00C043C8"/>
    <w:rsid w:val="00C04785"/>
    <w:rsid w:val="00C04B4F"/>
    <w:rsid w:val="00C053F8"/>
    <w:rsid w:val="00C05C84"/>
    <w:rsid w:val="00C05D04"/>
    <w:rsid w:val="00C0664C"/>
    <w:rsid w:val="00C07036"/>
    <w:rsid w:val="00C073D8"/>
    <w:rsid w:val="00C07AF5"/>
    <w:rsid w:val="00C07DFD"/>
    <w:rsid w:val="00C1101C"/>
    <w:rsid w:val="00C11106"/>
    <w:rsid w:val="00C114A4"/>
    <w:rsid w:val="00C1161C"/>
    <w:rsid w:val="00C11BE1"/>
    <w:rsid w:val="00C126E8"/>
    <w:rsid w:val="00C12B50"/>
    <w:rsid w:val="00C12C95"/>
    <w:rsid w:val="00C12CA5"/>
    <w:rsid w:val="00C131F5"/>
    <w:rsid w:val="00C13588"/>
    <w:rsid w:val="00C13971"/>
    <w:rsid w:val="00C13BFE"/>
    <w:rsid w:val="00C14275"/>
    <w:rsid w:val="00C14A95"/>
    <w:rsid w:val="00C14DE1"/>
    <w:rsid w:val="00C14F76"/>
    <w:rsid w:val="00C15149"/>
    <w:rsid w:val="00C15993"/>
    <w:rsid w:val="00C15C46"/>
    <w:rsid w:val="00C164EC"/>
    <w:rsid w:val="00C16608"/>
    <w:rsid w:val="00C169F9"/>
    <w:rsid w:val="00C16E19"/>
    <w:rsid w:val="00C20403"/>
    <w:rsid w:val="00C20B9E"/>
    <w:rsid w:val="00C2144F"/>
    <w:rsid w:val="00C2147A"/>
    <w:rsid w:val="00C21A7F"/>
    <w:rsid w:val="00C21B38"/>
    <w:rsid w:val="00C2216D"/>
    <w:rsid w:val="00C228B6"/>
    <w:rsid w:val="00C2347B"/>
    <w:rsid w:val="00C23D28"/>
    <w:rsid w:val="00C243CE"/>
    <w:rsid w:val="00C2528C"/>
    <w:rsid w:val="00C267B1"/>
    <w:rsid w:val="00C269C6"/>
    <w:rsid w:val="00C26B13"/>
    <w:rsid w:val="00C2750A"/>
    <w:rsid w:val="00C278D3"/>
    <w:rsid w:val="00C279D1"/>
    <w:rsid w:val="00C30408"/>
    <w:rsid w:val="00C306E8"/>
    <w:rsid w:val="00C308AE"/>
    <w:rsid w:val="00C30A3F"/>
    <w:rsid w:val="00C30C3E"/>
    <w:rsid w:val="00C31156"/>
    <w:rsid w:val="00C313D3"/>
    <w:rsid w:val="00C31541"/>
    <w:rsid w:val="00C3165C"/>
    <w:rsid w:val="00C3189E"/>
    <w:rsid w:val="00C322FE"/>
    <w:rsid w:val="00C325AE"/>
    <w:rsid w:val="00C327CD"/>
    <w:rsid w:val="00C32C5B"/>
    <w:rsid w:val="00C33DCF"/>
    <w:rsid w:val="00C34386"/>
    <w:rsid w:val="00C344A3"/>
    <w:rsid w:val="00C3481E"/>
    <w:rsid w:val="00C34C16"/>
    <w:rsid w:val="00C350D8"/>
    <w:rsid w:val="00C358C4"/>
    <w:rsid w:val="00C35945"/>
    <w:rsid w:val="00C36069"/>
    <w:rsid w:val="00C36366"/>
    <w:rsid w:val="00C3677D"/>
    <w:rsid w:val="00C37BC8"/>
    <w:rsid w:val="00C40028"/>
    <w:rsid w:val="00C40A26"/>
    <w:rsid w:val="00C410B9"/>
    <w:rsid w:val="00C416EB"/>
    <w:rsid w:val="00C41779"/>
    <w:rsid w:val="00C4193B"/>
    <w:rsid w:val="00C42386"/>
    <w:rsid w:val="00C42C18"/>
    <w:rsid w:val="00C43178"/>
    <w:rsid w:val="00C438EA"/>
    <w:rsid w:val="00C43C8C"/>
    <w:rsid w:val="00C441F6"/>
    <w:rsid w:val="00C44484"/>
    <w:rsid w:val="00C444B2"/>
    <w:rsid w:val="00C44E9B"/>
    <w:rsid w:val="00C44FC5"/>
    <w:rsid w:val="00C450AE"/>
    <w:rsid w:val="00C455CC"/>
    <w:rsid w:val="00C459CA"/>
    <w:rsid w:val="00C4628E"/>
    <w:rsid w:val="00C46F71"/>
    <w:rsid w:val="00C46F72"/>
    <w:rsid w:val="00C47DA9"/>
    <w:rsid w:val="00C503E1"/>
    <w:rsid w:val="00C50CBC"/>
    <w:rsid w:val="00C52896"/>
    <w:rsid w:val="00C53296"/>
    <w:rsid w:val="00C53AC3"/>
    <w:rsid w:val="00C53C21"/>
    <w:rsid w:val="00C5407E"/>
    <w:rsid w:val="00C55146"/>
    <w:rsid w:val="00C55281"/>
    <w:rsid w:val="00C562C4"/>
    <w:rsid w:val="00C565B5"/>
    <w:rsid w:val="00C575E7"/>
    <w:rsid w:val="00C5769A"/>
    <w:rsid w:val="00C57849"/>
    <w:rsid w:val="00C57DDD"/>
    <w:rsid w:val="00C6075F"/>
    <w:rsid w:val="00C60784"/>
    <w:rsid w:val="00C60B29"/>
    <w:rsid w:val="00C6111F"/>
    <w:rsid w:val="00C6163C"/>
    <w:rsid w:val="00C61F6C"/>
    <w:rsid w:val="00C62229"/>
    <w:rsid w:val="00C62287"/>
    <w:rsid w:val="00C62698"/>
    <w:rsid w:val="00C6348D"/>
    <w:rsid w:val="00C6372B"/>
    <w:rsid w:val="00C64AFF"/>
    <w:rsid w:val="00C65150"/>
    <w:rsid w:val="00C651BA"/>
    <w:rsid w:val="00C65492"/>
    <w:rsid w:val="00C663D0"/>
    <w:rsid w:val="00C66591"/>
    <w:rsid w:val="00C66678"/>
    <w:rsid w:val="00C666B5"/>
    <w:rsid w:val="00C66D2D"/>
    <w:rsid w:val="00C67F01"/>
    <w:rsid w:val="00C70538"/>
    <w:rsid w:val="00C70979"/>
    <w:rsid w:val="00C70DFA"/>
    <w:rsid w:val="00C711D9"/>
    <w:rsid w:val="00C7120E"/>
    <w:rsid w:val="00C71410"/>
    <w:rsid w:val="00C71DE2"/>
    <w:rsid w:val="00C727D2"/>
    <w:rsid w:val="00C72E72"/>
    <w:rsid w:val="00C7321F"/>
    <w:rsid w:val="00C737EE"/>
    <w:rsid w:val="00C73E42"/>
    <w:rsid w:val="00C73F8F"/>
    <w:rsid w:val="00C7420C"/>
    <w:rsid w:val="00C749EA"/>
    <w:rsid w:val="00C74A39"/>
    <w:rsid w:val="00C74C00"/>
    <w:rsid w:val="00C74FD4"/>
    <w:rsid w:val="00C7555D"/>
    <w:rsid w:val="00C76879"/>
    <w:rsid w:val="00C76AB3"/>
    <w:rsid w:val="00C76ABE"/>
    <w:rsid w:val="00C76FFF"/>
    <w:rsid w:val="00C77E85"/>
    <w:rsid w:val="00C80564"/>
    <w:rsid w:val="00C80E7F"/>
    <w:rsid w:val="00C80FBE"/>
    <w:rsid w:val="00C8109C"/>
    <w:rsid w:val="00C81685"/>
    <w:rsid w:val="00C818EB"/>
    <w:rsid w:val="00C81B5D"/>
    <w:rsid w:val="00C82022"/>
    <w:rsid w:val="00C82874"/>
    <w:rsid w:val="00C829EE"/>
    <w:rsid w:val="00C82A01"/>
    <w:rsid w:val="00C82F0C"/>
    <w:rsid w:val="00C83077"/>
    <w:rsid w:val="00C8311B"/>
    <w:rsid w:val="00C834DD"/>
    <w:rsid w:val="00C837A9"/>
    <w:rsid w:val="00C83E8D"/>
    <w:rsid w:val="00C844DE"/>
    <w:rsid w:val="00C84E66"/>
    <w:rsid w:val="00C85246"/>
    <w:rsid w:val="00C85811"/>
    <w:rsid w:val="00C860FE"/>
    <w:rsid w:val="00C8665F"/>
    <w:rsid w:val="00C86E98"/>
    <w:rsid w:val="00C871F7"/>
    <w:rsid w:val="00C877E8"/>
    <w:rsid w:val="00C90269"/>
    <w:rsid w:val="00C90BFC"/>
    <w:rsid w:val="00C90FD1"/>
    <w:rsid w:val="00C92AE0"/>
    <w:rsid w:val="00C93778"/>
    <w:rsid w:val="00C939D8"/>
    <w:rsid w:val="00C94C0B"/>
    <w:rsid w:val="00C9512C"/>
    <w:rsid w:val="00C957AF"/>
    <w:rsid w:val="00C9584F"/>
    <w:rsid w:val="00C959B5"/>
    <w:rsid w:val="00C95FC4"/>
    <w:rsid w:val="00C962D7"/>
    <w:rsid w:val="00C966B4"/>
    <w:rsid w:val="00C96E3B"/>
    <w:rsid w:val="00C97020"/>
    <w:rsid w:val="00C971C3"/>
    <w:rsid w:val="00C9728D"/>
    <w:rsid w:val="00C97342"/>
    <w:rsid w:val="00CA080C"/>
    <w:rsid w:val="00CA0F85"/>
    <w:rsid w:val="00CA117B"/>
    <w:rsid w:val="00CA2044"/>
    <w:rsid w:val="00CA2601"/>
    <w:rsid w:val="00CA284B"/>
    <w:rsid w:val="00CA2A06"/>
    <w:rsid w:val="00CA309A"/>
    <w:rsid w:val="00CA3635"/>
    <w:rsid w:val="00CA4167"/>
    <w:rsid w:val="00CA4249"/>
    <w:rsid w:val="00CA451A"/>
    <w:rsid w:val="00CA4596"/>
    <w:rsid w:val="00CA4631"/>
    <w:rsid w:val="00CA4EE8"/>
    <w:rsid w:val="00CA4F69"/>
    <w:rsid w:val="00CA501D"/>
    <w:rsid w:val="00CA50E6"/>
    <w:rsid w:val="00CA5987"/>
    <w:rsid w:val="00CA5D5B"/>
    <w:rsid w:val="00CA6EF6"/>
    <w:rsid w:val="00CA6F33"/>
    <w:rsid w:val="00CA7F09"/>
    <w:rsid w:val="00CB021C"/>
    <w:rsid w:val="00CB0545"/>
    <w:rsid w:val="00CB0738"/>
    <w:rsid w:val="00CB0B18"/>
    <w:rsid w:val="00CB0B25"/>
    <w:rsid w:val="00CB0E4E"/>
    <w:rsid w:val="00CB15FC"/>
    <w:rsid w:val="00CB17AB"/>
    <w:rsid w:val="00CB2C35"/>
    <w:rsid w:val="00CB2CE1"/>
    <w:rsid w:val="00CB2F8B"/>
    <w:rsid w:val="00CB37E1"/>
    <w:rsid w:val="00CB3C78"/>
    <w:rsid w:val="00CB3F2E"/>
    <w:rsid w:val="00CB4187"/>
    <w:rsid w:val="00CB44A3"/>
    <w:rsid w:val="00CB44B0"/>
    <w:rsid w:val="00CB4541"/>
    <w:rsid w:val="00CB4843"/>
    <w:rsid w:val="00CB4CB6"/>
    <w:rsid w:val="00CB4EE8"/>
    <w:rsid w:val="00CB4F9C"/>
    <w:rsid w:val="00CB5337"/>
    <w:rsid w:val="00CB5398"/>
    <w:rsid w:val="00CB576C"/>
    <w:rsid w:val="00CB597C"/>
    <w:rsid w:val="00CB59D1"/>
    <w:rsid w:val="00CB5B66"/>
    <w:rsid w:val="00CB5D62"/>
    <w:rsid w:val="00CB65D9"/>
    <w:rsid w:val="00CB6F17"/>
    <w:rsid w:val="00CB7419"/>
    <w:rsid w:val="00CB78E5"/>
    <w:rsid w:val="00CC057C"/>
    <w:rsid w:val="00CC064B"/>
    <w:rsid w:val="00CC092B"/>
    <w:rsid w:val="00CC1D79"/>
    <w:rsid w:val="00CC1DF8"/>
    <w:rsid w:val="00CC256D"/>
    <w:rsid w:val="00CC3043"/>
    <w:rsid w:val="00CC3050"/>
    <w:rsid w:val="00CC3954"/>
    <w:rsid w:val="00CC3A3A"/>
    <w:rsid w:val="00CC4869"/>
    <w:rsid w:val="00CC4AC9"/>
    <w:rsid w:val="00CC4D47"/>
    <w:rsid w:val="00CC539C"/>
    <w:rsid w:val="00CC578A"/>
    <w:rsid w:val="00CC6223"/>
    <w:rsid w:val="00CC6562"/>
    <w:rsid w:val="00CC6AC8"/>
    <w:rsid w:val="00CC6F0A"/>
    <w:rsid w:val="00CC700A"/>
    <w:rsid w:val="00CC7AE1"/>
    <w:rsid w:val="00CD00A7"/>
    <w:rsid w:val="00CD06AE"/>
    <w:rsid w:val="00CD0B7D"/>
    <w:rsid w:val="00CD0B9C"/>
    <w:rsid w:val="00CD0D6C"/>
    <w:rsid w:val="00CD2227"/>
    <w:rsid w:val="00CD239E"/>
    <w:rsid w:val="00CD2404"/>
    <w:rsid w:val="00CD2B00"/>
    <w:rsid w:val="00CD2D6F"/>
    <w:rsid w:val="00CD339D"/>
    <w:rsid w:val="00CD3568"/>
    <w:rsid w:val="00CD4412"/>
    <w:rsid w:val="00CD4424"/>
    <w:rsid w:val="00CD4D32"/>
    <w:rsid w:val="00CD5F79"/>
    <w:rsid w:val="00CD64E7"/>
    <w:rsid w:val="00CD6AE8"/>
    <w:rsid w:val="00CD74BC"/>
    <w:rsid w:val="00CD77BC"/>
    <w:rsid w:val="00CD7837"/>
    <w:rsid w:val="00CD7F50"/>
    <w:rsid w:val="00CE01DB"/>
    <w:rsid w:val="00CE0217"/>
    <w:rsid w:val="00CE09DA"/>
    <w:rsid w:val="00CE0B30"/>
    <w:rsid w:val="00CE0CC3"/>
    <w:rsid w:val="00CE150E"/>
    <w:rsid w:val="00CE17B6"/>
    <w:rsid w:val="00CE17D9"/>
    <w:rsid w:val="00CE1D45"/>
    <w:rsid w:val="00CE24BB"/>
    <w:rsid w:val="00CE3024"/>
    <w:rsid w:val="00CE405C"/>
    <w:rsid w:val="00CE416D"/>
    <w:rsid w:val="00CE484B"/>
    <w:rsid w:val="00CE4CB9"/>
    <w:rsid w:val="00CE4D67"/>
    <w:rsid w:val="00CE4E9B"/>
    <w:rsid w:val="00CE4EB6"/>
    <w:rsid w:val="00CE5013"/>
    <w:rsid w:val="00CE5D01"/>
    <w:rsid w:val="00CE641A"/>
    <w:rsid w:val="00CE69DA"/>
    <w:rsid w:val="00CE7BB7"/>
    <w:rsid w:val="00CE7E54"/>
    <w:rsid w:val="00CF02F9"/>
    <w:rsid w:val="00CF0534"/>
    <w:rsid w:val="00CF093A"/>
    <w:rsid w:val="00CF1542"/>
    <w:rsid w:val="00CF1676"/>
    <w:rsid w:val="00CF2AB3"/>
    <w:rsid w:val="00CF2D20"/>
    <w:rsid w:val="00CF36E1"/>
    <w:rsid w:val="00CF3736"/>
    <w:rsid w:val="00CF3E87"/>
    <w:rsid w:val="00CF43AA"/>
    <w:rsid w:val="00CF4664"/>
    <w:rsid w:val="00CF478C"/>
    <w:rsid w:val="00CF4A32"/>
    <w:rsid w:val="00CF4D06"/>
    <w:rsid w:val="00CF5399"/>
    <w:rsid w:val="00CF53C7"/>
    <w:rsid w:val="00CF5414"/>
    <w:rsid w:val="00CF5850"/>
    <w:rsid w:val="00CF602F"/>
    <w:rsid w:val="00CF61F4"/>
    <w:rsid w:val="00CF63BC"/>
    <w:rsid w:val="00CF66A0"/>
    <w:rsid w:val="00CF6A95"/>
    <w:rsid w:val="00CF6CE1"/>
    <w:rsid w:val="00CF6E31"/>
    <w:rsid w:val="00D00AD8"/>
    <w:rsid w:val="00D00EFD"/>
    <w:rsid w:val="00D01420"/>
    <w:rsid w:val="00D0165F"/>
    <w:rsid w:val="00D01DD7"/>
    <w:rsid w:val="00D01E72"/>
    <w:rsid w:val="00D01FAF"/>
    <w:rsid w:val="00D02536"/>
    <w:rsid w:val="00D02DA7"/>
    <w:rsid w:val="00D03809"/>
    <w:rsid w:val="00D03A5B"/>
    <w:rsid w:val="00D03C5D"/>
    <w:rsid w:val="00D03FAB"/>
    <w:rsid w:val="00D0449C"/>
    <w:rsid w:val="00D04766"/>
    <w:rsid w:val="00D04823"/>
    <w:rsid w:val="00D04DCB"/>
    <w:rsid w:val="00D0518D"/>
    <w:rsid w:val="00D05A5E"/>
    <w:rsid w:val="00D05D16"/>
    <w:rsid w:val="00D05E4F"/>
    <w:rsid w:val="00D06412"/>
    <w:rsid w:val="00D06500"/>
    <w:rsid w:val="00D06724"/>
    <w:rsid w:val="00D069A3"/>
    <w:rsid w:val="00D06DC1"/>
    <w:rsid w:val="00D06FB6"/>
    <w:rsid w:val="00D07082"/>
    <w:rsid w:val="00D076FE"/>
    <w:rsid w:val="00D1016F"/>
    <w:rsid w:val="00D1062B"/>
    <w:rsid w:val="00D10B42"/>
    <w:rsid w:val="00D10C53"/>
    <w:rsid w:val="00D10D9E"/>
    <w:rsid w:val="00D11481"/>
    <w:rsid w:val="00D12A30"/>
    <w:rsid w:val="00D12EA2"/>
    <w:rsid w:val="00D1307A"/>
    <w:rsid w:val="00D13DA1"/>
    <w:rsid w:val="00D1485A"/>
    <w:rsid w:val="00D14D59"/>
    <w:rsid w:val="00D14EE2"/>
    <w:rsid w:val="00D155B3"/>
    <w:rsid w:val="00D158BF"/>
    <w:rsid w:val="00D158EC"/>
    <w:rsid w:val="00D15AFE"/>
    <w:rsid w:val="00D15D49"/>
    <w:rsid w:val="00D16BC5"/>
    <w:rsid w:val="00D16C50"/>
    <w:rsid w:val="00D17180"/>
    <w:rsid w:val="00D203E7"/>
    <w:rsid w:val="00D2099C"/>
    <w:rsid w:val="00D20AF1"/>
    <w:rsid w:val="00D20CAF"/>
    <w:rsid w:val="00D210BA"/>
    <w:rsid w:val="00D222B7"/>
    <w:rsid w:val="00D2236B"/>
    <w:rsid w:val="00D2251B"/>
    <w:rsid w:val="00D22C24"/>
    <w:rsid w:val="00D2336B"/>
    <w:rsid w:val="00D23D93"/>
    <w:rsid w:val="00D23DA3"/>
    <w:rsid w:val="00D23E70"/>
    <w:rsid w:val="00D2573B"/>
    <w:rsid w:val="00D25C2B"/>
    <w:rsid w:val="00D263A2"/>
    <w:rsid w:val="00D26607"/>
    <w:rsid w:val="00D26A32"/>
    <w:rsid w:val="00D26A96"/>
    <w:rsid w:val="00D27085"/>
    <w:rsid w:val="00D27521"/>
    <w:rsid w:val="00D276D7"/>
    <w:rsid w:val="00D27D93"/>
    <w:rsid w:val="00D30133"/>
    <w:rsid w:val="00D306B7"/>
    <w:rsid w:val="00D30C80"/>
    <w:rsid w:val="00D30E2E"/>
    <w:rsid w:val="00D31893"/>
    <w:rsid w:val="00D31903"/>
    <w:rsid w:val="00D32068"/>
    <w:rsid w:val="00D320FE"/>
    <w:rsid w:val="00D32308"/>
    <w:rsid w:val="00D32723"/>
    <w:rsid w:val="00D330C3"/>
    <w:rsid w:val="00D331AC"/>
    <w:rsid w:val="00D333FB"/>
    <w:rsid w:val="00D3342A"/>
    <w:rsid w:val="00D338D3"/>
    <w:rsid w:val="00D3438D"/>
    <w:rsid w:val="00D34633"/>
    <w:rsid w:val="00D346CE"/>
    <w:rsid w:val="00D3559D"/>
    <w:rsid w:val="00D3562E"/>
    <w:rsid w:val="00D37114"/>
    <w:rsid w:val="00D37881"/>
    <w:rsid w:val="00D37DE9"/>
    <w:rsid w:val="00D40048"/>
    <w:rsid w:val="00D404B8"/>
    <w:rsid w:val="00D40928"/>
    <w:rsid w:val="00D40C94"/>
    <w:rsid w:val="00D40D86"/>
    <w:rsid w:val="00D4106D"/>
    <w:rsid w:val="00D4109B"/>
    <w:rsid w:val="00D416C9"/>
    <w:rsid w:val="00D41B4C"/>
    <w:rsid w:val="00D426CD"/>
    <w:rsid w:val="00D433AD"/>
    <w:rsid w:val="00D445D8"/>
    <w:rsid w:val="00D447FB"/>
    <w:rsid w:val="00D44A44"/>
    <w:rsid w:val="00D44C33"/>
    <w:rsid w:val="00D44E84"/>
    <w:rsid w:val="00D44F32"/>
    <w:rsid w:val="00D45C02"/>
    <w:rsid w:val="00D45FFB"/>
    <w:rsid w:val="00D46187"/>
    <w:rsid w:val="00D46195"/>
    <w:rsid w:val="00D46A4B"/>
    <w:rsid w:val="00D46F36"/>
    <w:rsid w:val="00D4721D"/>
    <w:rsid w:val="00D4728D"/>
    <w:rsid w:val="00D47F09"/>
    <w:rsid w:val="00D501BA"/>
    <w:rsid w:val="00D50F4E"/>
    <w:rsid w:val="00D51262"/>
    <w:rsid w:val="00D5146F"/>
    <w:rsid w:val="00D51638"/>
    <w:rsid w:val="00D51972"/>
    <w:rsid w:val="00D51DF7"/>
    <w:rsid w:val="00D5269D"/>
    <w:rsid w:val="00D52C65"/>
    <w:rsid w:val="00D5398D"/>
    <w:rsid w:val="00D5441C"/>
    <w:rsid w:val="00D54487"/>
    <w:rsid w:val="00D54C6E"/>
    <w:rsid w:val="00D557A2"/>
    <w:rsid w:val="00D55AA4"/>
    <w:rsid w:val="00D55ABC"/>
    <w:rsid w:val="00D56E99"/>
    <w:rsid w:val="00D57B61"/>
    <w:rsid w:val="00D57C97"/>
    <w:rsid w:val="00D57CAB"/>
    <w:rsid w:val="00D57DF0"/>
    <w:rsid w:val="00D60343"/>
    <w:rsid w:val="00D605F0"/>
    <w:rsid w:val="00D60D42"/>
    <w:rsid w:val="00D60F1D"/>
    <w:rsid w:val="00D6107A"/>
    <w:rsid w:val="00D61311"/>
    <w:rsid w:val="00D6168F"/>
    <w:rsid w:val="00D617DB"/>
    <w:rsid w:val="00D61A11"/>
    <w:rsid w:val="00D61CB1"/>
    <w:rsid w:val="00D622D0"/>
    <w:rsid w:val="00D623A2"/>
    <w:rsid w:val="00D62AA6"/>
    <w:rsid w:val="00D62B45"/>
    <w:rsid w:val="00D63FA7"/>
    <w:rsid w:val="00D63FAE"/>
    <w:rsid w:val="00D64AAA"/>
    <w:rsid w:val="00D64AD7"/>
    <w:rsid w:val="00D64C79"/>
    <w:rsid w:val="00D64F8B"/>
    <w:rsid w:val="00D65287"/>
    <w:rsid w:val="00D65CF6"/>
    <w:rsid w:val="00D667D0"/>
    <w:rsid w:val="00D66934"/>
    <w:rsid w:val="00D6743F"/>
    <w:rsid w:val="00D679AB"/>
    <w:rsid w:val="00D67D97"/>
    <w:rsid w:val="00D701E2"/>
    <w:rsid w:val="00D7030F"/>
    <w:rsid w:val="00D70374"/>
    <w:rsid w:val="00D708E5"/>
    <w:rsid w:val="00D7196E"/>
    <w:rsid w:val="00D71AD6"/>
    <w:rsid w:val="00D71C1A"/>
    <w:rsid w:val="00D7204D"/>
    <w:rsid w:val="00D72621"/>
    <w:rsid w:val="00D72C88"/>
    <w:rsid w:val="00D731AF"/>
    <w:rsid w:val="00D73751"/>
    <w:rsid w:val="00D73885"/>
    <w:rsid w:val="00D73F0A"/>
    <w:rsid w:val="00D740AD"/>
    <w:rsid w:val="00D743E6"/>
    <w:rsid w:val="00D74CAC"/>
    <w:rsid w:val="00D75101"/>
    <w:rsid w:val="00D75CFF"/>
    <w:rsid w:val="00D76684"/>
    <w:rsid w:val="00D76B59"/>
    <w:rsid w:val="00D77EC2"/>
    <w:rsid w:val="00D816AE"/>
    <w:rsid w:val="00D82202"/>
    <w:rsid w:val="00D83471"/>
    <w:rsid w:val="00D8355E"/>
    <w:rsid w:val="00D8365F"/>
    <w:rsid w:val="00D83DA7"/>
    <w:rsid w:val="00D83DD9"/>
    <w:rsid w:val="00D848DD"/>
    <w:rsid w:val="00D849A0"/>
    <w:rsid w:val="00D8517D"/>
    <w:rsid w:val="00D8554A"/>
    <w:rsid w:val="00D85B53"/>
    <w:rsid w:val="00D86758"/>
    <w:rsid w:val="00D86A96"/>
    <w:rsid w:val="00D8794E"/>
    <w:rsid w:val="00D87BCA"/>
    <w:rsid w:val="00D90703"/>
    <w:rsid w:val="00D9075A"/>
    <w:rsid w:val="00D90910"/>
    <w:rsid w:val="00D91435"/>
    <w:rsid w:val="00D91952"/>
    <w:rsid w:val="00D91A10"/>
    <w:rsid w:val="00D91A18"/>
    <w:rsid w:val="00D91F0D"/>
    <w:rsid w:val="00D91F54"/>
    <w:rsid w:val="00D92192"/>
    <w:rsid w:val="00D9274D"/>
    <w:rsid w:val="00D92AA6"/>
    <w:rsid w:val="00D941DB"/>
    <w:rsid w:val="00D94276"/>
    <w:rsid w:val="00D9447C"/>
    <w:rsid w:val="00D9455E"/>
    <w:rsid w:val="00D94BDD"/>
    <w:rsid w:val="00D94CA2"/>
    <w:rsid w:val="00D94F4E"/>
    <w:rsid w:val="00D95B8E"/>
    <w:rsid w:val="00D9671E"/>
    <w:rsid w:val="00D97521"/>
    <w:rsid w:val="00D9792E"/>
    <w:rsid w:val="00D97D68"/>
    <w:rsid w:val="00DA0179"/>
    <w:rsid w:val="00DA0B5C"/>
    <w:rsid w:val="00DA12B7"/>
    <w:rsid w:val="00DA138F"/>
    <w:rsid w:val="00DA1474"/>
    <w:rsid w:val="00DA1926"/>
    <w:rsid w:val="00DA1FAE"/>
    <w:rsid w:val="00DA2098"/>
    <w:rsid w:val="00DA2A26"/>
    <w:rsid w:val="00DA2C55"/>
    <w:rsid w:val="00DA341C"/>
    <w:rsid w:val="00DA36A9"/>
    <w:rsid w:val="00DA3801"/>
    <w:rsid w:val="00DA3BD8"/>
    <w:rsid w:val="00DA3D13"/>
    <w:rsid w:val="00DA474F"/>
    <w:rsid w:val="00DA4AA9"/>
    <w:rsid w:val="00DA534F"/>
    <w:rsid w:val="00DA5852"/>
    <w:rsid w:val="00DA59F2"/>
    <w:rsid w:val="00DA69A1"/>
    <w:rsid w:val="00DB01B4"/>
    <w:rsid w:val="00DB0435"/>
    <w:rsid w:val="00DB05D2"/>
    <w:rsid w:val="00DB0C7C"/>
    <w:rsid w:val="00DB0E1F"/>
    <w:rsid w:val="00DB106E"/>
    <w:rsid w:val="00DB10C4"/>
    <w:rsid w:val="00DB1BA1"/>
    <w:rsid w:val="00DB1C5E"/>
    <w:rsid w:val="00DB27BB"/>
    <w:rsid w:val="00DB2850"/>
    <w:rsid w:val="00DB2EAA"/>
    <w:rsid w:val="00DB40DF"/>
    <w:rsid w:val="00DB4AD1"/>
    <w:rsid w:val="00DB4D83"/>
    <w:rsid w:val="00DB53D2"/>
    <w:rsid w:val="00DB5655"/>
    <w:rsid w:val="00DB5759"/>
    <w:rsid w:val="00DB680E"/>
    <w:rsid w:val="00DB717C"/>
    <w:rsid w:val="00DB7DD1"/>
    <w:rsid w:val="00DC0623"/>
    <w:rsid w:val="00DC070A"/>
    <w:rsid w:val="00DC0738"/>
    <w:rsid w:val="00DC0C4B"/>
    <w:rsid w:val="00DC0E77"/>
    <w:rsid w:val="00DC1098"/>
    <w:rsid w:val="00DC1395"/>
    <w:rsid w:val="00DC13C1"/>
    <w:rsid w:val="00DC1859"/>
    <w:rsid w:val="00DC1ADF"/>
    <w:rsid w:val="00DC2711"/>
    <w:rsid w:val="00DC27E6"/>
    <w:rsid w:val="00DC39DF"/>
    <w:rsid w:val="00DC4858"/>
    <w:rsid w:val="00DC5187"/>
    <w:rsid w:val="00DC52B2"/>
    <w:rsid w:val="00DC668A"/>
    <w:rsid w:val="00DC6765"/>
    <w:rsid w:val="00DC707A"/>
    <w:rsid w:val="00DC73DC"/>
    <w:rsid w:val="00DC7729"/>
    <w:rsid w:val="00DC77CF"/>
    <w:rsid w:val="00DD0019"/>
    <w:rsid w:val="00DD081E"/>
    <w:rsid w:val="00DD0942"/>
    <w:rsid w:val="00DD0DA0"/>
    <w:rsid w:val="00DD131F"/>
    <w:rsid w:val="00DD13DC"/>
    <w:rsid w:val="00DD1844"/>
    <w:rsid w:val="00DD1D08"/>
    <w:rsid w:val="00DD211C"/>
    <w:rsid w:val="00DD291F"/>
    <w:rsid w:val="00DD2C84"/>
    <w:rsid w:val="00DD4F33"/>
    <w:rsid w:val="00DD4F9C"/>
    <w:rsid w:val="00DD5056"/>
    <w:rsid w:val="00DD5212"/>
    <w:rsid w:val="00DD53CE"/>
    <w:rsid w:val="00DD5554"/>
    <w:rsid w:val="00DD5A80"/>
    <w:rsid w:val="00DD60FC"/>
    <w:rsid w:val="00DD62F8"/>
    <w:rsid w:val="00DD69BA"/>
    <w:rsid w:val="00DD6D30"/>
    <w:rsid w:val="00DD7336"/>
    <w:rsid w:val="00DD760E"/>
    <w:rsid w:val="00DD7DD5"/>
    <w:rsid w:val="00DE02C8"/>
    <w:rsid w:val="00DE07B4"/>
    <w:rsid w:val="00DE07D6"/>
    <w:rsid w:val="00DE088E"/>
    <w:rsid w:val="00DE0C99"/>
    <w:rsid w:val="00DE0DA0"/>
    <w:rsid w:val="00DE1172"/>
    <w:rsid w:val="00DE121C"/>
    <w:rsid w:val="00DE1643"/>
    <w:rsid w:val="00DE1B71"/>
    <w:rsid w:val="00DE1F29"/>
    <w:rsid w:val="00DE2A92"/>
    <w:rsid w:val="00DE389C"/>
    <w:rsid w:val="00DE4018"/>
    <w:rsid w:val="00DE42DC"/>
    <w:rsid w:val="00DE4955"/>
    <w:rsid w:val="00DE49C1"/>
    <w:rsid w:val="00DE56B5"/>
    <w:rsid w:val="00DE5A17"/>
    <w:rsid w:val="00DE5B53"/>
    <w:rsid w:val="00DE5E27"/>
    <w:rsid w:val="00DE60EC"/>
    <w:rsid w:val="00DE65AF"/>
    <w:rsid w:val="00DE68DF"/>
    <w:rsid w:val="00DE720B"/>
    <w:rsid w:val="00DE7ACD"/>
    <w:rsid w:val="00DE7CDF"/>
    <w:rsid w:val="00DE7CF4"/>
    <w:rsid w:val="00DE7DA0"/>
    <w:rsid w:val="00DE7E24"/>
    <w:rsid w:val="00DF04A4"/>
    <w:rsid w:val="00DF089F"/>
    <w:rsid w:val="00DF0967"/>
    <w:rsid w:val="00DF0C00"/>
    <w:rsid w:val="00DF0F5D"/>
    <w:rsid w:val="00DF114C"/>
    <w:rsid w:val="00DF162C"/>
    <w:rsid w:val="00DF1C00"/>
    <w:rsid w:val="00DF1F16"/>
    <w:rsid w:val="00DF332F"/>
    <w:rsid w:val="00DF348C"/>
    <w:rsid w:val="00DF3DC4"/>
    <w:rsid w:val="00DF4162"/>
    <w:rsid w:val="00DF4187"/>
    <w:rsid w:val="00DF4EFA"/>
    <w:rsid w:val="00DF59D4"/>
    <w:rsid w:val="00DF5B54"/>
    <w:rsid w:val="00DF5BA9"/>
    <w:rsid w:val="00DF63C5"/>
    <w:rsid w:val="00DF7112"/>
    <w:rsid w:val="00DF71F0"/>
    <w:rsid w:val="00DF752A"/>
    <w:rsid w:val="00DF798F"/>
    <w:rsid w:val="00DF7BA5"/>
    <w:rsid w:val="00E005EC"/>
    <w:rsid w:val="00E01469"/>
    <w:rsid w:val="00E016A5"/>
    <w:rsid w:val="00E0195A"/>
    <w:rsid w:val="00E01E7D"/>
    <w:rsid w:val="00E03054"/>
    <w:rsid w:val="00E0310E"/>
    <w:rsid w:val="00E03304"/>
    <w:rsid w:val="00E037B9"/>
    <w:rsid w:val="00E03E80"/>
    <w:rsid w:val="00E04378"/>
    <w:rsid w:val="00E04896"/>
    <w:rsid w:val="00E04DC8"/>
    <w:rsid w:val="00E05F2A"/>
    <w:rsid w:val="00E06E02"/>
    <w:rsid w:val="00E06F30"/>
    <w:rsid w:val="00E07608"/>
    <w:rsid w:val="00E077F0"/>
    <w:rsid w:val="00E07CBC"/>
    <w:rsid w:val="00E07D01"/>
    <w:rsid w:val="00E1083D"/>
    <w:rsid w:val="00E10C61"/>
    <w:rsid w:val="00E10CC4"/>
    <w:rsid w:val="00E10CCF"/>
    <w:rsid w:val="00E10D6B"/>
    <w:rsid w:val="00E1126B"/>
    <w:rsid w:val="00E11665"/>
    <w:rsid w:val="00E11A3E"/>
    <w:rsid w:val="00E12B74"/>
    <w:rsid w:val="00E13061"/>
    <w:rsid w:val="00E13203"/>
    <w:rsid w:val="00E13530"/>
    <w:rsid w:val="00E1392C"/>
    <w:rsid w:val="00E13A08"/>
    <w:rsid w:val="00E13E5B"/>
    <w:rsid w:val="00E14016"/>
    <w:rsid w:val="00E1438C"/>
    <w:rsid w:val="00E144A9"/>
    <w:rsid w:val="00E1473D"/>
    <w:rsid w:val="00E14A8C"/>
    <w:rsid w:val="00E14CA5"/>
    <w:rsid w:val="00E156D2"/>
    <w:rsid w:val="00E16200"/>
    <w:rsid w:val="00E165B3"/>
    <w:rsid w:val="00E16B2A"/>
    <w:rsid w:val="00E171F5"/>
    <w:rsid w:val="00E1730E"/>
    <w:rsid w:val="00E175FF"/>
    <w:rsid w:val="00E17EFC"/>
    <w:rsid w:val="00E20E09"/>
    <w:rsid w:val="00E21763"/>
    <w:rsid w:val="00E217A8"/>
    <w:rsid w:val="00E21A30"/>
    <w:rsid w:val="00E22018"/>
    <w:rsid w:val="00E229A3"/>
    <w:rsid w:val="00E23A23"/>
    <w:rsid w:val="00E23D62"/>
    <w:rsid w:val="00E245CC"/>
    <w:rsid w:val="00E24816"/>
    <w:rsid w:val="00E2524C"/>
    <w:rsid w:val="00E2543D"/>
    <w:rsid w:val="00E25B55"/>
    <w:rsid w:val="00E25E72"/>
    <w:rsid w:val="00E261FA"/>
    <w:rsid w:val="00E26865"/>
    <w:rsid w:val="00E301A2"/>
    <w:rsid w:val="00E3144B"/>
    <w:rsid w:val="00E318B0"/>
    <w:rsid w:val="00E320DB"/>
    <w:rsid w:val="00E32448"/>
    <w:rsid w:val="00E32D58"/>
    <w:rsid w:val="00E337CE"/>
    <w:rsid w:val="00E33F0A"/>
    <w:rsid w:val="00E3508E"/>
    <w:rsid w:val="00E3519F"/>
    <w:rsid w:val="00E353E7"/>
    <w:rsid w:val="00E35CE8"/>
    <w:rsid w:val="00E3653E"/>
    <w:rsid w:val="00E36598"/>
    <w:rsid w:val="00E3687F"/>
    <w:rsid w:val="00E36D45"/>
    <w:rsid w:val="00E37837"/>
    <w:rsid w:val="00E37915"/>
    <w:rsid w:val="00E37D64"/>
    <w:rsid w:val="00E40AB3"/>
    <w:rsid w:val="00E413BA"/>
    <w:rsid w:val="00E417EA"/>
    <w:rsid w:val="00E41EF5"/>
    <w:rsid w:val="00E4263F"/>
    <w:rsid w:val="00E43117"/>
    <w:rsid w:val="00E43BE1"/>
    <w:rsid w:val="00E43EA4"/>
    <w:rsid w:val="00E44749"/>
    <w:rsid w:val="00E448BC"/>
    <w:rsid w:val="00E45622"/>
    <w:rsid w:val="00E45D22"/>
    <w:rsid w:val="00E461BB"/>
    <w:rsid w:val="00E4627A"/>
    <w:rsid w:val="00E465DA"/>
    <w:rsid w:val="00E46F46"/>
    <w:rsid w:val="00E473D7"/>
    <w:rsid w:val="00E47A57"/>
    <w:rsid w:val="00E47CC1"/>
    <w:rsid w:val="00E47E64"/>
    <w:rsid w:val="00E502A2"/>
    <w:rsid w:val="00E504F0"/>
    <w:rsid w:val="00E50A8D"/>
    <w:rsid w:val="00E50BCB"/>
    <w:rsid w:val="00E50CAF"/>
    <w:rsid w:val="00E515F3"/>
    <w:rsid w:val="00E522E9"/>
    <w:rsid w:val="00E5252D"/>
    <w:rsid w:val="00E52C38"/>
    <w:rsid w:val="00E53178"/>
    <w:rsid w:val="00E533C9"/>
    <w:rsid w:val="00E535A1"/>
    <w:rsid w:val="00E53DDB"/>
    <w:rsid w:val="00E53F86"/>
    <w:rsid w:val="00E5514A"/>
    <w:rsid w:val="00E551A5"/>
    <w:rsid w:val="00E55346"/>
    <w:rsid w:val="00E555BD"/>
    <w:rsid w:val="00E557BC"/>
    <w:rsid w:val="00E5672A"/>
    <w:rsid w:val="00E5685F"/>
    <w:rsid w:val="00E56FE2"/>
    <w:rsid w:val="00E57F94"/>
    <w:rsid w:val="00E61B91"/>
    <w:rsid w:val="00E62543"/>
    <w:rsid w:val="00E6254F"/>
    <w:rsid w:val="00E629F4"/>
    <w:rsid w:val="00E62C0F"/>
    <w:rsid w:val="00E62D31"/>
    <w:rsid w:val="00E62EFD"/>
    <w:rsid w:val="00E62FA3"/>
    <w:rsid w:val="00E62FDE"/>
    <w:rsid w:val="00E65076"/>
    <w:rsid w:val="00E6527B"/>
    <w:rsid w:val="00E66535"/>
    <w:rsid w:val="00E66E7A"/>
    <w:rsid w:val="00E67593"/>
    <w:rsid w:val="00E6797D"/>
    <w:rsid w:val="00E70073"/>
    <w:rsid w:val="00E70399"/>
    <w:rsid w:val="00E70449"/>
    <w:rsid w:val="00E7071D"/>
    <w:rsid w:val="00E710E1"/>
    <w:rsid w:val="00E714A5"/>
    <w:rsid w:val="00E717C6"/>
    <w:rsid w:val="00E7194A"/>
    <w:rsid w:val="00E71B48"/>
    <w:rsid w:val="00E7268D"/>
    <w:rsid w:val="00E73091"/>
    <w:rsid w:val="00E732E0"/>
    <w:rsid w:val="00E73634"/>
    <w:rsid w:val="00E73A26"/>
    <w:rsid w:val="00E741F4"/>
    <w:rsid w:val="00E742B7"/>
    <w:rsid w:val="00E7437C"/>
    <w:rsid w:val="00E74911"/>
    <w:rsid w:val="00E74EF2"/>
    <w:rsid w:val="00E75A55"/>
    <w:rsid w:val="00E76187"/>
    <w:rsid w:val="00E76273"/>
    <w:rsid w:val="00E765FC"/>
    <w:rsid w:val="00E76C7D"/>
    <w:rsid w:val="00E76D19"/>
    <w:rsid w:val="00E80160"/>
    <w:rsid w:val="00E802AA"/>
    <w:rsid w:val="00E80E75"/>
    <w:rsid w:val="00E80E9B"/>
    <w:rsid w:val="00E8101C"/>
    <w:rsid w:val="00E811F4"/>
    <w:rsid w:val="00E8130E"/>
    <w:rsid w:val="00E81AED"/>
    <w:rsid w:val="00E81BA0"/>
    <w:rsid w:val="00E81F9F"/>
    <w:rsid w:val="00E8203A"/>
    <w:rsid w:val="00E82042"/>
    <w:rsid w:val="00E82297"/>
    <w:rsid w:val="00E8270B"/>
    <w:rsid w:val="00E8278D"/>
    <w:rsid w:val="00E828DC"/>
    <w:rsid w:val="00E82B7E"/>
    <w:rsid w:val="00E82DC9"/>
    <w:rsid w:val="00E8366D"/>
    <w:rsid w:val="00E8524C"/>
    <w:rsid w:val="00E855EF"/>
    <w:rsid w:val="00E862D0"/>
    <w:rsid w:val="00E87640"/>
    <w:rsid w:val="00E903AD"/>
    <w:rsid w:val="00E905E7"/>
    <w:rsid w:val="00E905FB"/>
    <w:rsid w:val="00E90E9D"/>
    <w:rsid w:val="00E91095"/>
    <w:rsid w:val="00E91222"/>
    <w:rsid w:val="00E91296"/>
    <w:rsid w:val="00E91CB0"/>
    <w:rsid w:val="00E93091"/>
    <w:rsid w:val="00E930E7"/>
    <w:rsid w:val="00E934A0"/>
    <w:rsid w:val="00E942B4"/>
    <w:rsid w:val="00E945D8"/>
    <w:rsid w:val="00E94E2E"/>
    <w:rsid w:val="00E95730"/>
    <w:rsid w:val="00E95C4F"/>
    <w:rsid w:val="00E96770"/>
    <w:rsid w:val="00E967EE"/>
    <w:rsid w:val="00E96AD9"/>
    <w:rsid w:val="00E96B7B"/>
    <w:rsid w:val="00E96CEB"/>
    <w:rsid w:val="00E96EAB"/>
    <w:rsid w:val="00E9723B"/>
    <w:rsid w:val="00E97279"/>
    <w:rsid w:val="00E97DCA"/>
    <w:rsid w:val="00E97F7E"/>
    <w:rsid w:val="00EA0D18"/>
    <w:rsid w:val="00EA0F39"/>
    <w:rsid w:val="00EA10BB"/>
    <w:rsid w:val="00EA1EB8"/>
    <w:rsid w:val="00EA2674"/>
    <w:rsid w:val="00EA2E46"/>
    <w:rsid w:val="00EA32A2"/>
    <w:rsid w:val="00EA386E"/>
    <w:rsid w:val="00EA3945"/>
    <w:rsid w:val="00EA3A82"/>
    <w:rsid w:val="00EA4902"/>
    <w:rsid w:val="00EA4E2F"/>
    <w:rsid w:val="00EA5458"/>
    <w:rsid w:val="00EA57A4"/>
    <w:rsid w:val="00EA5F15"/>
    <w:rsid w:val="00EA6001"/>
    <w:rsid w:val="00EA61D4"/>
    <w:rsid w:val="00EA6D95"/>
    <w:rsid w:val="00EA709A"/>
    <w:rsid w:val="00EA734D"/>
    <w:rsid w:val="00EA7A74"/>
    <w:rsid w:val="00EB0796"/>
    <w:rsid w:val="00EB0ABA"/>
    <w:rsid w:val="00EB0BA3"/>
    <w:rsid w:val="00EB0E1E"/>
    <w:rsid w:val="00EB25CA"/>
    <w:rsid w:val="00EB29BA"/>
    <w:rsid w:val="00EB2AA1"/>
    <w:rsid w:val="00EB2FFF"/>
    <w:rsid w:val="00EB3195"/>
    <w:rsid w:val="00EB35F7"/>
    <w:rsid w:val="00EB37AB"/>
    <w:rsid w:val="00EB3836"/>
    <w:rsid w:val="00EB3A81"/>
    <w:rsid w:val="00EB4504"/>
    <w:rsid w:val="00EB48A8"/>
    <w:rsid w:val="00EB4C32"/>
    <w:rsid w:val="00EB4E2E"/>
    <w:rsid w:val="00EB5003"/>
    <w:rsid w:val="00EB5248"/>
    <w:rsid w:val="00EB5719"/>
    <w:rsid w:val="00EB5C71"/>
    <w:rsid w:val="00EB5C8A"/>
    <w:rsid w:val="00EB690C"/>
    <w:rsid w:val="00EB6A33"/>
    <w:rsid w:val="00EB6CC7"/>
    <w:rsid w:val="00EB70F6"/>
    <w:rsid w:val="00EB714F"/>
    <w:rsid w:val="00EB746E"/>
    <w:rsid w:val="00EB74C5"/>
    <w:rsid w:val="00EB786A"/>
    <w:rsid w:val="00EB7949"/>
    <w:rsid w:val="00EC0039"/>
    <w:rsid w:val="00EC06F5"/>
    <w:rsid w:val="00EC0B2B"/>
    <w:rsid w:val="00EC1A51"/>
    <w:rsid w:val="00EC1B82"/>
    <w:rsid w:val="00EC2128"/>
    <w:rsid w:val="00EC219D"/>
    <w:rsid w:val="00EC2A4E"/>
    <w:rsid w:val="00EC2FA5"/>
    <w:rsid w:val="00EC3216"/>
    <w:rsid w:val="00EC3281"/>
    <w:rsid w:val="00EC3435"/>
    <w:rsid w:val="00EC34C5"/>
    <w:rsid w:val="00EC3FE4"/>
    <w:rsid w:val="00EC47B9"/>
    <w:rsid w:val="00EC497C"/>
    <w:rsid w:val="00EC4998"/>
    <w:rsid w:val="00EC4D9B"/>
    <w:rsid w:val="00EC4ECD"/>
    <w:rsid w:val="00EC5953"/>
    <w:rsid w:val="00EC59EF"/>
    <w:rsid w:val="00EC5FBC"/>
    <w:rsid w:val="00EC6249"/>
    <w:rsid w:val="00EC63C0"/>
    <w:rsid w:val="00EC74CF"/>
    <w:rsid w:val="00EC7AD9"/>
    <w:rsid w:val="00EC7B41"/>
    <w:rsid w:val="00ED093B"/>
    <w:rsid w:val="00ED0AE1"/>
    <w:rsid w:val="00ED1408"/>
    <w:rsid w:val="00ED1E96"/>
    <w:rsid w:val="00ED1F85"/>
    <w:rsid w:val="00ED282F"/>
    <w:rsid w:val="00ED29EB"/>
    <w:rsid w:val="00ED2A7B"/>
    <w:rsid w:val="00ED2C91"/>
    <w:rsid w:val="00ED31CA"/>
    <w:rsid w:val="00ED39B8"/>
    <w:rsid w:val="00ED3BC5"/>
    <w:rsid w:val="00ED442B"/>
    <w:rsid w:val="00ED4ADE"/>
    <w:rsid w:val="00ED4F7D"/>
    <w:rsid w:val="00ED5335"/>
    <w:rsid w:val="00ED5768"/>
    <w:rsid w:val="00ED57FA"/>
    <w:rsid w:val="00ED5982"/>
    <w:rsid w:val="00ED5DB9"/>
    <w:rsid w:val="00ED6726"/>
    <w:rsid w:val="00ED67AE"/>
    <w:rsid w:val="00ED7316"/>
    <w:rsid w:val="00ED752F"/>
    <w:rsid w:val="00ED75BF"/>
    <w:rsid w:val="00ED7836"/>
    <w:rsid w:val="00ED78C9"/>
    <w:rsid w:val="00ED7C82"/>
    <w:rsid w:val="00EE01BF"/>
    <w:rsid w:val="00EE0A5A"/>
    <w:rsid w:val="00EE0FF8"/>
    <w:rsid w:val="00EE14B3"/>
    <w:rsid w:val="00EE152A"/>
    <w:rsid w:val="00EE15A6"/>
    <w:rsid w:val="00EE185B"/>
    <w:rsid w:val="00EE1D14"/>
    <w:rsid w:val="00EE23B1"/>
    <w:rsid w:val="00EE2589"/>
    <w:rsid w:val="00EE2C65"/>
    <w:rsid w:val="00EE3B8D"/>
    <w:rsid w:val="00EE3D96"/>
    <w:rsid w:val="00EE4034"/>
    <w:rsid w:val="00EE4801"/>
    <w:rsid w:val="00EE4CFB"/>
    <w:rsid w:val="00EE4EAB"/>
    <w:rsid w:val="00EE5381"/>
    <w:rsid w:val="00EE53A1"/>
    <w:rsid w:val="00EE5562"/>
    <w:rsid w:val="00EE5B0A"/>
    <w:rsid w:val="00EE6285"/>
    <w:rsid w:val="00EE6423"/>
    <w:rsid w:val="00EE7828"/>
    <w:rsid w:val="00EE78C2"/>
    <w:rsid w:val="00EE7CC0"/>
    <w:rsid w:val="00EF07DB"/>
    <w:rsid w:val="00EF0B0B"/>
    <w:rsid w:val="00EF1035"/>
    <w:rsid w:val="00EF10E1"/>
    <w:rsid w:val="00EF12B0"/>
    <w:rsid w:val="00EF176B"/>
    <w:rsid w:val="00EF177C"/>
    <w:rsid w:val="00EF215B"/>
    <w:rsid w:val="00EF2741"/>
    <w:rsid w:val="00EF445A"/>
    <w:rsid w:val="00EF44E5"/>
    <w:rsid w:val="00EF4A3B"/>
    <w:rsid w:val="00EF4BDB"/>
    <w:rsid w:val="00EF4E05"/>
    <w:rsid w:val="00EF541D"/>
    <w:rsid w:val="00EF5928"/>
    <w:rsid w:val="00EF5E81"/>
    <w:rsid w:val="00EF636A"/>
    <w:rsid w:val="00EF642F"/>
    <w:rsid w:val="00EF6E76"/>
    <w:rsid w:val="00EF7090"/>
    <w:rsid w:val="00F006AF"/>
    <w:rsid w:val="00F017C1"/>
    <w:rsid w:val="00F0189B"/>
    <w:rsid w:val="00F01B39"/>
    <w:rsid w:val="00F01EBE"/>
    <w:rsid w:val="00F020A1"/>
    <w:rsid w:val="00F0233D"/>
    <w:rsid w:val="00F029F1"/>
    <w:rsid w:val="00F02C56"/>
    <w:rsid w:val="00F02C58"/>
    <w:rsid w:val="00F0344A"/>
    <w:rsid w:val="00F047ED"/>
    <w:rsid w:val="00F048F8"/>
    <w:rsid w:val="00F0505E"/>
    <w:rsid w:val="00F05313"/>
    <w:rsid w:val="00F05CED"/>
    <w:rsid w:val="00F05E3E"/>
    <w:rsid w:val="00F05FC0"/>
    <w:rsid w:val="00F06A52"/>
    <w:rsid w:val="00F06B0D"/>
    <w:rsid w:val="00F06B98"/>
    <w:rsid w:val="00F0705B"/>
    <w:rsid w:val="00F07C44"/>
    <w:rsid w:val="00F07D2E"/>
    <w:rsid w:val="00F07EEC"/>
    <w:rsid w:val="00F10F41"/>
    <w:rsid w:val="00F11574"/>
    <w:rsid w:val="00F12220"/>
    <w:rsid w:val="00F13D9F"/>
    <w:rsid w:val="00F13DBA"/>
    <w:rsid w:val="00F14060"/>
    <w:rsid w:val="00F14520"/>
    <w:rsid w:val="00F148A2"/>
    <w:rsid w:val="00F148F1"/>
    <w:rsid w:val="00F14A23"/>
    <w:rsid w:val="00F14DA5"/>
    <w:rsid w:val="00F15211"/>
    <w:rsid w:val="00F1525C"/>
    <w:rsid w:val="00F152A8"/>
    <w:rsid w:val="00F154F0"/>
    <w:rsid w:val="00F159FA"/>
    <w:rsid w:val="00F15A20"/>
    <w:rsid w:val="00F15AB2"/>
    <w:rsid w:val="00F16425"/>
    <w:rsid w:val="00F20119"/>
    <w:rsid w:val="00F20238"/>
    <w:rsid w:val="00F20D7A"/>
    <w:rsid w:val="00F20F33"/>
    <w:rsid w:val="00F213C9"/>
    <w:rsid w:val="00F21619"/>
    <w:rsid w:val="00F217CD"/>
    <w:rsid w:val="00F21A76"/>
    <w:rsid w:val="00F21B78"/>
    <w:rsid w:val="00F222BA"/>
    <w:rsid w:val="00F22D7C"/>
    <w:rsid w:val="00F231B9"/>
    <w:rsid w:val="00F23434"/>
    <w:rsid w:val="00F236D1"/>
    <w:rsid w:val="00F23757"/>
    <w:rsid w:val="00F23806"/>
    <w:rsid w:val="00F24296"/>
    <w:rsid w:val="00F247E3"/>
    <w:rsid w:val="00F24A78"/>
    <w:rsid w:val="00F25248"/>
    <w:rsid w:val="00F255BA"/>
    <w:rsid w:val="00F25AC5"/>
    <w:rsid w:val="00F25DF9"/>
    <w:rsid w:val="00F265F4"/>
    <w:rsid w:val="00F2675F"/>
    <w:rsid w:val="00F26D1E"/>
    <w:rsid w:val="00F26FD9"/>
    <w:rsid w:val="00F270B5"/>
    <w:rsid w:val="00F27507"/>
    <w:rsid w:val="00F27657"/>
    <w:rsid w:val="00F2790D"/>
    <w:rsid w:val="00F3113D"/>
    <w:rsid w:val="00F3129A"/>
    <w:rsid w:val="00F3151F"/>
    <w:rsid w:val="00F31EB2"/>
    <w:rsid w:val="00F320BB"/>
    <w:rsid w:val="00F327AB"/>
    <w:rsid w:val="00F32997"/>
    <w:rsid w:val="00F32FE9"/>
    <w:rsid w:val="00F333C8"/>
    <w:rsid w:val="00F33B39"/>
    <w:rsid w:val="00F34000"/>
    <w:rsid w:val="00F3428E"/>
    <w:rsid w:val="00F344A2"/>
    <w:rsid w:val="00F344E7"/>
    <w:rsid w:val="00F345AB"/>
    <w:rsid w:val="00F348A3"/>
    <w:rsid w:val="00F34EF3"/>
    <w:rsid w:val="00F35A49"/>
    <w:rsid w:val="00F35AAE"/>
    <w:rsid w:val="00F35ADF"/>
    <w:rsid w:val="00F35D29"/>
    <w:rsid w:val="00F36554"/>
    <w:rsid w:val="00F371EC"/>
    <w:rsid w:val="00F375EA"/>
    <w:rsid w:val="00F376C0"/>
    <w:rsid w:val="00F37903"/>
    <w:rsid w:val="00F37AD7"/>
    <w:rsid w:val="00F37AF9"/>
    <w:rsid w:val="00F37B62"/>
    <w:rsid w:val="00F4017D"/>
    <w:rsid w:val="00F40248"/>
    <w:rsid w:val="00F40288"/>
    <w:rsid w:val="00F40457"/>
    <w:rsid w:val="00F41B94"/>
    <w:rsid w:val="00F42072"/>
    <w:rsid w:val="00F432D1"/>
    <w:rsid w:val="00F43A47"/>
    <w:rsid w:val="00F43EDB"/>
    <w:rsid w:val="00F448F2"/>
    <w:rsid w:val="00F44CEE"/>
    <w:rsid w:val="00F4501D"/>
    <w:rsid w:val="00F452D7"/>
    <w:rsid w:val="00F455ED"/>
    <w:rsid w:val="00F4622A"/>
    <w:rsid w:val="00F46568"/>
    <w:rsid w:val="00F46B5D"/>
    <w:rsid w:val="00F46C64"/>
    <w:rsid w:val="00F46F92"/>
    <w:rsid w:val="00F47408"/>
    <w:rsid w:val="00F50D47"/>
    <w:rsid w:val="00F51B18"/>
    <w:rsid w:val="00F5235D"/>
    <w:rsid w:val="00F52F31"/>
    <w:rsid w:val="00F53131"/>
    <w:rsid w:val="00F5370D"/>
    <w:rsid w:val="00F53CC4"/>
    <w:rsid w:val="00F543F5"/>
    <w:rsid w:val="00F54CBB"/>
    <w:rsid w:val="00F54CD7"/>
    <w:rsid w:val="00F54DCB"/>
    <w:rsid w:val="00F55A48"/>
    <w:rsid w:val="00F568DD"/>
    <w:rsid w:val="00F56E16"/>
    <w:rsid w:val="00F56EDE"/>
    <w:rsid w:val="00F578C3"/>
    <w:rsid w:val="00F57AE2"/>
    <w:rsid w:val="00F57F50"/>
    <w:rsid w:val="00F60E49"/>
    <w:rsid w:val="00F61433"/>
    <w:rsid w:val="00F616AA"/>
    <w:rsid w:val="00F6175C"/>
    <w:rsid w:val="00F6224F"/>
    <w:rsid w:val="00F631B7"/>
    <w:rsid w:val="00F6334E"/>
    <w:rsid w:val="00F63C5F"/>
    <w:rsid w:val="00F64099"/>
    <w:rsid w:val="00F64432"/>
    <w:rsid w:val="00F6443E"/>
    <w:rsid w:val="00F64712"/>
    <w:rsid w:val="00F65867"/>
    <w:rsid w:val="00F65B4B"/>
    <w:rsid w:val="00F65C7A"/>
    <w:rsid w:val="00F65C97"/>
    <w:rsid w:val="00F65CF9"/>
    <w:rsid w:val="00F660C3"/>
    <w:rsid w:val="00F6648F"/>
    <w:rsid w:val="00F664AA"/>
    <w:rsid w:val="00F666C3"/>
    <w:rsid w:val="00F66825"/>
    <w:rsid w:val="00F668AD"/>
    <w:rsid w:val="00F67108"/>
    <w:rsid w:val="00F6765B"/>
    <w:rsid w:val="00F67695"/>
    <w:rsid w:val="00F6787E"/>
    <w:rsid w:val="00F67C87"/>
    <w:rsid w:val="00F67EDC"/>
    <w:rsid w:val="00F7019B"/>
    <w:rsid w:val="00F705D7"/>
    <w:rsid w:val="00F707A8"/>
    <w:rsid w:val="00F709DB"/>
    <w:rsid w:val="00F70BE4"/>
    <w:rsid w:val="00F70D81"/>
    <w:rsid w:val="00F713FA"/>
    <w:rsid w:val="00F72691"/>
    <w:rsid w:val="00F72CAC"/>
    <w:rsid w:val="00F72D7C"/>
    <w:rsid w:val="00F72E32"/>
    <w:rsid w:val="00F7354E"/>
    <w:rsid w:val="00F73D8F"/>
    <w:rsid w:val="00F73FC5"/>
    <w:rsid w:val="00F74C27"/>
    <w:rsid w:val="00F74EDE"/>
    <w:rsid w:val="00F7577D"/>
    <w:rsid w:val="00F7580E"/>
    <w:rsid w:val="00F762B5"/>
    <w:rsid w:val="00F767BE"/>
    <w:rsid w:val="00F76920"/>
    <w:rsid w:val="00F775D8"/>
    <w:rsid w:val="00F7774E"/>
    <w:rsid w:val="00F777C7"/>
    <w:rsid w:val="00F77AA1"/>
    <w:rsid w:val="00F802BC"/>
    <w:rsid w:val="00F81061"/>
    <w:rsid w:val="00F81A80"/>
    <w:rsid w:val="00F81FF9"/>
    <w:rsid w:val="00F8230F"/>
    <w:rsid w:val="00F8245E"/>
    <w:rsid w:val="00F82DEE"/>
    <w:rsid w:val="00F83285"/>
    <w:rsid w:val="00F833DB"/>
    <w:rsid w:val="00F83D2C"/>
    <w:rsid w:val="00F83FB5"/>
    <w:rsid w:val="00F8415C"/>
    <w:rsid w:val="00F842E0"/>
    <w:rsid w:val="00F844CC"/>
    <w:rsid w:val="00F84587"/>
    <w:rsid w:val="00F854DB"/>
    <w:rsid w:val="00F85651"/>
    <w:rsid w:val="00F85AF7"/>
    <w:rsid w:val="00F85FB0"/>
    <w:rsid w:val="00F8625A"/>
    <w:rsid w:val="00F8692E"/>
    <w:rsid w:val="00F86C88"/>
    <w:rsid w:val="00F871C6"/>
    <w:rsid w:val="00F903C9"/>
    <w:rsid w:val="00F91509"/>
    <w:rsid w:val="00F9197A"/>
    <w:rsid w:val="00F91E1E"/>
    <w:rsid w:val="00F91F28"/>
    <w:rsid w:val="00F92150"/>
    <w:rsid w:val="00F9293D"/>
    <w:rsid w:val="00F92C56"/>
    <w:rsid w:val="00F931DE"/>
    <w:rsid w:val="00F933FE"/>
    <w:rsid w:val="00F937EA"/>
    <w:rsid w:val="00F940B8"/>
    <w:rsid w:val="00F944D2"/>
    <w:rsid w:val="00F94C23"/>
    <w:rsid w:val="00F94E2C"/>
    <w:rsid w:val="00F95093"/>
    <w:rsid w:val="00F95902"/>
    <w:rsid w:val="00F96C25"/>
    <w:rsid w:val="00FA12CD"/>
    <w:rsid w:val="00FA348E"/>
    <w:rsid w:val="00FA3698"/>
    <w:rsid w:val="00FA3759"/>
    <w:rsid w:val="00FA3E27"/>
    <w:rsid w:val="00FA3E6D"/>
    <w:rsid w:val="00FA4C2D"/>
    <w:rsid w:val="00FA5189"/>
    <w:rsid w:val="00FA5467"/>
    <w:rsid w:val="00FA6330"/>
    <w:rsid w:val="00FA6414"/>
    <w:rsid w:val="00FA646D"/>
    <w:rsid w:val="00FA6984"/>
    <w:rsid w:val="00FA6D32"/>
    <w:rsid w:val="00FA7399"/>
    <w:rsid w:val="00FB00C0"/>
    <w:rsid w:val="00FB01C5"/>
    <w:rsid w:val="00FB05C7"/>
    <w:rsid w:val="00FB087F"/>
    <w:rsid w:val="00FB0A89"/>
    <w:rsid w:val="00FB1D72"/>
    <w:rsid w:val="00FB1D82"/>
    <w:rsid w:val="00FB1FE1"/>
    <w:rsid w:val="00FB23ED"/>
    <w:rsid w:val="00FB2445"/>
    <w:rsid w:val="00FB2AEC"/>
    <w:rsid w:val="00FB2DC6"/>
    <w:rsid w:val="00FB312F"/>
    <w:rsid w:val="00FB329F"/>
    <w:rsid w:val="00FB34CF"/>
    <w:rsid w:val="00FB3FC5"/>
    <w:rsid w:val="00FB410B"/>
    <w:rsid w:val="00FB479F"/>
    <w:rsid w:val="00FB5D37"/>
    <w:rsid w:val="00FB6052"/>
    <w:rsid w:val="00FB693E"/>
    <w:rsid w:val="00FB6C52"/>
    <w:rsid w:val="00FB71DB"/>
    <w:rsid w:val="00FB7533"/>
    <w:rsid w:val="00FB76BA"/>
    <w:rsid w:val="00FB7EC1"/>
    <w:rsid w:val="00FC048C"/>
    <w:rsid w:val="00FC079B"/>
    <w:rsid w:val="00FC0A85"/>
    <w:rsid w:val="00FC1B0B"/>
    <w:rsid w:val="00FC1FD9"/>
    <w:rsid w:val="00FC264A"/>
    <w:rsid w:val="00FC2CED"/>
    <w:rsid w:val="00FC2F86"/>
    <w:rsid w:val="00FC3414"/>
    <w:rsid w:val="00FC35D9"/>
    <w:rsid w:val="00FC3612"/>
    <w:rsid w:val="00FC3840"/>
    <w:rsid w:val="00FC4670"/>
    <w:rsid w:val="00FC46DE"/>
    <w:rsid w:val="00FC7912"/>
    <w:rsid w:val="00FC7E05"/>
    <w:rsid w:val="00FD0110"/>
    <w:rsid w:val="00FD0276"/>
    <w:rsid w:val="00FD0420"/>
    <w:rsid w:val="00FD0885"/>
    <w:rsid w:val="00FD0A7C"/>
    <w:rsid w:val="00FD13AF"/>
    <w:rsid w:val="00FD1C85"/>
    <w:rsid w:val="00FD1CBD"/>
    <w:rsid w:val="00FD1DCD"/>
    <w:rsid w:val="00FD1E68"/>
    <w:rsid w:val="00FD1F54"/>
    <w:rsid w:val="00FD2A95"/>
    <w:rsid w:val="00FD3144"/>
    <w:rsid w:val="00FD49A4"/>
    <w:rsid w:val="00FD4DB8"/>
    <w:rsid w:val="00FD52C3"/>
    <w:rsid w:val="00FD531A"/>
    <w:rsid w:val="00FD5431"/>
    <w:rsid w:val="00FD55ED"/>
    <w:rsid w:val="00FD59DB"/>
    <w:rsid w:val="00FD5F7E"/>
    <w:rsid w:val="00FD67EC"/>
    <w:rsid w:val="00FD69AF"/>
    <w:rsid w:val="00FD6A36"/>
    <w:rsid w:val="00FD7500"/>
    <w:rsid w:val="00FD7549"/>
    <w:rsid w:val="00FD773F"/>
    <w:rsid w:val="00FD7BA0"/>
    <w:rsid w:val="00FD7BEA"/>
    <w:rsid w:val="00FE0543"/>
    <w:rsid w:val="00FE0D88"/>
    <w:rsid w:val="00FE0F03"/>
    <w:rsid w:val="00FE1469"/>
    <w:rsid w:val="00FE194A"/>
    <w:rsid w:val="00FE1A2C"/>
    <w:rsid w:val="00FE27D0"/>
    <w:rsid w:val="00FE2BF6"/>
    <w:rsid w:val="00FE2D38"/>
    <w:rsid w:val="00FE2F2E"/>
    <w:rsid w:val="00FE34D4"/>
    <w:rsid w:val="00FE36A9"/>
    <w:rsid w:val="00FE3729"/>
    <w:rsid w:val="00FE408D"/>
    <w:rsid w:val="00FE4294"/>
    <w:rsid w:val="00FE46F7"/>
    <w:rsid w:val="00FE49D2"/>
    <w:rsid w:val="00FE4FD6"/>
    <w:rsid w:val="00FE5730"/>
    <w:rsid w:val="00FE6543"/>
    <w:rsid w:val="00FE70DE"/>
    <w:rsid w:val="00FE70F5"/>
    <w:rsid w:val="00FE7563"/>
    <w:rsid w:val="00FE76EB"/>
    <w:rsid w:val="00FE774C"/>
    <w:rsid w:val="00FE78A8"/>
    <w:rsid w:val="00FE78D9"/>
    <w:rsid w:val="00FF0429"/>
    <w:rsid w:val="00FF19B9"/>
    <w:rsid w:val="00FF1CC8"/>
    <w:rsid w:val="00FF1F4E"/>
    <w:rsid w:val="00FF2E49"/>
    <w:rsid w:val="00FF31CE"/>
    <w:rsid w:val="00FF332F"/>
    <w:rsid w:val="00FF3505"/>
    <w:rsid w:val="00FF3DCF"/>
    <w:rsid w:val="00FF4437"/>
    <w:rsid w:val="00FF4780"/>
    <w:rsid w:val="00FF5158"/>
    <w:rsid w:val="00FF5B57"/>
    <w:rsid w:val="00FF5C86"/>
    <w:rsid w:val="00FF5FED"/>
    <w:rsid w:val="00FF60F4"/>
    <w:rsid w:val="00FF6706"/>
    <w:rsid w:val="00FF6F0C"/>
    <w:rsid w:val="00FF7B17"/>
    <w:rsid w:val="018D3AB1"/>
    <w:rsid w:val="02186F80"/>
    <w:rsid w:val="029714E8"/>
    <w:rsid w:val="02A277D1"/>
    <w:rsid w:val="03717E1F"/>
    <w:rsid w:val="03A52164"/>
    <w:rsid w:val="06395BB8"/>
    <w:rsid w:val="065D4DCB"/>
    <w:rsid w:val="08A747A3"/>
    <w:rsid w:val="08AB7707"/>
    <w:rsid w:val="09FA42FC"/>
    <w:rsid w:val="0A521D7A"/>
    <w:rsid w:val="0AF50BF2"/>
    <w:rsid w:val="0B802936"/>
    <w:rsid w:val="0BC72133"/>
    <w:rsid w:val="0BEB57E3"/>
    <w:rsid w:val="0D0D4EA6"/>
    <w:rsid w:val="0D1640DA"/>
    <w:rsid w:val="0E156066"/>
    <w:rsid w:val="0E2C0EB1"/>
    <w:rsid w:val="0F7127A7"/>
    <w:rsid w:val="10D222F4"/>
    <w:rsid w:val="10F350BA"/>
    <w:rsid w:val="113E7825"/>
    <w:rsid w:val="123E3F86"/>
    <w:rsid w:val="125E12D8"/>
    <w:rsid w:val="12A1762A"/>
    <w:rsid w:val="13114F13"/>
    <w:rsid w:val="14707149"/>
    <w:rsid w:val="152A2D4C"/>
    <w:rsid w:val="15496410"/>
    <w:rsid w:val="15CD5701"/>
    <w:rsid w:val="16586512"/>
    <w:rsid w:val="16CD0B79"/>
    <w:rsid w:val="1718597C"/>
    <w:rsid w:val="17983B6E"/>
    <w:rsid w:val="17D8639F"/>
    <w:rsid w:val="187F46AB"/>
    <w:rsid w:val="19BF02EF"/>
    <w:rsid w:val="19DA4995"/>
    <w:rsid w:val="1A1526DF"/>
    <w:rsid w:val="1BE0450D"/>
    <w:rsid w:val="1BEB34A0"/>
    <w:rsid w:val="1C4539C7"/>
    <w:rsid w:val="1D3A2C92"/>
    <w:rsid w:val="1E661350"/>
    <w:rsid w:val="1F026BD1"/>
    <w:rsid w:val="1F062AD0"/>
    <w:rsid w:val="1F5059CC"/>
    <w:rsid w:val="1F5F06FC"/>
    <w:rsid w:val="1F7B423B"/>
    <w:rsid w:val="1F8C6599"/>
    <w:rsid w:val="2085375B"/>
    <w:rsid w:val="23BE2BC5"/>
    <w:rsid w:val="24AD04B7"/>
    <w:rsid w:val="25140B80"/>
    <w:rsid w:val="25243092"/>
    <w:rsid w:val="286A0C52"/>
    <w:rsid w:val="2A2F2E22"/>
    <w:rsid w:val="2B64082E"/>
    <w:rsid w:val="2B8D2131"/>
    <w:rsid w:val="2BDB6B70"/>
    <w:rsid w:val="2C3A7221"/>
    <w:rsid w:val="2D9939D6"/>
    <w:rsid w:val="2DC46DC3"/>
    <w:rsid w:val="2DEA2809"/>
    <w:rsid w:val="2E383E71"/>
    <w:rsid w:val="2E7F67C7"/>
    <w:rsid w:val="2EB44CAF"/>
    <w:rsid w:val="30A730EE"/>
    <w:rsid w:val="30F52A4F"/>
    <w:rsid w:val="31561CE1"/>
    <w:rsid w:val="32241FC3"/>
    <w:rsid w:val="32BB72B8"/>
    <w:rsid w:val="32C113DB"/>
    <w:rsid w:val="332335F2"/>
    <w:rsid w:val="333F3B4C"/>
    <w:rsid w:val="33487795"/>
    <w:rsid w:val="339A54F4"/>
    <w:rsid w:val="34A24BC5"/>
    <w:rsid w:val="34AF091F"/>
    <w:rsid w:val="34E25089"/>
    <w:rsid w:val="3552577B"/>
    <w:rsid w:val="36E7084C"/>
    <w:rsid w:val="370C58CC"/>
    <w:rsid w:val="37392D65"/>
    <w:rsid w:val="37DE1E55"/>
    <w:rsid w:val="389D5965"/>
    <w:rsid w:val="39421685"/>
    <w:rsid w:val="3A210A00"/>
    <w:rsid w:val="3A441E05"/>
    <w:rsid w:val="3A5C0ED7"/>
    <w:rsid w:val="3A6850F9"/>
    <w:rsid w:val="3B3C49B1"/>
    <w:rsid w:val="3B5E233A"/>
    <w:rsid w:val="3C462405"/>
    <w:rsid w:val="3C8222A0"/>
    <w:rsid w:val="3DF318B5"/>
    <w:rsid w:val="3F7D22BF"/>
    <w:rsid w:val="3F9D2EA2"/>
    <w:rsid w:val="4118218A"/>
    <w:rsid w:val="413C2ACB"/>
    <w:rsid w:val="42B965E2"/>
    <w:rsid w:val="4383475C"/>
    <w:rsid w:val="43B02B82"/>
    <w:rsid w:val="44084313"/>
    <w:rsid w:val="441E2FD7"/>
    <w:rsid w:val="44495343"/>
    <w:rsid w:val="4460397C"/>
    <w:rsid w:val="4485454A"/>
    <w:rsid w:val="4508381D"/>
    <w:rsid w:val="46817449"/>
    <w:rsid w:val="46957C0F"/>
    <w:rsid w:val="46A83046"/>
    <w:rsid w:val="473903B8"/>
    <w:rsid w:val="485452FB"/>
    <w:rsid w:val="4872360C"/>
    <w:rsid w:val="4AD265E5"/>
    <w:rsid w:val="4C6E6BFB"/>
    <w:rsid w:val="4CAA2426"/>
    <w:rsid w:val="4CB66A2E"/>
    <w:rsid w:val="4DBF64B7"/>
    <w:rsid w:val="4DCE08CD"/>
    <w:rsid w:val="4E0C50E5"/>
    <w:rsid w:val="4EC939C4"/>
    <w:rsid w:val="4EDE4C57"/>
    <w:rsid w:val="4EF458B6"/>
    <w:rsid w:val="4FF964B4"/>
    <w:rsid w:val="50856F8C"/>
    <w:rsid w:val="519F6F01"/>
    <w:rsid w:val="51AB5DAA"/>
    <w:rsid w:val="523D7361"/>
    <w:rsid w:val="55B57F73"/>
    <w:rsid w:val="569C0CC6"/>
    <w:rsid w:val="56CA77FC"/>
    <w:rsid w:val="56CC6702"/>
    <w:rsid w:val="5A2F56D4"/>
    <w:rsid w:val="5BA76334"/>
    <w:rsid w:val="5C0D5B86"/>
    <w:rsid w:val="5C167D99"/>
    <w:rsid w:val="5CAD6548"/>
    <w:rsid w:val="5D49450C"/>
    <w:rsid w:val="5F0F68E3"/>
    <w:rsid w:val="5F2945C3"/>
    <w:rsid w:val="5F436348"/>
    <w:rsid w:val="5F9C123B"/>
    <w:rsid w:val="60011B20"/>
    <w:rsid w:val="60427DF3"/>
    <w:rsid w:val="608444C5"/>
    <w:rsid w:val="60D13F65"/>
    <w:rsid w:val="60D75DC5"/>
    <w:rsid w:val="61B22727"/>
    <w:rsid w:val="62EA3470"/>
    <w:rsid w:val="63906077"/>
    <w:rsid w:val="64382971"/>
    <w:rsid w:val="65D65C13"/>
    <w:rsid w:val="66917B3E"/>
    <w:rsid w:val="66E61600"/>
    <w:rsid w:val="66F83EF1"/>
    <w:rsid w:val="672959C9"/>
    <w:rsid w:val="67C06618"/>
    <w:rsid w:val="67C26A82"/>
    <w:rsid w:val="67E65D47"/>
    <w:rsid w:val="688C30D0"/>
    <w:rsid w:val="688F6D65"/>
    <w:rsid w:val="6A083210"/>
    <w:rsid w:val="6A67702E"/>
    <w:rsid w:val="6AC030B5"/>
    <w:rsid w:val="6AD125AD"/>
    <w:rsid w:val="6B232A18"/>
    <w:rsid w:val="6B421AEC"/>
    <w:rsid w:val="6B944211"/>
    <w:rsid w:val="6C733BE8"/>
    <w:rsid w:val="6D07086C"/>
    <w:rsid w:val="6D264BC3"/>
    <w:rsid w:val="6D690A71"/>
    <w:rsid w:val="6D8F3B62"/>
    <w:rsid w:val="6E140954"/>
    <w:rsid w:val="6E483B01"/>
    <w:rsid w:val="6E8D277A"/>
    <w:rsid w:val="6F21728B"/>
    <w:rsid w:val="6F6D75BD"/>
    <w:rsid w:val="6FD510B1"/>
    <w:rsid w:val="709E1E19"/>
    <w:rsid w:val="71061783"/>
    <w:rsid w:val="716D75EE"/>
    <w:rsid w:val="71966AEA"/>
    <w:rsid w:val="71DF7792"/>
    <w:rsid w:val="724A6928"/>
    <w:rsid w:val="73733F7C"/>
    <w:rsid w:val="73E73EA8"/>
    <w:rsid w:val="73EC7239"/>
    <w:rsid w:val="74BB60F4"/>
    <w:rsid w:val="74DB0FCB"/>
    <w:rsid w:val="75552A35"/>
    <w:rsid w:val="75F75E8F"/>
    <w:rsid w:val="76936935"/>
    <w:rsid w:val="776C3E2C"/>
    <w:rsid w:val="77B242D1"/>
    <w:rsid w:val="79891755"/>
    <w:rsid w:val="79D33A27"/>
    <w:rsid w:val="7A077482"/>
    <w:rsid w:val="7A961002"/>
    <w:rsid w:val="7B30175D"/>
    <w:rsid w:val="7B9C3600"/>
    <w:rsid w:val="7BF42EA7"/>
    <w:rsid w:val="7C91217B"/>
    <w:rsid w:val="7CF47FA8"/>
    <w:rsid w:val="7F987AFC"/>
    <w:rsid w:val="7FFC088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endarrow="block"/>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39" w:semiHidden="0" w:name="toc 1"/>
    <w:lsdException w:qFormat="1" w:unhideWhenUsed="0" w:uiPriority="39" w:semiHidden="0" w:name="toc 2"/>
    <w:lsdException w:qFormat="1" w:unhideWhenUsed="0" w:uiPriority="39" w:semiHidden="0" w:name="toc 3"/>
    <w:lsdException w:qFormat="1" w:unhideWhenUsed="0" w:uiPriority="39" w:semiHidden="0" w:name="toc 4"/>
    <w:lsdException w:qFormat="1" w:unhideWhenUsed="0" w:uiPriority="39" w:semiHidden="0" w:name="toc 5"/>
    <w:lsdException w:qFormat="1" w:unhideWhenUsed="0" w:uiPriority="39" w:semiHidden="0" w:name="toc 6"/>
    <w:lsdException w:qFormat="1" w:unhideWhenUsed="0" w:uiPriority="39" w:semiHidden="0" w:name="toc 7"/>
    <w:lsdException w:qFormat="1" w:unhideWhenUsed="0" w:uiPriority="39" w:semiHidden="0" w:name="toc 8"/>
    <w:lsdException w:qFormat="1" w:unhideWhenUsed="0" w:uiPriority="39" w:semiHidden="0" w:name="toc 9"/>
    <w:lsdException w:qFormat="1" w:unhideWhenUsed="0" w:uiPriority="0" w:semiHidden="0" w:name="Normal Indent"/>
    <w:lsdException w:uiPriority="99" w:name="footnote text"/>
    <w:lsdException w:qFormat="1" w:unhideWhenUsed="0" w:uiPriority="0" w:semiHidden="0" w:name="annotation text"/>
    <w:lsdException w:qFormat="1" w:unhideWhenUsed="0" w:uiPriority="0" w:semiHidden="0" w:name="header"/>
    <w:lsdException w:qFormat="1" w:unhideWhenUsed="0" w:uiPriority="99" w:semiHidden="0" w:name="footer"/>
    <w:lsdException w:uiPriority="99" w:name="index heading"/>
    <w:lsdException w:qFormat="1" w:unhideWhenUsed="0" w:uiPriority="0" w:semiHidden="0" w:name="caption"/>
    <w:lsdException w:uiPriority="99" w:name="table of figures"/>
    <w:lsdException w:uiPriority="99" w:name="envelope address"/>
    <w:lsdException w:uiPriority="99" w:name="envelope return"/>
    <w:lsdException w:uiPriority="99" w:name="footnote reference"/>
    <w:lsdException w:qFormat="1" w:unhideWhenUsed="0" w:uiPriority="0" w:semiHidden="0"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qFormat="1" w:unhideWhenUsed="0" w:uiPriority="0" w:semiHidden="0" w:name="List"/>
    <w:lsdException w:uiPriority="99" w:name="List Bullet"/>
    <w:lsdException w:uiPriority="99" w:name="List Number"/>
    <w:lsdException w:qFormat="1" w:unhideWhenUsed="0" w:uiPriority="0" w:semiHidden="0" w:name="List 2"/>
    <w:lsdException w:qFormat="1" w:unhideWhenUsed="0" w:uiPriority="0" w:semiHidden="0" w:name="List 3"/>
    <w:lsdException w:qFormat="1" w:unhideWhenUsed="0" w:uiPriority="0" w:semiHidden="0" w:name="List 4"/>
    <w:lsdException w:qFormat="1" w:unhideWhenUsed="0" w:uiPriority="0" w:semiHidden="0" w:name="List 5"/>
    <w:lsdException w:qFormat="1" w:unhideWhenUsed="0" w:uiPriority="0" w:semiHidden="0" w:name="List Bullet 2"/>
    <w:lsdException w:qFormat="1" w:unhideWhenUsed="0" w:uiPriority="0" w:semiHidden="0"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qFormat="1" w:unhideWhenUsed="0" w:uiPriority="0" w:semiHidden="0" w:name="Body Text"/>
    <w:lsdException w:qFormat="1" w:unhideWhenUsed="0" w:uiPriority="0" w:semiHidden="0" w:name="Body Text Indent"/>
    <w:lsdException w:qFormat="1" w:unhideWhenUsed="0" w:uiPriority="0" w:semiHidden="0" w:name="List Continue"/>
    <w:lsdException w:qFormat="1" w:unhideWhenUsed="0" w:uiPriority="0" w:semiHidden="0"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qFormat="1" w:unhideWhenUsed="0" w:uiPriority="0" w:semiHidden="0"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qFormat="1" w:unhideWhenUsed="0" w:uiPriority="0" w:semiHidden="0"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nhideWhenUsed="0" w:uiPriority="99"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qFormat="1" w:unhideWhenUsed="0" w:uiPriority="0" w:semiHidden="0" w:name="Plain Text"/>
    <w:lsdException w:uiPriority="99" w:name="E-mail Signature"/>
    <w:lsdException w:qFormat="1" w:unhideWhenUsed="0"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iPriority="99" w:semiHidden="0" w:name="HTML Preformatted"/>
    <w:lsdException w:uiPriority="99" w:name="HTML Sample"/>
    <w:lsdException w:uiPriority="99" w:name="HTML Typewriter"/>
    <w:lsdException w:uiPriority="99" w:name="HTML Variable"/>
    <w:lsdException w:qFormat="1" w:uiPriority="99" w:name="Normal Table"/>
    <w:lsdException w:qFormat="1" w:unhideWhenUsed="0" w:uiPriority="0"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semiHidden="0" w:name="Balloon Text"/>
    <w:lsdException w:qFormat="1" w:unhideWhenUsed="0" w:uiPriority="9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3">
    <w:name w:val="heading 1"/>
    <w:basedOn w:val="1"/>
    <w:next w:val="1"/>
    <w:link w:val="364"/>
    <w:qFormat/>
    <w:uiPriority w:val="0"/>
    <w:pPr>
      <w:keepNext/>
      <w:keepLines/>
      <w:spacing w:before="340" w:after="330" w:line="576" w:lineRule="auto"/>
      <w:outlineLvl w:val="0"/>
    </w:pPr>
    <w:rPr>
      <w:b/>
      <w:bCs/>
      <w:kern w:val="44"/>
      <w:sz w:val="44"/>
      <w:szCs w:val="44"/>
    </w:rPr>
  </w:style>
  <w:style w:type="paragraph" w:styleId="4">
    <w:name w:val="heading 2"/>
    <w:basedOn w:val="1"/>
    <w:next w:val="1"/>
    <w:link w:val="346"/>
    <w:qFormat/>
    <w:uiPriority w:val="0"/>
    <w:pPr>
      <w:keepNext/>
      <w:outlineLvl w:val="1"/>
    </w:pPr>
    <w:rPr>
      <w:rFonts w:ascii="宋体" w:hAnsi="宋体"/>
      <w:color w:val="000000"/>
      <w:sz w:val="28"/>
    </w:rPr>
  </w:style>
  <w:style w:type="paragraph" w:styleId="5">
    <w:name w:val="heading 3"/>
    <w:basedOn w:val="1"/>
    <w:next w:val="1"/>
    <w:qFormat/>
    <w:uiPriority w:val="0"/>
    <w:pPr>
      <w:keepNext/>
      <w:keepLines/>
      <w:spacing w:before="260" w:after="260" w:line="415" w:lineRule="auto"/>
      <w:outlineLvl w:val="2"/>
    </w:pPr>
    <w:rPr>
      <w:b/>
      <w:bCs/>
      <w:sz w:val="32"/>
      <w:szCs w:val="32"/>
    </w:rPr>
  </w:style>
  <w:style w:type="paragraph" w:styleId="6">
    <w:name w:val="heading 4"/>
    <w:basedOn w:val="1"/>
    <w:next w:val="1"/>
    <w:link w:val="399"/>
    <w:qFormat/>
    <w:uiPriority w:val="0"/>
    <w:pPr>
      <w:keepNext/>
      <w:keepLines/>
      <w:numPr>
        <w:ilvl w:val="3"/>
        <w:numId w:val="1"/>
      </w:numPr>
      <w:adjustRightInd w:val="0"/>
      <w:spacing w:before="280" w:after="290" w:line="374" w:lineRule="auto"/>
      <w:jc w:val="left"/>
      <w:textAlignment w:val="baseline"/>
      <w:outlineLvl w:val="3"/>
    </w:pPr>
    <w:rPr>
      <w:rFonts w:ascii="Arial" w:hAnsi="Arial" w:eastAsia="黑体"/>
      <w:b/>
      <w:kern w:val="0"/>
      <w:sz w:val="28"/>
      <w:szCs w:val="20"/>
    </w:rPr>
  </w:style>
  <w:style w:type="paragraph" w:styleId="7">
    <w:name w:val="heading 5"/>
    <w:basedOn w:val="1"/>
    <w:next w:val="1"/>
    <w:link w:val="392"/>
    <w:qFormat/>
    <w:uiPriority w:val="0"/>
    <w:pPr>
      <w:keepNext/>
      <w:keepLines/>
      <w:numPr>
        <w:ilvl w:val="4"/>
        <w:numId w:val="1"/>
      </w:numPr>
      <w:adjustRightInd w:val="0"/>
      <w:spacing w:before="280" w:after="290" w:line="374" w:lineRule="auto"/>
      <w:jc w:val="left"/>
      <w:textAlignment w:val="baseline"/>
      <w:outlineLvl w:val="4"/>
    </w:pPr>
    <w:rPr>
      <w:rFonts w:eastAsia="仿宋_GB2312"/>
      <w:b/>
      <w:kern w:val="0"/>
      <w:sz w:val="28"/>
      <w:szCs w:val="20"/>
    </w:rPr>
  </w:style>
  <w:style w:type="paragraph" w:styleId="8">
    <w:name w:val="heading 6"/>
    <w:basedOn w:val="1"/>
    <w:next w:val="1"/>
    <w:link w:val="375"/>
    <w:qFormat/>
    <w:uiPriority w:val="0"/>
    <w:pPr>
      <w:keepNext/>
      <w:keepLines/>
      <w:numPr>
        <w:ilvl w:val="5"/>
        <w:numId w:val="1"/>
      </w:numPr>
      <w:adjustRightInd w:val="0"/>
      <w:spacing w:before="240" w:after="64" w:line="319" w:lineRule="auto"/>
      <w:jc w:val="left"/>
      <w:textAlignment w:val="baseline"/>
      <w:outlineLvl w:val="5"/>
    </w:pPr>
    <w:rPr>
      <w:rFonts w:ascii="Arial" w:hAnsi="Arial" w:eastAsia="黑体"/>
      <w:b/>
      <w:kern w:val="0"/>
      <w:sz w:val="24"/>
      <w:szCs w:val="20"/>
    </w:rPr>
  </w:style>
  <w:style w:type="paragraph" w:styleId="9">
    <w:name w:val="heading 7"/>
    <w:basedOn w:val="1"/>
    <w:next w:val="1"/>
    <w:link w:val="403"/>
    <w:qFormat/>
    <w:uiPriority w:val="0"/>
    <w:pPr>
      <w:keepNext/>
      <w:keepLines/>
      <w:numPr>
        <w:ilvl w:val="6"/>
        <w:numId w:val="1"/>
      </w:numPr>
      <w:adjustRightInd w:val="0"/>
      <w:spacing w:before="240" w:after="64" w:line="319" w:lineRule="auto"/>
      <w:jc w:val="left"/>
      <w:textAlignment w:val="baseline"/>
      <w:outlineLvl w:val="6"/>
    </w:pPr>
    <w:rPr>
      <w:rFonts w:eastAsia="仿宋_GB2312"/>
      <w:b/>
      <w:kern w:val="0"/>
      <w:sz w:val="24"/>
      <w:szCs w:val="20"/>
    </w:rPr>
  </w:style>
  <w:style w:type="paragraph" w:styleId="10">
    <w:name w:val="heading 8"/>
    <w:basedOn w:val="1"/>
    <w:next w:val="1"/>
    <w:link w:val="338"/>
    <w:qFormat/>
    <w:uiPriority w:val="0"/>
    <w:pPr>
      <w:keepNext/>
      <w:keepLines/>
      <w:numPr>
        <w:ilvl w:val="7"/>
        <w:numId w:val="1"/>
      </w:numPr>
      <w:adjustRightInd w:val="0"/>
      <w:spacing w:before="240" w:after="64" w:line="319" w:lineRule="auto"/>
      <w:jc w:val="left"/>
      <w:textAlignment w:val="baseline"/>
      <w:outlineLvl w:val="7"/>
    </w:pPr>
    <w:rPr>
      <w:rFonts w:ascii="Arial" w:hAnsi="Arial" w:eastAsia="黑体"/>
      <w:kern w:val="0"/>
      <w:sz w:val="24"/>
      <w:szCs w:val="20"/>
    </w:rPr>
  </w:style>
  <w:style w:type="paragraph" w:styleId="11">
    <w:name w:val="heading 9"/>
    <w:basedOn w:val="1"/>
    <w:next w:val="1"/>
    <w:link w:val="361"/>
    <w:qFormat/>
    <w:uiPriority w:val="0"/>
    <w:pPr>
      <w:keepNext/>
      <w:keepLines/>
      <w:numPr>
        <w:ilvl w:val="8"/>
        <w:numId w:val="1"/>
      </w:numPr>
      <w:adjustRightInd w:val="0"/>
      <w:spacing w:before="240" w:after="64" w:line="319" w:lineRule="auto"/>
      <w:jc w:val="left"/>
      <w:textAlignment w:val="baseline"/>
      <w:outlineLvl w:val="8"/>
    </w:pPr>
    <w:rPr>
      <w:rFonts w:ascii="Arial" w:hAnsi="Arial" w:eastAsia="黑体"/>
      <w:kern w:val="0"/>
      <w:szCs w:val="20"/>
    </w:rPr>
  </w:style>
  <w:style w:type="character" w:default="1" w:styleId="55">
    <w:name w:val="Default Paragraph Font"/>
    <w:link w:val="56"/>
    <w:semiHidden/>
    <w:unhideWhenUsed/>
    <w:qFormat/>
    <w:uiPriority w:val="1"/>
    <w:rPr>
      <w:rFonts w:ascii="Tahoma" w:hAnsi="Tahoma"/>
      <w:sz w:val="24"/>
    </w:rPr>
  </w:style>
  <w:style w:type="table" w:default="1" w:styleId="53">
    <w:name w:val="Normal Table"/>
    <w:semiHidden/>
    <w:unhideWhenUsed/>
    <w:qFormat/>
    <w:uiPriority w:val="99"/>
    <w:tblPr>
      <w:tblCellMar>
        <w:top w:w="0" w:type="dxa"/>
        <w:left w:w="108" w:type="dxa"/>
        <w:bottom w:w="0" w:type="dxa"/>
        <w:right w:w="108" w:type="dxa"/>
      </w:tblCellMar>
    </w:tblPr>
  </w:style>
  <w:style w:type="paragraph" w:styleId="2">
    <w:name w:val="Body Text"/>
    <w:basedOn w:val="1"/>
    <w:next w:val="1"/>
    <w:link w:val="359"/>
    <w:qFormat/>
    <w:uiPriority w:val="0"/>
    <w:pPr>
      <w:spacing w:after="120"/>
    </w:pPr>
  </w:style>
  <w:style w:type="paragraph" w:styleId="12">
    <w:name w:val="List 3"/>
    <w:basedOn w:val="1"/>
    <w:qFormat/>
    <w:uiPriority w:val="0"/>
    <w:pPr>
      <w:ind w:left="100" w:leftChars="400" w:hanging="200" w:hangingChars="200"/>
    </w:pPr>
  </w:style>
  <w:style w:type="paragraph" w:styleId="13">
    <w:name w:val="toc 7"/>
    <w:basedOn w:val="1"/>
    <w:next w:val="1"/>
    <w:qFormat/>
    <w:uiPriority w:val="39"/>
    <w:pPr>
      <w:ind w:left="1260"/>
      <w:jc w:val="left"/>
    </w:pPr>
    <w:rPr>
      <w:sz w:val="18"/>
      <w:szCs w:val="18"/>
    </w:rPr>
  </w:style>
  <w:style w:type="paragraph" w:styleId="14">
    <w:name w:val="Note Heading"/>
    <w:basedOn w:val="1"/>
    <w:next w:val="1"/>
    <w:link w:val="397"/>
    <w:qFormat/>
    <w:uiPriority w:val="0"/>
    <w:pPr>
      <w:jc w:val="center"/>
    </w:pPr>
    <w:rPr>
      <w:szCs w:val="20"/>
    </w:rPr>
  </w:style>
  <w:style w:type="paragraph" w:styleId="15">
    <w:name w:val="Normal Indent"/>
    <w:basedOn w:val="1"/>
    <w:link w:val="314"/>
    <w:qFormat/>
    <w:uiPriority w:val="0"/>
    <w:pPr>
      <w:ind w:firstLine="420" w:firstLineChars="200"/>
    </w:pPr>
    <w:rPr>
      <w:sz w:val="24"/>
      <w:szCs w:val="20"/>
    </w:rPr>
  </w:style>
  <w:style w:type="paragraph" w:styleId="16">
    <w:name w:val="caption"/>
    <w:basedOn w:val="1"/>
    <w:next w:val="1"/>
    <w:link w:val="373"/>
    <w:qFormat/>
    <w:uiPriority w:val="0"/>
    <w:pPr>
      <w:spacing w:before="152" w:after="160"/>
    </w:pPr>
    <w:rPr>
      <w:rFonts w:ascii="Arial" w:hAnsi="Arial" w:eastAsia="黑体"/>
      <w:sz w:val="20"/>
      <w:szCs w:val="20"/>
    </w:rPr>
  </w:style>
  <w:style w:type="paragraph" w:styleId="17">
    <w:name w:val="Document Map"/>
    <w:basedOn w:val="1"/>
    <w:qFormat/>
    <w:uiPriority w:val="0"/>
    <w:pPr>
      <w:shd w:val="clear" w:color="auto" w:fill="000080"/>
    </w:pPr>
  </w:style>
  <w:style w:type="paragraph" w:styleId="18">
    <w:name w:val="annotation text"/>
    <w:basedOn w:val="1"/>
    <w:link w:val="356"/>
    <w:qFormat/>
    <w:uiPriority w:val="0"/>
    <w:pPr>
      <w:jc w:val="left"/>
    </w:pPr>
  </w:style>
  <w:style w:type="paragraph" w:styleId="19">
    <w:name w:val="Salutation"/>
    <w:basedOn w:val="1"/>
    <w:next w:val="1"/>
    <w:qFormat/>
    <w:uiPriority w:val="0"/>
  </w:style>
  <w:style w:type="paragraph" w:styleId="20">
    <w:name w:val="Body Text 3"/>
    <w:basedOn w:val="1"/>
    <w:link w:val="326"/>
    <w:qFormat/>
    <w:uiPriority w:val="0"/>
    <w:pPr>
      <w:spacing w:after="120"/>
    </w:pPr>
    <w:rPr>
      <w:sz w:val="16"/>
      <w:szCs w:val="16"/>
    </w:rPr>
  </w:style>
  <w:style w:type="paragraph" w:styleId="21">
    <w:name w:val="List Bullet 3"/>
    <w:basedOn w:val="1"/>
    <w:qFormat/>
    <w:uiPriority w:val="0"/>
    <w:pPr>
      <w:tabs>
        <w:tab w:val="left" w:pos="1200"/>
      </w:tabs>
      <w:ind w:left="1200" w:hanging="360"/>
    </w:pPr>
  </w:style>
  <w:style w:type="paragraph" w:styleId="22">
    <w:name w:val="Body Text Indent"/>
    <w:basedOn w:val="1"/>
    <w:next w:val="23"/>
    <w:link w:val="390"/>
    <w:qFormat/>
    <w:uiPriority w:val="0"/>
    <w:pPr>
      <w:spacing w:line="480" w:lineRule="exact"/>
      <w:ind w:firstLine="570"/>
    </w:pPr>
    <w:rPr>
      <w:b/>
      <w:sz w:val="28"/>
      <w:szCs w:val="20"/>
    </w:rPr>
  </w:style>
  <w:style w:type="paragraph" w:styleId="23">
    <w:name w:val="Body Text Indent 2"/>
    <w:basedOn w:val="1"/>
    <w:next w:val="24"/>
    <w:link w:val="352"/>
    <w:qFormat/>
    <w:uiPriority w:val="0"/>
    <w:pPr>
      <w:spacing w:after="120" w:line="480" w:lineRule="auto"/>
      <w:ind w:left="420" w:leftChars="200"/>
    </w:pPr>
  </w:style>
  <w:style w:type="paragraph" w:styleId="24">
    <w:name w:val="Body Text First Indent 2"/>
    <w:basedOn w:val="22"/>
    <w:next w:val="1"/>
    <w:link w:val="319"/>
    <w:qFormat/>
    <w:uiPriority w:val="0"/>
    <w:pPr>
      <w:spacing w:after="120" w:line="240" w:lineRule="auto"/>
      <w:ind w:left="420" w:leftChars="200" w:firstLine="420" w:firstLineChars="200"/>
    </w:pPr>
    <w:rPr>
      <w:b w:val="0"/>
      <w:sz w:val="21"/>
      <w:szCs w:val="24"/>
    </w:rPr>
  </w:style>
  <w:style w:type="paragraph" w:styleId="25">
    <w:name w:val="List 2"/>
    <w:basedOn w:val="1"/>
    <w:qFormat/>
    <w:uiPriority w:val="0"/>
    <w:pPr>
      <w:ind w:left="100" w:leftChars="200" w:hanging="200" w:hangingChars="200"/>
    </w:pPr>
  </w:style>
  <w:style w:type="paragraph" w:styleId="26">
    <w:name w:val="List Continue"/>
    <w:basedOn w:val="1"/>
    <w:qFormat/>
    <w:uiPriority w:val="0"/>
    <w:pPr>
      <w:spacing w:after="120"/>
      <w:ind w:left="420" w:leftChars="200"/>
    </w:pPr>
  </w:style>
  <w:style w:type="paragraph" w:styleId="27">
    <w:name w:val="Block Text"/>
    <w:basedOn w:val="1"/>
    <w:qFormat/>
    <w:uiPriority w:val="0"/>
    <w:pPr>
      <w:spacing w:line="600" w:lineRule="exact"/>
      <w:ind w:left="105" w:leftChars="50" w:right="105" w:rightChars="50" w:firstLine="560" w:firstLineChars="200"/>
    </w:pPr>
    <w:rPr>
      <w:sz w:val="28"/>
    </w:rPr>
  </w:style>
  <w:style w:type="paragraph" w:styleId="28">
    <w:name w:val="List Bullet 2"/>
    <w:basedOn w:val="1"/>
    <w:qFormat/>
    <w:uiPriority w:val="0"/>
    <w:pPr>
      <w:tabs>
        <w:tab w:val="left" w:pos="1080"/>
      </w:tabs>
      <w:ind w:left="1080" w:hanging="720"/>
    </w:pPr>
  </w:style>
  <w:style w:type="paragraph" w:styleId="29">
    <w:name w:val="toc 5"/>
    <w:basedOn w:val="1"/>
    <w:next w:val="1"/>
    <w:qFormat/>
    <w:uiPriority w:val="39"/>
    <w:pPr>
      <w:ind w:left="840"/>
      <w:jc w:val="left"/>
    </w:pPr>
    <w:rPr>
      <w:sz w:val="18"/>
      <w:szCs w:val="18"/>
    </w:rPr>
  </w:style>
  <w:style w:type="paragraph" w:styleId="30">
    <w:name w:val="toc 3"/>
    <w:basedOn w:val="1"/>
    <w:next w:val="1"/>
    <w:qFormat/>
    <w:uiPriority w:val="39"/>
    <w:pPr>
      <w:ind w:left="420"/>
      <w:jc w:val="left"/>
    </w:pPr>
    <w:rPr>
      <w:i/>
      <w:iCs/>
      <w:sz w:val="20"/>
      <w:szCs w:val="20"/>
    </w:rPr>
  </w:style>
  <w:style w:type="paragraph" w:styleId="31">
    <w:name w:val="Plain Text"/>
    <w:basedOn w:val="1"/>
    <w:next w:val="19"/>
    <w:link w:val="384"/>
    <w:qFormat/>
    <w:uiPriority w:val="0"/>
    <w:rPr>
      <w:rFonts w:ascii="宋体" w:hAnsi="Courier New"/>
      <w:szCs w:val="20"/>
    </w:rPr>
  </w:style>
  <w:style w:type="paragraph" w:styleId="32">
    <w:name w:val="toc 8"/>
    <w:basedOn w:val="1"/>
    <w:next w:val="1"/>
    <w:qFormat/>
    <w:uiPriority w:val="39"/>
    <w:pPr>
      <w:ind w:left="1470"/>
      <w:jc w:val="left"/>
    </w:pPr>
    <w:rPr>
      <w:sz w:val="18"/>
      <w:szCs w:val="18"/>
    </w:rPr>
  </w:style>
  <w:style w:type="paragraph" w:styleId="33">
    <w:name w:val="Date"/>
    <w:basedOn w:val="1"/>
    <w:next w:val="1"/>
    <w:link w:val="353"/>
    <w:qFormat/>
    <w:uiPriority w:val="0"/>
    <w:rPr>
      <w:sz w:val="28"/>
      <w:szCs w:val="20"/>
    </w:rPr>
  </w:style>
  <w:style w:type="paragraph" w:styleId="34">
    <w:name w:val="Balloon Text"/>
    <w:basedOn w:val="1"/>
    <w:link w:val="378"/>
    <w:qFormat/>
    <w:uiPriority w:val="0"/>
    <w:rPr>
      <w:sz w:val="18"/>
      <w:szCs w:val="18"/>
    </w:rPr>
  </w:style>
  <w:style w:type="paragraph" w:styleId="35">
    <w:name w:val="footer"/>
    <w:basedOn w:val="1"/>
    <w:link w:val="372"/>
    <w:qFormat/>
    <w:uiPriority w:val="99"/>
    <w:pPr>
      <w:tabs>
        <w:tab w:val="center" w:pos="4153"/>
        <w:tab w:val="right" w:pos="8306"/>
      </w:tabs>
      <w:snapToGrid w:val="0"/>
      <w:jc w:val="left"/>
    </w:pPr>
    <w:rPr>
      <w:sz w:val="18"/>
      <w:szCs w:val="18"/>
    </w:rPr>
  </w:style>
  <w:style w:type="paragraph" w:styleId="36">
    <w:name w:val="header"/>
    <w:basedOn w:val="1"/>
    <w:link w:val="396"/>
    <w:qFormat/>
    <w:uiPriority w:val="0"/>
    <w:pPr>
      <w:pBdr>
        <w:bottom w:val="single" w:color="auto" w:sz="6" w:space="1"/>
      </w:pBdr>
      <w:tabs>
        <w:tab w:val="center" w:pos="4153"/>
        <w:tab w:val="right" w:pos="8306"/>
      </w:tabs>
      <w:snapToGrid w:val="0"/>
      <w:jc w:val="center"/>
    </w:pPr>
    <w:rPr>
      <w:sz w:val="18"/>
      <w:szCs w:val="18"/>
    </w:rPr>
  </w:style>
  <w:style w:type="paragraph" w:styleId="37">
    <w:name w:val="toc 1"/>
    <w:basedOn w:val="1"/>
    <w:next w:val="1"/>
    <w:qFormat/>
    <w:uiPriority w:val="39"/>
    <w:pPr>
      <w:tabs>
        <w:tab w:val="right" w:leader="dot" w:pos="8720"/>
      </w:tabs>
      <w:spacing w:before="120" w:after="120"/>
      <w:jc w:val="left"/>
    </w:pPr>
    <w:rPr>
      <w:rFonts w:ascii="宋体" w:hAnsi="宋体"/>
      <w:b/>
      <w:bCs/>
      <w:caps/>
      <w:sz w:val="24"/>
    </w:rPr>
  </w:style>
  <w:style w:type="paragraph" w:styleId="38">
    <w:name w:val="toc 4"/>
    <w:basedOn w:val="1"/>
    <w:next w:val="1"/>
    <w:qFormat/>
    <w:uiPriority w:val="39"/>
    <w:pPr>
      <w:ind w:left="630"/>
      <w:jc w:val="left"/>
    </w:pPr>
    <w:rPr>
      <w:sz w:val="18"/>
      <w:szCs w:val="18"/>
    </w:rPr>
  </w:style>
  <w:style w:type="paragraph" w:styleId="39">
    <w:name w:val="List"/>
    <w:basedOn w:val="1"/>
    <w:qFormat/>
    <w:uiPriority w:val="0"/>
    <w:pPr>
      <w:ind w:left="200" w:hanging="200" w:hangingChars="200"/>
    </w:pPr>
  </w:style>
  <w:style w:type="paragraph" w:styleId="40">
    <w:name w:val="toc 6"/>
    <w:basedOn w:val="1"/>
    <w:next w:val="1"/>
    <w:qFormat/>
    <w:uiPriority w:val="39"/>
    <w:pPr>
      <w:ind w:left="1050"/>
      <w:jc w:val="left"/>
    </w:pPr>
    <w:rPr>
      <w:sz w:val="18"/>
      <w:szCs w:val="18"/>
    </w:rPr>
  </w:style>
  <w:style w:type="paragraph" w:styleId="41">
    <w:name w:val="List 5"/>
    <w:basedOn w:val="1"/>
    <w:qFormat/>
    <w:uiPriority w:val="0"/>
    <w:pPr>
      <w:ind w:left="100" w:leftChars="800" w:hanging="200" w:hangingChars="200"/>
    </w:pPr>
  </w:style>
  <w:style w:type="paragraph" w:styleId="42">
    <w:name w:val="Body Text Indent 3"/>
    <w:basedOn w:val="1"/>
    <w:link w:val="387"/>
    <w:qFormat/>
    <w:uiPriority w:val="0"/>
    <w:pPr>
      <w:spacing w:after="120"/>
      <w:ind w:left="420" w:leftChars="200"/>
    </w:pPr>
    <w:rPr>
      <w:sz w:val="16"/>
      <w:szCs w:val="16"/>
    </w:rPr>
  </w:style>
  <w:style w:type="paragraph" w:styleId="43">
    <w:name w:val="toc 2"/>
    <w:basedOn w:val="1"/>
    <w:next w:val="1"/>
    <w:qFormat/>
    <w:uiPriority w:val="39"/>
    <w:pPr>
      <w:jc w:val="center"/>
    </w:pPr>
    <w:rPr>
      <w:smallCaps/>
      <w:szCs w:val="21"/>
    </w:rPr>
  </w:style>
  <w:style w:type="paragraph" w:styleId="44">
    <w:name w:val="toc 9"/>
    <w:basedOn w:val="1"/>
    <w:next w:val="1"/>
    <w:qFormat/>
    <w:uiPriority w:val="39"/>
    <w:pPr>
      <w:ind w:left="1680"/>
      <w:jc w:val="left"/>
    </w:pPr>
    <w:rPr>
      <w:sz w:val="18"/>
      <w:szCs w:val="18"/>
    </w:rPr>
  </w:style>
  <w:style w:type="paragraph" w:styleId="45">
    <w:name w:val="Body Text 2"/>
    <w:basedOn w:val="1"/>
    <w:link w:val="391"/>
    <w:qFormat/>
    <w:uiPriority w:val="0"/>
    <w:pPr>
      <w:widowControl/>
      <w:snapToGrid w:val="0"/>
      <w:spacing w:line="280" w:lineRule="exact"/>
      <w:jc w:val="center"/>
    </w:pPr>
    <w:rPr>
      <w:rFonts w:ascii="仿宋_GB2312" w:eastAsia="仿宋_GB2312"/>
      <w:kern w:val="0"/>
    </w:rPr>
  </w:style>
  <w:style w:type="paragraph" w:styleId="46">
    <w:name w:val="List 4"/>
    <w:basedOn w:val="1"/>
    <w:qFormat/>
    <w:uiPriority w:val="0"/>
    <w:pPr>
      <w:ind w:left="100" w:leftChars="600" w:hanging="200" w:hangingChars="200"/>
    </w:pPr>
  </w:style>
  <w:style w:type="paragraph" w:styleId="47">
    <w:name w:val="List Continue 2"/>
    <w:basedOn w:val="1"/>
    <w:qFormat/>
    <w:uiPriority w:val="0"/>
    <w:pPr>
      <w:spacing w:after="120"/>
      <w:ind w:left="840" w:leftChars="400"/>
    </w:pPr>
  </w:style>
  <w:style w:type="paragraph" w:styleId="48">
    <w:name w:val="HTML Preformatted"/>
    <w:basedOn w:val="1"/>
    <w:unhideWhenUsed/>
    <w:qFormat/>
    <w:uiPriority w:val="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hint="eastAsia" w:ascii="宋体" w:hAnsi="宋体"/>
      <w:kern w:val="0"/>
      <w:sz w:val="24"/>
    </w:rPr>
  </w:style>
  <w:style w:type="paragraph" w:styleId="49">
    <w:name w:val="Normal (Web)"/>
    <w:basedOn w:val="1"/>
    <w:qFormat/>
    <w:uiPriority w:val="0"/>
    <w:pPr>
      <w:spacing w:before="100" w:beforeAutospacing="1" w:after="100" w:afterAutospacing="1"/>
      <w:jc w:val="left"/>
    </w:pPr>
    <w:rPr>
      <w:kern w:val="0"/>
      <w:sz w:val="24"/>
    </w:rPr>
  </w:style>
  <w:style w:type="paragraph" w:styleId="50">
    <w:name w:val="Title"/>
    <w:basedOn w:val="1"/>
    <w:link w:val="345"/>
    <w:qFormat/>
    <w:uiPriority w:val="0"/>
    <w:pPr>
      <w:spacing w:before="240" w:after="60"/>
      <w:jc w:val="center"/>
      <w:outlineLvl w:val="0"/>
    </w:pPr>
    <w:rPr>
      <w:rFonts w:ascii="Arial" w:hAnsi="Arial" w:cs="Arial"/>
      <w:b/>
      <w:bCs/>
      <w:sz w:val="32"/>
      <w:szCs w:val="32"/>
    </w:rPr>
  </w:style>
  <w:style w:type="paragraph" w:styleId="51">
    <w:name w:val="annotation subject"/>
    <w:basedOn w:val="18"/>
    <w:next w:val="18"/>
    <w:link w:val="309"/>
    <w:qFormat/>
    <w:uiPriority w:val="0"/>
    <w:rPr>
      <w:b/>
      <w:bCs/>
    </w:rPr>
  </w:style>
  <w:style w:type="paragraph" w:styleId="52">
    <w:name w:val="Body Text First Indent"/>
    <w:basedOn w:val="2"/>
    <w:link w:val="310"/>
    <w:qFormat/>
    <w:uiPriority w:val="0"/>
    <w:rPr>
      <w:sz w:val="24"/>
    </w:rPr>
  </w:style>
  <w:style w:type="table" w:styleId="54">
    <w:name w:val="Table Grid"/>
    <w:basedOn w:val="53"/>
    <w:qFormat/>
    <w:uiPriority w:val="9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56">
    <w:name w:val="默认段落字体 Para Char Char Char Char Char Char Char Char Char Char Char Char Char1 Char"/>
    <w:basedOn w:val="17"/>
    <w:link w:val="55"/>
    <w:qFormat/>
    <w:uiPriority w:val="0"/>
    <w:rPr>
      <w:rFonts w:ascii="Tahoma" w:hAnsi="Tahoma"/>
      <w:sz w:val="24"/>
    </w:rPr>
  </w:style>
  <w:style w:type="character" w:styleId="57">
    <w:name w:val="Strong"/>
    <w:qFormat/>
    <w:uiPriority w:val="0"/>
    <w:rPr>
      <w:b/>
      <w:bCs/>
    </w:rPr>
  </w:style>
  <w:style w:type="character" w:styleId="58">
    <w:name w:val="page number"/>
    <w:basedOn w:val="55"/>
    <w:qFormat/>
    <w:uiPriority w:val="0"/>
  </w:style>
  <w:style w:type="character" w:styleId="59">
    <w:name w:val="FollowedHyperlink"/>
    <w:qFormat/>
    <w:uiPriority w:val="0"/>
    <w:rPr>
      <w:color w:val="800080"/>
      <w:u w:val="single"/>
    </w:rPr>
  </w:style>
  <w:style w:type="character" w:styleId="60">
    <w:name w:val="Emphasis"/>
    <w:qFormat/>
    <w:uiPriority w:val="0"/>
    <w:rPr>
      <w:i/>
      <w:iCs/>
    </w:rPr>
  </w:style>
  <w:style w:type="character" w:styleId="61">
    <w:name w:val="Hyperlink"/>
    <w:basedOn w:val="55"/>
    <w:qFormat/>
    <w:uiPriority w:val="99"/>
    <w:rPr>
      <w:color w:val="0000FF"/>
      <w:u w:val="single"/>
    </w:rPr>
  </w:style>
  <w:style w:type="character" w:styleId="62">
    <w:name w:val="annotation reference"/>
    <w:basedOn w:val="55"/>
    <w:qFormat/>
    <w:uiPriority w:val="0"/>
    <w:rPr>
      <w:sz w:val="21"/>
      <w:szCs w:val="21"/>
    </w:rPr>
  </w:style>
  <w:style w:type="paragraph" w:customStyle="1" w:styleId="63">
    <w:name w:val=" Char Char Char1 Char Char Char Char Char Char Char"/>
    <w:basedOn w:val="1"/>
    <w:link w:val="55"/>
    <w:qFormat/>
    <w:uiPriority w:val="0"/>
    <w:rPr>
      <w:szCs w:val="20"/>
    </w:rPr>
  </w:style>
  <w:style w:type="paragraph" w:customStyle="1" w:styleId="64">
    <w:name w:val="22222222222"/>
    <w:basedOn w:val="4"/>
    <w:qFormat/>
    <w:uiPriority w:val="0"/>
    <w:pPr>
      <w:spacing w:line="360" w:lineRule="auto"/>
    </w:pPr>
    <w:rPr>
      <w:rFonts w:ascii="Calibri" w:hAnsi="Calibri"/>
      <w:szCs w:val="28"/>
    </w:rPr>
  </w:style>
  <w:style w:type="paragraph" w:customStyle="1" w:styleId="65">
    <w:name w:val="xl46"/>
    <w:basedOn w:val="1"/>
    <w:qFormat/>
    <w:uiPriority w:val="0"/>
    <w:pPr>
      <w:widowControl/>
      <w:pBdr>
        <w:top w:val="single" w:color="auto" w:sz="8" w:space="0"/>
      </w:pBdr>
      <w:spacing w:before="100" w:beforeAutospacing="1" w:after="100" w:afterAutospacing="1"/>
      <w:jc w:val="center"/>
    </w:pPr>
    <w:rPr>
      <w:rFonts w:ascii="宋体" w:hAnsi="宋体"/>
      <w:kern w:val="0"/>
      <w:sz w:val="24"/>
    </w:rPr>
  </w:style>
  <w:style w:type="paragraph" w:customStyle="1" w:styleId="66">
    <w:name w:val="CM11"/>
    <w:basedOn w:val="67"/>
    <w:next w:val="67"/>
    <w:qFormat/>
    <w:uiPriority w:val="0"/>
    <w:pPr>
      <w:spacing w:line="460" w:lineRule="atLeast"/>
    </w:pPr>
    <w:rPr>
      <w:rFonts w:ascii="黑体" w:eastAsia="黑体" w:cs="Times New Roman"/>
      <w:color w:val="auto"/>
      <w:sz w:val="20"/>
    </w:rPr>
  </w:style>
  <w:style w:type="paragraph" w:customStyle="1" w:styleId="67">
    <w:name w:val="Default"/>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68">
    <w:name w:val="1"/>
    <w:basedOn w:val="1"/>
    <w:next w:val="23"/>
    <w:qFormat/>
    <w:uiPriority w:val="0"/>
    <w:pPr>
      <w:spacing w:line="360" w:lineRule="auto"/>
      <w:ind w:firstLine="520" w:firstLineChars="200"/>
    </w:pPr>
    <w:rPr>
      <w:spacing w:val="10"/>
      <w:sz w:val="24"/>
      <w:szCs w:val="20"/>
    </w:rPr>
  </w:style>
  <w:style w:type="paragraph" w:customStyle="1" w:styleId="69">
    <w:name w:val="xl41"/>
    <w:basedOn w:val="1"/>
    <w:qFormat/>
    <w:uiPriority w:val="0"/>
    <w:pPr>
      <w:widowControl/>
      <w:pBdr>
        <w:top w:val="single" w:color="auto" w:sz="4" w:space="0"/>
        <w:left w:val="single" w:color="auto" w:sz="4" w:space="0"/>
        <w:bottom w:val="single" w:color="auto" w:sz="8" w:space="0"/>
      </w:pBdr>
      <w:spacing w:before="100" w:beforeAutospacing="1" w:after="100" w:afterAutospacing="1"/>
      <w:jc w:val="center"/>
    </w:pPr>
    <w:rPr>
      <w:rFonts w:ascii="宋体" w:hAnsi="宋体"/>
      <w:kern w:val="0"/>
      <w:sz w:val="24"/>
    </w:rPr>
  </w:style>
  <w:style w:type="paragraph" w:customStyle="1" w:styleId="70">
    <w:name w:val="宗兴正文"/>
    <w:basedOn w:val="1"/>
    <w:link w:val="311"/>
    <w:qFormat/>
    <w:uiPriority w:val="0"/>
    <w:pPr>
      <w:spacing w:before="93" w:after="93" w:line="360" w:lineRule="auto"/>
      <w:ind w:firstLine="480" w:firstLineChars="200"/>
      <w:jc w:val="left"/>
    </w:pPr>
    <w:rPr>
      <w:sz w:val="24"/>
    </w:rPr>
  </w:style>
  <w:style w:type="paragraph" w:customStyle="1" w:styleId="71">
    <w:name w:val="表格内容1"/>
    <w:basedOn w:val="72"/>
    <w:qFormat/>
    <w:uiPriority w:val="0"/>
    <w:pPr>
      <w:tabs>
        <w:tab w:val="left" w:pos="1535"/>
        <w:tab w:val="left" w:pos="3105"/>
        <w:tab w:val="left" w:pos="4676"/>
        <w:tab w:val="left" w:pos="6247"/>
        <w:tab w:val="left" w:pos="7740"/>
        <w:tab w:val="left" w:pos="9288"/>
      </w:tabs>
      <w:spacing w:line="240" w:lineRule="exact"/>
      <w:ind w:left="-30"/>
      <w:jc w:val="center"/>
    </w:pPr>
    <w:rPr>
      <w:color w:val="FF0000"/>
      <w:sz w:val="24"/>
      <w:szCs w:val="24"/>
    </w:rPr>
  </w:style>
  <w:style w:type="paragraph" w:customStyle="1" w:styleId="72">
    <w:name w:val="表格内容"/>
    <w:basedOn w:val="1"/>
    <w:qFormat/>
    <w:uiPriority w:val="0"/>
    <w:pPr>
      <w:tabs>
        <w:tab w:val="left" w:pos="1535"/>
        <w:tab w:val="left" w:pos="3105"/>
        <w:tab w:val="left" w:pos="4676"/>
        <w:tab w:val="left" w:pos="6247"/>
        <w:tab w:val="left" w:pos="7740"/>
        <w:tab w:val="left" w:pos="9288"/>
      </w:tabs>
      <w:snapToGrid w:val="0"/>
      <w:ind w:left="-25" w:leftChars="-12"/>
      <w:textAlignment w:val="baseline"/>
    </w:pPr>
    <w:rPr>
      <w:rFonts w:ascii="宋体" w:hAnsi="宋体"/>
      <w:snapToGrid w:val="0"/>
      <w:kern w:val="0"/>
      <w:szCs w:val="21"/>
    </w:rPr>
  </w:style>
  <w:style w:type="paragraph" w:customStyle="1" w:styleId="73">
    <w:name w:val="CM6"/>
    <w:basedOn w:val="67"/>
    <w:next w:val="67"/>
    <w:qFormat/>
    <w:uiPriority w:val="0"/>
    <w:pPr>
      <w:spacing w:line="440" w:lineRule="atLeast"/>
    </w:pPr>
    <w:rPr>
      <w:rFonts w:ascii="黑体" w:eastAsia="黑体" w:cs="Times New Roman"/>
      <w:color w:val="auto"/>
      <w:sz w:val="20"/>
    </w:rPr>
  </w:style>
  <w:style w:type="paragraph" w:customStyle="1" w:styleId="74">
    <w:name w:val="正文文字 3"/>
    <w:basedOn w:val="1"/>
    <w:qFormat/>
    <w:uiPriority w:val="0"/>
    <w:pPr>
      <w:snapToGrid w:val="0"/>
      <w:spacing w:line="360" w:lineRule="auto"/>
    </w:pPr>
    <w:rPr>
      <w:sz w:val="30"/>
      <w:szCs w:val="30"/>
    </w:rPr>
  </w:style>
  <w:style w:type="paragraph" w:customStyle="1" w:styleId="75">
    <w:name w:val="xl31"/>
    <w:basedOn w:val="1"/>
    <w:qFormat/>
    <w:uiPriority w:val="0"/>
    <w:pPr>
      <w:widowControl/>
      <w:pBdr>
        <w:bottom w:val="single" w:color="auto" w:sz="4" w:space="0"/>
      </w:pBdr>
      <w:spacing w:before="100" w:beforeAutospacing="1" w:after="100" w:afterAutospacing="1"/>
      <w:jc w:val="center"/>
    </w:pPr>
    <w:rPr>
      <w:kern w:val="0"/>
      <w:sz w:val="24"/>
    </w:rPr>
  </w:style>
  <w:style w:type="paragraph" w:customStyle="1" w:styleId="76">
    <w:name w:val="[正文格式]"/>
    <w:basedOn w:val="1"/>
    <w:link w:val="404"/>
    <w:qFormat/>
    <w:uiPriority w:val="0"/>
    <w:pPr>
      <w:spacing w:line="360" w:lineRule="auto"/>
      <w:ind w:firstLine="200" w:firstLineChars="200"/>
    </w:pPr>
    <w:rPr>
      <w:rFonts w:cs="宋体"/>
      <w:sz w:val="24"/>
      <w:szCs w:val="20"/>
    </w:rPr>
  </w:style>
  <w:style w:type="paragraph" w:customStyle="1" w:styleId="77">
    <w:name w:val="back-page-top1"/>
    <w:basedOn w:val="1"/>
    <w:qFormat/>
    <w:uiPriority w:val="0"/>
    <w:pPr>
      <w:widowControl/>
      <w:spacing w:before="100" w:beforeAutospacing="1" w:after="100" w:afterAutospacing="1" w:line="226" w:lineRule="atLeast"/>
      <w:jc w:val="right"/>
    </w:pPr>
    <w:rPr>
      <w:rFonts w:ascii="宋体" w:hAnsi="宋体"/>
      <w:kern w:val="0"/>
      <w:sz w:val="17"/>
      <w:szCs w:val="17"/>
    </w:rPr>
  </w:style>
  <w:style w:type="paragraph" w:customStyle="1" w:styleId="78">
    <w:name w:val="表体"/>
    <w:basedOn w:val="1"/>
    <w:qFormat/>
    <w:uiPriority w:val="0"/>
    <w:pPr>
      <w:spacing w:before="40" w:after="40"/>
      <w:jc w:val="center"/>
    </w:pPr>
    <w:rPr>
      <w:color w:val="000080"/>
    </w:rPr>
  </w:style>
  <w:style w:type="paragraph" w:customStyle="1" w:styleId="79">
    <w:name w:val="纯文本2"/>
    <w:basedOn w:val="1"/>
    <w:qFormat/>
    <w:uiPriority w:val="0"/>
    <w:pPr>
      <w:adjustRightInd w:val="0"/>
      <w:jc w:val="left"/>
      <w:textAlignment w:val="baseline"/>
    </w:pPr>
    <w:rPr>
      <w:rFonts w:ascii="宋体"/>
      <w:kern w:val="0"/>
      <w:sz w:val="24"/>
      <w:szCs w:val="20"/>
    </w:rPr>
  </w:style>
  <w:style w:type="paragraph" w:customStyle="1" w:styleId="80">
    <w:name w:val="InstÀ_x001F__x0001_Àll"/>
    <w:qFormat/>
    <w:uiPriority w:val="0"/>
    <w:pPr>
      <w:tabs>
        <w:tab w:val="left" w:pos="-720"/>
      </w:tabs>
      <w:suppressAutoHyphens/>
      <w:jc w:val="both"/>
    </w:pPr>
    <w:rPr>
      <w:rFonts w:ascii="Courier" w:hAnsi="Courier" w:eastAsia="宋体" w:cs="Times New Roman"/>
      <w:spacing w:val="-3"/>
      <w:sz w:val="24"/>
      <w:lang w:val="en-US" w:eastAsia="sv-SE" w:bidi="ar-SA"/>
    </w:rPr>
  </w:style>
  <w:style w:type="paragraph" w:customStyle="1" w:styleId="81">
    <w:name w:val="Char Char Char1 Char"/>
    <w:basedOn w:val="1"/>
    <w:qFormat/>
    <w:uiPriority w:val="0"/>
  </w:style>
  <w:style w:type="paragraph" w:customStyle="1" w:styleId="82">
    <w:name w:val="列出段落1"/>
    <w:basedOn w:val="1"/>
    <w:qFormat/>
    <w:uiPriority w:val="99"/>
    <w:pPr>
      <w:ind w:firstLine="420" w:firstLineChars="200"/>
    </w:pPr>
    <w:rPr>
      <w:szCs w:val="20"/>
    </w:rPr>
  </w:style>
  <w:style w:type="paragraph" w:customStyle="1" w:styleId="83">
    <w:name w:val="样式 MFS正文 Char Char Char + 宋体"/>
    <w:basedOn w:val="1"/>
    <w:link w:val="367"/>
    <w:qFormat/>
    <w:uiPriority w:val="0"/>
    <w:pPr>
      <w:adjustRightInd w:val="0"/>
      <w:snapToGrid w:val="0"/>
      <w:spacing w:before="93" w:after="120" w:line="360" w:lineRule="auto"/>
      <w:ind w:firstLine="487" w:firstLineChars="200"/>
    </w:pPr>
    <w:rPr>
      <w:rFonts w:ascii="宋体" w:hAnsi="宋体" w:eastAsia="楷体_GB2312"/>
      <w:sz w:val="24"/>
    </w:rPr>
  </w:style>
  <w:style w:type="paragraph" w:customStyle="1" w:styleId="84">
    <w:name w:val="xl23"/>
    <w:basedOn w:val="1"/>
    <w:qFormat/>
    <w:uiPriority w:val="0"/>
    <w:pPr>
      <w:widowControl/>
      <w:spacing w:before="100" w:beforeAutospacing="1" w:after="100" w:afterAutospacing="1"/>
      <w:jc w:val="center"/>
    </w:pPr>
    <w:rPr>
      <w:rFonts w:ascii="宋体" w:hAnsi="宋体"/>
      <w:kern w:val="0"/>
      <w:sz w:val="24"/>
    </w:rPr>
  </w:style>
  <w:style w:type="paragraph" w:customStyle="1" w:styleId="85">
    <w:name w:val="xl27"/>
    <w:basedOn w:val="1"/>
    <w:qFormat/>
    <w:uiPriority w:val="0"/>
    <w:pPr>
      <w:widowControl/>
      <w:spacing w:before="100" w:beforeAutospacing="1" w:after="100" w:afterAutospacing="1"/>
      <w:jc w:val="left"/>
    </w:pPr>
    <w:rPr>
      <w:color w:val="FF0000"/>
      <w:kern w:val="0"/>
      <w:sz w:val="24"/>
    </w:rPr>
  </w:style>
  <w:style w:type="paragraph" w:customStyle="1" w:styleId="86">
    <w:name w:val="Char1 Char Char Char"/>
    <w:basedOn w:val="1"/>
    <w:qFormat/>
    <w:uiPriority w:val="0"/>
    <w:rPr>
      <w:rFonts w:eastAsia="Times New Roman"/>
      <w:kern w:val="0"/>
      <w:sz w:val="24"/>
      <w:szCs w:val="20"/>
    </w:rPr>
  </w:style>
  <w:style w:type="paragraph" w:customStyle="1" w:styleId="87">
    <w:name w:val="正文首行缩进 2 + Times New Roman"/>
    <w:basedOn w:val="1"/>
    <w:link w:val="370"/>
    <w:qFormat/>
    <w:uiPriority w:val="0"/>
    <w:pPr>
      <w:tabs>
        <w:tab w:val="left" w:pos="0"/>
        <w:tab w:val="left" w:pos="870"/>
        <w:tab w:val="left" w:pos="3150"/>
      </w:tabs>
      <w:autoSpaceDE w:val="0"/>
      <w:autoSpaceDN w:val="0"/>
      <w:spacing w:line="360" w:lineRule="auto"/>
      <w:ind w:firstLine="480" w:firstLineChars="200"/>
      <w:jc w:val="left"/>
    </w:pPr>
    <w:rPr>
      <w:kern w:val="0"/>
      <w:sz w:val="24"/>
    </w:rPr>
  </w:style>
  <w:style w:type="paragraph" w:customStyle="1" w:styleId="88">
    <w:name w:val="dandan6-13正文 Char Char Char"/>
    <w:basedOn w:val="1"/>
    <w:next w:val="1"/>
    <w:qFormat/>
    <w:uiPriority w:val="0"/>
    <w:pPr>
      <w:keepNext/>
      <w:keepLines/>
      <w:widowControl/>
      <w:adjustRightInd w:val="0"/>
      <w:spacing w:before="40" w:after="40" w:line="360" w:lineRule="auto"/>
      <w:ind w:firstLine="200" w:firstLineChars="200"/>
      <w:textAlignment w:val="baseline"/>
    </w:pPr>
    <w:rPr>
      <w:rFonts w:cs="宋体"/>
      <w:kern w:val="0"/>
      <w:sz w:val="24"/>
      <w:szCs w:val="28"/>
    </w:rPr>
  </w:style>
  <w:style w:type="paragraph" w:customStyle="1" w:styleId="89">
    <w:name w:val="标准文本 首行缩进:2 字符 行距1.5倍 Char"/>
    <w:basedOn w:val="1"/>
    <w:link w:val="329"/>
    <w:qFormat/>
    <w:uiPriority w:val="0"/>
    <w:pPr>
      <w:adjustRightInd w:val="0"/>
      <w:snapToGrid w:val="0"/>
      <w:spacing w:line="360" w:lineRule="auto"/>
      <w:ind w:firstLine="200" w:firstLineChars="200"/>
      <w:textAlignment w:val="center"/>
    </w:pPr>
    <w:rPr>
      <w:rFonts w:cs="宋体"/>
      <w:sz w:val="24"/>
    </w:rPr>
  </w:style>
  <w:style w:type="paragraph" w:customStyle="1" w:styleId="90">
    <w:name w:val="ljx正文1"/>
    <w:basedOn w:val="1"/>
    <w:link w:val="379"/>
    <w:qFormat/>
    <w:uiPriority w:val="0"/>
    <w:rPr>
      <w:sz w:val="28"/>
      <w:szCs w:val="28"/>
    </w:rPr>
  </w:style>
  <w:style w:type="paragraph" w:customStyle="1" w:styleId="91">
    <w:name w:val="Char Char Char Char Char Char Char Char Char"/>
    <w:basedOn w:val="1"/>
    <w:qFormat/>
    <w:uiPriority w:val="0"/>
  </w:style>
  <w:style w:type="paragraph" w:customStyle="1" w:styleId="92">
    <w:name w:val="1111"/>
    <w:basedOn w:val="93"/>
    <w:qFormat/>
    <w:uiPriority w:val="0"/>
    <w:pPr>
      <w:jc w:val="center"/>
    </w:pPr>
    <w:rPr>
      <w:b/>
      <w:bCs w:val="0"/>
      <w:sz w:val="32"/>
      <w:szCs w:val="32"/>
    </w:rPr>
  </w:style>
  <w:style w:type="paragraph" w:customStyle="1" w:styleId="93">
    <w:name w:val="1级标题"/>
    <w:basedOn w:val="3"/>
    <w:qFormat/>
    <w:uiPriority w:val="0"/>
    <w:pPr>
      <w:keepNext w:val="0"/>
      <w:keepLines w:val="0"/>
      <w:spacing w:before="0" w:after="0" w:line="360" w:lineRule="auto"/>
    </w:pPr>
    <w:rPr>
      <w:rFonts w:ascii="黑体" w:eastAsia="黑体"/>
      <w:b w:val="0"/>
      <w:sz w:val="30"/>
      <w:szCs w:val="30"/>
    </w:rPr>
  </w:style>
  <w:style w:type="paragraph" w:customStyle="1" w:styleId="94">
    <w:name w:val="xl50"/>
    <w:basedOn w:val="1"/>
    <w:qFormat/>
    <w:uiPriority w:val="0"/>
    <w:pPr>
      <w:widowControl/>
      <w:spacing w:before="100" w:beforeAutospacing="1" w:after="100" w:afterAutospacing="1"/>
      <w:jc w:val="left"/>
    </w:pPr>
    <w:rPr>
      <w:rFonts w:ascii="宋体" w:hAnsi="宋体"/>
      <w:b/>
      <w:bCs/>
      <w:kern w:val="0"/>
      <w:sz w:val="52"/>
      <w:szCs w:val="52"/>
    </w:rPr>
  </w:style>
  <w:style w:type="paragraph" w:customStyle="1" w:styleId="95">
    <w:name w:val="首行缩进"/>
    <w:basedOn w:val="1"/>
    <w:qFormat/>
    <w:uiPriority w:val="0"/>
    <w:pPr>
      <w:ind w:firstLine="200" w:firstLineChars="200"/>
    </w:pPr>
    <w:rPr>
      <w:rFonts w:ascii="宋体" w:hAnsi="宋体"/>
      <w:kern w:val="0"/>
      <w:sz w:val="28"/>
    </w:rPr>
  </w:style>
  <w:style w:type="paragraph" w:customStyle="1" w:styleId="96">
    <w:name w:val="xl33"/>
    <w:basedOn w:val="1"/>
    <w:qFormat/>
    <w:uiPriority w:val="0"/>
    <w:pPr>
      <w:widowControl/>
      <w:pBdr>
        <w:top w:val="single" w:color="auto" w:sz="8" w:space="0"/>
        <w:left w:val="single" w:color="auto" w:sz="4" w:space="0"/>
        <w:bottom w:val="single" w:color="auto" w:sz="4" w:space="0"/>
        <w:right w:val="single" w:color="auto" w:sz="4" w:space="0"/>
      </w:pBdr>
      <w:spacing w:before="100" w:beforeAutospacing="1" w:after="100" w:afterAutospacing="1"/>
      <w:jc w:val="center"/>
    </w:pPr>
    <w:rPr>
      <w:rFonts w:ascii="宋体" w:hAnsi="宋体"/>
      <w:kern w:val="0"/>
      <w:sz w:val="24"/>
    </w:rPr>
  </w:style>
  <w:style w:type="paragraph" w:customStyle="1" w:styleId="97">
    <w:name w:val="1文章"/>
    <w:basedOn w:val="1"/>
    <w:qFormat/>
    <w:uiPriority w:val="0"/>
    <w:pPr>
      <w:snapToGrid w:val="0"/>
      <w:spacing w:line="360" w:lineRule="auto"/>
      <w:ind w:firstLine="496" w:firstLineChars="200"/>
      <w:outlineLvl w:val="4"/>
    </w:pPr>
    <w:rPr>
      <w:spacing w:val="4"/>
      <w:sz w:val="24"/>
    </w:rPr>
  </w:style>
  <w:style w:type="paragraph" w:customStyle="1" w:styleId="98">
    <w:name w:val="表格内容格式"/>
    <w:basedOn w:val="1"/>
    <w:qFormat/>
    <w:uiPriority w:val="0"/>
    <w:pPr>
      <w:adjustRightInd w:val="0"/>
      <w:jc w:val="center"/>
      <w:textAlignment w:val="baseline"/>
    </w:pPr>
    <w:rPr>
      <w:snapToGrid w:val="0"/>
      <w:kern w:val="0"/>
      <w:szCs w:val="21"/>
    </w:rPr>
  </w:style>
  <w:style w:type="paragraph" w:customStyle="1" w:styleId="99">
    <w:name w:val="表"/>
    <w:basedOn w:val="1"/>
    <w:link w:val="368"/>
    <w:qFormat/>
    <w:uiPriority w:val="0"/>
    <w:pPr>
      <w:autoSpaceDE w:val="0"/>
      <w:autoSpaceDN w:val="0"/>
      <w:adjustRightInd w:val="0"/>
      <w:spacing w:line="360" w:lineRule="exact"/>
      <w:jc w:val="center"/>
      <w:textAlignment w:val="bottom"/>
    </w:pPr>
    <w:rPr>
      <w:rFonts w:eastAsia="仿宋_GB2312" w:cs="仿宋_GB2312"/>
      <w:szCs w:val="21"/>
    </w:rPr>
  </w:style>
  <w:style w:type="paragraph" w:customStyle="1" w:styleId="100">
    <w:name w:val="段落A"/>
    <w:basedOn w:val="1"/>
    <w:qFormat/>
    <w:uiPriority w:val="0"/>
    <w:pPr>
      <w:spacing w:line="400" w:lineRule="exact"/>
      <w:ind w:firstLine="480" w:firstLineChars="200"/>
    </w:pPr>
    <w:rPr>
      <w:sz w:val="24"/>
    </w:rPr>
  </w:style>
  <w:style w:type="paragraph" w:customStyle="1" w:styleId="101">
    <w:name w:val="样式"/>
    <w:basedOn w:val="1"/>
    <w:next w:val="22"/>
    <w:qFormat/>
    <w:uiPriority w:val="0"/>
    <w:pPr>
      <w:adjustRightInd w:val="0"/>
      <w:spacing w:line="360" w:lineRule="auto"/>
      <w:ind w:firstLine="480"/>
      <w:textAlignment w:val="baseline"/>
    </w:pPr>
    <w:rPr>
      <w:rFonts w:ascii="宋体"/>
      <w:kern w:val="0"/>
      <w:sz w:val="24"/>
    </w:rPr>
  </w:style>
  <w:style w:type="paragraph" w:customStyle="1" w:styleId="102">
    <w:name w:val="样式1"/>
    <w:basedOn w:val="1"/>
    <w:qFormat/>
    <w:uiPriority w:val="0"/>
    <w:pPr>
      <w:widowControl/>
      <w:spacing w:line="500" w:lineRule="exact"/>
      <w:ind w:firstLine="482"/>
    </w:pPr>
    <w:rPr>
      <w:kern w:val="0"/>
      <w:sz w:val="24"/>
      <w:szCs w:val="20"/>
    </w:rPr>
  </w:style>
  <w:style w:type="paragraph" w:customStyle="1" w:styleId="103">
    <w:name w:val="CM2"/>
    <w:basedOn w:val="67"/>
    <w:next w:val="67"/>
    <w:qFormat/>
    <w:uiPriority w:val="0"/>
    <w:pPr>
      <w:spacing w:line="460" w:lineRule="atLeast"/>
    </w:pPr>
    <w:rPr>
      <w:rFonts w:ascii="黑体" w:eastAsia="黑体" w:cs="Times New Roman"/>
      <w:color w:val="auto"/>
      <w:sz w:val="20"/>
    </w:rPr>
  </w:style>
  <w:style w:type="paragraph" w:customStyle="1" w:styleId="104">
    <w:name w:val="xl34"/>
    <w:basedOn w:val="1"/>
    <w:qFormat/>
    <w:uiPriority w:val="0"/>
    <w:pPr>
      <w:widowControl/>
      <w:spacing w:before="100" w:beforeAutospacing="1" w:after="100" w:afterAutospacing="1"/>
      <w:jc w:val="center"/>
    </w:pPr>
    <w:rPr>
      <w:rFonts w:ascii="Arial Unicode MS" w:hAnsi="Arial Unicode MS" w:eastAsia="Arial Unicode MS"/>
      <w:kern w:val="0"/>
      <w:sz w:val="24"/>
    </w:rPr>
  </w:style>
  <w:style w:type="paragraph" w:customStyle="1" w:styleId="105">
    <w:name w:val="titel"/>
    <w:qFormat/>
    <w:uiPriority w:val="0"/>
    <w:pPr>
      <w:pageBreakBefore/>
      <w:overflowPunct w:val="0"/>
      <w:autoSpaceDE w:val="0"/>
      <w:autoSpaceDN w:val="0"/>
      <w:adjustRightInd w:val="0"/>
      <w:jc w:val="center"/>
      <w:textAlignment w:val="baseline"/>
    </w:pPr>
    <w:rPr>
      <w:rFonts w:ascii="CorpoSLig" w:hAnsi="CorpoSLig" w:eastAsia="宋体" w:cs="Times New Roman"/>
      <w:b/>
      <w:caps/>
      <w:sz w:val="48"/>
      <w:lang w:val="de-DE" w:eastAsia="en-US" w:bidi="ar-SA"/>
    </w:rPr>
  </w:style>
  <w:style w:type="paragraph" w:customStyle="1" w:styleId="106">
    <w:name w:val="样式 报告 + 左侧:  0 厘米 段前: 3.6 磅 段后: 3.6 磅 行距: 1.5 倍行距"/>
    <w:basedOn w:val="1"/>
    <w:link w:val="332"/>
    <w:qFormat/>
    <w:uiPriority w:val="0"/>
    <w:pPr>
      <w:overflowPunct w:val="0"/>
      <w:autoSpaceDE w:val="0"/>
      <w:autoSpaceDN w:val="0"/>
      <w:adjustRightInd w:val="0"/>
      <w:spacing w:before="72" w:after="72" w:line="360" w:lineRule="auto"/>
      <w:ind w:firstLine="480" w:firstLineChars="200"/>
      <w:textAlignment w:val="baseline"/>
    </w:pPr>
    <w:rPr>
      <w:kern w:val="0"/>
      <w:sz w:val="24"/>
      <w:szCs w:val="20"/>
    </w:rPr>
  </w:style>
  <w:style w:type="paragraph" w:customStyle="1" w:styleId="107">
    <w:name w:val="Table Paragraph"/>
    <w:basedOn w:val="1"/>
    <w:qFormat/>
    <w:uiPriority w:val="1"/>
    <w:pPr>
      <w:autoSpaceDE w:val="0"/>
      <w:autoSpaceDN w:val="0"/>
      <w:adjustRightInd w:val="0"/>
      <w:jc w:val="left"/>
    </w:pPr>
    <w:rPr>
      <w:kern w:val="0"/>
      <w:sz w:val="24"/>
    </w:rPr>
  </w:style>
  <w:style w:type="paragraph" w:customStyle="1" w:styleId="108">
    <w:name w:val="表格标题（左对齐）"/>
    <w:basedOn w:val="1"/>
    <w:qFormat/>
    <w:uiPriority w:val="0"/>
    <w:pPr>
      <w:spacing w:line="240" w:lineRule="exact"/>
      <w:jc w:val="center"/>
    </w:pPr>
    <w:rPr>
      <w:b/>
      <w:snapToGrid w:val="0"/>
      <w:szCs w:val="21"/>
    </w:rPr>
  </w:style>
  <w:style w:type="paragraph" w:customStyle="1" w:styleId="109">
    <w:name w:val="表内容"/>
    <w:basedOn w:val="1"/>
    <w:next w:val="1"/>
    <w:link w:val="381"/>
    <w:qFormat/>
    <w:uiPriority w:val="0"/>
    <w:pPr>
      <w:spacing w:line="320" w:lineRule="exact"/>
      <w:jc w:val="center"/>
    </w:pPr>
    <w:rPr>
      <w:szCs w:val="20"/>
    </w:rPr>
  </w:style>
  <w:style w:type="paragraph" w:customStyle="1" w:styleId="110">
    <w:name w:val="CM8"/>
    <w:basedOn w:val="67"/>
    <w:next w:val="67"/>
    <w:qFormat/>
    <w:uiPriority w:val="0"/>
    <w:pPr>
      <w:spacing w:line="460" w:lineRule="atLeast"/>
    </w:pPr>
    <w:rPr>
      <w:rFonts w:ascii="黑体" w:eastAsia="黑体" w:cs="Times New Roman"/>
      <w:color w:val="auto"/>
      <w:sz w:val="20"/>
    </w:rPr>
  </w:style>
  <w:style w:type="paragraph" w:customStyle="1" w:styleId="111">
    <w:name w:val="表格"/>
    <w:basedOn w:val="1"/>
    <w:link w:val="347"/>
    <w:qFormat/>
    <w:uiPriority w:val="0"/>
    <w:pPr>
      <w:adjustRightInd w:val="0"/>
      <w:spacing w:before="40" w:after="40"/>
      <w:textAlignment w:val="baseline"/>
    </w:pPr>
    <w:rPr>
      <w:rFonts w:ascii="昆仑仿宋" w:eastAsia="昆仑仿宋"/>
      <w:kern w:val="0"/>
      <w:sz w:val="24"/>
      <w:szCs w:val="20"/>
    </w:rPr>
  </w:style>
  <w:style w:type="paragraph" w:customStyle="1" w:styleId="112">
    <w:name w:val="正文1"/>
    <w:basedOn w:val="1"/>
    <w:qFormat/>
    <w:uiPriority w:val="0"/>
    <w:pPr>
      <w:adjustRightInd w:val="0"/>
      <w:spacing w:line="480" w:lineRule="exact"/>
      <w:textAlignment w:val="baseline"/>
    </w:pPr>
    <w:rPr>
      <w:spacing w:val="-2"/>
      <w:kern w:val="0"/>
      <w:szCs w:val="20"/>
    </w:rPr>
  </w:style>
  <w:style w:type="paragraph" w:customStyle="1" w:styleId="113">
    <w:name w:val="2级标题"/>
    <w:basedOn w:val="4"/>
    <w:qFormat/>
    <w:uiPriority w:val="0"/>
    <w:pPr>
      <w:keepNext w:val="0"/>
      <w:tabs>
        <w:tab w:val="left" w:pos="3564"/>
      </w:tabs>
      <w:spacing w:line="360" w:lineRule="auto"/>
    </w:pPr>
    <w:rPr>
      <w:rFonts w:ascii="黑体" w:hAnsi="Arial" w:eastAsia="黑体"/>
      <w:color w:val="auto"/>
      <w:szCs w:val="28"/>
    </w:rPr>
  </w:style>
  <w:style w:type="paragraph" w:customStyle="1" w:styleId="114">
    <w:name w:val="表1表2"/>
    <w:basedOn w:val="1"/>
    <w:qFormat/>
    <w:uiPriority w:val="0"/>
    <w:pPr>
      <w:autoSpaceDE w:val="0"/>
      <w:autoSpaceDN w:val="0"/>
      <w:adjustRightInd w:val="0"/>
      <w:spacing w:line="360" w:lineRule="auto"/>
      <w:jc w:val="center"/>
      <w:textAlignment w:val="center"/>
    </w:pPr>
    <w:rPr>
      <w:rFonts w:ascii="宋体" w:hAnsi="宋体" w:eastAsia="仿宋体"/>
      <w:kern w:val="0"/>
      <w:sz w:val="24"/>
    </w:rPr>
  </w:style>
  <w:style w:type="paragraph" w:customStyle="1" w:styleId="115">
    <w:name w:val="xl43"/>
    <w:basedOn w:val="1"/>
    <w:qFormat/>
    <w:uiPriority w:val="0"/>
    <w:pPr>
      <w:widowControl/>
      <w:pBdr>
        <w:top w:val="single" w:color="auto" w:sz="4" w:space="0"/>
        <w:bottom w:val="single" w:color="auto" w:sz="4" w:space="0"/>
        <w:right w:val="single" w:color="auto" w:sz="4" w:space="0"/>
      </w:pBdr>
      <w:spacing w:before="100" w:beforeAutospacing="1" w:after="100" w:afterAutospacing="1"/>
      <w:jc w:val="center"/>
    </w:pPr>
    <w:rPr>
      <w:rFonts w:ascii="宋体" w:hAnsi="宋体"/>
      <w:kern w:val="0"/>
      <w:sz w:val="24"/>
    </w:rPr>
  </w:style>
  <w:style w:type="paragraph" w:customStyle="1" w:styleId="116">
    <w:name w:val="acee正文"/>
    <w:basedOn w:val="1"/>
    <w:qFormat/>
    <w:uiPriority w:val="0"/>
    <w:pPr>
      <w:spacing w:line="480" w:lineRule="exact"/>
      <w:ind w:firstLine="640" w:firstLineChars="200"/>
    </w:pPr>
    <w:rPr>
      <w:rFonts w:ascii="仿宋_GB2312" w:hAnsi="宋体" w:eastAsia="仿宋_GB2312"/>
      <w:sz w:val="32"/>
    </w:rPr>
  </w:style>
  <w:style w:type="paragraph" w:customStyle="1" w:styleId="117">
    <w:name w:val="Formatvorlage3"/>
    <w:basedOn w:val="6"/>
    <w:next w:val="1"/>
    <w:qFormat/>
    <w:uiPriority w:val="0"/>
    <w:pPr>
      <w:keepLines w:val="0"/>
      <w:numPr>
        <w:numId w:val="0"/>
      </w:numPr>
      <w:tabs>
        <w:tab w:val="left" w:pos="2160"/>
        <w:tab w:val="clear" w:pos="850"/>
      </w:tabs>
      <w:adjustRightInd/>
      <w:spacing w:before="240" w:after="60" w:line="360" w:lineRule="auto"/>
      <w:ind w:left="1728" w:hanging="648"/>
      <w:jc w:val="both"/>
      <w:textAlignment w:val="auto"/>
    </w:pPr>
    <w:rPr>
      <w:rFonts w:ascii="CorpoSLig" w:hAnsi="CorpoSLig" w:eastAsia="宋体"/>
      <w:sz w:val="24"/>
      <w:lang w:val="en-GB" w:eastAsia="en-US"/>
    </w:rPr>
  </w:style>
  <w:style w:type="paragraph" w:customStyle="1" w:styleId="118">
    <w:name w:val="Char Char Char Char Char Char1 Char"/>
    <w:basedOn w:val="1"/>
    <w:qFormat/>
    <w:uiPriority w:val="0"/>
  </w:style>
  <w:style w:type="paragraph" w:customStyle="1" w:styleId="119">
    <w:name w:val="简单回函地址"/>
    <w:basedOn w:val="1"/>
    <w:qFormat/>
    <w:uiPriority w:val="0"/>
    <w:rPr>
      <w:sz w:val="24"/>
      <w:szCs w:val="20"/>
    </w:rPr>
  </w:style>
  <w:style w:type="paragraph" w:customStyle="1" w:styleId="120">
    <w:name w:val="样式 左侧:  2 字符 首行缩进:  0.85 厘米 行距: 固定值 26.8 磅"/>
    <w:basedOn w:val="1"/>
    <w:qFormat/>
    <w:uiPriority w:val="0"/>
    <w:pPr>
      <w:spacing w:line="520" w:lineRule="exact"/>
      <w:ind w:firstLine="200" w:firstLineChars="200"/>
      <w:jc w:val="left"/>
    </w:pPr>
    <w:rPr>
      <w:rFonts w:ascii="宋体"/>
      <w:sz w:val="24"/>
      <w:szCs w:val="20"/>
    </w:rPr>
  </w:style>
  <w:style w:type="paragraph" w:customStyle="1" w:styleId="121">
    <w:name w:val="Body text|1"/>
    <w:basedOn w:val="1"/>
    <w:qFormat/>
    <w:uiPriority w:val="0"/>
    <w:pPr>
      <w:spacing w:line="360" w:lineRule="auto"/>
    </w:pPr>
    <w:rPr>
      <w:rFonts w:ascii="宋体" w:hAnsi="宋体" w:cs="宋体"/>
      <w:lang w:val="zh-TW" w:eastAsia="zh-TW" w:bidi="zh-TW"/>
    </w:rPr>
  </w:style>
  <w:style w:type="paragraph" w:customStyle="1" w:styleId="122">
    <w:name w:val="正文（首行缩进） Char"/>
    <w:basedOn w:val="1"/>
    <w:link w:val="327"/>
    <w:qFormat/>
    <w:uiPriority w:val="0"/>
    <w:pPr>
      <w:widowControl/>
      <w:overflowPunct w:val="0"/>
      <w:topLinePunct/>
      <w:autoSpaceDE w:val="0"/>
      <w:autoSpaceDN w:val="0"/>
      <w:adjustRightInd w:val="0"/>
      <w:snapToGrid w:val="0"/>
      <w:spacing w:line="360" w:lineRule="auto"/>
      <w:ind w:firstLine="480" w:firstLineChars="200"/>
      <w:textAlignment w:val="baseline"/>
    </w:pPr>
    <w:rPr>
      <w:snapToGrid w:val="0"/>
      <w:kern w:val="0"/>
      <w:sz w:val="24"/>
    </w:rPr>
  </w:style>
  <w:style w:type="paragraph" w:customStyle="1" w:styleId="123">
    <w:name w:val="Normal_6_1"/>
    <w:qFormat/>
    <w:uiPriority w:val="0"/>
    <w:pPr>
      <w:spacing w:before="120" w:after="240"/>
      <w:jc w:val="both"/>
    </w:pPr>
    <w:rPr>
      <w:rFonts w:ascii="Calibri" w:hAnsi="Calibri" w:eastAsia="Calibri" w:cs="Times New Roman"/>
      <w:sz w:val="22"/>
      <w:szCs w:val="22"/>
      <w:lang w:val="en-US" w:eastAsia="en-US" w:bidi="ar-SA"/>
    </w:rPr>
  </w:style>
  <w:style w:type="paragraph" w:customStyle="1" w:styleId="124">
    <w:name w:val="Char Char Char1 Char Char Char Char Char Char Char"/>
    <w:basedOn w:val="1"/>
    <w:qFormat/>
    <w:uiPriority w:val="0"/>
    <w:rPr>
      <w:szCs w:val="20"/>
    </w:rPr>
  </w:style>
  <w:style w:type="paragraph" w:customStyle="1" w:styleId="125">
    <w:name w:val="正文文本，表格"/>
    <w:basedOn w:val="1"/>
    <w:qFormat/>
    <w:uiPriority w:val="0"/>
    <w:pPr>
      <w:jc w:val="center"/>
    </w:pPr>
    <w:rPr>
      <w:rFonts w:cs="宋体"/>
      <w:sz w:val="24"/>
      <w:szCs w:val="21"/>
    </w:rPr>
  </w:style>
  <w:style w:type="paragraph" w:customStyle="1" w:styleId="126">
    <w:name w:val="y表格"/>
    <w:basedOn w:val="2"/>
    <w:qFormat/>
    <w:uiPriority w:val="0"/>
    <w:pPr>
      <w:widowControl/>
      <w:adjustRightInd w:val="0"/>
      <w:snapToGrid w:val="0"/>
      <w:spacing w:after="0"/>
      <w:jc w:val="center"/>
      <w:textAlignment w:val="baseline"/>
    </w:pPr>
    <w:rPr>
      <w:rFonts w:hint="eastAsia" w:ascii="宋体" w:hAnsi="宋体"/>
      <w:kern w:val="0"/>
      <w:sz w:val="24"/>
      <w:szCs w:val="20"/>
    </w:rPr>
  </w:style>
  <w:style w:type="paragraph" w:customStyle="1" w:styleId="127">
    <w:name w:val="表格文本 五号 居中 单倍行距 Char Char"/>
    <w:basedOn w:val="1"/>
    <w:link w:val="313"/>
    <w:qFormat/>
    <w:uiPriority w:val="0"/>
    <w:pPr>
      <w:keepNext/>
      <w:adjustRightInd w:val="0"/>
      <w:snapToGrid w:val="0"/>
      <w:jc w:val="center"/>
      <w:textAlignment w:val="baseline"/>
    </w:pPr>
    <w:rPr>
      <w:rFonts w:cs="宋体"/>
      <w:szCs w:val="21"/>
    </w:rPr>
  </w:style>
  <w:style w:type="paragraph" w:customStyle="1" w:styleId="128">
    <w:name w:val="xl58"/>
    <w:basedOn w:val="1"/>
    <w:qFormat/>
    <w:uiPriority w:val="0"/>
    <w:pPr>
      <w:widowControl/>
      <w:pBdr>
        <w:top w:val="single" w:color="auto" w:sz="4" w:space="0"/>
        <w:left w:val="single" w:color="auto" w:sz="4" w:space="0"/>
        <w:bottom w:val="single" w:color="auto" w:sz="8" w:space="0"/>
        <w:right w:val="single" w:color="auto" w:sz="4" w:space="0"/>
      </w:pBdr>
      <w:spacing w:before="100" w:beforeAutospacing="1" w:after="100" w:afterAutospacing="1"/>
      <w:jc w:val="center"/>
    </w:pPr>
    <w:rPr>
      <w:rFonts w:ascii="宋体" w:hAnsi="宋体"/>
      <w:kern w:val="0"/>
      <w:sz w:val="48"/>
      <w:szCs w:val="48"/>
    </w:rPr>
  </w:style>
  <w:style w:type="paragraph" w:customStyle="1" w:styleId="129">
    <w:name w:val="正文11"/>
    <w:basedOn w:val="1"/>
    <w:qFormat/>
    <w:uiPriority w:val="0"/>
    <w:pPr>
      <w:adjustRightInd w:val="0"/>
      <w:spacing w:line="480" w:lineRule="exact"/>
      <w:textAlignment w:val="baseline"/>
    </w:pPr>
    <w:rPr>
      <w:spacing w:val="-2"/>
      <w:kern w:val="0"/>
      <w:szCs w:val="20"/>
    </w:rPr>
  </w:style>
  <w:style w:type="paragraph" w:customStyle="1" w:styleId="130">
    <w:name w:val="+正文"/>
    <w:basedOn w:val="1"/>
    <w:link w:val="380"/>
    <w:qFormat/>
    <w:uiPriority w:val="0"/>
    <w:pPr>
      <w:spacing w:line="360" w:lineRule="auto"/>
      <w:ind w:firstLine="200" w:firstLineChars="200"/>
    </w:pPr>
    <w:rPr>
      <w:sz w:val="24"/>
      <w:szCs w:val="28"/>
    </w:rPr>
  </w:style>
  <w:style w:type="paragraph" w:customStyle="1" w:styleId="131">
    <w:name w:val="注1"/>
    <w:basedOn w:val="1"/>
    <w:qFormat/>
    <w:uiPriority w:val="0"/>
    <w:pPr>
      <w:overflowPunct w:val="0"/>
      <w:topLinePunct/>
      <w:jc w:val="center"/>
    </w:pPr>
    <w:rPr>
      <w:b/>
      <w:szCs w:val="21"/>
    </w:rPr>
  </w:style>
  <w:style w:type="paragraph" w:customStyle="1" w:styleId="132">
    <w:name w:val="font9"/>
    <w:basedOn w:val="1"/>
    <w:qFormat/>
    <w:uiPriority w:val="0"/>
    <w:pPr>
      <w:widowControl/>
      <w:spacing w:before="100" w:beforeAutospacing="1" w:after="100" w:afterAutospacing="1"/>
      <w:jc w:val="left"/>
    </w:pPr>
    <w:rPr>
      <w:rFonts w:hint="eastAsia" w:ascii="宋体" w:hAnsi="宋体"/>
      <w:kern w:val="0"/>
      <w:sz w:val="16"/>
      <w:szCs w:val="16"/>
    </w:rPr>
  </w:style>
  <w:style w:type="paragraph" w:customStyle="1" w:styleId="133">
    <w:name w:val="pic-info"/>
    <w:basedOn w:val="1"/>
    <w:qFormat/>
    <w:uiPriority w:val="0"/>
    <w:pPr>
      <w:widowControl/>
      <w:spacing w:before="100" w:beforeAutospacing="1" w:after="100" w:afterAutospacing="1"/>
      <w:jc w:val="left"/>
    </w:pPr>
    <w:rPr>
      <w:rFonts w:ascii="宋体" w:hAnsi="宋体" w:cs="宋体"/>
      <w:kern w:val="0"/>
      <w:sz w:val="24"/>
    </w:rPr>
  </w:style>
  <w:style w:type="paragraph" w:customStyle="1" w:styleId="134">
    <w:name w:val="样式35"/>
    <w:basedOn w:val="1"/>
    <w:qFormat/>
    <w:uiPriority w:val="0"/>
    <w:pPr>
      <w:adjustRightInd w:val="0"/>
      <w:spacing w:line="312" w:lineRule="auto"/>
      <w:ind w:firstLine="567"/>
    </w:pPr>
    <w:rPr>
      <w:rFonts w:ascii="宋体"/>
      <w:kern w:val="0"/>
      <w:sz w:val="28"/>
      <w:szCs w:val="20"/>
    </w:rPr>
  </w:style>
  <w:style w:type="paragraph" w:customStyle="1" w:styleId="135">
    <w:name w:val="表格1"/>
    <w:basedOn w:val="1"/>
    <w:qFormat/>
    <w:uiPriority w:val="0"/>
    <w:pPr>
      <w:autoSpaceDE w:val="0"/>
      <w:autoSpaceDN w:val="0"/>
      <w:adjustRightInd w:val="0"/>
      <w:snapToGrid w:val="0"/>
      <w:spacing w:line="440" w:lineRule="atLeast"/>
      <w:ind w:firstLine="506" w:firstLineChars="200"/>
      <w:jc w:val="center"/>
    </w:pPr>
    <w:rPr>
      <w:b/>
      <w:spacing w:val="6"/>
      <w:sz w:val="24"/>
    </w:rPr>
  </w:style>
  <w:style w:type="paragraph" w:customStyle="1" w:styleId="136">
    <w:name w:val="表标题"/>
    <w:basedOn w:val="1"/>
    <w:qFormat/>
    <w:uiPriority w:val="0"/>
    <w:pPr>
      <w:autoSpaceDE w:val="0"/>
      <w:autoSpaceDN w:val="0"/>
      <w:adjustRightInd w:val="0"/>
    </w:pPr>
    <w:rPr>
      <w:rFonts w:ascii="宋体"/>
      <w:color w:val="000000"/>
      <w:spacing w:val="-20"/>
      <w:kern w:val="0"/>
      <w:sz w:val="24"/>
      <w:szCs w:val="21"/>
    </w:rPr>
  </w:style>
  <w:style w:type="paragraph" w:customStyle="1" w:styleId="137">
    <w:name w:val="dandan6-13正文 Char Char Char Char Char"/>
    <w:basedOn w:val="1"/>
    <w:next w:val="1"/>
    <w:qFormat/>
    <w:uiPriority w:val="0"/>
    <w:pPr>
      <w:keepNext/>
      <w:keepLines/>
      <w:widowControl/>
      <w:adjustRightInd w:val="0"/>
      <w:spacing w:before="40" w:after="40" w:line="360" w:lineRule="auto"/>
      <w:ind w:firstLine="200" w:firstLineChars="200"/>
      <w:textAlignment w:val="baseline"/>
    </w:pPr>
    <w:rPr>
      <w:rFonts w:cs="宋体"/>
      <w:kern w:val="0"/>
      <w:sz w:val="24"/>
      <w:szCs w:val="28"/>
    </w:rPr>
  </w:style>
  <w:style w:type="paragraph" w:customStyle="1" w:styleId="138">
    <w:name w:val="表头样式1"/>
    <w:basedOn w:val="1"/>
    <w:qFormat/>
    <w:uiPriority w:val="0"/>
    <w:pPr>
      <w:autoSpaceDE w:val="0"/>
      <w:autoSpaceDN w:val="0"/>
      <w:adjustRightInd w:val="0"/>
      <w:spacing w:line="480" w:lineRule="exact"/>
      <w:jc w:val="center"/>
    </w:pPr>
    <w:rPr>
      <w:b/>
      <w:kern w:val="0"/>
      <w:sz w:val="20"/>
      <w:szCs w:val="21"/>
    </w:rPr>
  </w:style>
  <w:style w:type="paragraph" w:styleId="139">
    <w:name w:val="List Paragraph"/>
    <w:basedOn w:val="1"/>
    <w:qFormat/>
    <w:uiPriority w:val="1"/>
    <w:pPr>
      <w:ind w:firstLine="420" w:firstLineChars="200"/>
    </w:pPr>
    <w:rPr>
      <w:rFonts w:ascii="Calibri" w:hAnsi="Calibri"/>
      <w:szCs w:val="22"/>
    </w:rPr>
  </w:style>
  <w:style w:type="paragraph" w:customStyle="1" w:styleId="140">
    <w:name w:val="xl24"/>
    <w:basedOn w:val="1"/>
    <w:qFormat/>
    <w:uiPriority w:val="0"/>
    <w:pPr>
      <w:widowControl/>
      <w:pBdr>
        <w:bottom w:val="single" w:color="auto" w:sz="4" w:space="0"/>
        <w:right w:val="single" w:color="auto" w:sz="4" w:space="0"/>
      </w:pBdr>
      <w:spacing w:before="100" w:beforeAutospacing="1" w:after="100" w:afterAutospacing="1"/>
      <w:jc w:val="center"/>
    </w:pPr>
    <w:rPr>
      <w:rFonts w:eastAsia="Arial Unicode MS"/>
      <w:kern w:val="0"/>
      <w:sz w:val="24"/>
    </w:rPr>
  </w:style>
  <w:style w:type="paragraph" w:customStyle="1" w:styleId="141">
    <w:name w:val="Char Char Char Char"/>
    <w:basedOn w:val="1"/>
    <w:qFormat/>
    <w:uiPriority w:val="0"/>
  </w:style>
  <w:style w:type="paragraph" w:customStyle="1" w:styleId="142">
    <w:name w:val="目录1"/>
    <w:basedOn w:val="1"/>
    <w:qFormat/>
    <w:uiPriority w:val="0"/>
    <w:pPr>
      <w:tabs>
        <w:tab w:val="left" w:pos="2850"/>
        <w:tab w:val="center" w:pos="4649"/>
      </w:tabs>
      <w:spacing w:line="480" w:lineRule="exact"/>
      <w:jc w:val="center"/>
    </w:pPr>
    <w:rPr>
      <w:rFonts w:ascii="黑体" w:eastAsia="黑体"/>
      <w:sz w:val="36"/>
      <w:szCs w:val="36"/>
    </w:rPr>
  </w:style>
  <w:style w:type="paragraph" w:customStyle="1" w:styleId="143">
    <w:name w:val="样式 宋体 小四 两端对齐 首行缩进:  0.85 厘米 行距: 1.5 倍行距"/>
    <w:basedOn w:val="1"/>
    <w:qFormat/>
    <w:uiPriority w:val="0"/>
    <w:pPr>
      <w:widowControl/>
      <w:spacing w:line="360" w:lineRule="auto"/>
      <w:ind w:firstLine="482"/>
    </w:pPr>
    <w:rPr>
      <w:kern w:val="0"/>
      <w:sz w:val="24"/>
      <w:szCs w:val="20"/>
    </w:rPr>
  </w:style>
  <w:style w:type="paragraph" w:customStyle="1" w:styleId="144">
    <w:name w:val="declear"/>
    <w:basedOn w:val="1"/>
    <w:qFormat/>
    <w:uiPriority w:val="0"/>
    <w:pPr>
      <w:widowControl/>
      <w:spacing w:before="100" w:beforeAutospacing="1" w:after="100" w:afterAutospacing="1"/>
      <w:jc w:val="left"/>
    </w:pPr>
    <w:rPr>
      <w:rFonts w:ascii="宋体" w:hAnsi="宋体" w:cs="宋体"/>
      <w:kern w:val="0"/>
      <w:sz w:val="24"/>
    </w:rPr>
  </w:style>
  <w:style w:type="paragraph" w:customStyle="1" w:styleId="145">
    <w:name w:val="样式 宋体 四号 红色 段前: 7.8 磅 段后: 7.8 磅 行距: 1.5 倍行距"/>
    <w:basedOn w:val="1"/>
    <w:qFormat/>
    <w:uiPriority w:val="0"/>
    <w:pPr>
      <w:spacing w:before="156" w:after="156" w:line="360" w:lineRule="auto"/>
      <w:ind w:firstLine="480" w:firstLineChars="200"/>
    </w:pPr>
    <w:rPr>
      <w:sz w:val="24"/>
    </w:rPr>
  </w:style>
  <w:style w:type="paragraph" w:customStyle="1" w:styleId="146">
    <w:name w:val="24磅正文"/>
    <w:basedOn w:val="1"/>
    <w:link w:val="366"/>
    <w:qFormat/>
    <w:uiPriority w:val="0"/>
    <w:pPr>
      <w:spacing w:line="480" w:lineRule="exact"/>
      <w:ind w:firstLine="480" w:firstLineChars="200"/>
    </w:pPr>
    <w:rPr>
      <w:sz w:val="24"/>
    </w:rPr>
  </w:style>
  <w:style w:type="paragraph" w:customStyle="1" w:styleId="147">
    <w:name w:val="CM9"/>
    <w:basedOn w:val="67"/>
    <w:next w:val="67"/>
    <w:qFormat/>
    <w:uiPriority w:val="0"/>
    <w:pPr>
      <w:spacing w:line="460" w:lineRule="atLeast"/>
    </w:pPr>
    <w:rPr>
      <w:rFonts w:ascii="黑体" w:eastAsia="黑体" w:cs="Times New Roman"/>
      <w:color w:val="auto"/>
      <w:sz w:val="20"/>
    </w:rPr>
  </w:style>
  <w:style w:type="paragraph" w:customStyle="1" w:styleId="148">
    <w:name w:val="MFS单位4"/>
    <w:basedOn w:val="149"/>
    <w:link w:val="333"/>
    <w:qFormat/>
    <w:uiPriority w:val="0"/>
    <w:pPr>
      <w:tabs>
        <w:tab w:val="left" w:pos="555"/>
        <w:tab w:val="left" w:pos="1708"/>
      </w:tabs>
    </w:pPr>
    <w:rPr>
      <w:rFonts w:eastAsia="楷体_GB2312"/>
      <w:szCs w:val="18"/>
    </w:rPr>
  </w:style>
  <w:style w:type="paragraph" w:customStyle="1" w:styleId="149">
    <w:name w:val="MFS单位"/>
    <w:basedOn w:val="1"/>
    <w:qFormat/>
    <w:uiPriority w:val="0"/>
    <w:pPr>
      <w:tabs>
        <w:tab w:val="left" w:pos="1708"/>
      </w:tabs>
      <w:jc w:val="right"/>
    </w:pPr>
    <w:rPr>
      <w:rFonts w:eastAsia="Times New Roman"/>
      <w:sz w:val="18"/>
    </w:rPr>
  </w:style>
  <w:style w:type="paragraph" w:customStyle="1" w:styleId="150">
    <w:name w:val="报告书 正文"/>
    <w:qFormat/>
    <w:uiPriority w:val="0"/>
    <w:pPr>
      <w:widowControl w:val="0"/>
      <w:spacing w:line="360" w:lineRule="auto"/>
      <w:ind w:firstLine="200" w:firstLineChars="200"/>
      <w:jc w:val="both"/>
    </w:pPr>
    <w:rPr>
      <w:rFonts w:ascii="Times New Roman" w:hAnsi="Times New Roman" w:eastAsia="宋体" w:cs="Times New Roman"/>
      <w:kern w:val="2"/>
      <w:sz w:val="24"/>
      <w:szCs w:val="24"/>
      <w:lang w:val="en-US" w:eastAsia="zh-CN" w:bidi="ar-SA"/>
    </w:rPr>
  </w:style>
  <w:style w:type="paragraph" w:customStyle="1" w:styleId="151">
    <w:name w:val="Char Char1 Char Char Char Char"/>
    <w:basedOn w:val="1"/>
    <w:qFormat/>
    <w:uiPriority w:val="0"/>
  </w:style>
  <w:style w:type="paragraph" w:customStyle="1" w:styleId="152">
    <w:name w:val="MFS单位1"/>
    <w:basedOn w:val="149"/>
    <w:link w:val="335"/>
    <w:qFormat/>
    <w:uiPriority w:val="0"/>
    <w:rPr>
      <w:rFonts w:eastAsia="楷体_GB2312"/>
      <w:szCs w:val="18"/>
    </w:rPr>
  </w:style>
  <w:style w:type="paragraph" w:customStyle="1" w:styleId="153">
    <w:name w:val="CM20"/>
    <w:basedOn w:val="67"/>
    <w:next w:val="67"/>
    <w:qFormat/>
    <w:uiPriority w:val="0"/>
    <w:pPr>
      <w:spacing w:after="148"/>
    </w:pPr>
    <w:rPr>
      <w:rFonts w:ascii="黑体" w:eastAsia="黑体" w:cs="Times New Roman"/>
      <w:color w:val="auto"/>
      <w:sz w:val="20"/>
    </w:rPr>
  </w:style>
  <w:style w:type="paragraph" w:customStyle="1" w:styleId="154">
    <w:name w:val="标题 32"/>
    <w:basedOn w:val="1"/>
    <w:next w:val="1"/>
    <w:qFormat/>
    <w:uiPriority w:val="0"/>
    <w:pPr>
      <w:keepNext/>
      <w:keepLines/>
      <w:adjustRightInd w:val="0"/>
      <w:snapToGrid w:val="0"/>
      <w:spacing w:before="156" w:beforeLines="50" w:after="120" w:line="400" w:lineRule="atLeast"/>
      <w:outlineLvl w:val="2"/>
    </w:pPr>
    <w:rPr>
      <w:b/>
      <w:spacing w:val="4"/>
      <w:sz w:val="24"/>
    </w:rPr>
  </w:style>
  <w:style w:type="paragraph" w:customStyle="1" w:styleId="155">
    <w:name w:val="Normal_44_0"/>
    <w:qFormat/>
    <w:uiPriority w:val="0"/>
    <w:pPr>
      <w:spacing w:before="120" w:after="240"/>
      <w:jc w:val="both"/>
    </w:pPr>
    <w:rPr>
      <w:rFonts w:ascii="Calibri" w:hAnsi="Calibri" w:eastAsia="Calibri" w:cs="Times New Roman"/>
      <w:sz w:val="22"/>
      <w:szCs w:val="22"/>
      <w:lang w:val="en-US" w:eastAsia="en-US" w:bidi="ar-SA"/>
    </w:rPr>
  </w:style>
  <w:style w:type="paragraph" w:customStyle="1" w:styleId="156">
    <w:name w:val="xl57"/>
    <w:basedOn w:val="1"/>
    <w:qFormat/>
    <w:uiPriority w:val="0"/>
    <w:pPr>
      <w:widowControl/>
      <w:pBdr>
        <w:top w:val="single" w:color="auto" w:sz="4" w:space="0"/>
        <w:left w:val="single" w:color="auto" w:sz="4" w:space="0"/>
        <w:bottom w:val="single" w:color="auto" w:sz="8" w:space="0"/>
        <w:right w:val="single" w:color="auto" w:sz="4" w:space="0"/>
      </w:pBdr>
      <w:spacing w:before="100" w:beforeAutospacing="1" w:after="100" w:afterAutospacing="1"/>
      <w:jc w:val="center"/>
    </w:pPr>
    <w:rPr>
      <w:rFonts w:ascii="宋体" w:hAnsi="宋体"/>
      <w:kern w:val="0"/>
      <w:sz w:val="48"/>
      <w:szCs w:val="48"/>
    </w:rPr>
  </w:style>
  <w:style w:type="paragraph" w:customStyle="1" w:styleId="157">
    <w:name w:val="内容"/>
    <w:basedOn w:val="1"/>
    <w:qFormat/>
    <w:uiPriority w:val="0"/>
    <w:pPr>
      <w:adjustRightInd w:val="0"/>
      <w:spacing w:line="360" w:lineRule="auto"/>
      <w:ind w:firstLine="454"/>
      <w:jc w:val="left"/>
      <w:textAlignment w:val="baseline"/>
    </w:pPr>
    <w:rPr>
      <w:rFonts w:ascii="宋体"/>
      <w:kern w:val="0"/>
      <w:sz w:val="24"/>
      <w:szCs w:val="20"/>
    </w:rPr>
  </w:style>
  <w:style w:type="paragraph" w:customStyle="1" w:styleId="158">
    <w:name w:val="样式 样式 正文首行缩进 + 首行缩进:  2 字符 + 首行缩进:  2 字符"/>
    <w:basedOn w:val="1"/>
    <w:qFormat/>
    <w:uiPriority w:val="0"/>
    <w:pPr>
      <w:topLinePunct/>
      <w:adjustRightInd w:val="0"/>
      <w:snapToGrid w:val="0"/>
      <w:spacing w:line="360" w:lineRule="auto"/>
      <w:ind w:firstLine="480"/>
      <w:textAlignment w:val="baseline"/>
    </w:pPr>
    <w:rPr>
      <w:rFonts w:hAnsi="宋体" w:eastAsia="Times New Roman"/>
      <w:kern w:val="0"/>
      <w:sz w:val="24"/>
      <w:szCs w:val="20"/>
    </w:rPr>
  </w:style>
  <w:style w:type="paragraph" w:customStyle="1" w:styleId="159">
    <w:name w:val="样式11"/>
    <w:basedOn w:val="1"/>
    <w:qFormat/>
    <w:uiPriority w:val="0"/>
    <w:pPr>
      <w:adjustRightInd w:val="0"/>
      <w:snapToGrid w:val="0"/>
      <w:spacing w:line="240" w:lineRule="exact"/>
      <w:ind w:firstLine="200" w:firstLineChars="200"/>
    </w:pPr>
    <w:rPr>
      <w:sz w:val="18"/>
      <w:szCs w:val="18"/>
    </w:rPr>
  </w:style>
  <w:style w:type="paragraph" w:customStyle="1" w:styleId="160">
    <w:name w:val="Char Char Char Char1 Char Char Char Char Char Char"/>
    <w:basedOn w:val="1"/>
    <w:next w:val="1"/>
    <w:qFormat/>
    <w:uiPriority w:val="0"/>
    <w:pPr>
      <w:widowControl/>
      <w:spacing w:line="360" w:lineRule="auto"/>
      <w:ind w:firstLine="200" w:firstLineChars="200"/>
      <w:textAlignment w:val="baseline"/>
    </w:pPr>
    <w:rPr>
      <w:rFonts w:ascii="宋体" w:hAnsi="宋体" w:cs="宋体"/>
      <w:b/>
      <w:bCs/>
      <w:color w:val="000000"/>
      <w:kern w:val="44"/>
      <w:sz w:val="24"/>
      <w:szCs w:val="44"/>
      <w:u w:color="000000"/>
    </w:rPr>
  </w:style>
  <w:style w:type="paragraph" w:customStyle="1" w:styleId="161">
    <w:name w:val="纯文本1"/>
    <w:basedOn w:val="1"/>
    <w:qFormat/>
    <w:uiPriority w:val="0"/>
    <w:pPr>
      <w:adjustRightInd w:val="0"/>
      <w:jc w:val="left"/>
      <w:textAlignment w:val="baseline"/>
    </w:pPr>
    <w:rPr>
      <w:rFonts w:ascii="宋体"/>
      <w:kern w:val="0"/>
      <w:sz w:val="24"/>
      <w:szCs w:val="20"/>
    </w:rPr>
  </w:style>
  <w:style w:type="paragraph" w:customStyle="1" w:styleId="162">
    <w:name w:val="报告书正文"/>
    <w:basedOn w:val="1"/>
    <w:qFormat/>
    <w:uiPriority w:val="0"/>
    <w:pPr>
      <w:adjustRightInd w:val="0"/>
      <w:snapToGrid w:val="0"/>
      <w:spacing w:line="400" w:lineRule="atLeast"/>
      <w:ind w:firstLine="200" w:firstLineChars="200"/>
    </w:pPr>
    <w:rPr>
      <w:spacing w:val="6"/>
      <w:sz w:val="24"/>
      <w:szCs w:val="20"/>
    </w:rPr>
  </w:style>
  <w:style w:type="paragraph" w:customStyle="1" w:styleId="163">
    <w:name w:val="正文文本缩进 21"/>
    <w:basedOn w:val="1"/>
    <w:qFormat/>
    <w:uiPriority w:val="0"/>
    <w:pPr>
      <w:adjustRightInd w:val="0"/>
      <w:spacing w:line="360" w:lineRule="auto"/>
      <w:ind w:firstLine="480"/>
      <w:textAlignment w:val="baseline"/>
    </w:pPr>
    <w:rPr>
      <w:rFonts w:ascii="宋体"/>
      <w:kern w:val="0"/>
      <w:sz w:val="24"/>
      <w:szCs w:val="20"/>
    </w:rPr>
  </w:style>
  <w:style w:type="paragraph" w:customStyle="1" w:styleId="164">
    <w:name w:val="2222"/>
    <w:basedOn w:val="4"/>
    <w:qFormat/>
    <w:uiPriority w:val="0"/>
    <w:pPr>
      <w:jc w:val="left"/>
    </w:pPr>
    <w:rPr>
      <w:b/>
      <w:bCs/>
      <w:color w:val="auto"/>
    </w:rPr>
  </w:style>
  <w:style w:type="paragraph" w:customStyle="1" w:styleId="165">
    <w:name w:val="表头"/>
    <w:basedOn w:val="1"/>
    <w:qFormat/>
    <w:uiPriority w:val="0"/>
    <w:pPr>
      <w:tabs>
        <w:tab w:val="left" w:pos="1021"/>
      </w:tabs>
      <w:spacing w:before="156" w:beforeLines="50" w:line="520" w:lineRule="exact"/>
      <w:jc w:val="center"/>
    </w:pPr>
    <w:rPr>
      <w:b/>
      <w:szCs w:val="21"/>
    </w:rPr>
  </w:style>
  <w:style w:type="paragraph" w:customStyle="1" w:styleId="166">
    <w:name w:val="表格 32"/>
    <w:basedOn w:val="1"/>
    <w:qFormat/>
    <w:uiPriority w:val="0"/>
    <w:pPr>
      <w:autoSpaceDE w:val="0"/>
      <w:autoSpaceDN w:val="0"/>
      <w:adjustRightInd w:val="0"/>
      <w:jc w:val="center"/>
      <w:textAlignment w:val="baseline"/>
    </w:pPr>
    <w:rPr>
      <w:rFonts w:ascii="宋体" w:hAnsi="Impact"/>
      <w:kern w:val="24"/>
      <w:sz w:val="24"/>
      <w:szCs w:val="20"/>
    </w:rPr>
  </w:style>
  <w:style w:type="paragraph" w:customStyle="1" w:styleId="167">
    <w:name w:val="CM10"/>
    <w:basedOn w:val="67"/>
    <w:next w:val="67"/>
    <w:qFormat/>
    <w:uiPriority w:val="0"/>
    <w:pPr>
      <w:spacing w:line="460" w:lineRule="atLeast"/>
    </w:pPr>
    <w:rPr>
      <w:rFonts w:ascii="黑体" w:eastAsia="黑体" w:cs="Times New Roman"/>
      <w:color w:val="auto"/>
      <w:sz w:val="20"/>
    </w:rPr>
  </w:style>
  <w:style w:type="paragraph" w:customStyle="1" w:styleId="168">
    <w:name w:val="样式4"/>
    <w:basedOn w:val="169"/>
    <w:next w:val="102"/>
    <w:qFormat/>
    <w:uiPriority w:val="0"/>
  </w:style>
  <w:style w:type="paragraph" w:customStyle="1" w:styleId="169">
    <w:name w:val="样式2"/>
    <w:basedOn w:val="33"/>
    <w:qFormat/>
    <w:uiPriority w:val="0"/>
    <w:rPr>
      <w:rFonts w:ascii="宋体"/>
      <w:sz w:val="24"/>
      <w:lang w:eastAsia="ja-JP"/>
    </w:rPr>
  </w:style>
  <w:style w:type="paragraph" w:customStyle="1" w:styleId="170">
    <w:name w:val="xl54"/>
    <w:basedOn w:val="1"/>
    <w:qFormat/>
    <w:uiPriority w:val="0"/>
    <w:pPr>
      <w:widowControl/>
      <w:pBdr>
        <w:top w:val="single" w:color="auto" w:sz="4" w:space="0"/>
        <w:bottom w:val="single" w:color="auto" w:sz="8" w:space="0"/>
        <w:right w:val="single" w:color="auto" w:sz="4" w:space="0"/>
      </w:pBdr>
      <w:spacing w:before="100" w:beforeAutospacing="1" w:after="100" w:afterAutospacing="1"/>
      <w:jc w:val="center"/>
    </w:pPr>
    <w:rPr>
      <w:rFonts w:ascii="宋体" w:hAnsi="宋体"/>
      <w:kern w:val="0"/>
      <w:sz w:val="48"/>
      <w:szCs w:val="48"/>
    </w:rPr>
  </w:style>
  <w:style w:type="paragraph" w:customStyle="1" w:styleId="171">
    <w:name w:val="样式 标准文本 首行缩进:2 字符 行距1.5倍 + 首行缩进:  2 字符1"/>
    <w:basedOn w:val="89"/>
    <w:link w:val="328"/>
    <w:qFormat/>
    <w:uiPriority w:val="0"/>
    <w:pPr>
      <w:tabs>
        <w:tab w:val="left" w:pos="630"/>
      </w:tabs>
      <w:spacing w:line="240" w:lineRule="auto"/>
    </w:pPr>
  </w:style>
  <w:style w:type="paragraph" w:customStyle="1" w:styleId="172">
    <w:name w:val="表头（海红）"/>
    <w:basedOn w:val="1"/>
    <w:link w:val="343"/>
    <w:qFormat/>
    <w:uiPriority w:val="0"/>
    <w:pPr>
      <w:adjustRightInd w:val="0"/>
      <w:spacing w:line="540" w:lineRule="exact"/>
      <w:jc w:val="center"/>
      <w:textAlignment w:val="baseline"/>
    </w:pPr>
    <w:rPr>
      <w:rFonts w:hAnsi="宋体"/>
      <w:b/>
      <w:bCs/>
      <w:color w:val="000000"/>
      <w:kern w:val="0"/>
      <w:szCs w:val="20"/>
    </w:rPr>
  </w:style>
  <w:style w:type="paragraph" w:customStyle="1" w:styleId="173">
    <w:name w:val="表格文字"/>
    <w:basedOn w:val="1"/>
    <w:next w:val="1"/>
    <w:link w:val="339"/>
    <w:qFormat/>
    <w:uiPriority w:val="0"/>
    <w:pPr>
      <w:adjustRightInd w:val="0"/>
      <w:snapToGrid w:val="0"/>
      <w:jc w:val="center"/>
    </w:pPr>
    <w:rPr>
      <w:bCs/>
      <w:spacing w:val="-10"/>
      <w:kern w:val="16"/>
      <w:szCs w:val="21"/>
    </w:rPr>
  </w:style>
  <w:style w:type="paragraph" w:customStyle="1" w:styleId="174">
    <w:name w:val="报告正文"/>
    <w:basedOn w:val="1"/>
    <w:link w:val="395"/>
    <w:qFormat/>
    <w:uiPriority w:val="0"/>
    <w:pPr>
      <w:spacing w:line="500" w:lineRule="exact"/>
      <w:ind w:firstLine="200" w:firstLineChars="200"/>
    </w:pPr>
    <w:rPr>
      <w:sz w:val="24"/>
    </w:rPr>
  </w:style>
  <w:style w:type="paragraph" w:customStyle="1" w:styleId="175">
    <w:name w:val="CM4"/>
    <w:basedOn w:val="67"/>
    <w:next w:val="67"/>
    <w:qFormat/>
    <w:uiPriority w:val="0"/>
    <w:pPr>
      <w:spacing w:line="460" w:lineRule="atLeast"/>
    </w:pPr>
    <w:rPr>
      <w:rFonts w:ascii="黑体" w:eastAsia="黑体" w:cs="Times New Roman"/>
      <w:color w:val="auto"/>
      <w:sz w:val="20"/>
    </w:rPr>
  </w:style>
  <w:style w:type="paragraph" w:customStyle="1" w:styleId="176">
    <w:name w:val="小四正文"/>
    <w:link w:val="389"/>
    <w:qFormat/>
    <w:uiPriority w:val="0"/>
    <w:pPr>
      <w:widowControl w:val="0"/>
      <w:snapToGrid w:val="0"/>
      <w:spacing w:line="360" w:lineRule="auto"/>
      <w:ind w:firstLine="200" w:firstLineChars="200"/>
      <w:jc w:val="both"/>
    </w:pPr>
    <w:rPr>
      <w:rFonts w:ascii="Times New Roman" w:hAnsi="Times New Roman" w:eastAsia="宋体" w:cs="Times New Roman"/>
      <w:color w:val="000000"/>
      <w:spacing w:val="8"/>
      <w:kern w:val="2"/>
      <w:sz w:val="24"/>
      <w:szCs w:val="24"/>
      <w:lang w:val="en-GB" w:eastAsia="zh-CN" w:bidi="ar-SA"/>
    </w:rPr>
  </w:style>
  <w:style w:type="paragraph" w:customStyle="1" w:styleId="177">
    <w:name w:val="xl29"/>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textAlignment w:val="center"/>
    </w:pPr>
    <w:rPr>
      <w:kern w:val="0"/>
      <w:sz w:val="24"/>
    </w:rPr>
  </w:style>
  <w:style w:type="paragraph" w:customStyle="1" w:styleId="178">
    <w:name w:val="Char Char Char Char Char Char Char"/>
    <w:basedOn w:val="1"/>
    <w:qFormat/>
    <w:uiPriority w:val="0"/>
    <w:rPr>
      <w:sz w:val="24"/>
    </w:rPr>
  </w:style>
  <w:style w:type="paragraph" w:customStyle="1" w:styleId="179">
    <w:name w:val="表2"/>
    <w:basedOn w:val="99"/>
    <w:qFormat/>
    <w:uiPriority w:val="0"/>
    <w:pPr>
      <w:autoSpaceDE/>
      <w:autoSpaceDN/>
      <w:adjustRightInd/>
      <w:jc w:val="left"/>
      <w:textAlignment w:val="baseline"/>
      <w:outlineLvl w:val="7"/>
    </w:pPr>
    <w:rPr>
      <w:rFonts w:cs="Times New Roman"/>
      <w:snapToGrid w:val="0"/>
      <w:color w:val="000000"/>
      <w:kern w:val="0"/>
    </w:rPr>
  </w:style>
  <w:style w:type="paragraph" w:customStyle="1" w:styleId="180">
    <w:name w:val="表格标题"/>
    <w:basedOn w:val="1"/>
    <w:qFormat/>
    <w:uiPriority w:val="0"/>
    <w:pPr>
      <w:jc w:val="center"/>
    </w:pPr>
    <w:rPr>
      <w:b/>
      <w:sz w:val="24"/>
    </w:rPr>
  </w:style>
  <w:style w:type="paragraph" w:customStyle="1" w:styleId="181">
    <w:name w:val="font8"/>
    <w:basedOn w:val="1"/>
    <w:qFormat/>
    <w:uiPriority w:val="0"/>
    <w:pPr>
      <w:widowControl/>
      <w:spacing w:before="100" w:beforeAutospacing="1" w:after="100" w:afterAutospacing="1" w:line="360" w:lineRule="auto"/>
      <w:ind w:firstLine="560" w:firstLineChars="200"/>
      <w:jc w:val="left"/>
    </w:pPr>
    <w:rPr>
      <w:rFonts w:hint="eastAsia" w:ascii="宋体" w:hAnsi="宋体"/>
      <w:kern w:val="0"/>
      <w:sz w:val="22"/>
      <w:szCs w:val="22"/>
    </w:rPr>
  </w:style>
  <w:style w:type="paragraph" w:customStyle="1" w:styleId="182">
    <w:name w:val="AZ"/>
    <w:basedOn w:val="1"/>
    <w:qFormat/>
    <w:uiPriority w:val="0"/>
    <w:pPr>
      <w:widowControl/>
      <w:tabs>
        <w:tab w:val="left" w:pos="851"/>
      </w:tabs>
      <w:spacing w:before="60" w:after="120"/>
      <w:ind w:left="840" w:hanging="360"/>
      <w:jc w:val="left"/>
    </w:pPr>
    <w:rPr>
      <w:rFonts w:ascii="Arial" w:hAnsi="Arial"/>
      <w:color w:val="000000"/>
      <w:kern w:val="0"/>
      <w:sz w:val="22"/>
      <w:szCs w:val="22"/>
      <w:lang w:val="de-DE" w:eastAsia="de-DE"/>
    </w:rPr>
  </w:style>
  <w:style w:type="paragraph" w:customStyle="1" w:styleId="183">
    <w:name w:val="表格表题"/>
    <w:basedOn w:val="1"/>
    <w:qFormat/>
    <w:uiPriority w:val="0"/>
    <w:pPr>
      <w:spacing w:line="360" w:lineRule="auto"/>
      <w:jc w:val="center"/>
    </w:pPr>
    <w:rPr>
      <w:rFonts w:ascii="黑体" w:eastAsia="黑体"/>
    </w:rPr>
  </w:style>
  <w:style w:type="paragraph" w:customStyle="1" w:styleId="184">
    <w:name w:val="xl25"/>
    <w:basedOn w:val="1"/>
    <w:qFormat/>
    <w:uiPriority w:val="0"/>
    <w:pPr>
      <w:widowControl/>
      <w:spacing w:before="100" w:beforeAutospacing="1" w:after="100" w:afterAutospacing="1"/>
      <w:jc w:val="left"/>
    </w:pPr>
    <w:rPr>
      <w:kern w:val="0"/>
      <w:sz w:val="24"/>
    </w:rPr>
  </w:style>
  <w:style w:type="paragraph" w:customStyle="1" w:styleId="185">
    <w:name w:val="Other|1"/>
    <w:basedOn w:val="1"/>
    <w:qFormat/>
    <w:uiPriority w:val="0"/>
    <w:pPr>
      <w:jc w:val="center"/>
    </w:pPr>
    <w:rPr>
      <w:rFonts w:ascii="宋体" w:hAnsi="宋体" w:cs="宋体"/>
      <w:color w:val="3E3E3F"/>
      <w:sz w:val="22"/>
      <w:szCs w:val="22"/>
    </w:rPr>
  </w:style>
  <w:style w:type="paragraph" w:customStyle="1" w:styleId="186">
    <w:name w:val="MFS单位3"/>
    <w:basedOn w:val="149"/>
    <w:link w:val="363"/>
    <w:qFormat/>
    <w:uiPriority w:val="0"/>
    <w:rPr>
      <w:rFonts w:eastAsia="楷体_GB2312"/>
      <w:szCs w:val="18"/>
    </w:rPr>
  </w:style>
  <w:style w:type="paragraph" w:customStyle="1" w:styleId="187">
    <w:name w:val="日期1"/>
    <w:basedOn w:val="1"/>
    <w:next w:val="1"/>
    <w:qFormat/>
    <w:uiPriority w:val="0"/>
    <w:pPr>
      <w:adjustRightInd w:val="0"/>
      <w:textAlignment w:val="baseline"/>
    </w:pPr>
    <w:rPr>
      <w:szCs w:val="20"/>
    </w:rPr>
  </w:style>
  <w:style w:type="paragraph" w:customStyle="1" w:styleId="188">
    <w:name w:val="正文(首行缩进)"/>
    <w:basedOn w:val="1"/>
    <w:qFormat/>
    <w:uiPriority w:val="0"/>
    <w:pPr>
      <w:spacing w:line="360" w:lineRule="auto"/>
      <w:ind w:firstLine="480" w:firstLineChars="200"/>
    </w:pPr>
    <w:rPr>
      <w:snapToGrid w:val="0"/>
      <w:kern w:val="0"/>
      <w:sz w:val="24"/>
    </w:rPr>
  </w:style>
  <w:style w:type="paragraph" w:customStyle="1" w:styleId="189">
    <w:name w:val="样式3"/>
    <w:basedOn w:val="1"/>
    <w:next w:val="102"/>
    <w:qFormat/>
    <w:uiPriority w:val="0"/>
    <w:rPr>
      <w:sz w:val="24"/>
    </w:rPr>
  </w:style>
  <w:style w:type="paragraph" w:customStyle="1" w:styleId="190">
    <w:name w:val="表名"/>
    <w:basedOn w:val="1"/>
    <w:next w:val="165"/>
    <w:qFormat/>
    <w:uiPriority w:val="0"/>
    <w:pPr>
      <w:keepNext/>
      <w:spacing w:before="120"/>
      <w:jc w:val="center"/>
    </w:pPr>
    <w:rPr>
      <w:b/>
    </w:rPr>
  </w:style>
  <w:style w:type="paragraph" w:customStyle="1" w:styleId="191">
    <w:name w:val="xl49"/>
    <w:basedOn w:val="1"/>
    <w:qFormat/>
    <w:uiPriority w:val="0"/>
    <w:pPr>
      <w:widowControl/>
      <w:pBdr>
        <w:top w:val="single" w:color="auto" w:sz="4" w:space="0"/>
        <w:left w:val="single" w:color="auto" w:sz="4" w:space="0"/>
        <w:bottom w:val="single" w:color="auto" w:sz="4" w:space="0"/>
      </w:pBdr>
      <w:spacing w:before="100" w:beforeAutospacing="1" w:after="100" w:afterAutospacing="1"/>
      <w:jc w:val="center"/>
    </w:pPr>
    <w:rPr>
      <w:rFonts w:ascii="宋体" w:hAnsi="宋体"/>
      <w:kern w:val="0"/>
      <w:sz w:val="48"/>
      <w:szCs w:val="48"/>
    </w:rPr>
  </w:style>
  <w:style w:type="paragraph" w:customStyle="1" w:styleId="192">
    <w:name w:val="l_text"/>
    <w:basedOn w:val="1"/>
    <w:qFormat/>
    <w:uiPriority w:val="0"/>
    <w:pPr>
      <w:widowControl/>
      <w:overflowPunct w:val="0"/>
      <w:autoSpaceDE w:val="0"/>
      <w:autoSpaceDN w:val="0"/>
      <w:adjustRightInd w:val="0"/>
      <w:spacing w:before="120" w:after="120" w:line="360" w:lineRule="auto"/>
      <w:ind w:left="150" w:leftChars="150" w:firstLine="560" w:firstLineChars="200"/>
      <w:textAlignment w:val="baseline"/>
    </w:pPr>
    <w:rPr>
      <w:rFonts w:ascii="宋体"/>
      <w:kern w:val="0"/>
      <w:sz w:val="28"/>
      <w:szCs w:val="20"/>
    </w:rPr>
  </w:style>
  <w:style w:type="paragraph" w:customStyle="1" w:styleId="193">
    <w:name w:val="Char Char Char1 Char1"/>
    <w:basedOn w:val="1"/>
    <w:qFormat/>
    <w:uiPriority w:val="0"/>
  </w:style>
  <w:style w:type="paragraph" w:customStyle="1" w:styleId="194">
    <w:name w:val="4级标题"/>
    <w:basedOn w:val="195"/>
    <w:qFormat/>
    <w:uiPriority w:val="0"/>
    <w:pPr>
      <w:ind w:firstLine="0" w:firstLineChars="0"/>
    </w:pPr>
    <w:rPr>
      <w:b/>
    </w:rPr>
  </w:style>
  <w:style w:type="paragraph" w:customStyle="1" w:styleId="195">
    <w:name w:val="1正文段落"/>
    <w:basedOn w:val="1"/>
    <w:qFormat/>
    <w:uiPriority w:val="0"/>
    <w:pPr>
      <w:spacing w:line="360" w:lineRule="auto"/>
      <w:ind w:firstLine="480" w:firstLineChars="200"/>
      <w:jc w:val="left"/>
    </w:pPr>
    <w:rPr>
      <w:snapToGrid w:val="0"/>
      <w:kern w:val="0"/>
      <w:sz w:val="24"/>
    </w:rPr>
  </w:style>
  <w:style w:type="paragraph" w:customStyle="1" w:styleId="196">
    <w:name w:val="日期2"/>
    <w:basedOn w:val="1"/>
    <w:next w:val="1"/>
    <w:qFormat/>
    <w:uiPriority w:val="0"/>
    <w:pPr>
      <w:adjustRightInd w:val="0"/>
      <w:textAlignment w:val="baseline"/>
    </w:pPr>
    <w:rPr>
      <w:szCs w:val="20"/>
    </w:rPr>
  </w:style>
  <w:style w:type="paragraph" w:customStyle="1" w:styleId="197">
    <w:name w:val="3级标题"/>
    <w:basedOn w:val="5"/>
    <w:qFormat/>
    <w:uiPriority w:val="0"/>
    <w:pPr>
      <w:keepNext w:val="0"/>
      <w:keepLines w:val="0"/>
      <w:spacing w:before="0" w:after="0" w:line="360" w:lineRule="auto"/>
      <w:jc w:val="left"/>
    </w:pPr>
    <w:rPr>
      <w:rFonts w:ascii="黑体" w:eastAsia="黑体"/>
      <w:b w:val="0"/>
      <w:bCs w:val="0"/>
      <w:kern w:val="0"/>
      <w:sz w:val="24"/>
    </w:rPr>
  </w:style>
  <w:style w:type="paragraph" w:customStyle="1" w:styleId="198">
    <w:name w:val="表后空行"/>
    <w:basedOn w:val="1"/>
    <w:next w:val="1"/>
    <w:qFormat/>
    <w:uiPriority w:val="0"/>
    <w:rPr>
      <w:kern w:val="18"/>
      <w:sz w:val="18"/>
    </w:rPr>
  </w:style>
  <w:style w:type="paragraph" w:customStyle="1" w:styleId="199">
    <w:name w:val="xl51"/>
    <w:basedOn w:val="1"/>
    <w:qFormat/>
    <w:uiPriority w:val="0"/>
    <w:pPr>
      <w:widowControl/>
      <w:spacing w:before="100" w:beforeAutospacing="1" w:after="100" w:afterAutospacing="1"/>
      <w:jc w:val="center"/>
    </w:pPr>
    <w:rPr>
      <w:rFonts w:ascii="宋体" w:hAnsi="宋体"/>
      <w:b/>
      <w:bCs/>
      <w:kern w:val="0"/>
      <w:sz w:val="52"/>
      <w:szCs w:val="52"/>
    </w:rPr>
  </w:style>
  <w:style w:type="paragraph" w:customStyle="1" w:styleId="200">
    <w:name w:val="xl55"/>
    <w:basedOn w:val="1"/>
    <w:qFormat/>
    <w:uiPriority w:val="0"/>
    <w:pPr>
      <w:widowControl/>
      <w:pBdr>
        <w:top w:val="single" w:color="auto" w:sz="4" w:space="0"/>
        <w:left w:val="single" w:color="auto" w:sz="4" w:space="0"/>
        <w:bottom w:val="single" w:color="auto" w:sz="8" w:space="0"/>
        <w:right w:val="single" w:color="auto" w:sz="4" w:space="0"/>
      </w:pBdr>
      <w:spacing w:before="100" w:beforeAutospacing="1" w:after="100" w:afterAutospacing="1"/>
      <w:jc w:val="center"/>
    </w:pPr>
    <w:rPr>
      <w:rFonts w:ascii="宋体" w:hAnsi="宋体"/>
      <w:kern w:val="0"/>
      <w:sz w:val="48"/>
      <w:szCs w:val="48"/>
    </w:rPr>
  </w:style>
  <w:style w:type="paragraph" w:customStyle="1" w:styleId="201">
    <w:name w:val="标准文本 居中 行距1.5倍"/>
    <w:basedOn w:val="1"/>
    <w:link w:val="341"/>
    <w:qFormat/>
    <w:uiPriority w:val="0"/>
    <w:pPr>
      <w:spacing w:line="360" w:lineRule="auto"/>
      <w:jc w:val="center"/>
      <w:textAlignment w:val="center"/>
    </w:pPr>
    <w:rPr>
      <w:rFonts w:cs="宋体"/>
      <w:sz w:val="24"/>
    </w:rPr>
  </w:style>
  <w:style w:type="paragraph" w:customStyle="1" w:styleId="202">
    <w:name w:val="xl26"/>
    <w:basedOn w:val="1"/>
    <w:qFormat/>
    <w:uiPriority w:val="0"/>
    <w:pPr>
      <w:widowControl/>
      <w:spacing w:before="100" w:beforeAutospacing="1" w:after="100" w:afterAutospacing="1"/>
      <w:jc w:val="left"/>
    </w:pPr>
    <w:rPr>
      <w:rFonts w:ascii="Arial Unicode MS" w:hAnsi="Arial Unicode MS"/>
      <w:color w:val="FF0000"/>
      <w:kern w:val="0"/>
      <w:sz w:val="24"/>
    </w:rPr>
  </w:style>
  <w:style w:type="paragraph" w:customStyle="1" w:styleId="203">
    <w:name w:val="xl42"/>
    <w:basedOn w:val="1"/>
    <w:qFormat/>
    <w:uiPriority w:val="0"/>
    <w:pPr>
      <w:widowControl/>
      <w:pBdr>
        <w:top w:val="single" w:color="auto" w:sz="4" w:space="0"/>
        <w:bottom w:val="single" w:color="auto" w:sz="4" w:space="0"/>
        <w:right w:val="single" w:color="auto" w:sz="4" w:space="0"/>
      </w:pBdr>
      <w:spacing w:before="100" w:beforeAutospacing="1" w:after="100" w:afterAutospacing="1"/>
      <w:jc w:val="center"/>
    </w:pPr>
    <w:rPr>
      <w:rFonts w:ascii="宋体" w:hAnsi="宋体"/>
      <w:kern w:val="0"/>
      <w:sz w:val="24"/>
    </w:rPr>
  </w:style>
  <w:style w:type="paragraph" w:customStyle="1" w:styleId="204">
    <w:name w:val="图题"/>
    <w:basedOn w:val="1"/>
    <w:link w:val="317"/>
    <w:qFormat/>
    <w:uiPriority w:val="0"/>
    <w:pPr>
      <w:spacing w:after="50" w:afterLines="50"/>
      <w:jc w:val="center"/>
    </w:pPr>
    <w:rPr>
      <w:rFonts w:ascii="Arial" w:hAnsi="Arial"/>
      <w:b/>
      <w:sz w:val="24"/>
    </w:rPr>
  </w:style>
  <w:style w:type="paragraph" w:customStyle="1" w:styleId="205">
    <w:name w:val="Normal_8_1"/>
    <w:qFormat/>
    <w:uiPriority w:val="0"/>
    <w:pPr>
      <w:spacing w:before="120" w:after="240"/>
      <w:jc w:val="both"/>
    </w:pPr>
    <w:rPr>
      <w:rFonts w:ascii="Calibri" w:hAnsi="Calibri" w:eastAsia="Calibri" w:cs="Times New Roman"/>
      <w:sz w:val="22"/>
      <w:szCs w:val="22"/>
      <w:lang w:val="en-US" w:eastAsia="en-US" w:bidi="ar-SA"/>
    </w:rPr>
  </w:style>
  <w:style w:type="paragraph" w:customStyle="1" w:styleId="206">
    <w:name w:val="textstyle1"/>
    <w:basedOn w:val="1"/>
    <w:qFormat/>
    <w:uiPriority w:val="0"/>
    <w:pPr>
      <w:widowControl/>
      <w:overflowPunct w:val="0"/>
      <w:autoSpaceDE w:val="0"/>
      <w:autoSpaceDN w:val="0"/>
      <w:adjustRightInd w:val="0"/>
      <w:spacing w:before="120"/>
      <w:ind w:left="288" w:leftChars="150" w:firstLine="432" w:firstLineChars="200"/>
      <w:textAlignment w:val="baseline"/>
    </w:pPr>
    <w:rPr>
      <w:rFonts w:ascii="楷体" w:eastAsia="楷体"/>
      <w:kern w:val="0"/>
      <w:sz w:val="24"/>
      <w:szCs w:val="20"/>
      <w:lang w:val="en-GB"/>
    </w:rPr>
  </w:style>
  <w:style w:type="paragraph" w:customStyle="1" w:styleId="207">
    <w:name w:val="CM15"/>
    <w:basedOn w:val="67"/>
    <w:next w:val="67"/>
    <w:qFormat/>
    <w:uiPriority w:val="0"/>
    <w:pPr>
      <w:spacing w:line="460" w:lineRule="atLeast"/>
    </w:pPr>
    <w:rPr>
      <w:rFonts w:ascii="黑体" w:eastAsia="黑体" w:cs="Times New Roman"/>
      <w:color w:val="auto"/>
      <w:sz w:val="20"/>
    </w:rPr>
  </w:style>
  <w:style w:type="paragraph" w:customStyle="1" w:styleId="208">
    <w:name w:val="下划线"/>
    <w:basedOn w:val="1"/>
    <w:next w:val="1"/>
    <w:qFormat/>
    <w:uiPriority w:val="0"/>
    <w:pPr>
      <w:spacing w:line="240" w:lineRule="exact"/>
      <w:jc w:val="center"/>
    </w:pPr>
    <w:rPr>
      <w:sz w:val="18"/>
      <w:szCs w:val="18"/>
    </w:rPr>
  </w:style>
  <w:style w:type="paragraph" w:customStyle="1" w:styleId="209">
    <w:name w:val="表格字体"/>
    <w:basedOn w:val="1"/>
    <w:link w:val="388"/>
    <w:qFormat/>
    <w:uiPriority w:val="0"/>
    <w:pPr>
      <w:adjustRightInd w:val="0"/>
      <w:spacing w:beforeLines="20" w:afterLines="20"/>
      <w:jc w:val="center"/>
      <w:textAlignment w:val="center"/>
    </w:pPr>
    <w:rPr>
      <w:szCs w:val="21"/>
    </w:rPr>
  </w:style>
  <w:style w:type="paragraph" w:customStyle="1" w:styleId="210">
    <w:name w:val="xl56"/>
    <w:basedOn w:val="1"/>
    <w:qFormat/>
    <w:uiPriority w:val="0"/>
    <w:pPr>
      <w:widowControl/>
      <w:pBdr>
        <w:top w:val="single" w:color="auto" w:sz="4" w:space="0"/>
        <w:left w:val="single" w:color="auto" w:sz="4" w:space="0"/>
        <w:bottom w:val="single" w:color="auto" w:sz="8" w:space="0"/>
        <w:right w:val="single" w:color="auto" w:sz="4" w:space="0"/>
      </w:pBdr>
      <w:spacing w:before="100" w:beforeAutospacing="1" w:after="100" w:afterAutospacing="1"/>
      <w:jc w:val="center"/>
    </w:pPr>
    <w:rPr>
      <w:rFonts w:ascii="宋体" w:hAnsi="宋体"/>
      <w:kern w:val="0"/>
      <w:sz w:val="48"/>
      <w:szCs w:val="48"/>
    </w:rPr>
  </w:style>
  <w:style w:type="paragraph" w:customStyle="1" w:styleId="211">
    <w:name w:val="Char Char Char Char Char Char1 Char1"/>
    <w:basedOn w:val="1"/>
    <w:qFormat/>
    <w:uiPriority w:val="0"/>
  </w:style>
  <w:style w:type="paragraph" w:customStyle="1" w:styleId="212">
    <w:name w:val="标题b"/>
    <w:basedOn w:val="1"/>
    <w:next w:val="1"/>
    <w:qFormat/>
    <w:uiPriority w:val="0"/>
    <w:pPr>
      <w:spacing w:line="700" w:lineRule="exact"/>
    </w:pPr>
    <w:rPr>
      <w:rFonts w:ascii="楷体_GB2312" w:hAnsi="楷体_GB2312" w:eastAsia="楷体_GB2312"/>
      <w:b/>
      <w:sz w:val="30"/>
      <w:szCs w:val="20"/>
    </w:rPr>
  </w:style>
  <w:style w:type="paragraph" w:customStyle="1" w:styleId="213">
    <w:name w:val="font5"/>
    <w:basedOn w:val="1"/>
    <w:qFormat/>
    <w:uiPriority w:val="0"/>
    <w:pPr>
      <w:widowControl/>
      <w:spacing w:before="100" w:beforeAutospacing="1" w:after="100" w:afterAutospacing="1"/>
      <w:jc w:val="left"/>
    </w:pPr>
    <w:rPr>
      <w:rFonts w:hint="eastAsia" w:ascii="宋体" w:hAnsi="宋体" w:cs="Arial Unicode MS"/>
      <w:kern w:val="0"/>
      <w:sz w:val="18"/>
      <w:szCs w:val="18"/>
    </w:rPr>
  </w:style>
  <w:style w:type="paragraph" w:customStyle="1" w:styleId="214">
    <w:name w:val="表格文字2"/>
    <w:basedOn w:val="1"/>
    <w:qFormat/>
    <w:uiPriority w:val="0"/>
    <w:pPr>
      <w:tabs>
        <w:tab w:val="left" w:pos="277"/>
        <w:tab w:val="left" w:pos="600"/>
        <w:tab w:val="left" w:pos="780"/>
        <w:tab w:val="left" w:pos="2517"/>
      </w:tabs>
      <w:adjustRightInd w:val="0"/>
      <w:spacing w:before="60"/>
      <w:jc w:val="center"/>
      <w:textAlignment w:val="baseline"/>
    </w:pPr>
    <w:rPr>
      <w:kern w:val="0"/>
      <w:szCs w:val="21"/>
    </w:rPr>
  </w:style>
  <w:style w:type="paragraph" w:customStyle="1" w:styleId="215">
    <w:name w:val="表文字"/>
    <w:basedOn w:val="1"/>
    <w:qFormat/>
    <w:uiPriority w:val="0"/>
    <w:pPr>
      <w:overflowPunct w:val="0"/>
      <w:autoSpaceDE w:val="0"/>
      <w:autoSpaceDN w:val="0"/>
      <w:adjustRightInd w:val="0"/>
      <w:spacing w:line="240" w:lineRule="atLeast"/>
      <w:jc w:val="center"/>
      <w:textAlignment w:val="baseline"/>
    </w:pPr>
    <w:rPr>
      <w:kern w:val="0"/>
      <w:sz w:val="24"/>
      <w:szCs w:val="20"/>
    </w:rPr>
  </w:style>
  <w:style w:type="paragraph" w:customStyle="1" w:styleId="216">
    <w:name w:val="报告"/>
    <w:basedOn w:val="1"/>
    <w:link w:val="402"/>
    <w:qFormat/>
    <w:uiPriority w:val="0"/>
    <w:pPr>
      <w:adjustRightInd w:val="0"/>
      <w:spacing w:line="360" w:lineRule="auto"/>
      <w:ind w:firstLine="505"/>
      <w:textAlignment w:val="center"/>
    </w:pPr>
    <w:rPr>
      <w:rFonts w:ascii="TimesNewRoman" w:hAnsi="TimesNewRoman"/>
      <w:kern w:val="0"/>
      <w:sz w:val="24"/>
      <w:szCs w:val="20"/>
    </w:rPr>
  </w:style>
  <w:style w:type="paragraph" w:customStyle="1" w:styleId="217">
    <w:name w:val="样式 小四 居中"/>
    <w:qFormat/>
    <w:uiPriority w:val="0"/>
    <w:pPr>
      <w:widowControl w:val="0"/>
      <w:spacing w:before="60" w:after="60"/>
      <w:jc w:val="center"/>
    </w:pPr>
    <w:rPr>
      <w:rFonts w:ascii="楷体_GB2312" w:hAnsi="Times New Roman" w:eastAsia="楷体_GB2312" w:cs="Times New Roman"/>
      <w:b/>
      <w:bCs/>
      <w:kern w:val="2"/>
      <w:sz w:val="24"/>
      <w:szCs w:val="24"/>
      <w:lang w:val="en-US" w:eastAsia="zh-CN" w:bidi="ar-SA"/>
    </w:rPr>
  </w:style>
  <w:style w:type="paragraph" w:customStyle="1" w:styleId="218">
    <w:name w:val="段落 Char"/>
    <w:basedOn w:val="1"/>
    <w:link w:val="342"/>
    <w:qFormat/>
    <w:uiPriority w:val="0"/>
    <w:pPr>
      <w:topLinePunct/>
      <w:snapToGrid w:val="0"/>
      <w:spacing w:line="360" w:lineRule="auto"/>
      <w:ind w:firstLine="200" w:firstLineChars="200"/>
    </w:pPr>
    <w:rPr>
      <w:sz w:val="24"/>
    </w:rPr>
  </w:style>
  <w:style w:type="paragraph" w:customStyle="1" w:styleId="219">
    <w:name w:val="表5.12-1"/>
    <w:basedOn w:val="1"/>
    <w:qFormat/>
    <w:uiPriority w:val="0"/>
    <w:pPr>
      <w:tabs>
        <w:tab w:val="left" w:pos="420"/>
      </w:tabs>
      <w:spacing w:before="312" w:beforeLines="100" w:line="0" w:lineRule="atLeast"/>
    </w:pPr>
    <w:rPr>
      <w:rFonts w:eastAsia="黑体"/>
      <w:sz w:val="24"/>
    </w:rPr>
  </w:style>
  <w:style w:type="paragraph" w:customStyle="1" w:styleId="220">
    <w:name w:val="바탕글"/>
    <w:qFormat/>
    <w:uiPriority w:val="0"/>
    <w:pPr>
      <w:widowControl w:val="0"/>
      <w:tabs>
        <w:tab w:val="left" w:pos="800"/>
        <w:tab w:val="left" w:pos="1600"/>
        <w:tab w:val="left" w:pos="2400"/>
        <w:tab w:val="left" w:pos="3200"/>
        <w:tab w:val="left" w:pos="4000"/>
        <w:tab w:val="left" w:pos="4800"/>
        <w:tab w:val="left" w:pos="5600"/>
        <w:tab w:val="left" w:pos="6400"/>
        <w:tab w:val="left" w:pos="7200"/>
        <w:tab w:val="left" w:pos="8000"/>
        <w:tab w:val="left" w:pos="8800"/>
        <w:tab w:val="left" w:pos="9600"/>
        <w:tab w:val="left" w:pos="10400"/>
        <w:tab w:val="left" w:pos="11200"/>
        <w:tab w:val="left" w:pos="12000"/>
        <w:tab w:val="left" w:pos="12800"/>
        <w:tab w:val="left" w:pos="13600"/>
        <w:tab w:val="left" w:pos="14400"/>
        <w:tab w:val="left" w:pos="15200"/>
        <w:tab w:val="left" w:pos="16000"/>
        <w:tab w:val="left" w:pos="16800"/>
        <w:tab w:val="left" w:pos="17600"/>
        <w:tab w:val="left" w:pos="18400"/>
        <w:tab w:val="left" w:pos="19200"/>
        <w:tab w:val="left" w:pos="20000"/>
        <w:tab w:val="left" w:pos="20800"/>
        <w:tab w:val="left" w:pos="21600"/>
        <w:tab w:val="left" w:pos="22400"/>
        <w:tab w:val="left" w:pos="23200"/>
        <w:tab w:val="left" w:pos="24000"/>
        <w:tab w:val="left" w:pos="24800"/>
      </w:tabs>
      <w:wordWrap w:val="0"/>
      <w:autoSpaceDE w:val="0"/>
      <w:autoSpaceDN w:val="0"/>
      <w:adjustRightInd w:val="0"/>
      <w:spacing w:line="295" w:lineRule="auto"/>
      <w:jc w:val="both"/>
    </w:pPr>
    <w:rPr>
      <w:rFonts w:ascii="Batang" w:hAnsi="Times New Roman" w:eastAsia="Batang" w:cs="Times New Roman"/>
      <w:color w:val="000000"/>
      <w:lang w:val="en-US" w:eastAsia="ko-KR" w:bidi="ar-SA"/>
    </w:rPr>
  </w:style>
  <w:style w:type="paragraph" w:customStyle="1" w:styleId="221">
    <w:name w:val="文章正文格式"/>
    <w:basedOn w:val="1"/>
    <w:link w:val="348"/>
    <w:qFormat/>
    <w:uiPriority w:val="0"/>
    <w:pPr>
      <w:snapToGrid w:val="0"/>
      <w:spacing w:line="360" w:lineRule="auto"/>
      <w:ind w:firstLine="200" w:firstLineChars="200"/>
    </w:pPr>
    <w:rPr>
      <w:rFonts w:ascii="宋体" w:cs="宋体"/>
      <w:spacing w:val="8"/>
      <w:sz w:val="24"/>
      <w:szCs w:val="28"/>
    </w:rPr>
  </w:style>
  <w:style w:type="paragraph" w:customStyle="1" w:styleId="222">
    <w:name w:val="册除格式 Char Char"/>
    <w:qFormat/>
    <w:uiPriority w:val="0"/>
    <w:pPr>
      <w:spacing w:line="360" w:lineRule="auto"/>
      <w:ind w:firstLine="482"/>
    </w:pPr>
    <w:rPr>
      <w:rFonts w:ascii="黑体" w:hAnsi="Arial" w:eastAsia="宋体" w:cs="Arial"/>
      <w:snapToGrid w:val="0"/>
      <w:spacing w:val="4"/>
      <w:kern w:val="18"/>
      <w:sz w:val="24"/>
      <w:szCs w:val="28"/>
      <w:lang w:val="en-US" w:eastAsia="zh-CN" w:bidi="ar-SA"/>
    </w:rPr>
  </w:style>
  <w:style w:type="paragraph" w:customStyle="1" w:styleId="223">
    <w:name w:val="xl44"/>
    <w:basedOn w:val="1"/>
    <w:qFormat/>
    <w:uiPriority w:val="0"/>
    <w:pPr>
      <w:widowControl/>
      <w:pBdr>
        <w:top w:val="single" w:color="auto" w:sz="4" w:space="0"/>
        <w:bottom w:val="single" w:color="auto" w:sz="8" w:space="0"/>
        <w:right w:val="single" w:color="auto" w:sz="4" w:space="0"/>
      </w:pBdr>
      <w:spacing w:before="100" w:beforeAutospacing="1" w:after="100" w:afterAutospacing="1"/>
      <w:jc w:val="center"/>
    </w:pPr>
    <w:rPr>
      <w:rFonts w:ascii="宋体" w:hAnsi="宋体"/>
      <w:kern w:val="0"/>
      <w:sz w:val="24"/>
    </w:rPr>
  </w:style>
  <w:style w:type="paragraph" w:customStyle="1" w:styleId="224">
    <w:name w:val="MFS单位 Char"/>
    <w:basedOn w:val="1"/>
    <w:link w:val="349"/>
    <w:qFormat/>
    <w:uiPriority w:val="0"/>
    <w:pPr>
      <w:jc w:val="right"/>
    </w:pPr>
    <w:rPr>
      <w:sz w:val="18"/>
    </w:rPr>
  </w:style>
  <w:style w:type="paragraph" w:customStyle="1" w:styleId="225">
    <w:name w:val="xl40"/>
    <w:basedOn w:val="1"/>
    <w:qFormat/>
    <w:uiPriority w:val="0"/>
    <w:pPr>
      <w:widowControl/>
      <w:pBdr>
        <w:top w:val="single" w:color="auto" w:sz="4" w:space="0"/>
        <w:left w:val="single" w:color="auto" w:sz="4" w:space="0"/>
        <w:bottom w:val="single" w:color="auto" w:sz="8" w:space="0"/>
        <w:right w:val="single" w:color="auto" w:sz="4" w:space="0"/>
      </w:pBdr>
      <w:spacing w:before="100" w:beforeAutospacing="1" w:after="100" w:afterAutospacing="1"/>
      <w:jc w:val="center"/>
    </w:pPr>
    <w:rPr>
      <w:rFonts w:ascii="宋体" w:hAnsi="宋体"/>
      <w:kern w:val="0"/>
      <w:sz w:val="24"/>
    </w:rPr>
  </w:style>
  <w:style w:type="paragraph" w:customStyle="1" w:styleId="226">
    <w:name w:val="A标准格式"/>
    <w:basedOn w:val="1"/>
    <w:qFormat/>
    <w:uiPriority w:val="0"/>
    <w:pPr>
      <w:ind w:firstLine="480"/>
    </w:pPr>
  </w:style>
  <w:style w:type="paragraph" w:customStyle="1" w:styleId="227">
    <w:name w:val="正文文本－5号字"/>
    <w:basedOn w:val="2"/>
    <w:qFormat/>
    <w:uiPriority w:val="0"/>
    <w:pPr>
      <w:spacing w:before="78" w:after="0" w:line="480" w:lineRule="exact"/>
      <w:ind w:firstLine="480" w:firstLineChars="200"/>
    </w:pPr>
    <w:rPr>
      <w:sz w:val="24"/>
    </w:rPr>
  </w:style>
  <w:style w:type="paragraph" w:customStyle="1" w:styleId="228">
    <w:name w:val="表5.7"/>
    <w:basedOn w:val="1"/>
    <w:qFormat/>
    <w:uiPriority w:val="0"/>
    <w:pPr>
      <w:tabs>
        <w:tab w:val="left" w:pos="360"/>
        <w:tab w:val="left" w:pos="510"/>
        <w:tab w:val="center" w:pos="4060"/>
        <w:tab w:val="right" w:pos="8261"/>
      </w:tabs>
      <w:suppressAutoHyphens/>
      <w:adjustRightInd w:val="0"/>
      <w:spacing w:before="240" w:line="0" w:lineRule="atLeast"/>
      <w:ind w:left="510" w:hanging="397"/>
      <w:jc w:val="center"/>
    </w:pPr>
    <w:rPr>
      <w:rFonts w:ascii="黑体" w:eastAsia="黑体" w:cs="宋体"/>
      <w:b/>
      <w:bCs/>
      <w:kern w:val="0"/>
      <w:sz w:val="24"/>
      <w:szCs w:val="20"/>
    </w:rPr>
  </w:style>
  <w:style w:type="paragraph" w:customStyle="1" w:styleId="229">
    <w:name w:val="本文正文"/>
    <w:basedOn w:val="1"/>
    <w:qFormat/>
    <w:uiPriority w:val="0"/>
    <w:pPr>
      <w:autoSpaceDE w:val="0"/>
      <w:autoSpaceDN w:val="0"/>
      <w:adjustRightInd w:val="0"/>
      <w:spacing w:line="300" w:lineRule="auto"/>
      <w:ind w:firstLine="560" w:firstLineChars="200"/>
      <w:textAlignment w:val="baseline"/>
    </w:pPr>
    <w:rPr>
      <w:sz w:val="28"/>
      <w:szCs w:val="20"/>
    </w:rPr>
  </w:style>
  <w:style w:type="paragraph" w:customStyle="1" w:styleId="230">
    <w:name w:val="正文样式2"/>
    <w:basedOn w:val="1"/>
    <w:qFormat/>
    <w:uiPriority w:val="0"/>
    <w:pPr>
      <w:adjustRightInd w:val="0"/>
      <w:snapToGrid w:val="0"/>
      <w:spacing w:line="360" w:lineRule="auto"/>
      <w:ind w:firstLine="510"/>
      <w:textAlignment w:val="baseline"/>
    </w:pPr>
    <w:rPr>
      <w:rFonts w:ascii="宋体"/>
      <w:kern w:val="24"/>
      <w:sz w:val="24"/>
      <w:szCs w:val="20"/>
    </w:rPr>
  </w:style>
  <w:style w:type="paragraph" w:customStyle="1" w:styleId="231">
    <w:name w:val="Char Char Char Char1"/>
    <w:basedOn w:val="1"/>
    <w:qFormat/>
    <w:uiPriority w:val="0"/>
  </w:style>
  <w:style w:type="paragraph" w:customStyle="1" w:styleId="232">
    <w:name w:val="font6"/>
    <w:basedOn w:val="1"/>
    <w:qFormat/>
    <w:uiPriority w:val="0"/>
    <w:pPr>
      <w:widowControl/>
      <w:spacing w:before="100" w:beforeAutospacing="1" w:after="100" w:afterAutospacing="1"/>
      <w:jc w:val="left"/>
    </w:pPr>
    <w:rPr>
      <w:rFonts w:hint="eastAsia" w:ascii="宋体" w:hAnsi="宋体"/>
      <w:kern w:val="0"/>
      <w:sz w:val="20"/>
      <w:szCs w:val="20"/>
    </w:rPr>
  </w:style>
  <w:style w:type="paragraph" w:customStyle="1" w:styleId="233">
    <w:name w:val="Mercedes"/>
    <w:basedOn w:val="1"/>
    <w:qFormat/>
    <w:uiPriority w:val="0"/>
    <w:pPr>
      <w:widowControl/>
      <w:overflowPunct w:val="0"/>
      <w:autoSpaceDE w:val="0"/>
      <w:autoSpaceDN w:val="0"/>
      <w:adjustRightInd w:val="0"/>
      <w:spacing w:line="360" w:lineRule="auto"/>
      <w:jc w:val="left"/>
      <w:textAlignment w:val="baseline"/>
    </w:pPr>
    <w:rPr>
      <w:rFonts w:ascii="CorporateS-Regular" w:hAnsi="CorporateS-Regular"/>
      <w:kern w:val="0"/>
      <w:sz w:val="24"/>
      <w:szCs w:val="20"/>
      <w:lang w:val="de-DE" w:eastAsia="en-US"/>
    </w:rPr>
  </w:style>
  <w:style w:type="paragraph" w:customStyle="1" w:styleId="234">
    <w:name w:val="xl38"/>
    <w:basedOn w:val="1"/>
    <w:qFormat/>
    <w:uiPriority w:val="0"/>
    <w:pPr>
      <w:widowControl/>
      <w:pBdr>
        <w:top w:val="single" w:color="auto" w:sz="4" w:space="0"/>
        <w:left w:val="single" w:color="auto" w:sz="4" w:space="0"/>
        <w:bottom w:val="single" w:color="auto" w:sz="8" w:space="0"/>
        <w:right w:val="single" w:color="auto" w:sz="4" w:space="0"/>
      </w:pBdr>
      <w:spacing w:before="100" w:beforeAutospacing="1" w:after="100" w:afterAutospacing="1"/>
      <w:jc w:val="center"/>
    </w:pPr>
    <w:rPr>
      <w:kern w:val="0"/>
      <w:sz w:val="24"/>
    </w:rPr>
  </w:style>
  <w:style w:type="paragraph" w:customStyle="1" w:styleId="235">
    <w:name w:val="正文B"/>
    <w:basedOn w:val="1"/>
    <w:link w:val="351"/>
    <w:qFormat/>
    <w:uiPriority w:val="0"/>
    <w:pPr>
      <w:spacing w:line="500" w:lineRule="exact"/>
    </w:pPr>
    <w:rPr>
      <w:rFonts w:ascii="楷体_GB2312" w:eastAsia="楷体_GB2312"/>
      <w:sz w:val="28"/>
      <w:szCs w:val="20"/>
    </w:rPr>
  </w:style>
  <w:style w:type="paragraph" w:customStyle="1" w:styleId="236">
    <w:name w:val="xl36"/>
    <w:basedOn w:val="1"/>
    <w:qFormat/>
    <w:uiPriority w:val="0"/>
    <w:pPr>
      <w:widowControl/>
      <w:pBdr>
        <w:bottom w:val="single" w:color="auto" w:sz="4" w:space="0"/>
        <w:right w:val="single" w:color="auto" w:sz="4" w:space="0"/>
      </w:pBdr>
      <w:spacing w:before="100" w:beforeAutospacing="1" w:after="100" w:afterAutospacing="1"/>
    </w:pPr>
    <w:rPr>
      <w:rFonts w:hint="eastAsia" w:ascii="楷体_GB2312" w:hAnsi="Arial Unicode MS" w:eastAsia="楷体_GB2312" w:cs="Arial Unicode MS"/>
      <w:kern w:val="0"/>
      <w:sz w:val="24"/>
    </w:rPr>
  </w:style>
  <w:style w:type="paragraph" w:customStyle="1" w:styleId="237">
    <w:name w:val="xl35"/>
    <w:basedOn w:val="1"/>
    <w:qFormat/>
    <w:uiPriority w:val="0"/>
    <w:pPr>
      <w:widowControl/>
      <w:pBdr>
        <w:top w:val="single" w:color="auto" w:sz="8" w:space="0"/>
        <w:left w:val="single" w:color="auto" w:sz="4" w:space="0"/>
        <w:bottom w:val="single" w:color="auto" w:sz="4" w:space="0"/>
      </w:pBdr>
      <w:spacing w:before="100" w:beforeAutospacing="1" w:after="100" w:afterAutospacing="1"/>
      <w:jc w:val="center"/>
    </w:pPr>
    <w:rPr>
      <w:rFonts w:ascii="宋体" w:hAnsi="宋体"/>
      <w:kern w:val="0"/>
      <w:sz w:val="24"/>
    </w:rPr>
  </w:style>
  <w:style w:type="paragraph" w:customStyle="1" w:styleId="238">
    <w:name w:val="样式 宋体 小四 行距: 固定值 26 磅"/>
    <w:basedOn w:val="1"/>
    <w:qFormat/>
    <w:uiPriority w:val="0"/>
    <w:pPr>
      <w:spacing w:line="480" w:lineRule="auto"/>
    </w:pPr>
    <w:rPr>
      <w:rFonts w:ascii="宋体" w:hAnsi="宋体" w:cs="宋体"/>
      <w:sz w:val="24"/>
      <w:szCs w:val="20"/>
    </w:rPr>
  </w:style>
  <w:style w:type="paragraph" w:customStyle="1" w:styleId="239">
    <w:name w:val="封面标准文稿编辑信息"/>
    <w:qFormat/>
    <w:uiPriority w:val="0"/>
    <w:pPr>
      <w:spacing w:before="180" w:line="180" w:lineRule="exact"/>
      <w:jc w:val="center"/>
    </w:pPr>
    <w:rPr>
      <w:rFonts w:ascii="宋体" w:hAnsi="Times New Roman" w:eastAsia="宋体" w:cs="Times New Roman"/>
      <w:sz w:val="21"/>
      <w:lang w:val="en-US" w:eastAsia="zh-CN" w:bidi="ar-SA"/>
    </w:rPr>
  </w:style>
  <w:style w:type="paragraph" w:customStyle="1" w:styleId="240">
    <w:name w:val="w"/>
    <w:basedOn w:val="1"/>
    <w:qFormat/>
    <w:uiPriority w:val="0"/>
    <w:pPr>
      <w:widowControl/>
      <w:adjustRightInd w:val="0"/>
      <w:snapToGrid w:val="0"/>
      <w:spacing w:line="360" w:lineRule="auto"/>
      <w:ind w:firstLine="200" w:firstLineChars="200"/>
    </w:pPr>
    <w:rPr>
      <w:color w:val="000000"/>
      <w:kern w:val="0"/>
      <w:sz w:val="30"/>
      <w:szCs w:val="30"/>
    </w:rPr>
  </w:style>
  <w:style w:type="paragraph" w:customStyle="1" w:styleId="241">
    <w:name w:val="表格内文字"/>
    <w:basedOn w:val="1"/>
    <w:link w:val="401"/>
    <w:qFormat/>
    <w:uiPriority w:val="0"/>
    <w:pPr>
      <w:adjustRightInd w:val="0"/>
      <w:snapToGrid w:val="0"/>
      <w:spacing w:before="80" w:line="240" w:lineRule="exact"/>
      <w:jc w:val="center"/>
    </w:pPr>
    <w:rPr>
      <w:spacing w:val="6"/>
      <w:kern w:val="0"/>
      <w:sz w:val="24"/>
      <w:szCs w:val="20"/>
    </w:rPr>
  </w:style>
  <w:style w:type="paragraph" w:customStyle="1" w:styleId="242">
    <w:name w:val="CM5"/>
    <w:basedOn w:val="67"/>
    <w:next w:val="67"/>
    <w:qFormat/>
    <w:uiPriority w:val="0"/>
    <w:pPr>
      <w:spacing w:line="460" w:lineRule="atLeast"/>
    </w:pPr>
    <w:rPr>
      <w:rFonts w:ascii="黑体" w:eastAsia="黑体" w:cs="Times New Roman"/>
      <w:color w:val="auto"/>
      <w:sz w:val="20"/>
    </w:rPr>
  </w:style>
  <w:style w:type="paragraph" w:customStyle="1" w:styleId="243">
    <w:name w:val="表号"/>
    <w:basedOn w:val="1"/>
    <w:qFormat/>
    <w:uiPriority w:val="0"/>
    <w:pPr>
      <w:jc w:val="center"/>
    </w:pPr>
    <w:rPr>
      <w:rFonts w:ascii="黑体" w:hAnsi="宋体" w:eastAsia="黑体"/>
      <w:kern w:val="0"/>
      <w:sz w:val="24"/>
      <w:szCs w:val="28"/>
    </w:rPr>
  </w:style>
  <w:style w:type="paragraph" w:customStyle="1" w:styleId="244">
    <w:name w:val="标准"/>
    <w:basedOn w:val="1"/>
    <w:qFormat/>
    <w:uiPriority w:val="0"/>
    <w:pPr>
      <w:adjustRightInd w:val="0"/>
      <w:spacing w:line="360" w:lineRule="auto"/>
      <w:textAlignment w:val="baseline"/>
    </w:pPr>
    <w:rPr>
      <w:rFonts w:ascii="楷体_GB2312" w:eastAsia="楷体_GB2312"/>
      <w:kern w:val="0"/>
      <w:sz w:val="28"/>
      <w:szCs w:val="20"/>
    </w:rPr>
  </w:style>
  <w:style w:type="paragraph" w:customStyle="1" w:styleId="245">
    <w:name w:val="CM26"/>
    <w:basedOn w:val="67"/>
    <w:next w:val="67"/>
    <w:qFormat/>
    <w:uiPriority w:val="0"/>
    <w:pPr>
      <w:spacing w:after="258"/>
    </w:pPr>
    <w:rPr>
      <w:rFonts w:ascii="黑体" w:eastAsia="黑体" w:cs="Times New Roman"/>
      <w:color w:val="auto"/>
      <w:sz w:val="20"/>
    </w:rPr>
  </w:style>
  <w:style w:type="paragraph" w:customStyle="1" w:styleId="246">
    <w:name w:val="xl22"/>
    <w:basedOn w:val="1"/>
    <w:qFormat/>
    <w:uiPriority w:val="0"/>
    <w:pPr>
      <w:widowControl/>
      <w:pBdr>
        <w:bottom w:val="single" w:color="auto" w:sz="4" w:space="0"/>
        <w:right w:val="single" w:color="auto" w:sz="4" w:space="0"/>
      </w:pBdr>
      <w:spacing w:before="100" w:after="100"/>
      <w:jc w:val="center"/>
    </w:pPr>
    <w:rPr>
      <w:rFonts w:ascii="宋体" w:hAnsi="宋体"/>
      <w:kern w:val="0"/>
      <w:szCs w:val="20"/>
    </w:rPr>
  </w:style>
  <w:style w:type="paragraph" w:customStyle="1" w:styleId="247">
    <w:name w:val="样式10"/>
    <w:basedOn w:val="1"/>
    <w:qFormat/>
    <w:uiPriority w:val="0"/>
    <w:pPr>
      <w:adjustRightInd w:val="0"/>
      <w:snapToGrid w:val="0"/>
      <w:spacing w:line="320" w:lineRule="exact"/>
      <w:jc w:val="center"/>
    </w:pPr>
    <w:rPr>
      <w:rFonts w:cs="宋体"/>
      <w:sz w:val="22"/>
      <w:szCs w:val="22"/>
    </w:rPr>
  </w:style>
  <w:style w:type="paragraph" w:customStyle="1" w:styleId="248">
    <w:name w:val="正文（1）"/>
    <w:basedOn w:val="1"/>
    <w:qFormat/>
    <w:uiPriority w:val="0"/>
    <w:pPr>
      <w:autoSpaceDE w:val="0"/>
      <w:autoSpaceDN w:val="0"/>
      <w:adjustRightInd w:val="0"/>
      <w:snapToGrid w:val="0"/>
      <w:spacing w:line="520" w:lineRule="exact"/>
      <w:ind w:firstLine="480" w:firstLineChars="200"/>
    </w:pPr>
    <w:rPr>
      <w:rFonts w:hAnsi="宋体"/>
      <w:sz w:val="24"/>
      <w:lang w:val="zh-CN"/>
    </w:rPr>
  </w:style>
  <w:style w:type="paragraph" w:customStyle="1" w:styleId="249">
    <w:name w:val="样式 表格 + 宋体 居中"/>
    <w:basedOn w:val="111"/>
    <w:qFormat/>
    <w:uiPriority w:val="0"/>
    <w:pPr>
      <w:widowControl/>
      <w:adjustRightInd/>
      <w:spacing w:before="0" w:after="0"/>
      <w:jc w:val="center"/>
      <w:textAlignment w:val="center"/>
    </w:pPr>
    <w:rPr>
      <w:rFonts w:ascii="Times New Roman" w:eastAsia="宋体"/>
    </w:rPr>
  </w:style>
  <w:style w:type="paragraph" w:customStyle="1" w:styleId="250">
    <w:name w:val="xl30"/>
    <w:basedOn w:val="1"/>
    <w:qFormat/>
    <w:uiPriority w:val="0"/>
    <w:pPr>
      <w:widowControl/>
      <w:pBdr>
        <w:bottom w:val="single" w:color="auto" w:sz="4" w:space="0"/>
        <w:right w:val="single" w:color="auto" w:sz="4" w:space="0"/>
      </w:pBdr>
      <w:spacing w:before="100" w:beforeAutospacing="1" w:after="100" w:afterAutospacing="1"/>
    </w:pPr>
    <w:rPr>
      <w:rFonts w:eastAsia="Arial Unicode MS"/>
      <w:kern w:val="0"/>
      <w:szCs w:val="21"/>
    </w:rPr>
  </w:style>
  <w:style w:type="paragraph" w:customStyle="1" w:styleId="251">
    <w:name w:val="默认段落字体 Para Char Char Char Char"/>
    <w:basedOn w:val="1"/>
    <w:qFormat/>
    <w:uiPriority w:val="0"/>
    <w:rPr>
      <w:sz w:val="24"/>
    </w:rPr>
  </w:style>
  <w:style w:type="paragraph" w:customStyle="1" w:styleId="252">
    <w:name w:val="正文（海红）"/>
    <w:basedOn w:val="1"/>
    <w:link w:val="357"/>
    <w:qFormat/>
    <w:uiPriority w:val="0"/>
    <w:pPr>
      <w:spacing w:line="500" w:lineRule="exact"/>
      <w:ind w:firstLine="200" w:firstLineChars="200"/>
    </w:pPr>
    <w:rPr>
      <w:sz w:val="24"/>
    </w:rPr>
  </w:style>
  <w:style w:type="paragraph" w:customStyle="1" w:styleId="253">
    <w:name w:val="font11"/>
    <w:basedOn w:val="1"/>
    <w:qFormat/>
    <w:uiPriority w:val="0"/>
    <w:pPr>
      <w:widowControl/>
      <w:spacing w:before="100" w:beforeAutospacing="1" w:after="100" w:afterAutospacing="1"/>
      <w:jc w:val="left"/>
    </w:pPr>
    <w:rPr>
      <w:rFonts w:hint="eastAsia" w:ascii="宋体" w:hAnsi="宋体"/>
      <w:color w:val="FF00FF"/>
      <w:kern w:val="0"/>
      <w:sz w:val="18"/>
      <w:szCs w:val="18"/>
    </w:rPr>
  </w:style>
  <w:style w:type="paragraph" w:customStyle="1" w:styleId="254">
    <w:name w:val="xl37"/>
    <w:basedOn w:val="1"/>
    <w:qFormat/>
    <w:uiPriority w:val="0"/>
    <w:pPr>
      <w:widowControl/>
      <w:pBdr>
        <w:left w:val="single" w:color="auto" w:sz="4" w:space="0"/>
        <w:bottom w:val="single" w:color="auto" w:sz="4" w:space="0"/>
        <w:right w:val="single" w:color="auto" w:sz="4" w:space="0"/>
      </w:pBdr>
      <w:spacing w:before="100" w:beforeAutospacing="1" w:after="100" w:afterAutospacing="1"/>
    </w:pPr>
    <w:rPr>
      <w:rFonts w:hint="eastAsia" w:ascii="楷体_GB2312" w:hAnsi="Arial Unicode MS" w:eastAsia="楷体_GB2312" w:cs="Arial Unicode MS"/>
      <w:kern w:val="0"/>
      <w:sz w:val="24"/>
    </w:rPr>
  </w:style>
  <w:style w:type="paragraph" w:customStyle="1" w:styleId="255">
    <w:name w:val="zxz5"/>
    <w:next w:val="1"/>
    <w:qFormat/>
    <w:uiPriority w:val="0"/>
    <w:pPr>
      <w:tabs>
        <w:tab w:val="left" w:pos="0"/>
      </w:tabs>
      <w:jc w:val="center"/>
    </w:pPr>
    <w:rPr>
      <w:rFonts w:ascii="Times New Roman" w:hAnsi="Times New Roman" w:eastAsia="宋体" w:cs="Times New Roman"/>
      <w:lang w:val="en-US" w:eastAsia="zh-CN" w:bidi="ar-SA"/>
    </w:rPr>
  </w:style>
  <w:style w:type="paragraph" w:customStyle="1" w:styleId="256">
    <w:name w:val="font10"/>
    <w:basedOn w:val="1"/>
    <w:qFormat/>
    <w:uiPriority w:val="0"/>
    <w:pPr>
      <w:widowControl/>
      <w:spacing w:before="100" w:beforeAutospacing="1" w:after="100" w:afterAutospacing="1"/>
      <w:jc w:val="left"/>
    </w:pPr>
    <w:rPr>
      <w:rFonts w:hint="eastAsia" w:ascii="宋体" w:hAnsi="宋体"/>
      <w:color w:val="FF00FF"/>
      <w:kern w:val="0"/>
      <w:sz w:val="16"/>
      <w:szCs w:val="16"/>
    </w:rPr>
  </w:style>
  <w:style w:type="paragraph" w:customStyle="1" w:styleId="257">
    <w:name w:val="流程图"/>
    <w:basedOn w:val="1"/>
    <w:qFormat/>
    <w:uiPriority w:val="0"/>
    <w:pPr>
      <w:tabs>
        <w:tab w:val="left" w:pos="0"/>
      </w:tabs>
      <w:autoSpaceDE w:val="0"/>
      <w:autoSpaceDN w:val="0"/>
      <w:adjustRightInd w:val="0"/>
      <w:spacing w:line="240" w:lineRule="atLeast"/>
      <w:jc w:val="center"/>
      <w:textAlignment w:val="bottom"/>
    </w:pPr>
    <w:rPr>
      <w:rFonts w:ascii="宋体"/>
      <w:bCs/>
      <w:iCs/>
      <w:szCs w:val="21"/>
    </w:rPr>
  </w:style>
  <w:style w:type="paragraph" w:customStyle="1" w:styleId="258">
    <w:name w:val="一级条标题"/>
    <w:basedOn w:val="1"/>
    <w:next w:val="1"/>
    <w:qFormat/>
    <w:uiPriority w:val="0"/>
    <w:pPr>
      <w:widowControl/>
      <w:tabs>
        <w:tab w:val="left" w:pos="360"/>
      </w:tabs>
      <w:outlineLvl w:val="2"/>
    </w:pPr>
    <w:rPr>
      <w:rFonts w:ascii="黑体" w:eastAsia="黑体"/>
      <w:kern w:val="0"/>
      <w:szCs w:val="20"/>
    </w:rPr>
  </w:style>
  <w:style w:type="paragraph" w:customStyle="1" w:styleId="259">
    <w:name w:val="表内文字"/>
    <w:basedOn w:val="1"/>
    <w:qFormat/>
    <w:uiPriority w:val="0"/>
    <w:pPr>
      <w:adjustRightInd w:val="0"/>
      <w:jc w:val="center"/>
      <w:textAlignment w:val="baseline"/>
    </w:pPr>
    <w:rPr>
      <w:szCs w:val="20"/>
    </w:rPr>
  </w:style>
  <w:style w:type="paragraph" w:customStyle="1" w:styleId="260">
    <w:name w:val="列表1"/>
    <w:basedOn w:val="1"/>
    <w:next w:val="39"/>
    <w:qFormat/>
    <w:uiPriority w:val="0"/>
    <w:pPr>
      <w:spacing w:before="60" w:line="240" w:lineRule="exact"/>
      <w:jc w:val="center"/>
    </w:pPr>
    <w:rPr>
      <w:sz w:val="24"/>
      <w:szCs w:val="20"/>
    </w:rPr>
  </w:style>
  <w:style w:type="paragraph" w:customStyle="1" w:styleId="261">
    <w:name w:val="xl4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kern w:val="0"/>
      <w:sz w:val="24"/>
    </w:rPr>
  </w:style>
  <w:style w:type="paragraph" w:customStyle="1" w:styleId="262">
    <w:name w:val="表文"/>
    <w:basedOn w:val="1"/>
    <w:qFormat/>
    <w:uiPriority w:val="0"/>
    <w:pPr>
      <w:adjustRightInd w:val="0"/>
      <w:snapToGrid w:val="0"/>
      <w:spacing w:line="400" w:lineRule="exact"/>
      <w:ind w:firstLine="6" w:firstLineChars="3"/>
      <w:jc w:val="center"/>
    </w:pPr>
    <w:rPr>
      <w:kern w:val="0"/>
      <w:szCs w:val="21"/>
    </w:rPr>
  </w:style>
  <w:style w:type="paragraph" w:customStyle="1" w:styleId="263">
    <w:name w:val="正文文本缩进 211"/>
    <w:basedOn w:val="1"/>
    <w:qFormat/>
    <w:uiPriority w:val="0"/>
    <w:pPr>
      <w:adjustRightInd w:val="0"/>
      <w:spacing w:line="360" w:lineRule="auto"/>
      <w:ind w:firstLine="480"/>
      <w:textAlignment w:val="baseline"/>
    </w:pPr>
    <w:rPr>
      <w:rFonts w:ascii="宋体"/>
      <w:kern w:val="0"/>
      <w:sz w:val="24"/>
      <w:szCs w:val="20"/>
    </w:rPr>
  </w:style>
  <w:style w:type="paragraph" w:customStyle="1" w:styleId="264">
    <w:name w:val="样式 标题 2节标题 1.11.1标题2b2 + 宋体"/>
    <w:basedOn w:val="4"/>
    <w:next w:val="4"/>
    <w:qFormat/>
    <w:uiPriority w:val="0"/>
    <w:pPr>
      <w:keepNext w:val="0"/>
      <w:widowControl/>
      <w:adjustRightInd w:val="0"/>
      <w:spacing w:line="460" w:lineRule="exact"/>
      <w:jc w:val="left"/>
      <w:textAlignment w:val="baseline"/>
    </w:pPr>
    <w:rPr>
      <w:b/>
      <w:bCs/>
      <w:color w:val="auto"/>
      <w:kern w:val="0"/>
      <w:sz w:val="24"/>
      <w:szCs w:val="20"/>
    </w:rPr>
  </w:style>
  <w:style w:type="paragraph" w:customStyle="1" w:styleId="265">
    <w:name w:val="正文段落"/>
    <w:basedOn w:val="1"/>
    <w:qFormat/>
    <w:uiPriority w:val="0"/>
    <w:pPr>
      <w:spacing w:line="360" w:lineRule="auto"/>
      <w:ind w:firstLine="510"/>
    </w:pPr>
    <w:rPr>
      <w:snapToGrid w:val="0"/>
      <w:kern w:val="0"/>
      <w:sz w:val="24"/>
    </w:rPr>
  </w:style>
  <w:style w:type="paragraph" w:customStyle="1" w:styleId="266">
    <w:name w:val="Other|2"/>
    <w:basedOn w:val="1"/>
    <w:qFormat/>
    <w:uiPriority w:val="0"/>
    <w:rPr>
      <w:rFonts w:ascii="宋体" w:hAnsi="宋体" w:cs="宋体"/>
      <w:color w:val="5A5A5A"/>
      <w:sz w:val="22"/>
      <w:szCs w:val="22"/>
      <w:lang w:val="zh-TW" w:eastAsia="zh-TW" w:bidi="zh-TW"/>
    </w:rPr>
  </w:style>
  <w:style w:type="paragraph" w:customStyle="1" w:styleId="267">
    <w:name w:val="标准文本 首行缩进:2 字符 行距1倍 Char Char Char Char"/>
    <w:basedOn w:val="1"/>
    <w:link w:val="371"/>
    <w:qFormat/>
    <w:uiPriority w:val="0"/>
    <w:pPr>
      <w:adjustRightInd w:val="0"/>
      <w:snapToGrid w:val="0"/>
      <w:spacing w:line="480" w:lineRule="exact"/>
      <w:textAlignment w:val="center"/>
    </w:pPr>
    <w:rPr>
      <w:rFonts w:ascii="黑体" w:eastAsia="黑体" w:cs="宋体"/>
      <w:sz w:val="28"/>
      <w:szCs w:val="28"/>
    </w:rPr>
  </w:style>
  <w:style w:type="paragraph" w:customStyle="1" w:styleId="268">
    <w:name w:val="dandan6-13正文 Char Char Char Char Char1 Char Char Char Char"/>
    <w:basedOn w:val="1"/>
    <w:next w:val="1"/>
    <w:qFormat/>
    <w:uiPriority w:val="0"/>
    <w:pPr>
      <w:keepNext/>
      <w:keepLines/>
      <w:widowControl/>
      <w:adjustRightInd w:val="0"/>
      <w:spacing w:before="40" w:after="40" w:line="360" w:lineRule="auto"/>
      <w:ind w:firstLine="200" w:firstLineChars="200"/>
      <w:textAlignment w:val="baseline"/>
    </w:pPr>
    <w:rPr>
      <w:rFonts w:cs="宋体"/>
      <w:kern w:val="0"/>
      <w:sz w:val="24"/>
      <w:szCs w:val="28"/>
    </w:rPr>
  </w:style>
  <w:style w:type="paragraph" w:customStyle="1" w:styleId="269">
    <w:name w:val="图表1"/>
    <w:next w:val="1"/>
    <w:qFormat/>
    <w:uiPriority w:val="0"/>
    <w:pPr>
      <w:spacing w:line="240" w:lineRule="atLeast"/>
      <w:jc w:val="center"/>
    </w:pPr>
    <w:rPr>
      <w:rFonts w:ascii="楷体_GB2312" w:hAnsi="Times New Roman" w:eastAsia="楷体_GB2312" w:cs="Times New Roman"/>
      <w:sz w:val="24"/>
      <w:lang w:val="en-US" w:eastAsia="zh-CN" w:bidi="ar-SA"/>
    </w:rPr>
  </w:style>
  <w:style w:type="paragraph" w:customStyle="1" w:styleId="270">
    <w:name w:val="xl48"/>
    <w:basedOn w:val="1"/>
    <w:qFormat/>
    <w:uiPriority w:val="0"/>
    <w:pPr>
      <w:widowControl/>
      <w:pBdr>
        <w:bottom w:val="single" w:color="auto" w:sz="4" w:space="0"/>
      </w:pBdr>
      <w:spacing w:before="100" w:beforeAutospacing="1" w:after="100" w:afterAutospacing="1"/>
      <w:textAlignment w:val="top"/>
    </w:pPr>
    <w:rPr>
      <w:rFonts w:ascii="Arial Unicode MS" w:hAnsi="Arial Unicode MS" w:eastAsia="Arial Unicode MS" w:cs="Arial Unicode MS"/>
      <w:kern w:val="0"/>
      <w:sz w:val="20"/>
      <w:szCs w:val="20"/>
    </w:rPr>
  </w:style>
  <w:style w:type="paragraph" w:customStyle="1" w:styleId="271">
    <w:name w:val="CM7"/>
    <w:basedOn w:val="67"/>
    <w:next w:val="67"/>
    <w:qFormat/>
    <w:uiPriority w:val="0"/>
    <w:pPr>
      <w:spacing w:line="460" w:lineRule="atLeast"/>
    </w:pPr>
    <w:rPr>
      <w:rFonts w:ascii="黑体" w:eastAsia="黑体" w:cs="Times New Roman"/>
      <w:color w:val="auto"/>
      <w:sz w:val="20"/>
    </w:rPr>
  </w:style>
  <w:style w:type="paragraph" w:customStyle="1" w:styleId="272">
    <w:name w:val="xl39"/>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textAlignment w:val="center"/>
    </w:pPr>
    <w:rPr>
      <w:rFonts w:eastAsia="Arial Unicode MS"/>
      <w:kern w:val="0"/>
      <w:szCs w:val="21"/>
    </w:rPr>
  </w:style>
  <w:style w:type="paragraph" w:customStyle="1" w:styleId="273">
    <w:name w:val="标准文本 居中 单倍行距 Char Char"/>
    <w:basedOn w:val="1"/>
    <w:link w:val="400"/>
    <w:qFormat/>
    <w:uiPriority w:val="0"/>
    <w:pPr>
      <w:adjustRightInd w:val="0"/>
      <w:snapToGrid w:val="0"/>
      <w:jc w:val="center"/>
      <w:textAlignment w:val="center"/>
    </w:pPr>
    <w:rPr>
      <w:rFonts w:cs="宋体"/>
      <w:sz w:val="24"/>
    </w:rPr>
  </w:style>
  <w:style w:type="paragraph" w:customStyle="1" w:styleId="274">
    <w:name w:val="二级无标题条"/>
    <w:basedOn w:val="1"/>
    <w:qFormat/>
    <w:uiPriority w:val="0"/>
  </w:style>
  <w:style w:type="paragraph" w:customStyle="1" w:styleId="275">
    <w:name w:val="Char"/>
    <w:basedOn w:val="1"/>
    <w:qFormat/>
    <w:uiPriority w:val="0"/>
    <w:rPr>
      <w:sz w:val="24"/>
    </w:rPr>
  </w:style>
  <w:style w:type="paragraph" w:customStyle="1" w:styleId="276">
    <w:name w:val="Char Char Char"/>
    <w:basedOn w:val="1"/>
    <w:qFormat/>
    <w:uiPriority w:val="0"/>
    <w:pPr>
      <w:spacing w:after="156" w:afterLines="50" w:line="312" w:lineRule="auto"/>
      <w:ind w:firstLine="200" w:firstLineChars="200"/>
    </w:pPr>
    <w:rPr>
      <w:b/>
      <w:sz w:val="28"/>
      <w:szCs w:val="28"/>
    </w:rPr>
  </w:style>
  <w:style w:type="paragraph" w:customStyle="1" w:styleId="277">
    <w:name w:val="xl45"/>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pPr>
    <w:rPr>
      <w:rFonts w:ascii="Arial Unicode MS" w:hAnsi="Arial Unicode MS" w:eastAsia="Arial Unicode MS" w:cs="Arial Unicode MS"/>
      <w:color w:val="000000"/>
      <w:kern w:val="0"/>
      <w:sz w:val="18"/>
      <w:szCs w:val="18"/>
    </w:rPr>
  </w:style>
  <w:style w:type="paragraph" w:customStyle="1" w:styleId="278">
    <w:name w:val="MFS单位2"/>
    <w:basedOn w:val="149"/>
    <w:link w:val="354"/>
    <w:qFormat/>
    <w:uiPriority w:val="0"/>
    <w:rPr>
      <w:rFonts w:eastAsia="宋体"/>
    </w:rPr>
  </w:style>
  <w:style w:type="paragraph" w:customStyle="1" w:styleId="279">
    <w:name w:val="标题4"/>
    <w:basedOn w:val="1"/>
    <w:link w:val="386"/>
    <w:qFormat/>
    <w:uiPriority w:val="0"/>
    <w:pPr>
      <w:spacing w:line="480" w:lineRule="exact"/>
      <w:ind w:firstLine="200" w:firstLineChars="200"/>
      <w:jc w:val="left"/>
      <w:outlineLvl w:val="3"/>
    </w:pPr>
    <w:rPr>
      <w:sz w:val="28"/>
      <w:szCs w:val="21"/>
    </w:rPr>
  </w:style>
  <w:style w:type="paragraph" w:customStyle="1" w:styleId="280">
    <w:name w:val="样式 样式 标题 2(C+F2)(F3)Title22nd levelh22Header 2l2heading 2...1 + ..."/>
    <w:basedOn w:val="1"/>
    <w:qFormat/>
    <w:uiPriority w:val="0"/>
    <w:pPr>
      <w:adjustRightInd w:val="0"/>
      <w:snapToGrid w:val="0"/>
      <w:spacing w:before="156" w:beforeLines="50" w:line="360" w:lineRule="auto"/>
      <w:outlineLvl w:val="1"/>
    </w:pPr>
    <w:rPr>
      <w:rFonts w:eastAsia="黑体" w:cs="宋体"/>
      <w:b/>
      <w:bCs/>
      <w:sz w:val="28"/>
    </w:rPr>
  </w:style>
  <w:style w:type="paragraph" w:customStyle="1" w:styleId="281">
    <w:name w:val="xl32"/>
    <w:basedOn w:val="1"/>
    <w:qFormat/>
    <w:uiPriority w:val="0"/>
    <w:pPr>
      <w:widowControl/>
      <w:spacing w:before="100" w:beforeAutospacing="1" w:after="100" w:afterAutospacing="1"/>
      <w:jc w:val="center"/>
    </w:pPr>
    <w:rPr>
      <w:rFonts w:ascii="Arial Unicode MS" w:hAnsi="Arial Unicode MS" w:eastAsia="Arial Unicode MS" w:cs="Arial Unicode MS"/>
      <w:kern w:val="0"/>
      <w:sz w:val="20"/>
      <w:szCs w:val="20"/>
    </w:rPr>
  </w:style>
  <w:style w:type="paragraph" w:customStyle="1" w:styleId="282">
    <w:name w:val="表头（铸造）3"/>
    <w:basedOn w:val="1"/>
    <w:qFormat/>
    <w:uiPriority w:val="0"/>
    <w:pPr>
      <w:spacing w:line="360" w:lineRule="auto"/>
      <w:jc w:val="center"/>
    </w:pPr>
    <w:rPr>
      <w:rFonts w:eastAsia="方正宋黑简体"/>
      <w:b/>
      <w:sz w:val="24"/>
    </w:rPr>
  </w:style>
  <w:style w:type="paragraph" w:customStyle="1" w:styleId="283">
    <w:name w:val="Normal_9_1"/>
    <w:qFormat/>
    <w:uiPriority w:val="0"/>
    <w:pPr>
      <w:spacing w:before="120" w:after="240"/>
      <w:jc w:val="both"/>
    </w:pPr>
    <w:rPr>
      <w:rFonts w:ascii="Calibri" w:hAnsi="Calibri" w:eastAsia="Calibri" w:cs="Times New Roman"/>
      <w:sz w:val="22"/>
      <w:szCs w:val="22"/>
      <w:lang w:val="en-US" w:eastAsia="en-US" w:bidi="ar-SA"/>
    </w:rPr>
  </w:style>
  <w:style w:type="paragraph" w:customStyle="1" w:styleId="284">
    <w:name w:val="表格标题＋单位"/>
    <w:basedOn w:val="1"/>
    <w:link w:val="316"/>
    <w:qFormat/>
    <w:uiPriority w:val="0"/>
    <w:pPr>
      <w:wordWrap w:val="0"/>
      <w:spacing w:line="500" w:lineRule="exact"/>
      <w:jc w:val="right"/>
    </w:pPr>
    <w:rPr>
      <w:b/>
      <w:sz w:val="24"/>
    </w:rPr>
  </w:style>
  <w:style w:type="paragraph" w:customStyle="1" w:styleId="285">
    <w:name w:val="正文2"/>
    <w:basedOn w:val="1"/>
    <w:qFormat/>
    <w:uiPriority w:val="0"/>
    <w:pPr>
      <w:spacing w:line="500" w:lineRule="exact"/>
      <w:ind w:firstLine="560" w:firstLineChars="200"/>
    </w:pPr>
    <w:rPr>
      <w:rFonts w:ascii="楷体_GB2312" w:eastAsia="楷体_GB2312" w:cs="宋体"/>
      <w:sz w:val="28"/>
      <w:szCs w:val="20"/>
    </w:rPr>
  </w:style>
  <w:style w:type="paragraph" w:customStyle="1" w:styleId="286">
    <w:name w:val="都宝文字"/>
    <w:basedOn w:val="1"/>
    <w:qFormat/>
    <w:uiPriority w:val="0"/>
    <w:pPr>
      <w:spacing w:line="360" w:lineRule="auto"/>
      <w:ind w:firstLine="560" w:firstLineChars="200"/>
    </w:pPr>
    <w:rPr>
      <w:rFonts w:ascii="宋体" w:hAnsi="宋体"/>
      <w:sz w:val="28"/>
      <w:szCs w:val="28"/>
    </w:rPr>
  </w:style>
  <w:style w:type="paragraph" w:customStyle="1" w:styleId="287">
    <w:name w:val="xl60"/>
    <w:basedOn w:val="1"/>
    <w:qFormat/>
    <w:uiPriority w:val="0"/>
    <w:pPr>
      <w:widowControl/>
      <w:pBdr>
        <w:left w:val="single" w:color="auto" w:sz="8" w:space="0"/>
        <w:right w:val="single" w:color="auto" w:sz="4" w:space="0"/>
      </w:pBdr>
      <w:spacing w:before="100" w:beforeAutospacing="1" w:after="100" w:afterAutospacing="1"/>
      <w:jc w:val="center"/>
      <w:textAlignment w:val="top"/>
    </w:pPr>
    <w:rPr>
      <w:kern w:val="0"/>
      <w:sz w:val="24"/>
    </w:rPr>
  </w:style>
  <w:style w:type="paragraph" w:customStyle="1" w:styleId="288">
    <w:name w:val="Normal_7_1"/>
    <w:qFormat/>
    <w:uiPriority w:val="0"/>
    <w:pPr>
      <w:spacing w:before="120" w:after="240"/>
      <w:jc w:val="both"/>
    </w:pPr>
    <w:rPr>
      <w:rFonts w:ascii="Calibri" w:hAnsi="Calibri" w:eastAsia="Calibri" w:cs="Times New Roman"/>
      <w:sz w:val="22"/>
      <w:szCs w:val="22"/>
      <w:lang w:val="en-US" w:eastAsia="en-US" w:bidi="ar-SA"/>
    </w:rPr>
  </w:style>
  <w:style w:type="paragraph" w:customStyle="1" w:styleId="289">
    <w:name w:val="MFS标题2"/>
    <w:basedOn w:val="4"/>
    <w:link w:val="336"/>
    <w:qFormat/>
    <w:uiPriority w:val="0"/>
    <w:pPr>
      <w:keepLines/>
      <w:spacing w:before="62" w:beforeLines="20" w:line="415" w:lineRule="auto"/>
    </w:pPr>
    <w:rPr>
      <w:rFonts w:ascii="Times New Roman" w:hAnsi="Times New Roman" w:eastAsia="黑体"/>
      <w:b/>
      <w:bCs/>
      <w:color w:val="auto"/>
      <w:sz w:val="32"/>
      <w:szCs w:val="32"/>
    </w:rPr>
  </w:style>
  <w:style w:type="paragraph" w:customStyle="1" w:styleId="290">
    <w:name w:val="font7"/>
    <w:basedOn w:val="1"/>
    <w:qFormat/>
    <w:uiPriority w:val="0"/>
    <w:pPr>
      <w:widowControl/>
      <w:spacing w:before="100" w:beforeAutospacing="1" w:after="100" w:afterAutospacing="1"/>
      <w:jc w:val="left"/>
    </w:pPr>
    <w:rPr>
      <w:rFonts w:eastAsia="Arial Unicode MS"/>
      <w:kern w:val="0"/>
      <w:szCs w:val="21"/>
    </w:rPr>
  </w:style>
  <w:style w:type="paragraph" w:customStyle="1" w:styleId="291">
    <w:name w:val="样式（1）"/>
    <w:basedOn w:val="3"/>
    <w:link w:val="323"/>
    <w:qFormat/>
    <w:uiPriority w:val="0"/>
    <w:pPr>
      <w:keepLines w:val="0"/>
      <w:pageBreakBefore/>
      <w:spacing w:before="156" w:beforeLines="50" w:after="156" w:afterLines="50" w:line="520" w:lineRule="exact"/>
      <w:jc w:val="center"/>
    </w:pPr>
    <w:rPr>
      <w:rFonts w:ascii="Arial" w:hAnsi="Arial"/>
      <w:kern w:val="2"/>
      <w:sz w:val="28"/>
      <w:szCs w:val="24"/>
    </w:rPr>
  </w:style>
  <w:style w:type="paragraph" w:customStyle="1" w:styleId="292">
    <w:name w:val="font0"/>
    <w:basedOn w:val="1"/>
    <w:qFormat/>
    <w:uiPriority w:val="0"/>
    <w:pPr>
      <w:widowControl/>
      <w:spacing w:before="100" w:beforeAutospacing="1" w:after="100" w:afterAutospacing="1"/>
      <w:jc w:val="left"/>
    </w:pPr>
    <w:rPr>
      <w:rFonts w:hint="eastAsia" w:ascii="宋体" w:hAnsi="宋体"/>
      <w:kern w:val="0"/>
      <w:sz w:val="24"/>
    </w:rPr>
  </w:style>
  <w:style w:type="paragraph" w:customStyle="1" w:styleId="293">
    <w:name w:val="样式 样式 标题 2节 + (西文) Times New Roman (中文) 宋体 四号 段前: 0.5 行 段后: 0......"/>
    <w:basedOn w:val="1"/>
    <w:qFormat/>
    <w:uiPriority w:val="0"/>
    <w:pPr>
      <w:keepNext/>
      <w:keepLines/>
      <w:adjustRightInd w:val="0"/>
      <w:snapToGrid w:val="0"/>
      <w:spacing w:line="480" w:lineRule="exact"/>
      <w:outlineLvl w:val="1"/>
    </w:pPr>
    <w:rPr>
      <w:b/>
      <w:sz w:val="24"/>
    </w:rPr>
  </w:style>
  <w:style w:type="paragraph" w:customStyle="1" w:styleId="294">
    <w:name w:val="图形中文字"/>
    <w:basedOn w:val="1"/>
    <w:qFormat/>
    <w:uiPriority w:val="0"/>
    <w:pPr>
      <w:autoSpaceDE w:val="0"/>
      <w:autoSpaceDN w:val="0"/>
      <w:adjustRightInd w:val="0"/>
      <w:spacing w:line="460" w:lineRule="exact"/>
      <w:jc w:val="center"/>
    </w:pPr>
    <w:rPr>
      <w:rFonts w:ascii="宋体" w:hAnsi="Tms Rmn"/>
      <w:kern w:val="0"/>
      <w:sz w:val="24"/>
      <w:szCs w:val="20"/>
    </w:rPr>
  </w:style>
  <w:style w:type="paragraph" w:customStyle="1" w:styleId="295">
    <w:name w:val="t4"/>
    <w:basedOn w:val="1"/>
    <w:qFormat/>
    <w:uiPriority w:val="0"/>
    <w:pPr>
      <w:adjustRightInd w:val="0"/>
      <w:spacing w:line="360" w:lineRule="auto"/>
      <w:ind w:left="960" w:leftChars="150" w:firstLine="840" w:firstLineChars="200"/>
      <w:textAlignment w:val="baseline"/>
    </w:pPr>
    <w:rPr>
      <w:rFonts w:ascii="宋体"/>
      <w:kern w:val="0"/>
      <w:sz w:val="28"/>
      <w:szCs w:val="20"/>
    </w:rPr>
  </w:style>
  <w:style w:type="paragraph" w:customStyle="1" w:styleId="296">
    <w:name w:val="样式 段前: 0.3 行 段后: 0.3 行"/>
    <w:basedOn w:val="1"/>
    <w:qFormat/>
    <w:uiPriority w:val="0"/>
    <w:pPr>
      <w:spacing w:before="93" w:after="93" w:line="360" w:lineRule="auto"/>
      <w:ind w:firstLine="200" w:firstLineChars="200"/>
    </w:pPr>
    <w:rPr>
      <w:rFonts w:cs="宋体"/>
      <w:sz w:val="24"/>
      <w:szCs w:val="20"/>
    </w:rPr>
  </w:style>
  <w:style w:type="paragraph" w:customStyle="1" w:styleId="297">
    <w:name w:val="公式 首行缩进:  2 字符"/>
    <w:basedOn w:val="1"/>
    <w:link w:val="355"/>
    <w:qFormat/>
    <w:uiPriority w:val="0"/>
    <w:pPr>
      <w:ind w:firstLine="200" w:firstLineChars="200"/>
      <w:textAlignment w:val="center"/>
    </w:pPr>
    <w:rPr>
      <w:rFonts w:cs="宋体"/>
      <w:sz w:val="24"/>
    </w:rPr>
  </w:style>
  <w:style w:type="paragraph" w:customStyle="1" w:styleId="298">
    <w:name w:val="段落"/>
    <w:basedOn w:val="1"/>
    <w:qFormat/>
    <w:uiPriority w:val="0"/>
    <w:pPr>
      <w:tabs>
        <w:tab w:val="left" w:pos="1021"/>
      </w:tabs>
      <w:adjustRightInd w:val="0"/>
      <w:snapToGrid w:val="0"/>
      <w:spacing w:line="520" w:lineRule="exact"/>
      <w:ind w:firstLine="480" w:firstLineChars="200"/>
    </w:pPr>
    <w:rPr>
      <w:kern w:val="24"/>
      <w:sz w:val="24"/>
    </w:rPr>
  </w:style>
  <w:style w:type="paragraph" w:customStyle="1" w:styleId="299">
    <w:name w:val="1 Char Char Char Char Char Char Char Char Char Char Char Char Char"/>
    <w:basedOn w:val="1"/>
    <w:qFormat/>
    <w:uiPriority w:val="0"/>
  </w:style>
  <w:style w:type="paragraph" w:customStyle="1" w:styleId="300">
    <w:name w:val="xl53"/>
    <w:basedOn w:val="1"/>
    <w:qFormat/>
    <w:uiPriority w:val="0"/>
    <w:pPr>
      <w:widowControl/>
      <w:spacing w:before="100" w:beforeAutospacing="1" w:after="100" w:afterAutospacing="1"/>
      <w:jc w:val="left"/>
    </w:pPr>
    <w:rPr>
      <w:rFonts w:ascii="宋体" w:hAnsi="宋体"/>
      <w:b/>
      <w:bCs/>
      <w:kern w:val="0"/>
      <w:sz w:val="52"/>
      <w:szCs w:val="52"/>
    </w:rPr>
  </w:style>
  <w:style w:type="paragraph" w:customStyle="1" w:styleId="301">
    <w:name w:val="样式 宋体 小四 行距: 固定值 28 磅"/>
    <w:basedOn w:val="1"/>
    <w:qFormat/>
    <w:uiPriority w:val="0"/>
    <w:pPr>
      <w:spacing w:after="156" w:afterLines="50" w:line="480" w:lineRule="auto"/>
    </w:pPr>
    <w:rPr>
      <w:rFonts w:ascii="宋体" w:hAnsi="宋体" w:cs="宋体"/>
      <w:sz w:val="24"/>
      <w:szCs w:val="20"/>
    </w:rPr>
  </w:style>
  <w:style w:type="paragraph" w:customStyle="1" w:styleId="302">
    <w:name w:val="Definition Term"/>
    <w:basedOn w:val="1"/>
    <w:next w:val="1"/>
    <w:qFormat/>
    <w:uiPriority w:val="0"/>
    <w:pPr>
      <w:widowControl/>
      <w:overflowPunct w:val="0"/>
      <w:autoSpaceDE w:val="0"/>
      <w:autoSpaceDN w:val="0"/>
      <w:adjustRightInd w:val="0"/>
      <w:jc w:val="left"/>
      <w:textAlignment w:val="baseline"/>
    </w:pPr>
    <w:rPr>
      <w:kern w:val="0"/>
      <w:sz w:val="24"/>
      <w:lang w:val="en-GB"/>
    </w:rPr>
  </w:style>
  <w:style w:type="paragraph" w:customStyle="1" w:styleId="303">
    <w:name w:val="xl2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kern w:val="0"/>
      <w:sz w:val="24"/>
    </w:rPr>
  </w:style>
  <w:style w:type="paragraph" w:customStyle="1" w:styleId="304">
    <w:name w:val="标准文本 首行缩进:2 字符 行距1倍"/>
    <w:basedOn w:val="1"/>
    <w:qFormat/>
    <w:uiPriority w:val="0"/>
    <w:pPr>
      <w:adjustRightInd w:val="0"/>
      <w:snapToGrid w:val="0"/>
      <w:spacing w:line="480" w:lineRule="exact"/>
      <w:ind w:firstLine="540" w:firstLineChars="225"/>
      <w:textAlignment w:val="center"/>
    </w:pPr>
    <w:rPr>
      <w:rFonts w:cs="宋体"/>
      <w:sz w:val="24"/>
      <w:szCs w:val="20"/>
    </w:rPr>
  </w:style>
  <w:style w:type="paragraph" w:customStyle="1" w:styleId="305">
    <w:name w:val="表格2"/>
    <w:basedOn w:val="1"/>
    <w:next w:val="1"/>
    <w:qFormat/>
    <w:uiPriority w:val="0"/>
    <w:pPr>
      <w:topLinePunct/>
      <w:autoSpaceDE w:val="0"/>
      <w:autoSpaceDN w:val="0"/>
      <w:adjustRightInd w:val="0"/>
      <w:jc w:val="center"/>
      <w:textAlignment w:val="baseline"/>
    </w:pPr>
    <w:rPr>
      <w:rFonts w:ascii="宋体" w:hAnsi="Impact"/>
      <w:kern w:val="24"/>
      <w:position w:val="-28"/>
      <w:szCs w:val="20"/>
    </w:rPr>
  </w:style>
  <w:style w:type="paragraph" w:customStyle="1" w:styleId="306">
    <w:name w:val="表格内容自定"/>
    <w:basedOn w:val="1"/>
    <w:qFormat/>
    <w:uiPriority w:val="0"/>
    <w:pPr>
      <w:spacing w:line="280" w:lineRule="exact"/>
      <w:jc w:val="center"/>
    </w:pPr>
    <w:rPr>
      <w:kern w:val="0"/>
      <w:sz w:val="18"/>
      <w:szCs w:val="21"/>
    </w:rPr>
  </w:style>
  <w:style w:type="paragraph" w:customStyle="1" w:styleId="307">
    <w:name w:val="xl52"/>
    <w:basedOn w:val="1"/>
    <w:qFormat/>
    <w:uiPriority w:val="0"/>
    <w:pPr>
      <w:widowControl/>
      <w:spacing w:before="100" w:beforeAutospacing="1" w:after="100" w:afterAutospacing="1"/>
      <w:jc w:val="center"/>
    </w:pPr>
    <w:rPr>
      <w:rFonts w:ascii="宋体" w:hAnsi="宋体"/>
      <w:b/>
      <w:bCs/>
      <w:kern w:val="0"/>
      <w:sz w:val="52"/>
      <w:szCs w:val="52"/>
    </w:rPr>
  </w:style>
  <w:style w:type="paragraph" w:customStyle="1" w:styleId="308">
    <w:name w:val="标题（2）"/>
    <w:basedOn w:val="4"/>
    <w:qFormat/>
    <w:uiPriority w:val="0"/>
    <w:pPr>
      <w:spacing w:before="120" w:line="360" w:lineRule="auto"/>
    </w:pPr>
    <w:rPr>
      <w:rFonts w:ascii="Arial" w:hAnsi="Arial" w:cs="宋体"/>
      <w:b/>
      <w:sz w:val="24"/>
      <w:szCs w:val="20"/>
    </w:rPr>
  </w:style>
  <w:style w:type="character" w:customStyle="1" w:styleId="309">
    <w:name w:val="批注主题 字符"/>
    <w:link w:val="51"/>
    <w:qFormat/>
    <w:uiPriority w:val="0"/>
    <w:rPr>
      <w:rFonts w:eastAsia="宋体"/>
      <w:b/>
      <w:bCs/>
      <w:kern w:val="2"/>
      <w:sz w:val="21"/>
      <w:szCs w:val="24"/>
      <w:lang w:val="en-US" w:eastAsia="zh-CN" w:bidi="ar-SA"/>
    </w:rPr>
  </w:style>
  <w:style w:type="character" w:customStyle="1" w:styleId="310">
    <w:name w:val="正文文本首行缩进 字符"/>
    <w:link w:val="52"/>
    <w:qFormat/>
    <w:uiPriority w:val="0"/>
    <w:rPr>
      <w:rFonts w:eastAsia="宋体"/>
      <w:kern w:val="2"/>
      <w:sz w:val="24"/>
      <w:szCs w:val="24"/>
      <w:lang w:val="en-US" w:eastAsia="zh-CN" w:bidi="ar-SA"/>
    </w:rPr>
  </w:style>
  <w:style w:type="character" w:customStyle="1" w:styleId="311">
    <w:name w:val="宗兴正文 Char"/>
    <w:link w:val="70"/>
    <w:qFormat/>
    <w:uiPriority w:val="0"/>
    <w:rPr>
      <w:kern w:val="2"/>
      <w:sz w:val="24"/>
      <w:szCs w:val="24"/>
    </w:rPr>
  </w:style>
  <w:style w:type="character" w:customStyle="1" w:styleId="312">
    <w:name w:val="标题 21"/>
    <w:qFormat/>
    <w:uiPriority w:val="0"/>
    <w:rPr>
      <w:rFonts w:eastAsia="宋体"/>
      <w:b/>
      <w:sz w:val="24"/>
      <w:lang w:val="en-US" w:eastAsia="zh-CN" w:bidi="ar-SA"/>
    </w:rPr>
  </w:style>
  <w:style w:type="character" w:customStyle="1" w:styleId="313">
    <w:name w:val="表格文本 五号 居中 单倍行距 Char Char Char"/>
    <w:link w:val="127"/>
    <w:qFormat/>
    <w:uiPriority w:val="0"/>
    <w:rPr>
      <w:rFonts w:eastAsia="宋体" w:cs="宋体"/>
      <w:kern w:val="2"/>
      <w:sz w:val="21"/>
      <w:szCs w:val="21"/>
      <w:lang w:val="en-US" w:eastAsia="zh-CN" w:bidi="ar-SA"/>
    </w:rPr>
  </w:style>
  <w:style w:type="character" w:customStyle="1" w:styleId="314">
    <w:name w:val="正文缩进 字符"/>
    <w:link w:val="15"/>
    <w:qFormat/>
    <w:uiPriority w:val="0"/>
    <w:rPr>
      <w:rFonts w:eastAsia="宋体"/>
      <w:kern w:val="2"/>
      <w:sz w:val="24"/>
      <w:lang w:val="en-US" w:eastAsia="zh-CN" w:bidi="ar-SA"/>
    </w:rPr>
  </w:style>
  <w:style w:type="character" w:customStyle="1" w:styleId="315">
    <w:name w:val="spelle"/>
    <w:basedOn w:val="55"/>
    <w:qFormat/>
    <w:uiPriority w:val="0"/>
  </w:style>
  <w:style w:type="character" w:customStyle="1" w:styleId="316">
    <w:name w:val="表格标题＋单位 Char"/>
    <w:link w:val="284"/>
    <w:qFormat/>
    <w:uiPriority w:val="0"/>
    <w:rPr>
      <w:b/>
      <w:kern w:val="2"/>
      <w:sz w:val="24"/>
      <w:szCs w:val="24"/>
    </w:rPr>
  </w:style>
  <w:style w:type="character" w:customStyle="1" w:styleId="317">
    <w:name w:val="图题 Char1"/>
    <w:link w:val="204"/>
    <w:qFormat/>
    <w:uiPriority w:val="0"/>
    <w:rPr>
      <w:rFonts w:ascii="Arial" w:hAnsi="Arial"/>
      <w:b/>
      <w:kern w:val="2"/>
      <w:sz w:val="24"/>
      <w:szCs w:val="24"/>
    </w:rPr>
  </w:style>
  <w:style w:type="character" w:customStyle="1" w:styleId="318">
    <w:name w:val="h31"/>
    <w:qFormat/>
    <w:uiPriority w:val="0"/>
    <w:rPr>
      <w:sz w:val="18"/>
      <w:szCs w:val="18"/>
    </w:rPr>
  </w:style>
  <w:style w:type="character" w:customStyle="1" w:styleId="319">
    <w:name w:val="正文文本首行缩进 2 字符"/>
    <w:link w:val="24"/>
    <w:qFormat/>
    <w:locked/>
    <w:uiPriority w:val="0"/>
    <w:rPr>
      <w:kern w:val="2"/>
      <w:sz w:val="21"/>
      <w:szCs w:val="24"/>
    </w:rPr>
  </w:style>
  <w:style w:type="character" w:customStyle="1" w:styleId="320">
    <w:name w:val="font61"/>
    <w:basedOn w:val="55"/>
    <w:qFormat/>
    <w:uiPriority w:val="0"/>
    <w:rPr>
      <w:rFonts w:hint="eastAsia" w:ascii="宋体" w:hAnsi="宋体" w:eastAsia="宋体" w:cs="宋体"/>
      <w:color w:val="FF0000"/>
      <w:sz w:val="21"/>
      <w:szCs w:val="21"/>
      <w:u w:val="none"/>
    </w:rPr>
  </w:style>
  <w:style w:type="character" w:customStyle="1" w:styleId="321">
    <w:name w:val="apple-style-span"/>
    <w:basedOn w:val="55"/>
    <w:qFormat/>
    <w:uiPriority w:val="0"/>
  </w:style>
  <w:style w:type="character" w:customStyle="1" w:styleId="322">
    <w:name w:val="wz1"/>
    <w:basedOn w:val="55"/>
    <w:qFormat/>
    <w:uiPriority w:val="0"/>
  </w:style>
  <w:style w:type="character" w:customStyle="1" w:styleId="323">
    <w:name w:val="样式（1） Char"/>
    <w:link w:val="291"/>
    <w:qFormat/>
    <w:uiPriority w:val="0"/>
    <w:rPr>
      <w:rFonts w:ascii="Arial" w:hAnsi="Arial" w:eastAsia="宋体"/>
      <w:b/>
      <w:bCs/>
      <w:kern w:val="2"/>
      <w:sz w:val="28"/>
      <w:szCs w:val="24"/>
      <w:lang w:val="en-US" w:eastAsia="zh-CN" w:bidi="ar-SA"/>
    </w:rPr>
  </w:style>
  <w:style w:type="character" w:customStyle="1" w:styleId="324">
    <w:name w:val="样式 MFS正文 Char Char Char + 宋体 Char Char"/>
    <w:qFormat/>
    <w:uiPriority w:val="0"/>
    <w:rPr>
      <w:rFonts w:ascii="Times New Roman" w:hAnsi="Times New Roman" w:eastAsia="楷体_GB2312"/>
      <w:kern w:val="2"/>
      <w:sz w:val="24"/>
      <w:szCs w:val="24"/>
      <w:lang w:val="en-US" w:eastAsia="zh-CN" w:bidi="ar-SA"/>
    </w:rPr>
  </w:style>
  <w:style w:type="character" w:customStyle="1" w:styleId="325">
    <w:name w:val="bigcopy1"/>
    <w:qFormat/>
    <w:uiPriority w:val="0"/>
    <w:rPr>
      <w:color w:val="000000"/>
      <w:sz w:val="22"/>
      <w:szCs w:val="22"/>
    </w:rPr>
  </w:style>
  <w:style w:type="character" w:customStyle="1" w:styleId="326">
    <w:name w:val="正文文本 3 字符"/>
    <w:link w:val="20"/>
    <w:qFormat/>
    <w:uiPriority w:val="0"/>
    <w:rPr>
      <w:rFonts w:eastAsia="宋体"/>
      <w:kern w:val="2"/>
      <w:sz w:val="16"/>
      <w:szCs w:val="16"/>
      <w:lang w:val="en-US" w:eastAsia="zh-CN" w:bidi="ar-SA"/>
    </w:rPr>
  </w:style>
  <w:style w:type="character" w:customStyle="1" w:styleId="327">
    <w:name w:val="正文（首行缩进） Char Char"/>
    <w:link w:val="122"/>
    <w:qFormat/>
    <w:uiPriority w:val="0"/>
    <w:rPr>
      <w:rFonts w:eastAsia="宋体"/>
      <w:snapToGrid w:val="0"/>
      <w:sz w:val="24"/>
      <w:szCs w:val="24"/>
      <w:lang w:val="en-US" w:eastAsia="zh-CN" w:bidi="ar-SA"/>
    </w:rPr>
  </w:style>
  <w:style w:type="character" w:customStyle="1" w:styleId="328">
    <w:name w:val="样式 标准文本 首行缩进:2 字符 行距1.5倍 + 首行缩进:  2 字符1 Char"/>
    <w:basedOn w:val="329"/>
    <w:link w:val="171"/>
    <w:qFormat/>
    <w:uiPriority w:val="0"/>
    <w:rPr>
      <w:rFonts w:eastAsia="宋体" w:cs="宋体"/>
      <w:kern w:val="2"/>
      <w:sz w:val="24"/>
      <w:szCs w:val="24"/>
      <w:lang w:val="en-US" w:eastAsia="zh-CN" w:bidi="ar-SA"/>
    </w:rPr>
  </w:style>
  <w:style w:type="character" w:customStyle="1" w:styleId="329">
    <w:name w:val="标准文本 首行缩进:2 字符 行距1.5倍 Char Char"/>
    <w:link w:val="89"/>
    <w:qFormat/>
    <w:uiPriority w:val="0"/>
    <w:rPr>
      <w:rFonts w:eastAsia="宋体" w:cs="宋体"/>
      <w:kern w:val="2"/>
      <w:sz w:val="24"/>
      <w:szCs w:val="24"/>
      <w:lang w:val="en-US" w:eastAsia="zh-CN" w:bidi="ar-SA"/>
    </w:rPr>
  </w:style>
  <w:style w:type="character" w:customStyle="1" w:styleId="330">
    <w:name w:val="普通文字 Char1"/>
    <w:qFormat/>
    <w:uiPriority w:val="0"/>
    <w:rPr>
      <w:rFonts w:ascii="宋体" w:hAnsi="Courier New" w:eastAsia="宋体"/>
      <w:kern w:val="2"/>
      <w:sz w:val="21"/>
      <w:lang w:val="en-US" w:eastAsia="zh-CN" w:bidi="ar-SA"/>
    </w:rPr>
  </w:style>
  <w:style w:type="character" w:customStyle="1" w:styleId="331">
    <w:name w:val="表格 Char1"/>
    <w:qFormat/>
    <w:uiPriority w:val="0"/>
    <w:rPr>
      <w:rFonts w:eastAsia="仿宋_GB2312"/>
      <w:kern w:val="2"/>
      <w:sz w:val="21"/>
    </w:rPr>
  </w:style>
  <w:style w:type="character" w:customStyle="1" w:styleId="332">
    <w:name w:val="样式 报告 + 左侧:  0 厘米 段前: 3.6 磅 段后: 3.6 磅 行距: 1.5 倍行距 Char"/>
    <w:link w:val="106"/>
    <w:qFormat/>
    <w:uiPriority w:val="0"/>
    <w:rPr>
      <w:rFonts w:cs="宋体"/>
      <w:sz w:val="24"/>
    </w:rPr>
  </w:style>
  <w:style w:type="character" w:customStyle="1" w:styleId="333">
    <w:name w:val="MFS单位4 Char"/>
    <w:link w:val="148"/>
    <w:qFormat/>
    <w:uiPriority w:val="0"/>
    <w:rPr>
      <w:rFonts w:eastAsia="楷体_GB2312"/>
      <w:kern w:val="2"/>
      <w:sz w:val="18"/>
      <w:szCs w:val="18"/>
      <w:lang w:val="en-US" w:eastAsia="zh-CN" w:bidi="ar-SA"/>
    </w:rPr>
  </w:style>
  <w:style w:type="character" w:customStyle="1" w:styleId="334">
    <w:name w:val="样式 MFS正文 Char Char Char + 宋体 Char Char Char"/>
    <w:qFormat/>
    <w:uiPriority w:val="0"/>
    <w:rPr>
      <w:rFonts w:ascii="宋体" w:hAnsi="宋体" w:eastAsia="楷体_GB2312"/>
      <w:kern w:val="2"/>
      <w:sz w:val="24"/>
      <w:szCs w:val="24"/>
      <w:lang w:val="en-US" w:eastAsia="zh-CN" w:bidi="ar-SA"/>
    </w:rPr>
  </w:style>
  <w:style w:type="character" w:customStyle="1" w:styleId="335">
    <w:name w:val="MFS单位1 Char"/>
    <w:link w:val="152"/>
    <w:qFormat/>
    <w:uiPriority w:val="0"/>
    <w:rPr>
      <w:rFonts w:eastAsia="楷体_GB2312"/>
      <w:kern w:val="2"/>
      <w:sz w:val="18"/>
      <w:szCs w:val="18"/>
      <w:lang w:val="en-US" w:eastAsia="zh-CN" w:bidi="ar-SA"/>
    </w:rPr>
  </w:style>
  <w:style w:type="character" w:customStyle="1" w:styleId="336">
    <w:name w:val="MFS标题2 Char"/>
    <w:link w:val="289"/>
    <w:qFormat/>
    <w:uiPriority w:val="0"/>
    <w:rPr>
      <w:rFonts w:eastAsia="黑体"/>
      <w:b/>
      <w:bCs/>
      <w:kern w:val="2"/>
      <w:sz w:val="32"/>
      <w:szCs w:val="32"/>
      <w:lang w:val="en-US" w:eastAsia="zh-CN" w:bidi="ar-SA"/>
    </w:rPr>
  </w:style>
  <w:style w:type="character" w:customStyle="1" w:styleId="337">
    <w:name w:val="正文首行缩进 2 + Times New Roman Char"/>
    <w:qFormat/>
    <w:uiPriority w:val="0"/>
    <w:rPr>
      <w:rFonts w:eastAsia="宋体"/>
      <w:sz w:val="24"/>
      <w:szCs w:val="24"/>
      <w:lang w:val="en-US" w:eastAsia="zh-CN" w:bidi="ar-SA"/>
    </w:rPr>
  </w:style>
  <w:style w:type="character" w:customStyle="1" w:styleId="338">
    <w:name w:val="标题 8 字符"/>
    <w:link w:val="10"/>
    <w:qFormat/>
    <w:uiPriority w:val="0"/>
    <w:rPr>
      <w:rFonts w:ascii="Arial" w:hAnsi="Arial" w:eastAsia="黑体"/>
      <w:sz w:val="24"/>
      <w:lang w:val="en-US" w:eastAsia="zh-CN" w:bidi="ar-SA"/>
    </w:rPr>
  </w:style>
  <w:style w:type="character" w:customStyle="1" w:styleId="339">
    <w:name w:val="表格文字 Char"/>
    <w:link w:val="173"/>
    <w:qFormat/>
    <w:locked/>
    <w:uiPriority w:val="0"/>
    <w:rPr>
      <w:bCs/>
      <w:spacing w:val="-10"/>
      <w:kern w:val="16"/>
      <w:sz w:val="21"/>
      <w:szCs w:val="21"/>
    </w:rPr>
  </w:style>
  <w:style w:type="character" w:customStyle="1" w:styleId="340">
    <w:name w:val="标题 1 Char1"/>
    <w:qFormat/>
    <w:uiPriority w:val="0"/>
    <w:rPr>
      <w:rFonts w:eastAsia="宋体"/>
      <w:b/>
      <w:bCs/>
      <w:kern w:val="44"/>
      <w:sz w:val="44"/>
      <w:szCs w:val="44"/>
      <w:lang w:val="en-US" w:eastAsia="zh-CN" w:bidi="ar-SA"/>
    </w:rPr>
  </w:style>
  <w:style w:type="character" w:customStyle="1" w:styleId="341">
    <w:name w:val="标准文本 居中 行距1.5倍 Char"/>
    <w:link w:val="201"/>
    <w:qFormat/>
    <w:uiPriority w:val="0"/>
    <w:rPr>
      <w:rFonts w:eastAsia="宋体" w:cs="宋体"/>
      <w:kern w:val="2"/>
      <w:sz w:val="24"/>
      <w:szCs w:val="24"/>
      <w:lang w:val="en-US" w:eastAsia="zh-CN" w:bidi="ar-SA"/>
    </w:rPr>
  </w:style>
  <w:style w:type="character" w:customStyle="1" w:styleId="342">
    <w:name w:val="段落 Char Char"/>
    <w:link w:val="218"/>
    <w:qFormat/>
    <w:uiPriority w:val="0"/>
    <w:rPr>
      <w:rFonts w:eastAsia="宋体"/>
      <w:kern w:val="2"/>
      <w:sz w:val="24"/>
      <w:szCs w:val="24"/>
      <w:lang w:val="en-US" w:eastAsia="zh-CN" w:bidi="ar-SA"/>
    </w:rPr>
  </w:style>
  <w:style w:type="character" w:customStyle="1" w:styleId="343">
    <w:name w:val="表头（海红） Char"/>
    <w:link w:val="172"/>
    <w:qFormat/>
    <w:uiPriority w:val="0"/>
    <w:rPr>
      <w:rFonts w:hAnsi="宋体" w:cs="宋体"/>
      <w:b/>
      <w:bCs/>
      <w:color w:val="000000"/>
      <w:sz w:val="21"/>
    </w:rPr>
  </w:style>
  <w:style w:type="character" w:customStyle="1" w:styleId="344">
    <w:name w:val="册除格式 Char Char Char"/>
    <w:qFormat/>
    <w:uiPriority w:val="0"/>
    <w:rPr>
      <w:rFonts w:ascii="黑体" w:hAnsi="Arial" w:eastAsia="宋体" w:cs="Arial"/>
      <w:snapToGrid w:val="0"/>
      <w:spacing w:val="4"/>
      <w:kern w:val="18"/>
      <w:sz w:val="24"/>
      <w:szCs w:val="28"/>
      <w:lang w:val="en-US" w:eastAsia="zh-CN" w:bidi="ar-SA"/>
    </w:rPr>
  </w:style>
  <w:style w:type="character" w:customStyle="1" w:styleId="345">
    <w:name w:val="标题 字符"/>
    <w:link w:val="50"/>
    <w:qFormat/>
    <w:uiPriority w:val="0"/>
    <w:rPr>
      <w:rFonts w:ascii="Arial" w:hAnsi="Arial" w:eastAsia="宋体" w:cs="Arial"/>
      <w:b/>
      <w:bCs/>
      <w:kern w:val="2"/>
      <w:sz w:val="32"/>
      <w:szCs w:val="32"/>
      <w:lang w:val="en-US" w:eastAsia="zh-CN" w:bidi="ar-SA"/>
    </w:rPr>
  </w:style>
  <w:style w:type="character" w:customStyle="1" w:styleId="346">
    <w:name w:val="标题 2 字符"/>
    <w:link w:val="4"/>
    <w:qFormat/>
    <w:uiPriority w:val="0"/>
    <w:rPr>
      <w:rFonts w:ascii="宋体" w:hAnsi="宋体" w:eastAsia="宋体"/>
      <w:color w:val="000000"/>
      <w:kern w:val="2"/>
      <w:sz w:val="28"/>
      <w:szCs w:val="24"/>
      <w:lang w:val="en-US" w:eastAsia="zh-CN" w:bidi="ar-SA"/>
    </w:rPr>
  </w:style>
  <w:style w:type="character" w:customStyle="1" w:styleId="347">
    <w:name w:val="表格 Char"/>
    <w:link w:val="111"/>
    <w:qFormat/>
    <w:uiPriority w:val="0"/>
    <w:rPr>
      <w:rFonts w:ascii="昆仑仿宋" w:eastAsia="昆仑仿宋"/>
      <w:sz w:val="24"/>
      <w:lang w:val="en-US" w:eastAsia="zh-CN" w:bidi="ar-SA"/>
    </w:rPr>
  </w:style>
  <w:style w:type="character" w:customStyle="1" w:styleId="348">
    <w:name w:val="文章正文格式 Char"/>
    <w:link w:val="221"/>
    <w:qFormat/>
    <w:uiPriority w:val="0"/>
    <w:rPr>
      <w:rFonts w:ascii="宋体" w:eastAsia="宋体" w:cs="宋体"/>
      <w:spacing w:val="8"/>
      <w:kern w:val="2"/>
      <w:sz w:val="24"/>
      <w:szCs w:val="28"/>
      <w:lang w:val="en-US" w:eastAsia="zh-CN" w:bidi="ar-SA"/>
    </w:rPr>
  </w:style>
  <w:style w:type="character" w:customStyle="1" w:styleId="349">
    <w:name w:val="MFS单位 Char Char"/>
    <w:link w:val="224"/>
    <w:qFormat/>
    <w:uiPriority w:val="0"/>
    <w:rPr>
      <w:rFonts w:eastAsia="宋体"/>
      <w:kern w:val="2"/>
      <w:sz w:val="18"/>
      <w:szCs w:val="24"/>
      <w:lang w:val="en-US" w:eastAsia="zh-CN" w:bidi="ar-SA"/>
    </w:rPr>
  </w:style>
  <w:style w:type="character" w:customStyle="1" w:styleId="350">
    <w:name w:val="bold1"/>
    <w:qFormat/>
    <w:uiPriority w:val="0"/>
    <w:rPr>
      <w:b/>
      <w:bCs/>
    </w:rPr>
  </w:style>
  <w:style w:type="character" w:customStyle="1" w:styleId="351">
    <w:name w:val="正文B Char"/>
    <w:link w:val="235"/>
    <w:qFormat/>
    <w:locked/>
    <w:uiPriority w:val="0"/>
    <w:rPr>
      <w:rFonts w:ascii="楷体_GB2312" w:eastAsia="楷体_GB2312"/>
      <w:kern w:val="2"/>
      <w:sz w:val="28"/>
      <w:lang w:bidi="ar-SA"/>
    </w:rPr>
  </w:style>
  <w:style w:type="character" w:customStyle="1" w:styleId="352">
    <w:name w:val="正文文本缩进 2 字符"/>
    <w:link w:val="23"/>
    <w:qFormat/>
    <w:uiPriority w:val="0"/>
    <w:rPr>
      <w:rFonts w:eastAsia="宋体"/>
      <w:kern w:val="2"/>
      <w:sz w:val="21"/>
      <w:szCs w:val="24"/>
      <w:lang w:val="en-US" w:eastAsia="zh-CN" w:bidi="ar-SA"/>
    </w:rPr>
  </w:style>
  <w:style w:type="character" w:customStyle="1" w:styleId="353">
    <w:name w:val="日期 字符"/>
    <w:link w:val="33"/>
    <w:qFormat/>
    <w:uiPriority w:val="0"/>
    <w:rPr>
      <w:rFonts w:eastAsia="宋体"/>
      <w:kern w:val="2"/>
      <w:sz w:val="28"/>
      <w:lang w:val="en-US" w:eastAsia="zh-CN" w:bidi="ar-SA"/>
    </w:rPr>
  </w:style>
  <w:style w:type="character" w:customStyle="1" w:styleId="354">
    <w:name w:val="MFS单位2 Char"/>
    <w:link w:val="278"/>
    <w:qFormat/>
    <w:uiPriority w:val="0"/>
    <w:rPr>
      <w:rFonts w:eastAsia="宋体"/>
      <w:kern w:val="2"/>
      <w:sz w:val="18"/>
      <w:szCs w:val="24"/>
      <w:lang w:val="en-US" w:eastAsia="zh-CN" w:bidi="ar-SA"/>
    </w:rPr>
  </w:style>
  <w:style w:type="character" w:customStyle="1" w:styleId="355">
    <w:name w:val="公式 首行缩进:  2 字符 Char"/>
    <w:link w:val="297"/>
    <w:qFormat/>
    <w:uiPriority w:val="0"/>
    <w:rPr>
      <w:rFonts w:eastAsia="宋体" w:cs="宋体"/>
      <w:kern w:val="2"/>
      <w:sz w:val="24"/>
      <w:szCs w:val="24"/>
      <w:lang w:val="en-US" w:eastAsia="zh-CN" w:bidi="ar-SA"/>
    </w:rPr>
  </w:style>
  <w:style w:type="character" w:customStyle="1" w:styleId="356">
    <w:name w:val="批注文字 字符"/>
    <w:link w:val="18"/>
    <w:qFormat/>
    <w:uiPriority w:val="0"/>
    <w:rPr>
      <w:rFonts w:eastAsia="宋体"/>
      <w:kern w:val="2"/>
      <w:sz w:val="21"/>
      <w:szCs w:val="24"/>
      <w:lang w:val="en-US" w:eastAsia="zh-CN" w:bidi="ar-SA"/>
    </w:rPr>
  </w:style>
  <w:style w:type="character" w:customStyle="1" w:styleId="357">
    <w:name w:val="正文（海红） Char"/>
    <w:link w:val="252"/>
    <w:qFormat/>
    <w:uiPriority w:val="0"/>
    <w:rPr>
      <w:kern w:val="2"/>
      <w:sz w:val="24"/>
      <w:szCs w:val="24"/>
    </w:rPr>
  </w:style>
  <w:style w:type="character" w:customStyle="1" w:styleId="358">
    <w:name w:val="标题 4 Char"/>
    <w:qFormat/>
    <w:uiPriority w:val="0"/>
    <w:rPr>
      <w:rFonts w:ascii="Arial" w:hAnsi="Arial" w:eastAsia="仿宋_GB2312"/>
      <w:b/>
      <w:spacing w:val="4"/>
      <w:kern w:val="2"/>
      <w:sz w:val="24"/>
      <w:lang w:val="en-US" w:eastAsia="zh-CN" w:bidi="ar-SA"/>
    </w:rPr>
  </w:style>
  <w:style w:type="character" w:customStyle="1" w:styleId="359">
    <w:name w:val="正文文本 字符"/>
    <w:link w:val="2"/>
    <w:qFormat/>
    <w:uiPriority w:val="0"/>
    <w:rPr>
      <w:rFonts w:eastAsia="宋体"/>
      <w:kern w:val="2"/>
      <w:sz w:val="21"/>
      <w:szCs w:val="24"/>
      <w:lang w:val="en-US" w:eastAsia="zh-CN" w:bidi="ar-SA"/>
    </w:rPr>
  </w:style>
  <w:style w:type="character" w:customStyle="1" w:styleId="360">
    <w:name w:val="show-img-bd"/>
    <w:basedOn w:val="55"/>
    <w:qFormat/>
    <w:uiPriority w:val="0"/>
  </w:style>
  <w:style w:type="character" w:customStyle="1" w:styleId="361">
    <w:name w:val="标题 9 字符"/>
    <w:link w:val="11"/>
    <w:qFormat/>
    <w:uiPriority w:val="0"/>
    <w:rPr>
      <w:rFonts w:ascii="Arial" w:hAnsi="Arial" w:eastAsia="黑体"/>
      <w:sz w:val="21"/>
      <w:lang w:val="en-US" w:eastAsia="zh-CN" w:bidi="ar-SA"/>
    </w:rPr>
  </w:style>
  <w:style w:type="character" w:customStyle="1" w:styleId="362">
    <w:name w:val="font01"/>
    <w:basedOn w:val="55"/>
    <w:qFormat/>
    <w:uiPriority w:val="0"/>
    <w:rPr>
      <w:rFonts w:hint="eastAsia" w:ascii="宋体" w:hAnsi="宋体" w:eastAsia="宋体" w:cs="宋体"/>
      <w:color w:val="000000"/>
      <w:sz w:val="22"/>
      <w:szCs w:val="22"/>
      <w:u w:val="none"/>
    </w:rPr>
  </w:style>
  <w:style w:type="character" w:customStyle="1" w:styleId="363">
    <w:name w:val="MFS单位3 Char"/>
    <w:link w:val="186"/>
    <w:qFormat/>
    <w:uiPriority w:val="0"/>
    <w:rPr>
      <w:rFonts w:eastAsia="楷体_GB2312"/>
      <w:kern w:val="2"/>
      <w:sz w:val="18"/>
      <w:szCs w:val="18"/>
      <w:lang w:val="en-US" w:eastAsia="zh-CN" w:bidi="ar-SA"/>
    </w:rPr>
  </w:style>
  <w:style w:type="character" w:customStyle="1" w:styleId="364">
    <w:name w:val="标题 1 字符"/>
    <w:link w:val="3"/>
    <w:qFormat/>
    <w:uiPriority w:val="0"/>
    <w:rPr>
      <w:rFonts w:eastAsia="宋体"/>
      <w:b/>
      <w:bCs/>
      <w:kern w:val="44"/>
      <w:sz w:val="44"/>
      <w:szCs w:val="44"/>
      <w:lang w:val="en-US" w:eastAsia="zh-CN" w:bidi="ar-SA"/>
    </w:rPr>
  </w:style>
  <w:style w:type="character" w:customStyle="1" w:styleId="365">
    <w:name w:val="hb3 Char Char"/>
    <w:qFormat/>
    <w:uiPriority w:val="0"/>
    <w:rPr>
      <w:rFonts w:ascii="宋体" w:hAnsi="宋体" w:eastAsia="宋体"/>
      <w:b/>
      <w:bCs/>
      <w:sz w:val="24"/>
      <w:szCs w:val="32"/>
      <w:lang w:val="en-US" w:eastAsia="zh-CN" w:bidi="ar-SA"/>
    </w:rPr>
  </w:style>
  <w:style w:type="character" w:customStyle="1" w:styleId="366">
    <w:name w:val="24磅正文 Char"/>
    <w:link w:val="146"/>
    <w:qFormat/>
    <w:uiPriority w:val="0"/>
    <w:rPr>
      <w:kern w:val="2"/>
      <w:sz w:val="24"/>
      <w:szCs w:val="24"/>
    </w:rPr>
  </w:style>
  <w:style w:type="character" w:customStyle="1" w:styleId="367">
    <w:name w:val="样式 MFS正文 Char Char Char + 宋体 Char"/>
    <w:link w:val="83"/>
    <w:qFormat/>
    <w:uiPriority w:val="0"/>
    <w:rPr>
      <w:rFonts w:ascii="宋体" w:hAnsi="宋体" w:eastAsia="楷体_GB2312"/>
      <w:kern w:val="2"/>
      <w:sz w:val="24"/>
      <w:szCs w:val="24"/>
      <w:lang w:val="en-US" w:eastAsia="zh-CN" w:bidi="ar-SA"/>
    </w:rPr>
  </w:style>
  <w:style w:type="character" w:customStyle="1" w:styleId="368">
    <w:name w:val="表 Char1"/>
    <w:link w:val="99"/>
    <w:qFormat/>
    <w:uiPriority w:val="0"/>
    <w:rPr>
      <w:rFonts w:eastAsia="仿宋_GB2312" w:cs="仿宋_GB2312"/>
      <w:kern w:val="2"/>
      <w:sz w:val="21"/>
      <w:szCs w:val="21"/>
      <w:lang w:val="en-US" w:eastAsia="zh-CN" w:bidi="ar-SA"/>
    </w:rPr>
  </w:style>
  <w:style w:type="character" w:customStyle="1" w:styleId="369">
    <w:name w:val="MFS正文 Char Char Char Char"/>
    <w:qFormat/>
    <w:uiPriority w:val="0"/>
    <w:rPr>
      <w:rFonts w:eastAsia="宋体"/>
      <w:kern w:val="2"/>
      <w:sz w:val="24"/>
      <w:szCs w:val="24"/>
      <w:lang w:val="en-US" w:eastAsia="zh-CN" w:bidi="ar-SA"/>
    </w:rPr>
  </w:style>
  <w:style w:type="character" w:customStyle="1" w:styleId="370">
    <w:name w:val="正文首行缩进 2 + Times New Roman Char Char"/>
    <w:link w:val="87"/>
    <w:qFormat/>
    <w:uiPriority w:val="0"/>
    <w:rPr>
      <w:sz w:val="24"/>
      <w:szCs w:val="24"/>
    </w:rPr>
  </w:style>
  <w:style w:type="character" w:customStyle="1" w:styleId="371">
    <w:name w:val="标准文本 首行缩进:2 字符 行距1倍 Char Char Char Char Char"/>
    <w:link w:val="267"/>
    <w:qFormat/>
    <w:uiPriority w:val="0"/>
    <w:rPr>
      <w:rFonts w:ascii="黑体" w:eastAsia="黑体" w:cs="宋体"/>
      <w:kern w:val="2"/>
      <w:sz w:val="28"/>
      <w:szCs w:val="28"/>
      <w:lang w:val="en-US" w:eastAsia="zh-CN" w:bidi="ar-SA"/>
    </w:rPr>
  </w:style>
  <w:style w:type="character" w:customStyle="1" w:styleId="372">
    <w:name w:val="页脚 字符"/>
    <w:link w:val="35"/>
    <w:qFormat/>
    <w:uiPriority w:val="99"/>
    <w:rPr>
      <w:rFonts w:eastAsia="宋体"/>
      <w:kern w:val="2"/>
      <w:sz w:val="18"/>
      <w:szCs w:val="18"/>
      <w:lang w:val="en-US" w:eastAsia="zh-CN" w:bidi="ar-SA"/>
    </w:rPr>
  </w:style>
  <w:style w:type="character" w:customStyle="1" w:styleId="373">
    <w:name w:val="题注 字符"/>
    <w:link w:val="16"/>
    <w:qFormat/>
    <w:uiPriority w:val="0"/>
    <w:rPr>
      <w:rFonts w:ascii="Arial" w:hAnsi="Arial" w:eastAsia="黑体" w:cs="Arial"/>
      <w:kern w:val="2"/>
    </w:rPr>
  </w:style>
  <w:style w:type="character" w:customStyle="1" w:styleId="374">
    <w:name w:val="headline-content2"/>
    <w:basedOn w:val="55"/>
    <w:qFormat/>
    <w:uiPriority w:val="0"/>
  </w:style>
  <w:style w:type="character" w:customStyle="1" w:styleId="375">
    <w:name w:val="标题 6 字符"/>
    <w:link w:val="8"/>
    <w:qFormat/>
    <w:uiPriority w:val="0"/>
    <w:rPr>
      <w:rFonts w:ascii="Arial" w:hAnsi="Arial" w:eastAsia="黑体"/>
      <w:b/>
      <w:sz w:val="24"/>
      <w:lang w:val="en-US" w:eastAsia="zh-CN" w:bidi="ar-SA"/>
    </w:rPr>
  </w:style>
  <w:style w:type="character" w:customStyle="1" w:styleId="376">
    <w:name w:val="font21"/>
    <w:basedOn w:val="55"/>
    <w:qFormat/>
    <w:uiPriority w:val="0"/>
    <w:rPr>
      <w:rFonts w:hint="default" w:ascii="Calibri" w:hAnsi="Calibri" w:cs="Calibri"/>
      <w:color w:val="FF0000"/>
      <w:sz w:val="21"/>
      <w:szCs w:val="21"/>
      <w:u w:val="none"/>
    </w:rPr>
  </w:style>
  <w:style w:type="character" w:customStyle="1" w:styleId="377">
    <w:name w:val="font41"/>
    <w:basedOn w:val="55"/>
    <w:qFormat/>
    <w:uiPriority w:val="0"/>
    <w:rPr>
      <w:rFonts w:hint="eastAsia" w:ascii="仿宋" w:hAnsi="仿宋" w:eastAsia="仿宋" w:cs="仿宋"/>
      <w:color w:val="000000"/>
      <w:sz w:val="24"/>
      <w:szCs w:val="24"/>
      <w:u w:val="none"/>
    </w:rPr>
  </w:style>
  <w:style w:type="character" w:customStyle="1" w:styleId="378">
    <w:name w:val="批注框文本 字符"/>
    <w:link w:val="34"/>
    <w:qFormat/>
    <w:uiPriority w:val="0"/>
    <w:rPr>
      <w:rFonts w:eastAsia="宋体"/>
      <w:kern w:val="2"/>
      <w:sz w:val="18"/>
      <w:szCs w:val="18"/>
      <w:lang w:val="en-US" w:eastAsia="zh-CN" w:bidi="ar-SA"/>
    </w:rPr>
  </w:style>
  <w:style w:type="character" w:customStyle="1" w:styleId="379">
    <w:name w:val="ljx正文1 Char"/>
    <w:link w:val="90"/>
    <w:qFormat/>
    <w:uiPriority w:val="0"/>
    <w:rPr>
      <w:rFonts w:eastAsia="宋体"/>
      <w:kern w:val="2"/>
      <w:sz w:val="28"/>
      <w:szCs w:val="28"/>
      <w:lang w:val="en-US" w:eastAsia="zh-CN" w:bidi="ar-SA"/>
    </w:rPr>
  </w:style>
  <w:style w:type="character" w:customStyle="1" w:styleId="380">
    <w:name w:val="+正文 Char"/>
    <w:link w:val="130"/>
    <w:qFormat/>
    <w:uiPriority w:val="0"/>
    <w:rPr>
      <w:rFonts w:eastAsia="宋体"/>
      <w:kern w:val="2"/>
      <w:sz w:val="24"/>
      <w:szCs w:val="28"/>
      <w:lang w:val="en-US" w:eastAsia="zh-CN" w:bidi="ar-SA"/>
    </w:rPr>
  </w:style>
  <w:style w:type="character" w:customStyle="1" w:styleId="381">
    <w:name w:val="表内容 Char"/>
    <w:link w:val="109"/>
    <w:qFormat/>
    <w:uiPriority w:val="0"/>
    <w:rPr>
      <w:kern w:val="2"/>
      <w:sz w:val="21"/>
    </w:rPr>
  </w:style>
  <w:style w:type="character" w:customStyle="1" w:styleId="382">
    <w:name w:val="font51"/>
    <w:basedOn w:val="55"/>
    <w:qFormat/>
    <w:uiPriority w:val="0"/>
    <w:rPr>
      <w:rFonts w:hint="eastAsia" w:ascii="宋体" w:hAnsi="宋体" w:eastAsia="宋体" w:cs="宋体"/>
      <w:color w:val="000000"/>
      <w:sz w:val="24"/>
      <w:szCs w:val="24"/>
      <w:u w:val="none"/>
    </w:rPr>
  </w:style>
  <w:style w:type="character" w:customStyle="1" w:styleId="383">
    <w:name w:val="19号令"/>
    <w:basedOn w:val="55"/>
    <w:qFormat/>
    <w:uiPriority w:val="0"/>
  </w:style>
  <w:style w:type="character" w:customStyle="1" w:styleId="384">
    <w:name w:val="纯文本 字符"/>
    <w:link w:val="31"/>
    <w:qFormat/>
    <w:uiPriority w:val="0"/>
    <w:rPr>
      <w:rFonts w:ascii="宋体" w:hAnsi="Courier New" w:eastAsia="宋体"/>
      <w:kern w:val="2"/>
      <w:sz w:val="21"/>
      <w:lang w:val="en-US" w:eastAsia="zh-CN" w:bidi="ar-SA"/>
    </w:rPr>
  </w:style>
  <w:style w:type="character" w:customStyle="1" w:styleId="385">
    <w:name w:val="未命名1"/>
    <w:basedOn w:val="55"/>
    <w:qFormat/>
    <w:uiPriority w:val="0"/>
  </w:style>
  <w:style w:type="character" w:customStyle="1" w:styleId="386">
    <w:name w:val="表正文 Char"/>
    <w:link w:val="279"/>
    <w:qFormat/>
    <w:uiPriority w:val="0"/>
    <w:rPr>
      <w:rFonts w:eastAsia="宋体"/>
      <w:kern w:val="2"/>
      <w:sz w:val="28"/>
      <w:szCs w:val="21"/>
      <w:lang w:val="en-US" w:eastAsia="zh-CN" w:bidi="ar-SA"/>
    </w:rPr>
  </w:style>
  <w:style w:type="character" w:customStyle="1" w:styleId="387">
    <w:name w:val="正文文本缩进 3 字符"/>
    <w:link w:val="42"/>
    <w:qFormat/>
    <w:uiPriority w:val="0"/>
    <w:rPr>
      <w:rFonts w:eastAsia="宋体"/>
      <w:kern w:val="2"/>
      <w:sz w:val="16"/>
      <w:szCs w:val="16"/>
      <w:lang w:val="en-US" w:eastAsia="zh-CN" w:bidi="ar-SA"/>
    </w:rPr>
  </w:style>
  <w:style w:type="character" w:customStyle="1" w:styleId="388">
    <w:name w:val="表格字体 Char"/>
    <w:link w:val="209"/>
    <w:qFormat/>
    <w:uiPriority w:val="0"/>
    <w:rPr>
      <w:kern w:val="2"/>
      <w:sz w:val="21"/>
      <w:szCs w:val="21"/>
    </w:rPr>
  </w:style>
  <w:style w:type="character" w:customStyle="1" w:styleId="389">
    <w:name w:val="小四正文 Char"/>
    <w:link w:val="176"/>
    <w:qFormat/>
    <w:uiPriority w:val="0"/>
    <w:rPr>
      <w:color w:val="000000"/>
      <w:spacing w:val="8"/>
      <w:kern w:val="2"/>
      <w:sz w:val="24"/>
      <w:szCs w:val="24"/>
      <w:lang w:val="en-GB" w:eastAsia="zh-CN" w:bidi="ar-SA"/>
    </w:rPr>
  </w:style>
  <w:style w:type="character" w:customStyle="1" w:styleId="390">
    <w:name w:val="正文文本缩进 字符"/>
    <w:link w:val="22"/>
    <w:qFormat/>
    <w:uiPriority w:val="0"/>
    <w:rPr>
      <w:rFonts w:eastAsia="宋体"/>
      <w:b/>
      <w:kern w:val="2"/>
      <w:sz w:val="28"/>
      <w:lang w:val="en-US" w:eastAsia="zh-CN" w:bidi="ar-SA"/>
    </w:rPr>
  </w:style>
  <w:style w:type="character" w:customStyle="1" w:styleId="391">
    <w:name w:val="正文文本 2 字符"/>
    <w:link w:val="45"/>
    <w:qFormat/>
    <w:uiPriority w:val="0"/>
    <w:rPr>
      <w:rFonts w:ascii="仿宋_GB2312" w:eastAsia="仿宋_GB2312"/>
      <w:sz w:val="21"/>
      <w:szCs w:val="24"/>
      <w:lang w:val="en-US" w:eastAsia="zh-CN" w:bidi="ar-SA"/>
    </w:rPr>
  </w:style>
  <w:style w:type="character" w:customStyle="1" w:styleId="392">
    <w:name w:val="标题 5 字符"/>
    <w:link w:val="7"/>
    <w:qFormat/>
    <w:uiPriority w:val="0"/>
    <w:rPr>
      <w:rFonts w:eastAsia="仿宋_GB2312"/>
      <w:b/>
      <w:sz w:val="28"/>
      <w:lang w:val="en-US" w:eastAsia="zh-CN" w:bidi="ar-SA"/>
    </w:rPr>
  </w:style>
  <w:style w:type="character" w:customStyle="1" w:styleId="393">
    <w:name w:val="标题1"/>
    <w:basedOn w:val="55"/>
    <w:qFormat/>
    <w:uiPriority w:val="0"/>
  </w:style>
  <w:style w:type="character" w:customStyle="1" w:styleId="394">
    <w:name w:val="样式 标题 2节标题 1.11.1标题2b2 + 宋体 Char"/>
    <w:qFormat/>
    <w:uiPriority w:val="0"/>
    <w:rPr>
      <w:rFonts w:ascii="宋体" w:hAnsi="宋体" w:eastAsia="宋体"/>
      <w:b/>
      <w:bCs/>
      <w:sz w:val="24"/>
      <w:lang w:val="en-US" w:eastAsia="zh-CN" w:bidi="ar-SA"/>
    </w:rPr>
  </w:style>
  <w:style w:type="character" w:customStyle="1" w:styleId="395">
    <w:name w:val="报告正文 Char"/>
    <w:link w:val="174"/>
    <w:qFormat/>
    <w:uiPriority w:val="0"/>
    <w:rPr>
      <w:rFonts w:eastAsia="宋体"/>
      <w:kern w:val="2"/>
      <w:sz w:val="24"/>
      <w:szCs w:val="24"/>
      <w:lang w:val="en-US" w:eastAsia="zh-CN" w:bidi="ar-SA"/>
    </w:rPr>
  </w:style>
  <w:style w:type="character" w:customStyle="1" w:styleId="396">
    <w:name w:val="页眉 字符"/>
    <w:link w:val="36"/>
    <w:qFormat/>
    <w:uiPriority w:val="0"/>
    <w:rPr>
      <w:rFonts w:eastAsia="宋体"/>
      <w:kern w:val="2"/>
      <w:sz w:val="18"/>
      <w:szCs w:val="18"/>
      <w:lang w:val="en-US" w:eastAsia="zh-CN" w:bidi="ar-SA"/>
    </w:rPr>
  </w:style>
  <w:style w:type="character" w:customStyle="1" w:styleId="397">
    <w:name w:val="注释标题 字符"/>
    <w:link w:val="14"/>
    <w:qFormat/>
    <w:uiPriority w:val="0"/>
    <w:rPr>
      <w:rFonts w:eastAsia="宋体"/>
      <w:kern w:val="2"/>
      <w:sz w:val="21"/>
      <w:lang w:val="en-US" w:eastAsia="zh-CN" w:bidi="ar-SA"/>
    </w:rPr>
  </w:style>
  <w:style w:type="character" w:customStyle="1" w:styleId="398">
    <w:name w:val="wz"/>
    <w:basedOn w:val="55"/>
    <w:qFormat/>
    <w:uiPriority w:val="0"/>
  </w:style>
  <w:style w:type="character" w:customStyle="1" w:styleId="399">
    <w:name w:val="标题 4 字符"/>
    <w:link w:val="6"/>
    <w:qFormat/>
    <w:uiPriority w:val="0"/>
    <w:rPr>
      <w:rFonts w:ascii="Arial" w:hAnsi="Arial" w:eastAsia="黑体"/>
      <w:b/>
      <w:sz w:val="28"/>
      <w:lang w:val="en-US" w:eastAsia="zh-CN" w:bidi="ar-SA"/>
    </w:rPr>
  </w:style>
  <w:style w:type="character" w:customStyle="1" w:styleId="400">
    <w:name w:val="标准文本 居中 单倍行距 Char Char Char"/>
    <w:link w:val="273"/>
    <w:qFormat/>
    <w:uiPriority w:val="0"/>
    <w:rPr>
      <w:rFonts w:eastAsia="宋体" w:cs="宋体"/>
      <w:kern w:val="2"/>
      <w:sz w:val="24"/>
      <w:szCs w:val="24"/>
      <w:lang w:val="en-US" w:eastAsia="zh-CN" w:bidi="ar-SA"/>
    </w:rPr>
  </w:style>
  <w:style w:type="character" w:customStyle="1" w:styleId="401">
    <w:name w:val="表格内文字 Char"/>
    <w:link w:val="241"/>
    <w:qFormat/>
    <w:uiPriority w:val="0"/>
    <w:rPr>
      <w:spacing w:val="6"/>
      <w:sz w:val="24"/>
    </w:rPr>
  </w:style>
  <w:style w:type="character" w:customStyle="1" w:styleId="402">
    <w:name w:val="报告 Char"/>
    <w:link w:val="216"/>
    <w:qFormat/>
    <w:uiPriority w:val="0"/>
    <w:rPr>
      <w:rFonts w:ascii="TimesNewRoman" w:hAnsi="TimesNewRoman"/>
      <w:sz w:val="24"/>
    </w:rPr>
  </w:style>
  <w:style w:type="character" w:customStyle="1" w:styleId="403">
    <w:name w:val="标题 7 字符"/>
    <w:link w:val="9"/>
    <w:qFormat/>
    <w:uiPriority w:val="0"/>
    <w:rPr>
      <w:rFonts w:eastAsia="仿宋_GB2312"/>
      <w:b/>
      <w:sz w:val="24"/>
      <w:lang w:val="en-US" w:eastAsia="zh-CN" w:bidi="ar-SA"/>
    </w:rPr>
  </w:style>
  <w:style w:type="character" w:customStyle="1" w:styleId="404">
    <w:name w:val="[正文格式] Char"/>
    <w:link w:val="76"/>
    <w:qFormat/>
    <w:uiPriority w:val="0"/>
    <w:rPr>
      <w:rFonts w:eastAsia="宋体" w:cs="宋体"/>
      <w:kern w:val="2"/>
      <w:sz w:val="24"/>
      <w:lang w:val="en-US" w:eastAsia="zh-CN" w:bidi="ar-SA"/>
    </w:rPr>
  </w:style>
  <w:style w:type="character" w:customStyle="1" w:styleId="405">
    <w:name w:val="lineheight1501"/>
    <w:basedOn w:val="55"/>
    <w:qFormat/>
    <w:uiPriority w:val="0"/>
  </w:style>
  <w:style w:type="paragraph" w:customStyle="1" w:styleId="406">
    <w:name w:val="p0"/>
    <w:basedOn w:val="1"/>
    <w:qFormat/>
    <w:uiPriority w:val="0"/>
    <w:pPr>
      <w:widowControl/>
    </w:pPr>
    <w:rPr>
      <w:kern w:val="0"/>
      <w:szCs w:val="21"/>
    </w:rPr>
  </w:style>
  <w:style w:type="paragraph" w:customStyle="1" w:styleId="407">
    <w:name w:val="表格正文"/>
    <w:basedOn w:val="1"/>
    <w:qFormat/>
    <w:uiPriority w:val="0"/>
    <w:pPr>
      <w:spacing w:line="360" w:lineRule="exact"/>
      <w:jc w:val="center"/>
    </w:pPr>
    <w:rPr>
      <w:szCs w:val="20"/>
    </w:rPr>
  </w:style>
  <w:style w:type="paragraph" w:customStyle="1" w:styleId="408">
    <w:name w:val="图表"/>
    <w:basedOn w:val="1"/>
    <w:qFormat/>
    <w:uiPriority w:val="0"/>
    <w:pPr>
      <w:adjustRightInd w:val="0"/>
      <w:snapToGrid w:val="0"/>
      <w:jc w:val="center"/>
    </w:pPr>
    <w:rPr>
      <w:color w:val="000000"/>
      <w:szCs w:val="22"/>
      <w:lang w:val="zh-CN"/>
    </w:rPr>
  </w:style>
  <w:style w:type="paragraph" w:customStyle="1" w:styleId="409">
    <w:name w:val="君邦正文"/>
    <w:qFormat/>
    <w:uiPriority w:val="0"/>
    <w:pPr>
      <w:spacing w:after="60" w:line="360" w:lineRule="auto"/>
      <w:ind w:firstLine="480" w:firstLineChars="200"/>
      <w:jc w:val="both"/>
    </w:pPr>
    <w:rPr>
      <w:rFonts w:ascii="Times New Roman" w:hAnsi="Times New Roman" w:eastAsia="宋体" w:cs="Times New Roman"/>
      <w:bCs/>
      <w:snapToGrid w:val="0"/>
      <w:sz w:val="24"/>
      <w:szCs w:val="22"/>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oleObject" Target="embeddings/oleObject1.bin"/><Relationship Id="rId83" Type="http://schemas.openxmlformats.org/officeDocument/2006/relationships/fontTable" Target="fontTable.xml"/><Relationship Id="rId82" Type="http://schemas.openxmlformats.org/officeDocument/2006/relationships/numbering" Target="numbering.xml"/><Relationship Id="rId81" Type="http://schemas.openxmlformats.org/officeDocument/2006/relationships/customXml" Target="../customXml/item1.xml"/><Relationship Id="rId80" Type="http://schemas.openxmlformats.org/officeDocument/2006/relationships/image" Target="media/image49.png"/><Relationship Id="rId8" Type="http://schemas.openxmlformats.org/officeDocument/2006/relationships/theme" Target="theme/theme1.xml"/><Relationship Id="rId79" Type="http://schemas.openxmlformats.org/officeDocument/2006/relationships/image" Target="media/image48.jpeg"/><Relationship Id="rId78" Type="http://schemas.openxmlformats.org/officeDocument/2006/relationships/image" Target="media/image47.png"/><Relationship Id="rId77" Type="http://schemas.openxmlformats.org/officeDocument/2006/relationships/image" Target="media/image46.jpeg"/><Relationship Id="rId76" Type="http://schemas.openxmlformats.org/officeDocument/2006/relationships/image" Target="media/image45.jpeg"/><Relationship Id="rId75" Type="http://schemas.openxmlformats.org/officeDocument/2006/relationships/image" Target="media/image44.png"/><Relationship Id="rId74" Type="http://schemas.openxmlformats.org/officeDocument/2006/relationships/image" Target="media/image43.png"/><Relationship Id="rId73" Type="http://schemas.openxmlformats.org/officeDocument/2006/relationships/image" Target="media/image42.png"/><Relationship Id="rId72" Type="http://schemas.openxmlformats.org/officeDocument/2006/relationships/image" Target="media/image41.png"/><Relationship Id="rId71" Type="http://schemas.openxmlformats.org/officeDocument/2006/relationships/image" Target="media/image40.wmf"/><Relationship Id="rId70" Type="http://schemas.openxmlformats.org/officeDocument/2006/relationships/oleObject" Target="embeddings/oleObject23.bin"/><Relationship Id="rId7" Type="http://schemas.openxmlformats.org/officeDocument/2006/relationships/footer" Target="footer3.xml"/><Relationship Id="rId69" Type="http://schemas.openxmlformats.org/officeDocument/2006/relationships/image" Target="media/image39.wmf"/><Relationship Id="rId68" Type="http://schemas.openxmlformats.org/officeDocument/2006/relationships/oleObject" Target="embeddings/oleObject22.bin"/><Relationship Id="rId67" Type="http://schemas.openxmlformats.org/officeDocument/2006/relationships/image" Target="media/image38.emf"/><Relationship Id="rId66" Type="http://schemas.openxmlformats.org/officeDocument/2006/relationships/image" Target="media/image37.emf"/><Relationship Id="rId65" Type="http://schemas.openxmlformats.org/officeDocument/2006/relationships/oleObject" Target="embeddings/oleObject21.bin"/><Relationship Id="rId64" Type="http://schemas.openxmlformats.org/officeDocument/2006/relationships/image" Target="media/image36.emf"/><Relationship Id="rId63" Type="http://schemas.openxmlformats.org/officeDocument/2006/relationships/oleObject" Target="embeddings/oleObject20.bin"/><Relationship Id="rId62" Type="http://schemas.openxmlformats.org/officeDocument/2006/relationships/image" Target="media/image35.png"/><Relationship Id="rId61" Type="http://schemas.openxmlformats.org/officeDocument/2006/relationships/image" Target="media/image34.png"/><Relationship Id="rId60" Type="http://schemas.openxmlformats.org/officeDocument/2006/relationships/image" Target="media/image33.png"/><Relationship Id="rId6" Type="http://schemas.openxmlformats.org/officeDocument/2006/relationships/header" Target="header2.xml"/><Relationship Id="rId59" Type="http://schemas.openxmlformats.org/officeDocument/2006/relationships/image" Target="media/image32.png"/><Relationship Id="rId58" Type="http://schemas.openxmlformats.org/officeDocument/2006/relationships/image" Target="media/image31.png"/><Relationship Id="rId57" Type="http://schemas.openxmlformats.org/officeDocument/2006/relationships/image" Target="media/image30.png"/><Relationship Id="rId56" Type="http://schemas.openxmlformats.org/officeDocument/2006/relationships/image" Target="media/image29.png"/><Relationship Id="rId55" Type="http://schemas.openxmlformats.org/officeDocument/2006/relationships/image" Target="media/image28.emf"/><Relationship Id="rId54" Type="http://schemas.openxmlformats.org/officeDocument/2006/relationships/oleObject" Target="embeddings/oleObject19.bin"/><Relationship Id="rId53" Type="http://schemas.openxmlformats.org/officeDocument/2006/relationships/image" Target="media/image27.png"/><Relationship Id="rId52" Type="http://schemas.openxmlformats.org/officeDocument/2006/relationships/image" Target="media/image26.png"/><Relationship Id="rId51" Type="http://schemas.openxmlformats.org/officeDocument/2006/relationships/image" Target="media/image25.png"/><Relationship Id="rId50" Type="http://schemas.openxmlformats.org/officeDocument/2006/relationships/image" Target="media/image24.png"/><Relationship Id="rId5" Type="http://schemas.openxmlformats.org/officeDocument/2006/relationships/footer" Target="footer2.xml"/><Relationship Id="rId49" Type="http://schemas.openxmlformats.org/officeDocument/2006/relationships/image" Target="media/image23.png"/><Relationship Id="rId48" Type="http://schemas.openxmlformats.org/officeDocument/2006/relationships/image" Target="media/image22.png"/><Relationship Id="rId47" Type="http://schemas.openxmlformats.org/officeDocument/2006/relationships/image" Target="media/image21.png"/><Relationship Id="rId46" Type="http://schemas.openxmlformats.org/officeDocument/2006/relationships/image" Target="media/image20.png"/><Relationship Id="rId45" Type="http://schemas.openxmlformats.org/officeDocument/2006/relationships/image" Target="media/image19.wmf"/><Relationship Id="rId44" Type="http://schemas.openxmlformats.org/officeDocument/2006/relationships/oleObject" Target="embeddings/oleObject18.bin"/><Relationship Id="rId43" Type="http://schemas.openxmlformats.org/officeDocument/2006/relationships/oleObject" Target="embeddings/oleObject17.bin"/><Relationship Id="rId42" Type="http://schemas.openxmlformats.org/officeDocument/2006/relationships/image" Target="media/image18.wmf"/><Relationship Id="rId41" Type="http://schemas.openxmlformats.org/officeDocument/2006/relationships/oleObject" Target="embeddings/oleObject16.bin"/><Relationship Id="rId40" Type="http://schemas.openxmlformats.org/officeDocument/2006/relationships/image" Target="media/image17.wmf"/><Relationship Id="rId4" Type="http://schemas.openxmlformats.org/officeDocument/2006/relationships/header" Target="header1.xml"/><Relationship Id="rId39" Type="http://schemas.openxmlformats.org/officeDocument/2006/relationships/oleObject" Target="embeddings/oleObject15.bin"/><Relationship Id="rId38" Type="http://schemas.openxmlformats.org/officeDocument/2006/relationships/image" Target="media/image16.wmf"/><Relationship Id="rId37" Type="http://schemas.openxmlformats.org/officeDocument/2006/relationships/oleObject" Target="embeddings/oleObject14.bin"/><Relationship Id="rId36" Type="http://schemas.openxmlformats.org/officeDocument/2006/relationships/image" Target="media/image15.wmf"/><Relationship Id="rId35" Type="http://schemas.openxmlformats.org/officeDocument/2006/relationships/oleObject" Target="embeddings/oleObject13.bin"/><Relationship Id="rId34" Type="http://schemas.openxmlformats.org/officeDocument/2006/relationships/image" Target="media/image14.wmf"/><Relationship Id="rId33" Type="http://schemas.openxmlformats.org/officeDocument/2006/relationships/oleObject" Target="embeddings/oleObject12.bin"/><Relationship Id="rId32" Type="http://schemas.openxmlformats.org/officeDocument/2006/relationships/image" Target="media/image13.wmf"/><Relationship Id="rId31" Type="http://schemas.openxmlformats.org/officeDocument/2006/relationships/oleObject" Target="embeddings/oleObject11.bin"/><Relationship Id="rId30" Type="http://schemas.openxmlformats.org/officeDocument/2006/relationships/image" Target="media/image12.wmf"/><Relationship Id="rId3" Type="http://schemas.openxmlformats.org/officeDocument/2006/relationships/footer" Target="footer1.xml"/><Relationship Id="rId29" Type="http://schemas.openxmlformats.org/officeDocument/2006/relationships/oleObject" Target="embeddings/oleObject10.bin"/><Relationship Id="rId28" Type="http://schemas.openxmlformats.org/officeDocument/2006/relationships/image" Target="media/image11.emf"/><Relationship Id="rId27" Type="http://schemas.openxmlformats.org/officeDocument/2006/relationships/oleObject" Target="embeddings/oleObject9.bin"/><Relationship Id="rId26" Type="http://schemas.openxmlformats.org/officeDocument/2006/relationships/image" Target="media/image10.emf"/><Relationship Id="rId25" Type="http://schemas.openxmlformats.org/officeDocument/2006/relationships/oleObject" Target="embeddings/oleObject8.bin"/><Relationship Id="rId24" Type="http://schemas.openxmlformats.org/officeDocument/2006/relationships/image" Target="media/image9.png"/><Relationship Id="rId23" Type="http://schemas.openxmlformats.org/officeDocument/2006/relationships/image" Target="media/image8.emf"/><Relationship Id="rId22" Type="http://schemas.openxmlformats.org/officeDocument/2006/relationships/oleObject" Target="embeddings/oleObject7.bin"/><Relationship Id="rId21" Type="http://schemas.openxmlformats.org/officeDocument/2006/relationships/image" Target="media/image7.emf"/><Relationship Id="rId20" Type="http://schemas.openxmlformats.org/officeDocument/2006/relationships/oleObject" Target="embeddings/oleObject6.bin"/><Relationship Id="rId2" Type="http://schemas.openxmlformats.org/officeDocument/2006/relationships/settings" Target="settings.xml"/><Relationship Id="rId19" Type="http://schemas.openxmlformats.org/officeDocument/2006/relationships/image" Target="media/image6.emf"/><Relationship Id="rId18" Type="http://schemas.openxmlformats.org/officeDocument/2006/relationships/oleObject" Target="embeddings/oleObject5.bin"/><Relationship Id="rId17" Type="http://schemas.openxmlformats.org/officeDocument/2006/relationships/image" Target="media/image5.emf"/><Relationship Id="rId16" Type="http://schemas.openxmlformats.org/officeDocument/2006/relationships/oleObject" Target="embeddings/oleObject4.bin"/><Relationship Id="rId15" Type="http://schemas.openxmlformats.org/officeDocument/2006/relationships/image" Target="media/image4.emf"/><Relationship Id="rId14" Type="http://schemas.openxmlformats.org/officeDocument/2006/relationships/oleObject" Target="embeddings/oleObject3.bin"/><Relationship Id="rId13" Type="http://schemas.openxmlformats.org/officeDocument/2006/relationships/image" Target="media/image3.emf"/><Relationship Id="rId12" Type="http://schemas.openxmlformats.org/officeDocument/2006/relationships/oleObject" Target="embeddings/oleObject2.bin"/><Relationship Id="rId11" Type="http://schemas.openxmlformats.org/officeDocument/2006/relationships/image" Target="media/image2.png"/><Relationship Id="rId10" Type="http://schemas.openxmlformats.org/officeDocument/2006/relationships/image" Target="media/image1.emf"/><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Info spid="_x0000_s1027"/>
    <customShpInfo spid="_x0000_s1028" textRotate="1"/>
    <customShpInfo spid="_x0000_s1037"/>
    <customShpInfo spid="_x0000_s1029"/>
    <customShpInfo spid="_x0000_s1030"/>
    <customShpInfo spid="_x0000_s1031"/>
    <customShpInfo spid="_x0000_s1032"/>
    <customShpInfo spid="_x0000_s1033"/>
    <customShpInfo spid="_x0000_s1036"/>
    <customShpInfo spid="_x0000_s1035"/>
    <customShpInfo spid="_x0000_s1039"/>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微软中国</Company>
  <Pages>1</Pages>
  <Words>16644</Words>
  <Characters>94875</Characters>
  <Lines>790</Lines>
  <Paragraphs>222</Paragraphs>
  <TotalTime>27</TotalTime>
  <ScaleCrop>false</ScaleCrop>
  <LinksUpToDate>false</LinksUpToDate>
  <CharactersWithSpaces>111297</CharactersWithSpaces>
  <Application>WPS Office_11.1.0.9999_F1E327BC-269C-435d-A152-05C5408002CA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2013-09-26T16:25:00Z</dcterms:created>
  <dc:creator>微软用户</dc:creator>
  <cp:lastModifiedBy>陈</cp:lastModifiedBy>
  <cp:lastPrinted>2019-01-17T02:15:00Z</cp:lastPrinted>
  <dcterms:modified xsi:type="dcterms:W3CDTF">2020-09-16T03:09:33Z</dcterms:modified>
  <dc:title>专题一：北二环路（西二环路～张洼路）改造工程噪声专题</dc:title>
  <cp:revision>997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2052-11.1.0.9999</vt:lpwstr>
  </property>
</Properties>
</file>